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4AFDDA">
      <w:pPr>
        <w:pStyle w:val="27"/>
        <w:bidi w:val="0"/>
        <w:rPr>
          <w:rFonts w:hint="default" w:ascii="Times New Roman" w:hAnsi="Times New Roman" w:cs="Times New Roman"/>
          <w:color w:val="auto"/>
          <w:highlight w:val="none"/>
        </w:rPr>
      </w:pPr>
    </w:p>
    <w:p w14:paraId="7D250378">
      <w:pPr>
        <w:pStyle w:val="27"/>
        <w:bidi w:val="0"/>
        <w:rPr>
          <w:rFonts w:hint="default" w:ascii="Times New Roman" w:hAnsi="Times New Roman" w:cs="Times New Roman"/>
          <w:color w:val="auto"/>
          <w:highlight w:val="none"/>
        </w:rPr>
      </w:pPr>
    </w:p>
    <w:p w14:paraId="1C413F0B">
      <w:pPr>
        <w:pStyle w:val="27"/>
        <w:bidi w:val="0"/>
        <w:rPr>
          <w:rFonts w:hint="default" w:ascii="Times New Roman" w:hAnsi="Times New Roman" w:cs="Times New Roman"/>
          <w:color w:val="auto"/>
          <w:highlight w:val="none"/>
        </w:rPr>
      </w:pPr>
    </w:p>
    <w:p w14:paraId="058E28D9">
      <w:pPr>
        <w:pStyle w:val="27"/>
        <w:bidi w:val="0"/>
        <w:rPr>
          <w:rFonts w:hint="default" w:ascii="Times New Roman" w:hAnsi="Times New Roman" w:cs="Times New Roman"/>
          <w:color w:val="auto"/>
          <w:highlight w:val="none"/>
        </w:rPr>
      </w:pPr>
    </w:p>
    <w:p w14:paraId="5C77F390">
      <w:pPr>
        <w:pStyle w:val="27"/>
        <w:bidi w:val="0"/>
        <w:rPr>
          <w:rFonts w:hint="default" w:ascii="Times New Roman" w:hAnsi="Times New Roman" w:cs="Times New Roman"/>
          <w:color w:val="auto"/>
          <w:highlight w:val="none"/>
        </w:rPr>
      </w:pPr>
    </w:p>
    <w:p w14:paraId="0779AA4A">
      <w:pPr>
        <w:pStyle w:val="27"/>
        <w:bidi w:val="0"/>
        <w:rPr>
          <w:rFonts w:hint="default" w:ascii="Times New Roman" w:hAnsi="Times New Roman" w:cs="Times New Roman"/>
          <w:color w:val="auto"/>
          <w:highlight w:val="none"/>
        </w:rPr>
      </w:pPr>
    </w:p>
    <w:p w14:paraId="5DA52928">
      <w:pPr>
        <w:pStyle w:val="27"/>
        <w:bidi w:val="0"/>
        <w:ind w:left="0" w:leftChars="0" w:firstLine="0" w:firstLineChars="0"/>
        <w:jc w:val="center"/>
        <w:rPr>
          <w:rFonts w:hint="default" w:ascii="Times New Roman" w:hAnsi="Times New Roman" w:cs="Times New Roman"/>
          <w:b/>
          <w:bCs/>
          <w:color w:val="auto"/>
          <w:sz w:val="52"/>
          <w:szCs w:val="52"/>
          <w:highlight w:val="none"/>
        </w:rPr>
      </w:pPr>
      <w:r>
        <w:rPr>
          <w:rFonts w:hint="default" w:ascii="Times New Roman" w:hAnsi="Times New Roman" w:cs="Times New Roman"/>
          <w:b/>
          <w:bCs/>
          <w:color w:val="auto"/>
          <w:sz w:val="52"/>
          <w:szCs w:val="52"/>
          <w:highlight w:val="none"/>
        </w:rPr>
        <w:t>鸡西市滴道南甸子碎石场矿山</w:t>
      </w:r>
    </w:p>
    <w:p w14:paraId="3167FC3C">
      <w:pPr>
        <w:pStyle w:val="27"/>
        <w:bidi w:val="0"/>
        <w:ind w:left="0" w:leftChars="0" w:firstLine="0" w:firstLineChars="0"/>
        <w:jc w:val="center"/>
        <w:rPr>
          <w:rFonts w:hint="default" w:ascii="Times New Roman" w:hAnsi="Times New Roman" w:cs="Times New Roman"/>
          <w:b/>
          <w:bCs/>
          <w:color w:val="auto"/>
          <w:sz w:val="52"/>
          <w:szCs w:val="52"/>
          <w:highlight w:val="none"/>
        </w:rPr>
      </w:pPr>
      <w:r>
        <w:rPr>
          <w:rFonts w:hint="default" w:ascii="Times New Roman" w:hAnsi="Times New Roman" w:cs="Times New Roman"/>
          <w:b/>
          <w:bCs/>
          <w:color w:val="auto"/>
          <w:sz w:val="52"/>
          <w:szCs w:val="52"/>
          <w:highlight w:val="none"/>
        </w:rPr>
        <w:t>复垦项目</w:t>
      </w:r>
    </w:p>
    <w:p w14:paraId="4C0376FE">
      <w:pPr>
        <w:pStyle w:val="27"/>
        <w:bidi w:val="0"/>
        <w:ind w:left="0" w:leftChars="0" w:firstLine="0" w:firstLineChars="0"/>
        <w:jc w:val="center"/>
        <w:rPr>
          <w:rFonts w:hint="default" w:ascii="Times New Roman" w:hAnsi="Times New Roman" w:cs="Times New Roman"/>
          <w:b/>
          <w:bCs/>
          <w:color w:val="auto"/>
          <w:sz w:val="72"/>
          <w:szCs w:val="72"/>
          <w:highlight w:val="none"/>
        </w:rPr>
      </w:pPr>
      <w:r>
        <w:rPr>
          <w:rFonts w:hint="default" w:ascii="Times New Roman" w:hAnsi="Times New Roman" w:cs="Times New Roman"/>
          <w:b/>
          <w:bCs/>
          <w:color w:val="auto"/>
          <w:sz w:val="72"/>
          <w:szCs w:val="72"/>
          <w:highlight w:val="none"/>
        </w:rPr>
        <w:t>环境影响报告书</w:t>
      </w:r>
    </w:p>
    <w:p w14:paraId="3BF8C019">
      <w:pPr>
        <w:pStyle w:val="27"/>
        <w:bidi w:val="0"/>
        <w:jc w:val="center"/>
        <w:rPr>
          <w:rFonts w:hint="default" w:ascii="Times New Roman" w:hAnsi="Times New Roman" w:cs="Times New Roman"/>
          <w:color w:val="auto"/>
          <w:sz w:val="52"/>
          <w:szCs w:val="52"/>
          <w:highlight w:val="none"/>
        </w:rPr>
      </w:pPr>
    </w:p>
    <w:p w14:paraId="50EE400B">
      <w:pPr>
        <w:pStyle w:val="27"/>
        <w:bidi w:val="0"/>
        <w:rPr>
          <w:rFonts w:hint="default" w:ascii="Times New Roman" w:hAnsi="Times New Roman" w:cs="Times New Roman"/>
          <w:color w:val="auto"/>
          <w:highlight w:val="none"/>
        </w:rPr>
      </w:pPr>
    </w:p>
    <w:p w14:paraId="2C3E3494">
      <w:pPr>
        <w:pStyle w:val="27"/>
        <w:bidi w:val="0"/>
        <w:rPr>
          <w:rFonts w:hint="default" w:ascii="Times New Roman" w:hAnsi="Times New Roman" w:cs="Times New Roman"/>
          <w:color w:val="auto"/>
          <w:highlight w:val="none"/>
        </w:rPr>
      </w:pPr>
    </w:p>
    <w:p w14:paraId="5F0C4403">
      <w:pPr>
        <w:pStyle w:val="27"/>
        <w:bidi w:val="0"/>
        <w:rPr>
          <w:rFonts w:hint="default" w:ascii="Times New Roman" w:hAnsi="Times New Roman" w:cs="Times New Roman"/>
          <w:color w:val="auto"/>
          <w:highlight w:val="none"/>
        </w:rPr>
      </w:pPr>
    </w:p>
    <w:p w14:paraId="53765542">
      <w:pPr>
        <w:pStyle w:val="27"/>
        <w:bidi w:val="0"/>
        <w:rPr>
          <w:rFonts w:hint="default" w:ascii="Times New Roman" w:hAnsi="Times New Roman" w:cs="Times New Roman"/>
          <w:color w:val="auto"/>
          <w:highlight w:val="none"/>
        </w:rPr>
      </w:pPr>
    </w:p>
    <w:p w14:paraId="7794719F">
      <w:pPr>
        <w:pStyle w:val="27"/>
        <w:bidi w:val="0"/>
        <w:rPr>
          <w:rFonts w:hint="default" w:ascii="Times New Roman" w:hAnsi="Times New Roman" w:cs="Times New Roman"/>
          <w:color w:val="auto"/>
          <w:highlight w:val="none"/>
        </w:rPr>
      </w:pPr>
    </w:p>
    <w:p w14:paraId="749A0A4B">
      <w:pPr>
        <w:pStyle w:val="27"/>
        <w:bidi w:val="0"/>
        <w:rPr>
          <w:rFonts w:hint="default" w:ascii="Times New Roman" w:hAnsi="Times New Roman" w:cs="Times New Roman"/>
          <w:color w:val="auto"/>
          <w:highlight w:val="none"/>
        </w:rPr>
      </w:pPr>
    </w:p>
    <w:p w14:paraId="038C154B">
      <w:pPr>
        <w:pStyle w:val="27"/>
        <w:bidi w:val="0"/>
        <w:rPr>
          <w:rFonts w:hint="default" w:ascii="Times New Roman" w:hAnsi="Times New Roman" w:cs="Times New Roman"/>
          <w:color w:val="auto"/>
          <w:highlight w:val="none"/>
        </w:rPr>
      </w:pPr>
    </w:p>
    <w:p w14:paraId="2B411C5A">
      <w:pPr>
        <w:pStyle w:val="27"/>
        <w:bidi w:val="0"/>
        <w:rPr>
          <w:rFonts w:hint="default" w:ascii="Times New Roman" w:hAnsi="Times New Roman" w:cs="Times New Roman"/>
          <w:color w:val="auto"/>
          <w:highlight w:val="none"/>
        </w:rPr>
      </w:pPr>
    </w:p>
    <w:p w14:paraId="50232896">
      <w:pPr>
        <w:pStyle w:val="27"/>
        <w:bidi w:val="0"/>
        <w:rPr>
          <w:rFonts w:hint="default" w:ascii="Times New Roman" w:hAnsi="Times New Roman" w:cs="Times New Roman"/>
          <w:color w:val="auto"/>
          <w:highlight w:val="none"/>
        </w:rPr>
      </w:pPr>
    </w:p>
    <w:p w14:paraId="5489CBF7">
      <w:pPr>
        <w:pStyle w:val="27"/>
        <w:bidi w:val="0"/>
        <w:rPr>
          <w:rFonts w:hint="default" w:ascii="Times New Roman" w:hAnsi="Times New Roman" w:cs="Times New Roman"/>
          <w:color w:val="auto"/>
          <w:highlight w:val="none"/>
        </w:rPr>
      </w:pPr>
    </w:p>
    <w:p w14:paraId="76B0BD6E">
      <w:pPr>
        <w:pStyle w:val="27"/>
        <w:bidi w:val="0"/>
        <w:ind w:left="0" w:leftChars="0" w:firstLine="1687" w:firstLineChars="700"/>
        <w:jc w:val="both"/>
        <w:rPr>
          <w:rFonts w:hint="default" w:ascii="Times New Roman" w:hAnsi="Times New Roman" w:cs="Times New Roman"/>
          <w:b/>
          <w:bCs/>
          <w:color w:val="auto"/>
          <w:highlight w:val="none"/>
        </w:rPr>
      </w:pPr>
      <w:bookmarkStart w:id="0" w:name="_Hlk148087278"/>
      <w:r>
        <w:rPr>
          <w:rFonts w:hint="default" w:ascii="Times New Roman" w:hAnsi="Times New Roman" w:cs="Times New Roman"/>
          <w:b/>
          <w:bCs/>
          <w:color w:val="auto"/>
          <w:highlight w:val="none"/>
        </w:rPr>
        <w:t>建设单位：鸡西市滴道南甸子碎石场</w:t>
      </w:r>
    </w:p>
    <w:p w14:paraId="76593976">
      <w:pPr>
        <w:pStyle w:val="27"/>
        <w:bidi w:val="0"/>
        <w:ind w:left="0" w:leftChars="0" w:firstLine="1687" w:firstLineChars="700"/>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环评单位：黑龙江泽文生态环境科技有限公司</w:t>
      </w:r>
    </w:p>
    <w:p w14:paraId="3A7E1690">
      <w:pPr>
        <w:pStyle w:val="27"/>
        <w:bidi w:val="0"/>
        <w:ind w:firstLine="2409" w:firstLineChars="1000"/>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编制日期：202</w:t>
      </w:r>
      <w:r>
        <w:rPr>
          <w:rFonts w:hint="default"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rPr>
        <w:t>年</w:t>
      </w:r>
      <w:r>
        <w:rPr>
          <w:rFonts w:hint="eastAsia" w:cs="Times New Roman"/>
          <w:b/>
          <w:bCs/>
          <w:color w:val="auto"/>
          <w:highlight w:val="none"/>
          <w:lang w:val="en-US" w:eastAsia="zh-CN"/>
        </w:rPr>
        <w:t>6</w:t>
      </w:r>
      <w:r>
        <w:rPr>
          <w:rFonts w:hint="default" w:ascii="Times New Roman" w:hAnsi="Times New Roman" w:cs="Times New Roman"/>
          <w:b/>
          <w:bCs/>
          <w:color w:val="auto"/>
          <w:highlight w:val="none"/>
        </w:rPr>
        <w:t>月</w:t>
      </w:r>
    </w:p>
    <w:p w14:paraId="57FE6604">
      <w:pPr>
        <w:pStyle w:val="27"/>
        <w:bidi w:val="0"/>
        <w:ind w:left="0" w:leftChars="0" w:firstLine="0" w:firstLineChars="0"/>
        <w:jc w:val="both"/>
        <w:rPr>
          <w:rFonts w:hint="default" w:ascii="Times New Roman" w:hAnsi="Times New Roman" w:cs="Times New Roman"/>
          <w:b/>
          <w:bCs/>
          <w:color w:val="auto"/>
          <w:highlight w:val="none"/>
        </w:rPr>
      </w:pPr>
      <w:bookmarkStart w:id="457" w:name="_GoBack"/>
      <w:bookmarkEnd w:id="457"/>
      <w:r>
        <w:drawing>
          <wp:inline distT="0" distB="0" distL="114300" distR="114300">
            <wp:extent cx="5268595" cy="6640830"/>
            <wp:effectExtent l="0" t="0" r="8255" b="7620"/>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pic:cNvPicPr>
                  </pic:nvPicPr>
                  <pic:blipFill>
                    <a:blip r:embed="rId14"/>
                    <a:stretch>
                      <a:fillRect/>
                    </a:stretch>
                  </pic:blipFill>
                  <pic:spPr>
                    <a:xfrm>
                      <a:off x="0" y="0"/>
                      <a:ext cx="5268595" cy="6640830"/>
                    </a:xfrm>
                    <a:prstGeom prst="rect">
                      <a:avLst/>
                    </a:prstGeom>
                    <a:noFill/>
                    <a:ln>
                      <a:noFill/>
                    </a:ln>
                  </pic:spPr>
                </pic:pic>
              </a:graphicData>
            </a:graphic>
          </wp:inline>
        </w:drawing>
      </w:r>
    </w:p>
    <w:bookmarkEnd w:id="0"/>
    <w:p w14:paraId="559C94EC">
      <w:pPr>
        <w:pStyle w:val="27"/>
        <w:bidi w:val="0"/>
        <w:rPr>
          <w:rFonts w:hint="default" w:ascii="Times New Roman" w:hAnsi="Times New Roman" w:cs="Times New Roman"/>
          <w:color w:val="auto"/>
          <w:highlight w:val="none"/>
        </w:rPr>
      </w:pPr>
    </w:p>
    <w:p w14:paraId="1B7DFAC0">
      <w:pPr>
        <w:pStyle w:val="27"/>
        <w:bidi w:val="0"/>
        <w:rPr>
          <w:rFonts w:hint="default" w:ascii="Times New Roman" w:hAnsi="Times New Roman" w:cs="Times New Roman"/>
          <w:color w:val="auto"/>
          <w:highlight w:val="none"/>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2A29011B">
      <w:pPr>
        <w:pStyle w:val="27"/>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565140" cy="7047865"/>
            <wp:effectExtent l="0" t="0" r="16510" b="63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5"/>
                    <a:stretch>
                      <a:fillRect/>
                    </a:stretch>
                  </pic:blipFill>
                  <pic:spPr>
                    <a:xfrm>
                      <a:off x="0" y="0"/>
                      <a:ext cx="5565140" cy="7047865"/>
                    </a:xfrm>
                    <a:prstGeom prst="rect">
                      <a:avLst/>
                    </a:prstGeom>
                    <a:noFill/>
                    <a:ln>
                      <a:noFill/>
                    </a:ln>
                  </pic:spPr>
                </pic:pic>
              </a:graphicData>
            </a:graphic>
          </wp:inline>
        </w:drawing>
      </w:r>
    </w:p>
    <w:p w14:paraId="6939D681">
      <w:pPr>
        <w:bidi w:val="0"/>
        <w:jc w:val="center"/>
        <w:rPr>
          <w:rFonts w:hint="default" w:ascii="Times New Roman" w:hAnsi="Times New Roman" w:cs="Times New Roman"/>
          <w:color w:val="auto"/>
          <w:sz w:val="44"/>
          <w:szCs w:val="44"/>
          <w:highlight w:val="none"/>
          <w:lang w:val="en-US" w:eastAsia="zh-CN"/>
        </w:rPr>
      </w:pPr>
      <w:bookmarkStart w:id="1" w:name="_Toc17656"/>
      <w:bookmarkStart w:id="2" w:name="_Toc19385"/>
      <w:bookmarkStart w:id="3" w:name="_Toc6433"/>
      <w:r>
        <w:rPr>
          <w:rFonts w:hint="default" w:ascii="Times New Roman" w:hAnsi="Times New Roman" w:cs="Times New Roman"/>
          <w:color w:val="auto"/>
          <w:sz w:val="44"/>
          <w:szCs w:val="44"/>
          <w:highlight w:val="none"/>
          <w:lang w:val="en-US" w:eastAsia="zh-CN"/>
        </w:rPr>
        <w:t>目  录</w:t>
      </w:r>
      <w:bookmarkEnd w:id="1"/>
      <w:bookmarkEnd w:id="2"/>
      <w:bookmarkEnd w:id="3"/>
    </w:p>
    <w:p w14:paraId="6AF3CF54">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_Toc14313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1概述</w:t>
      </w:r>
      <w:r>
        <w:rPr>
          <w:color w:val="auto"/>
          <w:highlight w:val="none"/>
        </w:rPr>
        <w:tab/>
      </w:r>
      <w:r>
        <w:rPr>
          <w:color w:val="auto"/>
          <w:highlight w:val="none"/>
        </w:rPr>
        <w:fldChar w:fldCharType="begin"/>
      </w:r>
      <w:r>
        <w:rPr>
          <w:color w:val="auto"/>
          <w:highlight w:val="none"/>
        </w:rPr>
        <w:instrText xml:space="preserve"> PAGEREF _Toc14313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0F9F3C71">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_Toc29857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1.1项目由来</w:t>
      </w:r>
      <w:r>
        <w:rPr>
          <w:color w:val="auto"/>
          <w:highlight w:val="none"/>
        </w:rPr>
        <w:tab/>
      </w:r>
      <w:r>
        <w:rPr>
          <w:color w:val="auto"/>
          <w:highlight w:val="none"/>
        </w:rPr>
        <w:fldChar w:fldCharType="begin"/>
      </w:r>
      <w:r>
        <w:rPr>
          <w:color w:val="auto"/>
          <w:highlight w:val="none"/>
        </w:rPr>
        <w:instrText xml:space="preserve"> PAGEREF _Toc29857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24517B7A">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_Toc11425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1.2项目特点</w:t>
      </w:r>
      <w:r>
        <w:rPr>
          <w:color w:val="auto"/>
          <w:highlight w:val="none"/>
        </w:rPr>
        <w:tab/>
      </w:r>
      <w:r>
        <w:rPr>
          <w:color w:val="auto"/>
          <w:highlight w:val="none"/>
        </w:rPr>
        <w:fldChar w:fldCharType="begin"/>
      </w:r>
      <w:r>
        <w:rPr>
          <w:color w:val="auto"/>
          <w:highlight w:val="none"/>
        </w:rPr>
        <w:instrText xml:space="preserve"> PAGEREF _Toc11425 \h </w:instrText>
      </w:r>
      <w:r>
        <w:rPr>
          <w:color w:val="auto"/>
          <w:highlight w:val="none"/>
        </w:rPr>
        <w:fldChar w:fldCharType="separate"/>
      </w:r>
      <w:r>
        <w:rPr>
          <w:color w:val="auto"/>
          <w:highlight w:val="none"/>
        </w:rPr>
        <w:t>2</w:t>
      </w:r>
      <w:r>
        <w:rPr>
          <w:color w:val="auto"/>
          <w:highlight w:val="none"/>
        </w:rPr>
        <w:fldChar w:fldCharType="end"/>
      </w:r>
      <w:r>
        <w:rPr>
          <w:rFonts w:hint="default" w:ascii="Times New Roman" w:hAnsi="Times New Roman" w:cs="Times New Roman"/>
          <w:color w:val="auto"/>
          <w:highlight w:val="none"/>
        </w:rPr>
        <w:fldChar w:fldCharType="end"/>
      </w:r>
    </w:p>
    <w:p w14:paraId="02ACBDB2">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_Toc25111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1.3环境影响评价工作过程</w:t>
      </w:r>
      <w:r>
        <w:rPr>
          <w:color w:val="auto"/>
          <w:highlight w:val="none"/>
        </w:rPr>
        <w:tab/>
      </w:r>
      <w:r>
        <w:rPr>
          <w:color w:val="auto"/>
          <w:highlight w:val="none"/>
        </w:rPr>
        <w:fldChar w:fldCharType="begin"/>
      </w:r>
      <w:r>
        <w:rPr>
          <w:color w:val="auto"/>
          <w:highlight w:val="none"/>
        </w:rPr>
        <w:instrText xml:space="preserve"> PAGEREF _Toc25111 \h </w:instrText>
      </w:r>
      <w:r>
        <w:rPr>
          <w:color w:val="auto"/>
          <w:highlight w:val="none"/>
        </w:rPr>
        <w:fldChar w:fldCharType="separate"/>
      </w:r>
      <w:r>
        <w:rPr>
          <w:color w:val="auto"/>
          <w:highlight w:val="none"/>
        </w:rPr>
        <w:t>4</w:t>
      </w:r>
      <w:r>
        <w:rPr>
          <w:color w:val="auto"/>
          <w:highlight w:val="none"/>
        </w:rPr>
        <w:fldChar w:fldCharType="end"/>
      </w:r>
      <w:r>
        <w:rPr>
          <w:rFonts w:hint="default" w:ascii="Times New Roman" w:hAnsi="Times New Roman" w:cs="Times New Roman"/>
          <w:color w:val="auto"/>
          <w:highlight w:val="none"/>
        </w:rPr>
        <w:fldChar w:fldCharType="end"/>
      </w:r>
    </w:p>
    <w:p w14:paraId="00E02643">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_Toc29063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1.4分析判定相关情况</w:t>
      </w:r>
      <w:r>
        <w:rPr>
          <w:color w:val="auto"/>
          <w:highlight w:val="none"/>
        </w:rPr>
        <w:tab/>
      </w:r>
      <w:r>
        <w:rPr>
          <w:color w:val="auto"/>
          <w:highlight w:val="none"/>
        </w:rPr>
        <w:fldChar w:fldCharType="begin"/>
      </w:r>
      <w:r>
        <w:rPr>
          <w:color w:val="auto"/>
          <w:highlight w:val="none"/>
        </w:rPr>
        <w:instrText xml:space="preserve"> PAGEREF _Toc29063 \h </w:instrText>
      </w:r>
      <w:r>
        <w:rPr>
          <w:color w:val="auto"/>
          <w:highlight w:val="none"/>
        </w:rPr>
        <w:fldChar w:fldCharType="separate"/>
      </w:r>
      <w:r>
        <w:rPr>
          <w:color w:val="auto"/>
          <w:highlight w:val="none"/>
        </w:rPr>
        <w:t>6</w:t>
      </w:r>
      <w:r>
        <w:rPr>
          <w:color w:val="auto"/>
          <w:highlight w:val="none"/>
        </w:rPr>
        <w:fldChar w:fldCharType="end"/>
      </w:r>
      <w:r>
        <w:rPr>
          <w:rFonts w:hint="default" w:ascii="Times New Roman" w:hAnsi="Times New Roman" w:cs="Times New Roman"/>
          <w:color w:val="auto"/>
          <w:highlight w:val="none"/>
        </w:rPr>
        <w:fldChar w:fldCharType="end"/>
      </w:r>
    </w:p>
    <w:p w14:paraId="70A53F05">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_Toc6957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1.5关注的主要环境问题</w:t>
      </w:r>
      <w:r>
        <w:rPr>
          <w:color w:val="auto"/>
          <w:highlight w:val="none"/>
        </w:rPr>
        <w:tab/>
      </w:r>
      <w:r>
        <w:rPr>
          <w:color w:val="auto"/>
          <w:highlight w:val="none"/>
        </w:rPr>
        <w:fldChar w:fldCharType="begin"/>
      </w:r>
      <w:r>
        <w:rPr>
          <w:color w:val="auto"/>
          <w:highlight w:val="none"/>
        </w:rPr>
        <w:instrText xml:space="preserve"> PAGEREF _Toc6957 \h </w:instrText>
      </w:r>
      <w:r>
        <w:rPr>
          <w:color w:val="auto"/>
          <w:highlight w:val="none"/>
        </w:rPr>
        <w:fldChar w:fldCharType="separate"/>
      </w:r>
      <w:r>
        <w:rPr>
          <w:color w:val="auto"/>
          <w:highlight w:val="none"/>
        </w:rPr>
        <w:t>28</w:t>
      </w:r>
      <w:r>
        <w:rPr>
          <w:color w:val="auto"/>
          <w:highlight w:val="none"/>
        </w:rPr>
        <w:fldChar w:fldCharType="end"/>
      </w:r>
      <w:r>
        <w:rPr>
          <w:rFonts w:hint="default" w:ascii="Times New Roman" w:hAnsi="Times New Roman" w:cs="Times New Roman"/>
          <w:color w:val="auto"/>
          <w:highlight w:val="none"/>
        </w:rPr>
        <w:fldChar w:fldCharType="end"/>
      </w:r>
    </w:p>
    <w:p w14:paraId="1E6FE26C">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_Toc8200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1.6环境影响评价主要结论</w:t>
      </w:r>
      <w:r>
        <w:rPr>
          <w:color w:val="auto"/>
          <w:highlight w:val="none"/>
        </w:rPr>
        <w:tab/>
      </w:r>
      <w:r>
        <w:rPr>
          <w:color w:val="auto"/>
          <w:highlight w:val="none"/>
        </w:rPr>
        <w:fldChar w:fldCharType="begin"/>
      </w:r>
      <w:r>
        <w:rPr>
          <w:color w:val="auto"/>
          <w:highlight w:val="none"/>
        </w:rPr>
        <w:instrText xml:space="preserve"> PAGEREF _Toc8200 \h </w:instrText>
      </w:r>
      <w:r>
        <w:rPr>
          <w:color w:val="auto"/>
          <w:highlight w:val="none"/>
        </w:rPr>
        <w:fldChar w:fldCharType="separate"/>
      </w:r>
      <w:r>
        <w:rPr>
          <w:color w:val="auto"/>
          <w:highlight w:val="none"/>
        </w:rPr>
        <w:t>28</w:t>
      </w:r>
      <w:r>
        <w:rPr>
          <w:color w:val="auto"/>
          <w:highlight w:val="none"/>
        </w:rPr>
        <w:fldChar w:fldCharType="end"/>
      </w:r>
      <w:r>
        <w:rPr>
          <w:rFonts w:hint="default" w:ascii="Times New Roman" w:hAnsi="Times New Roman" w:cs="Times New Roman"/>
          <w:color w:val="auto"/>
          <w:highlight w:val="none"/>
        </w:rPr>
        <w:fldChar w:fldCharType="end"/>
      </w:r>
    </w:p>
    <w:p w14:paraId="42A7277A">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_Toc12035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2总则</w:t>
      </w:r>
      <w:r>
        <w:rPr>
          <w:color w:val="auto"/>
          <w:highlight w:val="none"/>
        </w:rPr>
        <w:tab/>
      </w:r>
      <w:r>
        <w:rPr>
          <w:color w:val="auto"/>
          <w:highlight w:val="none"/>
        </w:rPr>
        <w:fldChar w:fldCharType="begin"/>
      </w:r>
      <w:r>
        <w:rPr>
          <w:color w:val="auto"/>
          <w:highlight w:val="none"/>
        </w:rPr>
        <w:instrText xml:space="preserve"> PAGEREF _Toc12035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cs="Times New Roman"/>
          <w:color w:val="auto"/>
          <w:highlight w:val="none"/>
        </w:rPr>
        <w:fldChar w:fldCharType="end"/>
      </w:r>
    </w:p>
    <w:p w14:paraId="56BEFA9D">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2.1评价目的</w:t>
      </w:r>
      <w:r>
        <w:rPr>
          <w:color w:val="auto"/>
          <w:highlight w:val="none"/>
        </w:rPr>
        <w:tab/>
      </w:r>
      <w:r>
        <w:rPr>
          <w:color w:val="auto"/>
          <w:highlight w:val="none"/>
        </w:rPr>
        <w:fldChar w:fldCharType="begin"/>
      </w:r>
      <w:r>
        <w:rPr>
          <w:color w:val="auto"/>
          <w:highlight w:val="none"/>
        </w:rPr>
        <w:instrText xml:space="preserve"> PAGEREF _Toc158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cs="Times New Roman"/>
          <w:color w:val="auto"/>
          <w:highlight w:val="none"/>
        </w:rPr>
        <w:fldChar w:fldCharType="end"/>
      </w:r>
    </w:p>
    <w:p w14:paraId="1432E8C4">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_Toc19098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2.2评价原则</w:t>
      </w:r>
      <w:r>
        <w:rPr>
          <w:color w:val="auto"/>
          <w:highlight w:val="none"/>
        </w:rPr>
        <w:tab/>
      </w:r>
      <w:r>
        <w:rPr>
          <w:color w:val="auto"/>
          <w:highlight w:val="none"/>
        </w:rPr>
        <w:fldChar w:fldCharType="begin"/>
      </w:r>
      <w:r>
        <w:rPr>
          <w:color w:val="auto"/>
          <w:highlight w:val="none"/>
        </w:rPr>
        <w:instrText xml:space="preserve"> PAGEREF _Toc19098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cs="Times New Roman"/>
          <w:color w:val="auto"/>
          <w:highlight w:val="none"/>
        </w:rPr>
        <w:fldChar w:fldCharType="end"/>
      </w:r>
    </w:p>
    <w:p w14:paraId="16A27528">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_Toc16623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2.3编制依据</w:t>
      </w:r>
      <w:r>
        <w:rPr>
          <w:color w:val="auto"/>
          <w:highlight w:val="none"/>
        </w:rPr>
        <w:tab/>
      </w:r>
      <w:r>
        <w:rPr>
          <w:color w:val="auto"/>
          <w:highlight w:val="none"/>
        </w:rPr>
        <w:fldChar w:fldCharType="begin"/>
      </w:r>
      <w:r>
        <w:rPr>
          <w:color w:val="auto"/>
          <w:highlight w:val="none"/>
        </w:rPr>
        <w:instrText xml:space="preserve"> PAGEREF _Toc16623 \h </w:instrText>
      </w:r>
      <w:r>
        <w:rPr>
          <w:color w:val="auto"/>
          <w:highlight w:val="none"/>
        </w:rPr>
        <w:fldChar w:fldCharType="separate"/>
      </w:r>
      <w:r>
        <w:rPr>
          <w:color w:val="auto"/>
          <w:highlight w:val="none"/>
        </w:rPr>
        <w:t>30</w:t>
      </w:r>
      <w:r>
        <w:rPr>
          <w:color w:val="auto"/>
          <w:highlight w:val="none"/>
        </w:rPr>
        <w:fldChar w:fldCharType="end"/>
      </w:r>
      <w:r>
        <w:rPr>
          <w:rFonts w:hint="default" w:ascii="Times New Roman" w:hAnsi="Times New Roman" w:cs="Times New Roman"/>
          <w:color w:val="auto"/>
          <w:highlight w:val="none"/>
        </w:rPr>
        <w:fldChar w:fldCharType="end"/>
      </w:r>
    </w:p>
    <w:p w14:paraId="7E206410">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_Toc28417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2.4环境影响因素识别与评价因子筛选</w:t>
      </w:r>
      <w:r>
        <w:rPr>
          <w:color w:val="auto"/>
          <w:highlight w:val="none"/>
        </w:rPr>
        <w:tab/>
      </w:r>
      <w:r>
        <w:rPr>
          <w:color w:val="auto"/>
          <w:highlight w:val="none"/>
        </w:rPr>
        <w:fldChar w:fldCharType="begin"/>
      </w:r>
      <w:r>
        <w:rPr>
          <w:color w:val="auto"/>
          <w:highlight w:val="none"/>
        </w:rPr>
        <w:instrText xml:space="preserve"> PAGEREF _Toc28417 \h </w:instrText>
      </w:r>
      <w:r>
        <w:rPr>
          <w:color w:val="auto"/>
          <w:highlight w:val="none"/>
        </w:rPr>
        <w:fldChar w:fldCharType="separate"/>
      </w:r>
      <w:r>
        <w:rPr>
          <w:color w:val="auto"/>
          <w:highlight w:val="none"/>
        </w:rPr>
        <w:t>32</w:t>
      </w:r>
      <w:r>
        <w:rPr>
          <w:color w:val="auto"/>
          <w:highlight w:val="none"/>
        </w:rPr>
        <w:fldChar w:fldCharType="end"/>
      </w:r>
      <w:r>
        <w:rPr>
          <w:rFonts w:hint="default" w:ascii="Times New Roman" w:hAnsi="Times New Roman" w:cs="Times New Roman"/>
          <w:color w:val="auto"/>
          <w:highlight w:val="none"/>
        </w:rPr>
        <w:fldChar w:fldCharType="end"/>
      </w:r>
    </w:p>
    <w:p w14:paraId="15A6EF34">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_Toc18379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2.5评价标准</w:t>
      </w:r>
      <w:r>
        <w:rPr>
          <w:color w:val="auto"/>
          <w:highlight w:val="none"/>
        </w:rPr>
        <w:tab/>
      </w:r>
      <w:r>
        <w:rPr>
          <w:color w:val="auto"/>
          <w:highlight w:val="none"/>
        </w:rPr>
        <w:fldChar w:fldCharType="begin"/>
      </w:r>
      <w:r>
        <w:rPr>
          <w:color w:val="auto"/>
          <w:highlight w:val="none"/>
        </w:rPr>
        <w:instrText xml:space="preserve"> PAGEREF _Toc18379 \h </w:instrText>
      </w:r>
      <w:r>
        <w:rPr>
          <w:color w:val="auto"/>
          <w:highlight w:val="none"/>
        </w:rPr>
        <w:fldChar w:fldCharType="separate"/>
      </w:r>
      <w:r>
        <w:rPr>
          <w:color w:val="auto"/>
          <w:highlight w:val="none"/>
        </w:rPr>
        <w:t>35</w:t>
      </w:r>
      <w:r>
        <w:rPr>
          <w:color w:val="auto"/>
          <w:highlight w:val="none"/>
        </w:rPr>
        <w:fldChar w:fldCharType="end"/>
      </w:r>
      <w:r>
        <w:rPr>
          <w:rFonts w:hint="default" w:ascii="Times New Roman" w:hAnsi="Times New Roman" w:cs="Times New Roman"/>
          <w:color w:val="auto"/>
          <w:highlight w:val="none"/>
        </w:rPr>
        <w:fldChar w:fldCharType="end"/>
      </w:r>
    </w:p>
    <w:p w14:paraId="0E692C34">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_Toc4571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2.6评价工作等级</w:t>
      </w:r>
      <w:r>
        <w:rPr>
          <w:color w:val="auto"/>
          <w:highlight w:val="none"/>
        </w:rPr>
        <w:tab/>
      </w:r>
      <w:r>
        <w:rPr>
          <w:color w:val="auto"/>
          <w:highlight w:val="none"/>
        </w:rPr>
        <w:fldChar w:fldCharType="begin"/>
      </w:r>
      <w:r>
        <w:rPr>
          <w:color w:val="auto"/>
          <w:highlight w:val="none"/>
        </w:rPr>
        <w:instrText xml:space="preserve"> PAGEREF _Toc4571 \h </w:instrText>
      </w:r>
      <w:r>
        <w:rPr>
          <w:color w:val="auto"/>
          <w:highlight w:val="none"/>
        </w:rPr>
        <w:fldChar w:fldCharType="separate"/>
      </w:r>
      <w:r>
        <w:rPr>
          <w:color w:val="auto"/>
          <w:highlight w:val="none"/>
        </w:rPr>
        <w:t>40</w:t>
      </w:r>
      <w:r>
        <w:rPr>
          <w:color w:val="auto"/>
          <w:highlight w:val="none"/>
        </w:rPr>
        <w:fldChar w:fldCharType="end"/>
      </w:r>
      <w:r>
        <w:rPr>
          <w:rFonts w:hint="default" w:ascii="Times New Roman" w:hAnsi="Times New Roman" w:cs="Times New Roman"/>
          <w:color w:val="auto"/>
          <w:highlight w:val="none"/>
        </w:rPr>
        <w:fldChar w:fldCharType="end"/>
      </w:r>
    </w:p>
    <w:p w14:paraId="245AE095">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_Toc32273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2.7评价范围及评价时段</w:t>
      </w:r>
      <w:r>
        <w:rPr>
          <w:color w:val="auto"/>
          <w:highlight w:val="none"/>
        </w:rPr>
        <w:tab/>
      </w:r>
      <w:r>
        <w:rPr>
          <w:color w:val="auto"/>
          <w:highlight w:val="none"/>
        </w:rPr>
        <w:fldChar w:fldCharType="begin"/>
      </w:r>
      <w:r>
        <w:rPr>
          <w:color w:val="auto"/>
          <w:highlight w:val="none"/>
        </w:rPr>
        <w:instrText xml:space="preserve"> PAGEREF _Toc32273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cs="Times New Roman"/>
          <w:color w:val="auto"/>
          <w:highlight w:val="none"/>
        </w:rPr>
        <w:fldChar w:fldCharType="end"/>
      </w:r>
    </w:p>
    <w:p w14:paraId="484BF19E">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_Toc17200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2.8污染控制与环境保护目标</w:t>
      </w:r>
      <w:r>
        <w:rPr>
          <w:color w:val="auto"/>
          <w:highlight w:val="none"/>
        </w:rPr>
        <w:tab/>
      </w:r>
      <w:r>
        <w:rPr>
          <w:color w:val="auto"/>
          <w:highlight w:val="none"/>
        </w:rPr>
        <w:fldChar w:fldCharType="begin"/>
      </w:r>
      <w:r>
        <w:rPr>
          <w:color w:val="auto"/>
          <w:highlight w:val="none"/>
        </w:rPr>
        <w:instrText xml:space="preserve"> PAGEREF _Toc17200 \h </w:instrText>
      </w:r>
      <w:r>
        <w:rPr>
          <w:color w:val="auto"/>
          <w:highlight w:val="none"/>
        </w:rPr>
        <w:fldChar w:fldCharType="separate"/>
      </w:r>
      <w:r>
        <w:rPr>
          <w:color w:val="auto"/>
          <w:highlight w:val="none"/>
        </w:rPr>
        <w:t>52</w:t>
      </w:r>
      <w:r>
        <w:rPr>
          <w:color w:val="auto"/>
          <w:highlight w:val="none"/>
        </w:rPr>
        <w:fldChar w:fldCharType="end"/>
      </w:r>
      <w:r>
        <w:rPr>
          <w:rFonts w:hint="default" w:ascii="Times New Roman" w:hAnsi="Times New Roman" w:cs="Times New Roman"/>
          <w:color w:val="auto"/>
          <w:highlight w:val="none"/>
        </w:rPr>
        <w:fldChar w:fldCharType="end"/>
      </w:r>
    </w:p>
    <w:p w14:paraId="2BADB39B">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_Toc23492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3建设项目工程分析</w:t>
      </w:r>
      <w:r>
        <w:rPr>
          <w:color w:val="auto"/>
          <w:highlight w:val="none"/>
        </w:rPr>
        <w:tab/>
      </w:r>
      <w:r>
        <w:rPr>
          <w:color w:val="auto"/>
          <w:highlight w:val="none"/>
        </w:rPr>
        <w:fldChar w:fldCharType="begin"/>
      </w:r>
      <w:r>
        <w:rPr>
          <w:color w:val="auto"/>
          <w:highlight w:val="none"/>
        </w:rPr>
        <w:instrText xml:space="preserve"> PAGEREF _Toc23492 \h </w:instrText>
      </w:r>
      <w:r>
        <w:rPr>
          <w:color w:val="auto"/>
          <w:highlight w:val="none"/>
        </w:rPr>
        <w:fldChar w:fldCharType="separate"/>
      </w:r>
      <w:r>
        <w:rPr>
          <w:color w:val="auto"/>
          <w:highlight w:val="none"/>
        </w:rPr>
        <w:t>56</w:t>
      </w:r>
      <w:r>
        <w:rPr>
          <w:color w:val="auto"/>
          <w:highlight w:val="none"/>
        </w:rPr>
        <w:fldChar w:fldCharType="end"/>
      </w:r>
      <w:r>
        <w:rPr>
          <w:rFonts w:hint="default" w:ascii="Times New Roman" w:hAnsi="Times New Roman" w:cs="Times New Roman"/>
          <w:color w:val="auto"/>
          <w:highlight w:val="none"/>
        </w:rPr>
        <w:fldChar w:fldCharType="end"/>
      </w:r>
    </w:p>
    <w:p w14:paraId="7172A139">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_Toc2724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3.1项目概况</w:t>
      </w:r>
      <w:r>
        <w:rPr>
          <w:color w:val="auto"/>
          <w:highlight w:val="none"/>
        </w:rPr>
        <w:tab/>
      </w:r>
      <w:r>
        <w:rPr>
          <w:color w:val="auto"/>
          <w:highlight w:val="none"/>
        </w:rPr>
        <w:fldChar w:fldCharType="begin"/>
      </w:r>
      <w:r>
        <w:rPr>
          <w:color w:val="auto"/>
          <w:highlight w:val="none"/>
        </w:rPr>
        <w:instrText xml:space="preserve"> PAGEREF _Toc2724 \h </w:instrText>
      </w:r>
      <w:r>
        <w:rPr>
          <w:color w:val="auto"/>
          <w:highlight w:val="none"/>
        </w:rPr>
        <w:fldChar w:fldCharType="separate"/>
      </w:r>
      <w:r>
        <w:rPr>
          <w:color w:val="auto"/>
          <w:highlight w:val="none"/>
        </w:rPr>
        <w:t>56</w:t>
      </w:r>
      <w:r>
        <w:rPr>
          <w:color w:val="auto"/>
          <w:highlight w:val="none"/>
        </w:rPr>
        <w:fldChar w:fldCharType="end"/>
      </w:r>
      <w:r>
        <w:rPr>
          <w:rFonts w:hint="default" w:ascii="Times New Roman" w:hAnsi="Times New Roman" w:cs="Times New Roman"/>
          <w:color w:val="auto"/>
          <w:highlight w:val="none"/>
        </w:rPr>
        <w:fldChar w:fldCharType="end"/>
      </w:r>
    </w:p>
    <w:p w14:paraId="6D120412">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_Toc17118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3.2工艺流程及产污环节</w:t>
      </w:r>
      <w:r>
        <w:rPr>
          <w:color w:val="auto"/>
          <w:highlight w:val="none"/>
        </w:rPr>
        <w:tab/>
      </w:r>
      <w:r>
        <w:rPr>
          <w:color w:val="auto"/>
          <w:highlight w:val="none"/>
        </w:rPr>
        <w:fldChar w:fldCharType="begin"/>
      </w:r>
      <w:r>
        <w:rPr>
          <w:color w:val="auto"/>
          <w:highlight w:val="none"/>
        </w:rPr>
        <w:instrText xml:space="preserve"> PAGEREF _Toc17118 \h </w:instrText>
      </w:r>
      <w:r>
        <w:rPr>
          <w:color w:val="auto"/>
          <w:highlight w:val="none"/>
        </w:rPr>
        <w:fldChar w:fldCharType="separate"/>
      </w:r>
      <w:r>
        <w:rPr>
          <w:color w:val="auto"/>
          <w:highlight w:val="none"/>
        </w:rPr>
        <w:t>71</w:t>
      </w:r>
      <w:r>
        <w:rPr>
          <w:color w:val="auto"/>
          <w:highlight w:val="none"/>
        </w:rPr>
        <w:fldChar w:fldCharType="end"/>
      </w:r>
      <w:r>
        <w:rPr>
          <w:rFonts w:hint="default" w:ascii="Times New Roman" w:hAnsi="Times New Roman" w:cs="Times New Roman"/>
          <w:color w:val="auto"/>
          <w:highlight w:val="none"/>
        </w:rPr>
        <w:fldChar w:fldCharType="end"/>
      </w:r>
    </w:p>
    <w:p w14:paraId="5D0E9620">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_Toc32651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3.3工程污染源强分析</w:t>
      </w:r>
      <w:r>
        <w:rPr>
          <w:color w:val="auto"/>
          <w:highlight w:val="none"/>
        </w:rPr>
        <w:tab/>
      </w:r>
      <w:r>
        <w:rPr>
          <w:color w:val="auto"/>
          <w:highlight w:val="none"/>
        </w:rPr>
        <w:fldChar w:fldCharType="begin"/>
      </w:r>
      <w:r>
        <w:rPr>
          <w:color w:val="auto"/>
          <w:highlight w:val="none"/>
        </w:rPr>
        <w:instrText xml:space="preserve"> PAGEREF _Toc32651 \h </w:instrText>
      </w:r>
      <w:r>
        <w:rPr>
          <w:color w:val="auto"/>
          <w:highlight w:val="none"/>
        </w:rPr>
        <w:fldChar w:fldCharType="separate"/>
      </w:r>
      <w:r>
        <w:rPr>
          <w:color w:val="auto"/>
          <w:highlight w:val="none"/>
        </w:rPr>
        <w:t>74</w:t>
      </w:r>
      <w:r>
        <w:rPr>
          <w:color w:val="auto"/>
          <w:highlight w:val="none"/>
        </w:rPr>
        <w:fldChar w:fldCharType="end"/>
      </w:r>
      <w:r>
        <w:rPr>
          <w:rFonts w:hint="default" w:ascii="Times New Roman" w:hAnsi="Times New Roman" w:cs="Times New Roman"/>
          <w:color w:val="auto"/>
          <w:highlight w:val="none"/>
        </w:rPr>
        <w:fldChar w:fldCharType="end"/>
      </w:r>
    </w:p>
    <w:p w14:paraId="738EDF71">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_Toc15779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4环境现状调查与评价</w:t>
      </w:r>
      <w:r>
        <w:rPr>
          <w:color w:val="auto"/>
          <w:highlight w:val="none"/>
        </w:rPr>
        <w:tab/>
      </w:r>
      <w:r>
        <w:rPr>
          <w:color w:val="auto"/>
          <w:highlight w:val="none"/>
        </w:rPr>
        <w:fldChar w:fldCharType="begin"/>
      </w:r>
      <w:r>
        <w:rPr>
          <w:color w:val="auto"/>
          <w:highlight w:val="none"/>
        </w:rPr>
        <w:instrText xml:space="preserve"> PAGEREF _Toc15779 \h </w:instrText>
      </w:r>
      <w:r>
        <w:rPr>
          <w:color w:val="auto"/>
          <w:highlight w:val="none"/>
        </w:rPr>
        <w:fldChar w:fldCharType="separate"/>
      </w:r>
      <w:r>
        <w:rPr>
          <w:color w:val="auto"/>
          <w:highlight w:val="none"/>
        </w:rPr>
        <w:t>89</w:t>
      </w:r>
      <w:r>
        <w:rPr>
          <w:color w:val="auto"/>
          <w:highlight w:val="none"/>
        </w:rPr>
        <w:fldChar w:fldCharType="end"/>
      </w:r>
      <w:r>
        <w:rPr>
          <w:rFonts w:hint="default" w:ascii="Times New Roman" w:hAnsi="Times New Roman" w:cs="Times New Roman"/>
          <w:color w:val="auto"/>
          <w:highlight w:val="none"/>
        </w:rPr>
        <w:fldChar w:fldCharType="end"/>
      </w:r>
    </w:p>
    <w:p w14:paraId="6763E675">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_Toc31346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4.1自然环境概况</w:t>
      </w:r>
      <w:r>
        <w:rPr>
          <w:color w:val="auto"/>
          <w:highlight w:val="none"/>
        </w:rPr>
        <w:tab/>
      </w:r>
      <w:r>
        <w:rPr>
          <w:color w:val="auto"/>
          <w:highlight w:val="none"/>
        </w:rPr>
        <w:fldChar w:fldCharType="begin"/>
      </w:r>
      <w:r>
        <w:rPr>
          <w:color w:val="auto"/>
          <w:highlight w:val="none"/>
        </w:rPr>
        <w:instrText xml:space="preserve"> PAGEREF _Toc31346 \h </w:instrText>
      </w:r>
      <w:r>
        <w:rPr>
          <w:color w:val="auto"/>
          <w:highlight w:val="none"/>
        </w:rPr>
        <w:fldChar w:fldCharType="separate"/>
      </w:r>
      <w:r>
        <w:rPr>
          <w:color w:val="auto"/>
          <w:highlight w:val="none"/>
        </w:rPr>
        <w:t>89</w:t>
      </w:r>
      <w:r>
        <w:rPr>
          <w:color w:val="auto"/>
          <w:highlight w:val="none"/>
        </w:rPr>
        <w:fldChar w:fldCharType="end"/>
      </w:r>
      <w:r>
        <w:rPr>
          <w:rFonts w:hint="default" w:ascii="Times New Roman" w:hAnsi="Times New Roman" w:cs="Times New Roman"/>
          <w:color w:val="auto"/>
          <w:highlight w:val="none"/>
        </w:rPr>
        <w:fldChar w:fldCharType="end"/>
      </w:r>
    </w:p>
    <w:p w14:paraId="779B48C1">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_Toc9332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4.2环境质量现状调查</w:t>
      </w:r>
      <w:r>
        <w:rPr>
          <w:color w:val="auto"/>
          <w:highlight w:val="none"/>
        </w:rPr>
        <w:tab/>
      </w:r>
      <w:r>
        <w:rPr>
          <w:color w:val="auto"/>
          <w:highlight w:val="none"/>
        </w:rPr>
        <w:fldChar w:fldCharType="begin"/>
      </w:r>
      <w:r>
        <w:rPr>
          <w:color w:val="auto"/>
          <w:highlight w:val="none"/>
        </w:rPr>
        <w:instrText xml:space="preserve"> PAGEREF _Toc9332 \h </w:instrText>
      </w:r>
      <w:r>
        <w:rPr>
          <w:color w:val="auto"/>
          <w:highlight w:val="none"/>
        </w:rPr>
        <w:fldChar w:fldCharType="separate"/>
      </w:r>
      <w:r>
        <w:rPr>
          <w:color w:val="auto"/>
          <w:highlight w:val="none"/>
        </w:rPr>
        <w:t>97</w:t>
      </w:r>
      <w:r>
        <w:rPr>
          <w:color w:val="auto"/>
          <w:highlight w:val="none"/>
        </w:rPr>
        <w:fldChar w:fldCharType="end"/>
      </w:r>
      <w:r>
        <w:rPr>
          <w:rFonts w:hint="default" w:ascii="Times New Roman" w:hAnsi="Times New Roman" w:cs="Times New Roman"/>
          <w:color w:val="auto"/>
          <w:highlight w:val="none"/>
        </w:rPr>
        <w:fldChar w:fldCharType="end"/>
      </w:r>
    </w:p>
    <w:p w14:paraId="25EC476B">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_Toc29713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4.3区域污染源调查</w:t>
      </w:r>
      <w:r>
        <w:rPr>
          <w:color w:val="auto"/>
          <w:highlight w:val="none"/>
        </w:rPr>
        <w:tab/>
      </w:r>
      <w:r>
        <w:rPr>
          <w:color w:val="auto"/>
          <w:highlight w:val="none"/>
        </w:rPr>
        <w:fldChar w:fldCharType="begin"/>
      </w:r>
      <w:r>
        <w:rPr>
          <w:color w:val="auto"/>
          <w:highlight w:val="none"/>
        </w:rPr>
        <w:instrText xml:space="preserve"> PAGEREF _Toc29713 \h </w:instrText>
      </w:r>
      <w:r>
        <w:rPr>
          <w:color w:val="auto"/>
          <w:highlight w:val="none"/>
        </w:rPr>
        <w:fldChar w:fldCharType="separate"/>
      </w:r>
      <w:r>
        <w:rPr>
          <w:color w:val="auto"/>
          <w:highlight w:val="none"/>
        </w:rPr>
        <w:t>122</w:t>
      </w:r>
      <w:r>
        <w:rPr>
          <w:color w:val="auto"/>
          <w:highlight w:val="none"/>
        </w:rPr>
        <w:fldChar w:fldCharType="end"/>
      </w:r>
      <w:r>
        <w:rPr>
          <w:rFonts w:hint="default" w:ascii="Times New Roman" w:hAnsi="Times New Roman" w:cs="Times New Roman"/>
          <w:color w:val="auto"/>
          <w:highlight w:val="none"/>
        </w:rPr>
        <w:fldChar w:fldCharType="end"/>
      </w:r>
    </w:p>
    <w:p w14:paraId="448BEE42">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_Toc3969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4.4环境敏感保护目标调查</w:t>
      </w:r>
      <w:r>
        <w:rPr>
          <w:color w:val="auto"/>
          <w:highlight w:val="none"/>
        </w:rPr>
        <w:tab/>
      </w:r>
      <w:r>
        <w:rPr>
          <w:color w:val="auto"/>
          <w:highlight w:val="none"/>
        </w:rPr>
        <w:fldChar w:fldCharType="begin"/>
      </w:r>
      <w:r>
        <w:rPr>
          <w:color w:val="auto"/>
          <w:highlight w:val="none"/>
        </w:rPr>
        <w:instrText xml:space="preserve"> PAGEREF _Toc3969 \h </w:instrText>
      </w:r>
      <w:r>
        <w:rPr>
          <w:color w:val="auto"/>
          <w:highlight w:val="none"/>
        </w:rPr>
        <w:fldChar w:fldCharType="separate"/>
      </w:r>
      <w:r>
        <w:rPr>
          <w:color w:val="auto"/>
          <w:highlight w:val="none"/>
        </w:rPr>
        <w:t>123</w:t>
      </w:r>
      <w:r>
        <w:rPr>
          <w:color w:val="auto"/>
          <w:highlight w:val="none"/>
        </w:rPr>
        <w:fldChar w:fldCharType="end"/>
      </w:r>
      <w:r>
        <w:rPr>
          <w:rFonts w:hint="default" w:ascii="Times New Roman" w:hAnsi="Times New Roman" w:cs="Times New Roman"/>
          <w:color w:val="auto"/>
          <w:highlight w:val="none"/>
        </w:rPr>
        <w:fldChar w:fldCharType="end"/>
      </w:r>
    </w:p>
    <w:p w14:paraId="2F03FE4D">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5环境影响预测与评价</w:t>
      </w:r>
      <w:r>
        <w:rPr>
          <w:color w:val="auto"/>
          <w:highlight w:val="none"/>
        </w:rPr>
        <w:tab/>
      </w:r>
      <w:r>
        <w:rPr>
          <w:color w:val="auto"/>
          <w:highlight w:val="none"/>
        </w:rPr>
        <w:fldChar w:fldCharType="begin"/>
      </w:r>
      <w:r>
        <w:rPr>
          <w:color w:val="auto"/>
          <w:highlight w:val="none"/>
        </w:rPr>
        <w:instrText xml:space="preserve"> PAGEREF _Toc1227 \h </w:instrText>
      </w:r>
      <w:r>
        <w:rPr>
          <w:color w:val="auto"/>
          <w:highlight w:val="none"/>
        </w:rPr>
        <w:fldChar w:fldCharType="separate"/>
      </w:r>
      <w:r>
        <w:rPr>
          <w:color w:val="auto"/>
          <w:highlight w:val="none"/>
        </w:rPr>
        <w:t>125</w:t>
      </w:r>
      <w:r>
        <w:rPr>
          <w:color w:val="auto"/>
          <w:highlight w:val="none"/>
        </w:rPr>
        <w:fldChar w:fldCharType="end"/>
      </w:r>
      <w:r>
        <w:rPr>
          <w:rFonts w:hint="default" w:ascii="Times New Roman" w:hAnsi="Times New Roman" w:cs="Times New Roman"/>
          <w:color w:val="auto"/>
          <w:highlight w:val="none"/>
        </w:rPr>
        <w:fldChar w:fldCharType="end"/>
      </w:r>
    </w:p>
    <w:p w14:paraId="280DBC4D">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_Toc23243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5.1施工期环境影响分析</w:t>
      </w:r>
      <w:r>
        <w:rPr>
          <w:color w:val="auto"/>
          <w:highlight w:val="none"/>
        </w:rPr>
        <w:tab/>
      </w:r>
      <w:r>
        <w:rPr>
          <w:color w:val="auto"/>
          <w:highlight w:val="none"/>
        </w:rPr>
        <w:fldChar w:fldCharType="begin"/>
      </w:r>
      <w:r>
        <w:rPr>
          <w:color w:val="auto"/>
          <w:highlight w:val="none"/>
        </w:rPr>
        <w:instrText xml:space="preserve"> PAGEREF _Toc23243 \h </w:instrText>
      </w:r>
      <w:r>
        <w:rPr>
          <w:color w:val="auto"/>
          <w:highlight w:val="none"/>
        </w:rPr>
        <w:fldChar w:fldCharType="separate"/>
      </w:r>
      <w:r>
        <w:rPr>
          <w:color w:val="auto"/>
          <w:highlight w:val="none"/>
        </w:rPr>
        <w:t>125</w:t>
      </w:r>
      <w:r>
        <w:rPr>
          <w:color w:val="auto"/>
          <w:highlight w:val="none"/>
        </w:rPr>
        <w:fldChar w:fldCharType="end"/>
      </w:r>
      <w:r>
        <w:rPr>
          <w:rFonts w:hint="default" w:ascii="Times New Roman" w:hAnsi="Times New Roman" w:cs="Times New Roman"/>
          <w:color w:val="auto"/>
          <w:highlight w:val="none"/>
        </w:rPr>
        <w:fldChar w:fldCharType="end"/>
      </w:r>
    </w:p>
    <w:p w14:paraId="19FF05E8">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_Toc20771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生态恢复期影响分析</w:t>
      </w:r>
      <w:r>
        <w:rPr>
          <w:color w:val="auto"/>
          <w:highlight w:val="none"/>
        </w:rPr>
        <w:tab/>
      </w:r>
      <w:r>
        <w:rPr>
          <w:color w:val="auto"/>
          <w:highlight w:val="none"/>
        </w:rPr>
        <w:fldChar w:fldCharType="begin"/>
      </w:r>
      <w:r>
        <w:rPr>
          <w:color w:val="auto"/>
          <w:highlight w:val="none"/>
        </w:rPr>
        <w:instrText xml:space="preserve"> PAGEREF _Toc20771 \h </w:instrText>
      </w:r>
      <w:r>
        <w:rPr>
          <w:color w:val="auto"/>
          <w:highlight w:val="none"/>
        </w:rPr>
        <w:fldChar w:fldCharType="separate"/>
      </w:r>
      <w:r>
        <w:rPr>
          <w:color w:val="auto"/>
          <w:highlight w:val="none"/>
        </w:rPr>
        <w:t>143</w:t>
      </w:r>
      <w:r>
        <w:rPr>
          <w:color w:val="auto"/>
          <w:highlight w:val="none"/>
        </w:rPr>
        <w:fldChar w:fldCharType="end"/>
      </w:r>
      <w:r>
        <w:rPr>
          <w:rFonts w:hint="default" w:ascii="Times New Roman" w:hAnsi="Times New Roman" w:cs="Times New Roman"/>
          <w:color w:val="auto"/>
          <w:highlight w:val="none"/>
        </w:rPr>
        <w:fldChar w:fldCharType="end"/>
      </w:r>
    </w:p>
    <w:p w14:paraId="0691FBD9">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_Toc30535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环境风险分析</w:t>
      </w:r>
      <w:r>
        <w:rPr>
          <w:color w:val="auto"/>
          <w:highlight w:val="none"/>
        </w:rPr>
        <w:tab/>
      </w:r>
      <w:r>
        <w:rPr>
          <w:color w:val="auto"/>
          <w:highlight w:val="none"/>
        </w:rPr>
        <w:fldChar w:fldCharType="begin"/>
      </w:r>
      <w:r>
        <w:rPr>
          <w:color w:val="auto"/>
          <w:highlight w:val="none"/>
        </w:rPr>
        <w:instrText xml:space="preserve"> PAGEREF _Toc30535 \h </w:instrText>
      </w:r>
      <w:r>
        <w:rPr>
          <w:color w:val="auto"/>
          <w:highlight w:val="none"/>
        </w:rPr>
        <w:fldChar w:fldCharType="separate"/>
      </w:r>
      <w:r>
        <w:rPr>
          <w:color w:val="auto"/>
          <w:highlight w:val="none"/>
        </w:rPr>
        <w:t>144</w:t>
      </w:r>
      <w:r>
        <w:rPr>
          <w:color w:val="auto"/>
          <w:highlight w:val="none"/>
        </w:rPr>
        <w:fldChar w:fldCharType="end"/>
      </w:r>
      <w:r>
        <w:rPr>
          <w:rFonts w:hint="default" w:ascii="Times New Roman" w:hAnsi="Times New Roman" w:cs="Times New Roman"/>
          <w:color w:val="auto"/>
          <w:highlight w:val="none"/>
        </w:rPr>
        <w:fldChar w:fldCharType="end"/>
      </w:r>
    </w:p>
    <w:p w14:paraId="48F34EF0">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_Toc21191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6环境保护措施及其可行性论证</w:t>
      </w:r>
      <w:r>
        <w:rPr>
          <w:color w:val="auto"/>
          <w:highlight w:val="none"/>
        </w:rPr>
        <w:tab/>
      </w:r>
      <w:r>
        <w:rPr>
          <w:color w:val="auto"/>
          <w:highlight w:val="none"/>
        </w:rPr>
        <w:fldChar w:fldCharType="begin"/>
      </w:r>
      <w:r>
        <w:rPr>
          <w:color w:val="auto"/>
          <w:highlight w:val="none"/>
        </w:rPr>
        <w:instrText xml:space="preserve"> PAGEREF _Toc21191 \h </w:instrText>
      </w:r>
      <w:r>
        <w:rPr>
          <w:color w:val="auto"/>
          <w:highlight w:val="none"/>
        </w:rPr>
        <w:fldChar w:fldCharType="separate"/>
      </w:r>
      <w:r>
        <w:rPr>
          <w:color w:val="auto"/>
          <w:highlight w:val="none"/>
        </w:rPr>
        <w:t>146</w:t>
      </w:r>
      <w:r>
        <w:rPr>
          <w:color w:val="auto"/>
          <w:highlight w:val="none"/>
        </w:rPr>
        <w:fldChar w:fldCharType="end"/>
      </w:r>
      <w:r>
        <w:rPr>
          <w:rFonts w:hint="default" w:ascii="Times New Roman" w:hAnsi="Times New Roman" w:cs="Times New Roman"/>
          <w:color w:val="auto"/>
          <w:highlight w:val="none"/>
        </w:rPr>
        <w:fldChar w:fldCharType="end"/>
      </w:r>
    </w:p>
    <w:p w14:paraId="274215C8">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_Toc23087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6.1施工期环境保护措施</w:t>
      </w:r>
      <w:r>
        <w:rPr>
          <w:color w:val="auto"/>
          <w:highlight w:val="none"/>
        </w:rPr>
        <w:tab/>
      </w:r>
      <w:r>
        <w:rPr>
          <w:color w:val="auto"/>
          <w:highlight w:val="none"/>
        </w:rPr>
        <w:fldChar w:fldCharType="begin"/>
      </w:r>
      <w:r>
        <w:rPr>
          <w:color w:val="auto"/>
          <w:highlight w:val="none"/>
        </w:rPr>
        <w:instrText xml:space="preserve"> PAGEREF _Toc23087 \h </w:instrText>
      </w:r>
      <w:r>
        <w:rPr>
          <w:color w:val="auto"/>
          <w:highlight w:val="none"/>
        </w:rPr>
        <w:fldChar w:fldCharType="separate"/>
      </w:r>
      <w:r>
        <w:rPr>
          <w:color w:val="auto"/>
          <w:highlight w:val="none"/>
        </w:rPr>
        <w:t>146</w:t>
      </w:r>
      <w:r>
        <w:rPr>
          <w:color w:val="auto"/>
          <w:highlight w:val="none"/>
        </w:rPr>
        <w:fldChar w:fldCharType="end"/>
      </w:r>
      <w:r>
        <w:rPr>
          <w:rFonts w:hint="default" w:ascii="Times New Roman" w:hAnsi="Times New Roman" w:cs="Times New Roman"/>
          <w:color w:val="auto"/>
          <w:highlight w:val="none"/>
        </w:rPr>
        <w:fldChar w:fldCharType="end"/>
      </w:r>
    </w:p>
    <w:p w14:paraId="56DFB27F">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_Toc11053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生态恢复期保护措施</w:t>
      </w:r>
      <w:r>
        <w:rPr>
          <w:color w:val="auto"/>
          <w:highlight w:val="none"/>
        </w:rPr>
        <w:tab/>
      </w:r>
      <w:r>
        <w:rPr>
          <w:color w:val="auto"/>
          <w:highlight w:val="none"/>
        </w:rPr>
        <w:fldChar w:fldCharType="begin"/>
      </w:r>
      <w:r>
        <w:rPr>
          <w:color w:val="auto"/>
          <w:highlight w:val="none"/>
        </w:rPr>
        <w:instrText xml:space="preserve"> PAGEREF _Toc11053 \h </w:instrText>
      </w:r>
      <w:r>
        <w:rPr>
          <w:color w:val="auto"/>
          <w:highlight w:val="none"/>
        </w:rPr>
        <w:fldChar w:fldCharType="separate"/>
      </w:r>
      <w:r>
        <w:rPr>
          <w:color w:val="auto"/>
          <w:highlight w:val="none"/>
        </w:rPr>
        <w:t>155</w:t>
      </w:r>
      <w:r>
        <w:rPr>
          <w:color w:val="auto"/>
          <w:highlight w:val="none"/>
        </w:rPr>
        <w:fldChar w:fldCharType="end"/>
      </w:r>
      <w:r>
        <w:rPr>
          <w:rFonts w:hint="default" w:ascii="Times New Roman" w:hAnsi="Times New Roman" w:cs="Times New Roman"/>
          <w:color w:val="auto"/>
          <w:highlight w:val="none"/>
        </w:rPr>
        <w:fldChar w:fldCharType="end"/>
      </w:r>
    </w:p>
    <w:p w14:paraId="785251DA">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_Toc9153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环境保护投资</w:t>
      </w:r>
      <w:r>
        <w:rPr>
          <w:color w:val="auto"/>
          <w:highlight w:val="none"/>
        </w:rPr>
        <w:tab/>
      </w:r>
      <w:r>
        <w:rPr>
          <w:color w:val="auto"/>
          <w:highlight w:val="none"/>
        </w:rPr>
        <w:fldChar w:fldCharType="begin"/>
      </w:r>
      <w:r>
        <w:rPr>
          <w:color w:val="auto"/>
          <w:highlight w:val="none"/>
        </w:rPr>
        <w:instrText xml:space="preserve"> PAGEREF _Toc9153 \h </w:instrText>
      </w:r>
      <w:r>
        <w:rPr>
          <w:color w:val="auto"/>
          <w:highlight w:val="none"/>
        </w:rPr>
        <w:fldChar w:fldCharType="separate"/>
      </w:r>
      <w:r>
        <w:rPr>
          <w:color w:val="auto"/>
          <w:highlight w:val="none"/>
        </w:rPr>
        <w:t>156</w:t>
      </w:r>
      <w:r>
        <w:rPr>
          <w:color w:val="auto"/>
          <w:highlight w:val="none"/>
        </w:rPr>
        <w:fldChar w:fldCharType="end"/>
      </w:r>
      <w:r>
        <w:rPr>
          <w:rFonts w:hint="default" w:ascii="Times New Roman" w:hAnsi="Times New Roman" w:cs="Times New Roman"/>
          <w:color w:val="auto"/>
          <w:highlight w:val="none"/>
        </w:rPr>
        <w:fldChar w:fldCharType="end"/>
      </w:r>
    </w:p>
    <w:p w14:paraId="1B6F294A">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_Toc21455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7环境影响经济损益分析</w:t>
      </w:r>
      <w:r>
        <w:rPr>
          <w:color w:val="auto"/>
          <w:highlight w:val="none"/>
        </w:rPr>
        <w:tab/>
      </w:r>
      <w:r>
        <w:rPr>
          <w:color w:val="auto"/>
          <w:highlight w:val="none"/>
        </w:rPr>
        <w:fldChar w:fldCharType="begin"/>
      </w:r>
      <w:r>
        <w:rPr>
          <w:color w:val="auto"/>
          <w:highlight w:val="none"/>
        </w:rPr>
        <w:instrText xml:space="preserve"> PAGEREF _Toc21455 \h </w:instrText>
      </w:r>
      <w:r>
        <w:rPr>
          <w:color w:val="auto"/>
          <w:highlight w:val="none"/>
        </w:rPr>
        <w:fldChar w:fldCharType="separate"/>
      </w:r>
      <w:r>
        <w:rPr>
          <w:color w:val="auto"/>
          <w:highlight w:val="none"/>
        </w:rPr>
        <w:t>158</w:t>
      </w:r>
      <w:r>
        <w:rPr>
          <w:color w:val="auto"/>
          <w:highlight w:val="none"/>
        </w:rPr>
        <w:fldChar w:fldCharType="end"/>
      </w:r>
      <w:r>
        <w:rPr>
          <w:rFonts w:hint="default" w:ascii="Times New Roman" w:hAnsi="Times New Roman" w:cs="Times New Roman"/>
          <w:color w:val="auto"/>
          <w:highlight w:val="none"/>
        </w:rPr>
        <w:fldChar w:fldCharType="end"/>
      </w:r>
    </w:p>
    <w:p w14:paraId="5B65AA92">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_Toc8436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7.1社会经济效益分析</w:t>
      </w:r>
      <w:r>
        <w:rPr>
          <w:color w:val="auto"/>
          <w:highlight w:val="none"/>
        </w:rPr>
        <w:tab/>
      </w:r>
      <w:r>
        <w:rPr>
          <w:color w:val="auto"/>
          <w:highlight w:val="none"/>
        </w:rPr>
        <w:fldChar w:fldCharType="begin"/>
      </w:r>
      <w:r>
        <w:rPr>
          <w:color w:val="auto"/>
          <w:highlight w:val="none"/>
        </w:rPr>
        <w:instrText xml:space="preserve"> PAGEREF _Toc8436 \h </w:instrText>
      </w:r>
      <w:r>
        <w:rPr>
          <w:color w:val="auto"/>
          <w:highlight w:val="none"/>
        </w:rPr>
        <w:fldChar w:fldCharType="separate"/>
      </w:r>
      <w:r>
        <w:rPr>
          <w:color w:val="auto"/>
          <w:highlight w:val="none"/>
        </w:rPr>
        <w:t>158</w:t>
      </w:r>
      <w:r>
        <w:rPr>
          <w:color w:val="auto"/>
          <w:highlight w:val="none"/>
        </w:rPr>
        <w:fldChar w:fldCharType="end"/>
      </w:r>
      <w:r>
        <w:rPr>
          <w:rFonts w:hint="default" w:ascii="Times New Roman" w:hAnsi="Times New Roman" w:cs="Times New Roman"/>
          <w:color w:val="auto"/>
          <w:highlight w:val="none"/>
        </w:rPr>
        <w:fldChar w:fldCharType="end"/>
      </w:r>
    </w:p>
    <w:p w14:paraId="5DF001AB">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_Toc24968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7.2经济损益分析</w:t>
      </w:r>
      <w:r>
        <w:rPr>
          <w:color w:val="auto"/>
          <w:highlight w:val="none"/>
        </w:rPr>
        <w:tab/>
      </w:r>
      <w:r>
        <w:rPr>
          <w:color w:val="auto"/>
          <w:highlight w:val="none"/>
        </w:rPr>
        <w:fldChar w:fldCharType="begin"/>
      </w:r>
      <w:r>
        <w:rPr>
          <w:color w:val="auto"/>
          <w:highlight w:val="none"/>
        </w:rPr>
        <w:instrText xml:space="preserve"> PAGEREF _Toc24968 \h </w:instrText>
      </w:r>
      <w:r>
        <w:rPr>
          <w:color w:val="auto"/>
          <w:highlight w:val="none"/>
        </w:rPr>
        <w:fldChar w:fldCharType="separate"/>
      </w:r>
      <w:r>
        <w:rPr>
          <w:color w:val="auto"/>
          <w:highlight w:val="none"/>
        </w:rPr>
        <w:t>158</w:t>
      </w:r>
      <w:r>
        <w:rPr>
          <w:color w:val="auto"/>
          <w:highlight w:val="none"/>
        </w:rPr>
        <w:fldChar w:fldCharType="end"/>
      </w:r>
      <w:r>
        <w:rPr>
          <w:rFonts w:hint="default" w:ascii="Times New Roman" w:hAnsi="Times New Roman" w:cs="Times New Roman"/>
          <w:color w:val="auto"/>
          <w:highlight w:val="none"/>
        </w:rPr>
        <w:fldChar w:fldCharType="end"/>
      </w:r>
    </w:p>
    <w:p w14:paraId="52A8EA8D">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_Toc10228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7.3环境效益分析</w:t>
      </w:r>
      <w:r>
        <w:rPr>
          <w:color w:val="auto"/>
          <w:highlight w:val="none"/>
        </w:rPr>
        <w:tab/>
      </w:r>
      <w:r>
        <w:rPr>
          <w:color w:val="auto"/>
          <w:highlight w:val="none"/>
        </w:rPr>
        <w:fldChar w:fldCharType="begin"/>
      </w:r>
      <w:r>
        <w:rPr>
          <w:color w:val="auto"/>
          <w:highlight w:val="none"/>
        </w:rPr>
        <w:instrText xml:space="preserve"> PAGEREF _Toc10228 \h </w:instrText>
      </w:r>
      <w:r>
        <w:rPr>
          <w:color w:val="auto"/>
          <w:highlight w:val="none"/>
        </w:rPr>
        <w:fldChar w:fldCharType="separate"/>
      </w:r>
      <w:r>
        <w:rPr>
          <w:color w:val="auto"/>
          <w:highlight w:val="none"/>
        </w:rPr>
        <w:t>158</w:t>
      </w:r>
      <w:r>
        <w:rPr>
          <w:color w:val="auto"/>
          <w:highlight w:val="none"/>
        </w:rPr>
        <w:fldChar w:fldCharType="end"/>
      </w:r>
      <w:r>
        <w:rPr>
          <w:rFonts w:hint="default" w:ascii="Times New Roman" w:hAnsi="Times New Roman" w:cs="Times New Roman"/>
          <w:color w:val="auto"/>
          <w:highlight w:val="none"/>
        </w:rPr>
        <w:fldChar w:fldCharType="end"/>
      </w:r>
    </w:p>
    <w:p w14:paraId="3AF44ADA">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_Toc31653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7.4小结</w:t>
      </w:r>
      <w:r>
        <w:rPr>
          <w:color w:val="auto"/>
          <w:highlight w:val="none"/>
        </w:rPr>
        <w:tab/>
      </w:r>
      <w:r>
        <w:rPr>
          <w:color w:val="auto"/>
          <w:highlight w:val="none"/>
        </w:rPr>
        <w:fldChar w:fldCharType="begin"/>
      </w:r>
      <w:r>
        <w:rPr>
          <w:color w:val="auto"/>
          <w:highlight w:val="none"/>
        </w:rPr>
        <w:instrText xml:space="preserve"> PAGEREF _Toc31653 \h </w:instrText>
      </w:r>
      <w:r>
        <w:rPr>
          <w:color w:val="auto"/>
          <w:highlight w:val="none"/>
        </w:rPr>
        <w:fldChar w:fldCharType="separate"/>
      </w:r>
      <w:r>
        <w:rPr>
          <w:color w:val="auto"/>
          <w:highlight w:val="none"/>
        </w:rPr>
        <w:t>159</w:t>
      </w:r>
      <w:r>
        <w:rPr>
          <w:color w:val="auto"/>
          <w:highlight w:val="none"/>
        </w:rPr>
        <w:fldChar w:fldCharType="end"/>
      </w:r>
      <w:r>
        <w:rPr>
          <w:rFonts w:hint="default" w:ascii="Times New Roman" w:hAnsi="Times New Roman" w:cs="Times New Roman"/>
          <w:color w:val="auto"/>
          <w:highlight w:val="none"/>
        </w:rPr>
        <w:fldChar w:fldCharType="end"/>
      </w:r>
    </w:p>
    <w:p w14:paraId="38C7FBB8">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_Toc3429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8环境管理与监测计划</w:t>
      </w:r>
      <w:r>
        <w:rPr>
          <w:color w:val="auto"/>
          <w:highlight w:val="none"/>
        </w:rPr>
        <w:tab/>
      </w:r>
      <w:r>
        <w:rPr>
          <w:color w:val="auto"/>
          <w:highlight w:val="none"/>
        </w:rPr>
        <w:fldChar w:fldCharType="begin"/>
      </w:r>
      <w:r>
        <w:rPr>
          <w:color w:val="auto"/>
          <w:highlight w:val="none"/>
        </w:rPr>
        <w:instrText xml:space="preserve"> PAGEREF _Toc3429 \h </w:instrText>
      </w:r>
      <w:r>
        <w:rPr>
          <w:color w:val="auto"/>
          <w:highlight w:val="none"/>
        </w:rPr>
        <w:fldChar w:fldCharType="separate"/>
      </w:r>
      <w:r>
        <w:rPr>
          <w:color w:val="auto"/>
          <w:highlight w:val="none"/>
        </w:rPr>
        <w:t>160</w:t>
      </w:r>
      <w:r>
        <w:rPr>
          <w:color w:val="auto"/>
          <w:highlight w:val="none"/>
        </w:rPr>
        <w:fldChar w:fldCharType="end"/>
      </w:r>
      <w:r>
        <w:rPr>
          <w:rFonts w:hint="default" w:ascii="Times New Roman" w:hAnsi="Times New Roman" w:cs="Times New Roman"/>
          <w:color w:val="auto"/>
          <w:highlight w:val="none"/>
        </w:rPr>
        <w:fldChar w:fldCharType="end"/>
      </w:r>
    </w:p>
    <w:p w14:paraId="494E3D66">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_Toc27807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8.1环境管理</w:t>
      </w:r>
      <w:r>
        <w:rPr>
          <w:color w:val="auto"/>
          <w:highlight w:val="none"/>
        </w:rPr>
        <w:tab/>
      </w:r>
      <w:r>
        <w:rPr>
          <w:color w:val="auto"/>
          <w:highlight w:val="none"/>
        </w:rPr>
        <w:fldChar w:fldCharType="begin"/>
      </w:r>
      <w:r>
        <w:rPr>
          <w:color w:val="auto"/>
          <w:highlight w:val="none"/>
        </w:rPr>
        <w:instrText xml:space="preserve"> PAGEREF _Toc27807 \h </w:instrText>
      </w:r>
      <w:r>
        <w:rPr>
          <w:color w:val="auto"/>
          <w:highlight w:val="none"/>
        </w:rPr>
        <w:fldChar w:fldCharType="separate"/>
      </w:r>
      <w:r>
        <w:rPr>
          <w:color w:val="auto"/>
          <w:highlight w:val="none"/>
        </w:rPr>
        <w:t>160</w:t>
      </w:r>
      <w:r>
        <w:rPr>
          <w:color w:val="auto"/>
          <w:highlight w:val="none"/>
        </w:rPr>
        <w:fldChar w:fldCharType="end"/>
      </w:r>
      <w:r>
        <w:rPr>
          <w:rFonts w:hint="default" w:ascii="Times New Roman" w:hAnsi="Times New Roman" w:cs="Times New Roman"/>
          <w:color w:val="auto"/>
          <w:highlight w:val="none"/>
        </w:rPr>
        <w:fldChar w:fldCharType="end"/>
      </w:r>
    </w:p>
    <w:p w14:paraId="0AA2B4D3">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_Toc8370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8.2生态恢复期环境监测计划</w:t>
      </w:r>
      <w:r>
        <w:rPr>
          <w:color w:val="auto"/>
          <w:highlight w:val="none"/>
        </w:rPr>
        <w:tab/>
      </w:r>
      <w:r>
        <w:rPr>
          <w:color w:val="auto"/>
          <w:highlight w:val="none"/>
        </w:rPr>
        <w:fldChar w:fldCharType="begin"/>
      </w:r>
      <w:r>
        <w:rPr>
          <w:color w:val="auto"/>
          <w:highlight w:val="none"/>
        </w:rPr>
        <w:instrText xml:space="preserve"> PAGEREF _Toc8370 \h </w:instrText>
      </w:r>
      <w:r>
        <w:rPr>
          <w:color w:val="auto"/>
          <w:highlight w:val="none"/>
        </w:rPr>
        <w:fldChar w:fldCharType="separate"/>
      </w:r>
      <w:r>
        <w:rPr>
          <w:color w:val="auto"/>
          <w:highlight w:val="none"/>
        </w:rPr>
        <w:t>165</w:t>
      </w:r>
      <w:r>
        <w:rPr>
          <w:color w:val="auto"/>
          <w:highlight w:val="none"/>
        </w:rPr>
        <w:fldChar w:fldCharType="end"/>
      </w:r>
      <w:r>
        <w:rPr>
          <w:rFonts w:hint="default" w:ascii="Times New Roman" w:hAnsi="Times New Roman" w:cs="Times New Roman"/>
          <w:color w:val="auto"/>
          <w:highlight w:val="none"/>
        </w:rPr>
        <w:fldChar w:fldCharType="end"/>
      </w:r>
    </w:p>
    <w:p w14:paraId="3449EB32">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_Toc8612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8.2.1环境监测机构设置及职责</w:t>
      </w:r>
      <w:r>
        <w:rPr>
          <w:color w:val="auto"/>
          <w:highlight w:val="none"/>
        </w:rPr>
        <w:tab/>
      </w:r>
      <w:r>
        <w:rPr>
          <w:color w:val="auto"/>
          <w:highlight w:val="none"/>
        </w:rPr>
        <w:fldChar w:fldCharType="begin"/>
      </w:r>
      <w:r>
        <w:rPr>
          <w:color w:val="auto"/>
          <w:highlight w:val="none"/>
        </w:rPr>
        <w:instrText xml:space="preserve"> PAGEREF _Toc8612 \h </w:instrText>
      </w:r>
      <w:r>
        <w:rPr>
          <w:color w:val="auto"/>
          <w:highlight w:val="none"/>
        </w:rPr>
        <w:fldChar w:fldCharType="separate"/>
      </w:r>
      <w:r>
        <w:rPr>
          <w:color w:val="auto"/>
          <w:highlight w:val="none"/>
        </w:rPr>
        <w:t>165</w:t>
      </w:r>
      <w:r>
        <w:rPr>
          <w:color w:val="auto"/>
          <w:highlight w:val="none"/>
        </w:rPr>
        <w:fldChar w:fldCharType="end"/>
      </w:r>
      <w:r>
        <w:rPr>
          <w:rFonts w:hint="default" w:ascii="Times New Roman" w:hAnsi="Times New Roman" w:cs="Times New Roman"/>
          <w:color w:val="auto"/>
          <w:highlight w:val="none"/>
        </w:rPr>
        <w:fldChar w:fldCharType="end"/>
      </w:r>
    </w:p>
    <w:p w14:paraId="7D13599E">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_Toc20477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8.3环境保护竣工验收</w:t>
      </w:r>
      <w:r>
        <w:rPr>
          <w:color w:val="auto"/>
          <w:highlight w:val="none"/>
        </w:rPr>
        <w:tab/>
      </w:r>
      <w:r>
        <w:rPr>
          <w:color w:val="auto"/>
          <w:highlight w:val="none"/>
        </w:rPr>
        <w:fldChar w:fldCharType="begin"/>
      </w:r>
      <w:r>
        <w:rPr>
          <w:color w:val="auto"/>
          <w:highlight w:val="none"/>
        </w:rPr>
        <w:instrText xml:space="preserve"> PAGEREF _Toc20477 \h </w:instrText>
      </w:r>
      <w:r>
        <w:rPr>
          <w:color w:val="auto"/>
          <w:highlight w:val="none"/>
        </w:rPr>
        <w:fldChar w:fldCharType="separate"/>
      </w:r>
      <w:r>
        <w:rPr>
          <w:color w:val="auto"/>
          <w:highlight w:val="none"/>
        </w:rPr>
        <w:t>167</w:t>
      </w:r>
      <w:r>
        <w:rPr>
          <w:color w:val="auto"/>
          <w:highlight w:val="none"/>
        </w:rPr>
        <w:fldChar w:fldCharType="end"/>
      </w:r>
      <w:r>
        <w:rPr>
          <w:rFonts w:hint="default" w:ascii="Times New Roman" w:hAnsi="Times New Roman" w:cs="Times New Roman"/>
          <w:color w:val="auto"/>
          <w:highlight w:val="none"/>
        </w:rPr>
        <w:fldChar w:fldCharType="end"/>
      </w:r>
    </w:p>
    <w:p w14:paraId="0E557B28">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_Toc22353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8.4总量控制</w:t>
      </w:r>
      <w:r>
        <w:rPr>
          <w:color w:val="auto"/>
          <w:highlight w:val="none"/>
        </w:rPr>
        <w:tab/>
      </w:r>
      <w:r>
        <w:rPr>
          <w:color w:val="auto"/>
          <w:highlight w:val="none"/>
        </w:rPr>
        <w:fldChar w:fldCharType="begin"/>
      </w:r>
      <w:r>
        <w:rPr>
          <w:color w:val="auto"/>
          <w:highlight w:val="none"/>
        </w:rPr>
        <w:instrText xml:space="preserve"> PAGEREF _Toc22353 \h </w:instrText>
      </w:r>
      <w:r>
        <w:rPr>
          <w:color w:val="auto"/>
          <w:highlight w:val="none"/>
        </w:rPr>
        <w:fldChar w:fldCharType="separate"/>
      </w:r>
      <w:r>
        <w:rPr>
          <w:color w:val="auto"/>
          <w:highlight w:val="none"/>
        </w:rPr>
        <w:t>169</w:t>
      </w:r>
      <w:r>
        <w:rPr>
          <w:color w:val="auto"/>
          <w:highlight w:val="none"/>
        </w:rPr>
        <w:fldChar w:fldCharType="end"/>
      </w:r>
      <w:r>
        <w:rPr>
          <w:rFonts w:hint="default" w:ascii="Times New Roman" w:hAnsi="Times New Roman" w:cs="Times New Roman"/>
          <w:color w:val="auto"/>
          <w:highlight w:val="none"/>
        </w:rPr>
        <w:fldChar w:fldCharType="end"/>
      </w:r>
    </w:p>
    <w:p w14:paraId="13C6F6E5">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9环境影响评价结论</w:t>
      </w:r>
      <w:r>
        <w:rPr>
          <w:color w:val="auto"/>
          <w:highlight w:val="none"/>
        </w:rPr>
        <w:tab/>
      </w:r>
      <w:r>
        <w:rPr>
          <w:color w:val="auto"/>
          <w:highlight w:val="none"/>
        </w:rPr>
        <w:fldChar w:fldCharType="begin"/>
      </w:r>
      <w:r>
        <w:rPr>
          <w:color w:val="auto"/>
          <w:highlight w:val="none"/>
        </w:rPr>
        <w:instrText xml:space="preserve"> PAGEREF _Toc22635 \h </w:instrText>
      </w:r>
      <w:r>
        <w:rPr>
          <w:color w:val="auto"/>
          <w:highlight w:val="none"/>
        </w:rPr>
        <w:fldChar w:fldCharType="separate"/>
      </w:r>
      <w:r>
        <w:rPr>
          <w:color w:val="auto"/>
          <w:highlight w:val="none"/>
        </w:rPr>
        <w:t>170</w:t>
      </w:r>
      <w:r>
        <w:rPr>
          <w:color w:val="auto"/>
          <w:highlight w:val="none"/>
        </w:rPr>
        <w:fldChar w:fldCharType="end"/>
      </w:r>
      <w:r>
        <w:rPr>
          <w:rFonts w:hint="default" w:ascii="Times New Roman" w:hAnsi="Times New Roman" w:cs="Times New Roman"/>
          <w:color w:val="auto"/>
          <w:highlight w:val="none"/>
        </w:rPr>
        <w:fldChar w:fldCharType="end"/>
      </w:r>
    </w:p>
    <w:p w14:paraId="5266E38C">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_Toc25930 </w:instrText>
      </w:r>
      <w:r>
        <w:rPr>
          <w:rFonts w:hint="default" w:ascii="Times New Roman" w:hAnsi="Times New Roman" w:cs="Times New Roman"/>
          <w:color w:val="auto"/>
          <w:highlight w:val="none"/>
        </w:rPr>
        <w:fldChar w:fldCharType="separate"/>
      </w:r>
      <w:r>
        <w:rPr>
          <w:rFonts w:hint="default" w:ascii="Times New Roman" w:hAnsi="Times New Roman" w:cs="Times New Roman"/>
          <w:snapToGrid w:val="0"/>
          <w:color w:val="auto"/>
          <w:highlight w:val="none"/>
        </w:rPr>
        <w:t>9.1评价结论</w:t>
      </w:r>
      <w:r>
        <w:rPr>
          <w:color w:val="auto"/>
          <w:highlight w:val="none"/>
        </w:rPr>
        <w:tab/>
      </w:r>
      <w:r>
        <w:rPr>
          <w:color w:val="auto"/>
          <w:highlight w:val="none"/>
        </w:rPr>
        <w:fldChar w:fldCharType="begin"/>
      </w:r>
      <w:r>
        <w:rPr>
          <w:color w:val="auto"/>
          <w:highlight w:val="none"/>
        </w:rPr>
        <w:instrText xml:space="preserve"> PAGEREF _Toc25930 \h </w:instrText>
      </w:r>
      <w:r>
        <w:rPr>
          <w:color w:val="auto"/>
          <w:highlight w:val="none"/>
        </w:rPr>
        <w:fldChar w:fldCharType="separate"/>
      </w:r>
      <w:r>
        <w:rPr>
          <w:color w:val="auto"/>
          <w:highlight w:val="none"/>
        </w:rPr>
        <w:t>170</w:t>
      </w:r>
      <w:r>
        <w:rPr>
          <w:color w:val="auto"/>
          <w:highlight w:val="none"/>
        </w:rPr>
        <w:fldChar w:fldCharType="end"/>
      </w:r>
      <w:r>
        <w:rPr>
          <w:rFonts w:hint="default" w:ascii="Times New Roman" w:hAnsi="Times New Roman" w:cs="Times New Roman"/>
          <w:color w:val="auto"/>
          <w:highlight w:val="none"/>
        </w:rPr>
        <w:fldChar w:fldCharType="end"/>
      </w:r>
    </w:p>
    <w:p w14:paraId="2753B5BB">
      <w:pPr>
        <w:pStyle w:val="2"/>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_Toc19930 </w:instrText>
      </w:r>
      <w:r>
        <w:rPr>
          <w:rFonts w:hint="default" w:ascii="Times New Roman" w:hAnsi="Times New Roman" w:cs="Times New Roman"/>
          <w:color w:val="auto"/>
          <w:highlight w:val="none"/>
        </w:rPr>
        <w:fldChar w:fldCharType="separate"/>
      </w:r>
      <w:r>
        <w:rPr>
          <w:rFonts w:hint="default" w:ascii="Times New Roman" w:hAnsi="Times New Roman" w:cs="Times New Roman"/>
          <w:snapToGrid w:val="0"/>
          <w:color w:val="auto"/>
          <w:highlight w:val="none"/>
        </w:rPr>
        <w:t>9.2建议</w:t>
      </w:r>
      <w:r>
        <w:rPr>
          <w:color w:val="auto"/>
          <w:highlight w:val="none"/>
        </w:rPr>
        <w:tab/>
      </w:r>
      <w:r>
        <w:rPr>
          <w:color w:val="auto"/>
          <w:highlight w:val="none"/>
        </w:rPr>
        <w:fldChar w:fldCharType="begin"/>
      </w:r>
      <w:r>
        <w:rPr>
          <w:color w:val="auto"/>
          <w:highlight w:val="none"/>
        </w:rPr>
        <w:instrText xml:space="preserve"> PAGEREF _Toc19930 \h </w:instrText>
      </w:r>
      <w:r>
        <w:rPr>
          <w:color w:val="auto"/>
          <w:highlight w:val="none"/>
        </w:rPr>
        <w:fldChar w:fldCharType="separate"/>
      </w:r>
      <w:r>
        <w:rPr>
          <w:color w:val="auto"/>
          <w:highlight w:val="none"/>
        </w:rPr>
        <w:t>175</w:t>
      </w:r>
      <w:r>
        <w:rPr>
          <w:color w:val="auto"/>
          <w:highlight w:val="none"/>
        </w:rPr>
        <w:fldChar w:fldCharType="end"/>
      </w:r>
      <w:r>
        <w:rPr>
          <w:rFonts w:hint="default" w:ascii="Times New Roman" w:hAnsi="Times New Roman" w:cs="Times New Roman"/>
          <w:color w:val="auto"/>
          <w:highlight w:val="none"/>
        </w:rPr>
        <w:fldChar w:fldCharType="end"/>
      </w:r>
    </w:p>
    <w:p w14:paraId="6DCA4469">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_Toc26519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szCs w:val="24"/>
          <w:highlight w:val="none"/>
          <w:lang w:val="en-US" w:eastAsia="zh-CN"/>
        </w:rPr>
        <w:t xml:space="preserve">附表1 </w:t>
      </w:r>
      <w:r>
        <w:rPr>
          <w:rFonts w:hint="eastAsia" w:eastAsia="黑体" w:cs="Times New Roman"/>
          <w:bCs/>
          <w:color w:val="auto"/>
          <w:szCs w:val="24"/>
          <w:highlight w:val="none"/>
          <w:lang w:val="en-US" w:eastAsia="zh-CN"/>
        </w:rPr>
        <w:t xml:space="preserve"> </w:t>
      </w:r>
      <w:r>
        <w:rPr>
          <w:rFonts w:hint="default" w:ascii="Times New Roman" w:hAnsi="Times New Roman" w:eastAsia="黑体" w:cs="Times New Roman"/>
          <w:bCs/>
          <w:color w:val="auto"/>
          <w:szCs w:val="24"/>
          <w:highlight w:val="none"/>
          <w:lang w:val="en-US" w:eastAsia="zh-CN"/>
        </w:rPr>
        <w:t>大气环境影响评价自查表</w:t>
      </w:r>
      <w:r>
        <w:rPr>
          <w:color w:val="auto"/>
          <w:highlight w:val="none"/>
        </w:rPr>
        <w:tab/>
      </w:r>
      <w:r>
        <w:rPr>
          <w:color w:val="auto"/>
          <w:highlight w:val="none"/>
        </w:rPr>
        <w:fldChar w:fldCharType="begin"/>
      </w:r>
      <w:r>
        <w:rPr>
          <w:color w:val="auto"/>
          <w:highlight w:val="none"/>
        </w:rPr>
        <w:instrText xml:space="preserve"> PAGEREF _Toc26519 \h </w:instrText>
      </w:r>
      <w:r>
        <w:rPr>
          <w:color w:val="auto"/>
          <w:highlight w:val="none"/>
        </w:rPr>
        <w:fldChar w:fldCharType="separate"/>
      </w:r>
      <w:r>
        <w:rPr>
          <w:color w:val="auto"/>
          <w:highlight w:val="none"/>
        </w:rPr>
        <w:t>176</w:t>
      </w:r>
      <w:r>
        <w:rPr>
          <w:color w:val="auto"/>
          <w:highlight w:val="none"/>
        </w:rPr>
        <w:fldChar w:fldCharType="end"/>
      </w:r>
      <w:r>
        <w:rPr>
          <w:rFonts w:hint="default" w:ascii="Times New Roman" w:hAnsi="Times New Roman" w:cs="Times New Roman"/>
          <w:color w:val="auto"/>
          <w:highlight w:val="none"/>
        </w:rPr>
        <w:fldChar w:fldCharType="end"/>
      </w:r>
    </w:p>
    <w:p w14:paraId="2C66D99C">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_Toc23878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szCs w:val="24"/>
          <w:highlight w:val="none"/>
          <w:lang w:val="en-US" w:eastAsia="zh-CN"/>
        </w:rPr>
        <w:t>附表2  地表水环境影响评价自查表</w:t>
      </w:r>
      <w:r>
        <w:rPr>
          <w:color w:val="auto"/>
          <w:highlight w:val="none"/>
        </w:rPr>
        <w:tab/>
      </w:r>
      <w:r>
        <w:rPr>
          <w:color w:val="auto"/>
          <w:highlight w:val="none"/>
        </w:rPr>
        <w:fldChar w:fldCharType="begin"/>
      </w:r>
      <w:r>
        <w:rPr>
          <w:color w:val="auto"/>
          <w:highlight w:val="none"/>
        </w:rPr>
        <w:instrText xml:space="preserve"> PAGEREF _Toc23878 \h </w:instrText>
      </w:r>
      <w:r>
        <w:rPr>
          <w:color w:val="auto"/>
          <w:highlight w:val="none"/>
        </w:rPr>
        <w:fldChar w:fldCharType="separate"/>
      </w:r>
      <w:r>
        <w:rPr>
          <w:color w:val="auto"/>
          <w:highlight w:val="none"/>
        </w:rPr>
        <w:t>178</w:t>
      </w:r>
      <w:r>
        <w:rPr>
          <w:color w:val="auto"/>
          <w:highlight w:val="none"/>
        </w:rPr>
        <w:fldChar w:fldCharType="end"/>
      </w:r>
      <w:r>
        <w:rPr>
          <w:rFonts w:hint="default" w:ascii="Times New Roman" w:hAnsi="Times New Roman" w:cs="Times New Roman"/>
          <w:color w:val="auto"/>
          <w:highlight w:val="none"/>
        </w:rPr>
        <w:fldChar w:fldCharType="end"/>
      </w:r>
    </w:p>
    <w:p w14:paraId="7B429E63">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_Toc15347 </w:instrText>
      </w:r>
      <w:r>
        <w:rPr>
          <w:rFonts w:hint="default" w:ascii="Times New Roman" w:hAnsi="Times New Roman" w:cs="Times New Roman"/>
          <w:color w:val="auto"/>
          <w:highlight w:val="none"/>
        </w:rPr>
        <w:fldChar w:fldCharType="separate"/>
      </w:r>
      <w:r>
        <w:rPr>
          <w:rFonts w:hint="eastAsia" w:ascii="Times New Roman" w:hAnsi="Times New Roman" w:eastAsia="黑体" w:cs="Times New Roman"/>
          <w:color w:val="auto"/>
          <w:kern w:val="2"/>
          <w:szCs w:val="24"/>
          <w:highlight w:val="none"/>
          <w:lang w:val="en-US" w:eastAsia="zh-CN" w:bidi="ar-SA"/>
        </w:rPr>
        <w:t xml:space="preserve">附表3 </w:t>
      </w:r>
      <w:r>
        <w:rPr>
          <w:rFonts w:hint="default" w:ascii="Times New Roman" w:hAnsi="Times New Roman" w:eastAsia="黑体" w:cs="Times New Roman"/>
          <w:color w:val="auto"/>
          <w:kern w:val="2"/>
          <w:szCs w:val="24"/>
          <w:highlight w:val="none"/>
          <w:lang w:val="en-US" w:eastAsia="zh-CN" w:bidi="ar-SA"/>
        </w:rPr>
        <w:t xml:space="preserve"> 生态影响评价自查表</w:t>
      </w:r>
      <w:r>
        <w:rPr>
          <w:color w:val="auto"/>
          <w:highlight w:val="none"/>
        </w:rPr>
        <w:tab/>
      </w:r>
      <w:r>
        <w:rPr>
          <w:color w:val="auto"/>
          <w:highlight w:val="none"/>
        </w:rPr>
        <w:fldChar w:fldCharType="begin"/>
      </w:r>
      <w:r>
        <w:rPr>
          <w:color w:val="auto"/>
          <w:highlight w:val="none"/>
        </w:rPr>
        <w:instrText xml:space="preserve"> PAGEREF _Toc15347 \h </w:instrText>
      </w:r>
      <w:r>
        <w:rPr>
          <w:color w:val="auto"/>
          <w:highlight w:val="none"/>
        </w:rPr>
        <w:fldChar w:fldCharType="separate"/>
      </w:r>
      <w:r>
        <w:rPr>
          <w:color w:val="auto"/>
          <w:highlight w:val="none"/>
        </w:rPr>
        <w:t>181</w:t>
      </w:r>
      <w:r>
        <w:rPr>
          <w:color w:val="auto"/>
          <w:highlight w:val="none"/>
        </w:rPr>
        <w:fldChar w:fldCharType="end"/>
      </w:r>
      <w:r>
        <w:rPr>
          <w:rFonts w:hint="default" w:ascii="Times New Roman" w:hAnsi="Times New Roman" w:cs="Times New Roman"/>
          <w:color w:val="auto"/>
          <w:highlight w:val="none"/>
        </w:rPr>
        <w:fldChar w:fldCharType="end"/>
      </w:r>
    </w:p>
    <w:p w14:paraId="60311F33">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_Toc1902 </w:instrText>
      </w:r>
      <w:r>
        <w:rPr>
          <w:rFonts w:hint="default" w:ascii="Times New Roman" w:hAnsi="Times New Roman" w:cs="Times New Roman"/>
          <w:color w:val="auto"/>
          <w:highlight w:val="none"/>
        </w:rPr>
        <w:fldChar w:fldCharType="separate"/>
      </w:r>
      <w:r>
        <w:rPr>
          <w:rFonts w:hint="eastAsia" w:ascii="Times New Roman" w:hAnsi="Times New Roman" w:eastAsia="黑体" w:cs="Times New Roman"/>
          <w:color w:val="auto"/>
          <w:kern w:val="2"/>
          <w:szCs w:val="24"/>
          <w:highlight w:val="none"/>
          <w:lang w:val="en-US" w:eastAsia="zh-CN" w:bidi="ar-SA"/>
        </w:rPr>
        <w:t xml:space="preserve">附表4  </w:t>
      </w:r>
      <w:r>
        <w:rPr>
          <w:rFonts w:hint="default" w:ascii="Times New Roman" w:hAnsi="Times New Roman" w:eastAsia="黑体" w:cs="Times New Roman"/>
          <w:color w:val="auto"/>
          <w:kern w:val="2"/>
          <w:szCs w:val="24"/>
          <w:highlight w:val="none"/>
          <w:lang w:val="en-US" w:eastAsia="zh-CN" w:bidi="ar-SA"/>
        </w:rPr>
        <w:t>声环境影响评价自查表</w:t>
      </w:r>
      <w:r>
        <w:rPr>
          <w:color w:val="auto"/>
          <w:highlight w:val="none"/>
        </w:rPr>
        <w:tab/>
      </w:r>
      <w:r>
        <w:rPr>
          <w:color w:val="auto"/>
          <w:highlight w:val="none"/>
        </w:rPr>
        <w:fldChar w:fldCharType="begin"/>
      </w:r>
      <w:r>
        <w:rPr>
          <w:color w:val="auto"/>
          <w:highlight w:val="none"/>
        </w:rPr>
        <w:instrText xml:space="preserve"> PAGEREF _Toc1902 \h </w:instrText>
      </w:r>
      <w:r>
        <w:rPr>
          <w:color w:val="auto"/>
          <w:highlight w:val="none"/>
        </w:rPr>
        <w:fldChar w:fldCharType="separate"/>
      </w:r>
      <w:r>
        <w:rPr>
          <w:color w:val="auto"/>
          <w:highlight w:val="none"/>
        </w:rPr>
        <w:t>182</w:t>
      </w:r>
      <w:r>
        <w:rPr>
          <w:color w:val="auto"/>
          <w:highlight w:val="none"/>
        </w:rPr>
        <w:fldChar w:fldCharType="end"/>
      </w:r>
      <w:r>
        <w:rPr>
          <w:rFonts w:hint="default" w:ascii="Times New Roman" w:hAnsi="Times New Roman" w:cs="Times New Roman"/>
          <w:color w:val="auto"/>
          <w:highlight w:val="none"/>
        </w:rPr>
        <w:fldChar w:fldCharType="end"/>
      </w:r>
    </w:p>
    <w:p w14:paraId="28BAA34B">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_Toc14951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color w:val="auto"/>
          <w:kern w:val="2"/>
          <w:szCs w:val="24"/>
          <w:highlight w:val="none"/>
          <w:lang w:val="en-US" w:eastAsia="zh-CN" w:bidi="ar-SA"/>
        </w:rPr>
        <w:t>附表</w:t>
      </w:r>
      <w:r>
        <w:rPr>
          <w:rFonts w:hint="eastAsia" w:eastAsia="黑体" w:cs="Times New Roman"/>
          <w:color w:val="auto"/>
          <w:kern w:val="2"/>
          <w:szCs w:val="24"/>
          <w:highlight w:val="none"/>
          <w:lang w:val="en-US" w:eastAsia="zh-CN" w:bidi="ar-SA"/>
        </w:rPr>
        <w:t>5</w:t>
      </w:r>
      <w:r>
        <w:rPr>
          <w:rFonts w:hint="default" w:ascii="Times New Roman" w:hAnsi="Times New Roman" w:eastAsia="黑体" w:cs="Times New Roman"/>
          <w:color w:val="auto"/>
          <w:kern w:val="2"/>
          <w:szCs w:val="24"/>
          <w:highlight w:val="none"/>
          <w:lang w:val="en-US" w:eastAsia="zh-CN" w:bidi="ar-SA"/>
        </w:rPr>
        <w:t xml:space="preserve"> </w:t>
      </w:r>
      <w:r>
        <w:rPr>
          <w:rFonts w:hint="eastAsia" w:eastAsia="黑体" w:cs="Times New Roman"/>
          <w:color w:val="auto"/>
          <w:kern w:val="2"/>
          <w:szCs w:val="24"/>
          <w:highlight w:val="none"/>
          <w:lang w:val="en-US" w:eastAsia="zh-CN" w:bidi="ar-SA"/>
        </w:rPr>
        <w:t xml:space="preserve"> </w:t>
      </w:r>
      <w:r>
        <w:rPr>
          <w:rFonts w:hint="default" w:ascii="Times New Roman" w:hAnsi="Times New Roman" w:eastAsia="黑体" w:cs="Times New Roman"/>
          <w:color w:val="auto"/>
          <w:kern w:val="2"/>
          <w:szCs w:val="24"/>
          <w:highlight w:val="none"/>
          <w:lang w:val="en-US" w:eastAsia="zh-CN" w:bidi="ar-SA"/>
        </w:rPr>
        <w:t>土壤环境影响评价自查表</w:t>
      </w:r>
      <w:r>
        <w:rPr>
          <w:color w:val="auto"/>
          <w:highlight w:val="none"/>
        </w:rPr>
        <w:tab/>
      </w:r>
      <w:r>
        <w:rPr>
          <w:color w:val="auto"/>
          <w:highlight w:val="none"/>
        </w:rPr>
        <w:fldChar w:fldCharType="begin"/>
      </w:r>
      <w:r>
        <w:rPr>
          <w:color w:val="auto"/>
          <w:highlight w:val="none"/>
        </w:rPr>
        <w:instrText xml:space="preserve"> PAGEREF _Toc14951 \h </w:instrText>
      </w:r>
      <w:r>
        <w:rPr>
          <w:color w:val="auto"/>
          <w:highlight w:val="none"/>
        </w:rPr>
        <w:fldChar w:fldCharType="separate"/>
      </w:r>
      <w:r>
        <w:rPr>
          <w:color w:val="auto"/>
          <w:highlight w:val="none"/>
        </w:rPr>
        <w:t>183</w:t>
      </w:r>
      <w:r>
        <w:rPr>
          <w:color w:val="auto"/>
          <w:highlight w:val="none"/>
        </w:rPr>
        <w:fldChar w:fldCharType="end"/>
      </w:r>
      <w:r>
        <w:rPr>
          <w:rFonts w:hint="default" w:ascii="Times New Roman" w:hAnsi="Times New Roman" w:cs="Times New Roman"/>
          <w:color w:val="auto"/>
          <w:highlight w:val="none"/>
        </w:rPr>
        <w:fldChar w:fldCharType="end"/>
      </w:r>
    </w:p>
    <w:p w14:paraId="51C9F8BE">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_Toc15728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附表</w:t>
      </w:r>
      <w:r>
        <w:rPr>
          <w:rFonts w:hint="eastAsia" w:eastAsia="黑体" w:cs="Times New Roman"/>
          <w:bCs/>
          <w:color w:val="auto"/>
          <w:kern w:val="2"/>
          <w:szCs w:val="32"/>
          <w:highlight w:val="none"/>
          <w:lang w:val="en-US" w:eastAsia="zh-CN"/>
        </w:rPr>
        <w:t xml:space="preserve">6 </w:t>
      </w:r>
      <w:r>
        <w:rPr>
          <w:rFonts w:hint="default" w:ascii="Times New Roman" w:hAnsi="Times New Roman"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rPr>
        <w:t>建设项目环境风险简单分析内容表</w:t>
      </w:r>
      <w:r>
        <w:rPr>
          <w:color w:val="auto"/>
          <w:highlight w:val="none"/>
        </w:rPr>
        <w:tab/>
      </w:r>
      <w:r>
        <w:rPr>
          <w:color w:val="auto"/>
          <w:highlight w:val="none"/>
        </w:rPr>
        <w:fldChar w:fldCharType="begin"/>
      </w:r>
      <w:r>
        <w:rPr>
          <w:color w:val="auto"/>
          <w:highlight w:val="none"/>
        </w:rPr>
        <w:instrText xml:space="preserve"> PAGEREF _Toc15728 \h </w:instrText>
      </w:r>
      <w:r>
        <w:rPr>
          <w:color w:val="auto"/>
          <w:highlight w:val="none"/>
        </w:rPr>
        <w:fldChar w:fldCharType="separate"/>
      </w:r>
      <w:r>
        <w:rPr>
          <w:color w:val="auto"/>
          <w:highlight w:val="none"/>
        </w:rPr>
        <w:t>185</w:t>
      </w:r>
      <w:r>
        <w:rPr>
          <w:color w:val="auto"/>
          <w:highlight w:val="none"/>
        </w:rPr>
        <w:fldChar w:fldCharType="end"/>
      </w:r>
      <w:r>
        <w:rPr>
          <w:rFonts w:hint="default" w:ascii="Times New Roman" w:hAnsi="Times New Roman" w:cs="Times New Roman"/>
          <w:color w:val="auto"/>
          <w:highlight w:val="none"/>
        </w:rPr>
        <w:fldChar w:fldCharType="end"/>
      </w:r>
    </w:p>
    <w:p w14:paraId="0336177E">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_Toc3047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附图1  土地利用现状图</w:t>
      </w:r>
      <w:r>
        <w:rPr>
          <w:color w:val="auto"/>
          <w:highlight w:val="none"/>
        </w:rPr>
        <w:tab/>
      </w:r>
      <w:r>
        <w:rPr>
          <w:color w:val="auto"/>
          <w:highlight w:val="none"/>
        </w:rPr>
        <w:fldChar w:fldCharType="begin"/>
      </w:r>
      <w:r>
        <w:rPr>
          <w:color w:val="auto"/>
          <w:highlight w:val="none"/>
        </w:rPr>
        <w:instrText xml:space="preserve"> PAGEREF _Toc3047 \h </w:instrText>
      </w:r>
      <w:r>
        <w:rPr>
          <w:color w:val="auto"/>
          <w:highlight w:val="none"/>
        </w:rPr>
        <w:fldChar w:fldCharType="separate"/>
      </w:r>
      <w:r>
        <w:rPr>
          <w:color w:val="auto"/>
          <w:highlight w:val="none"/>
        </w:rPr>
        <w:t>186</w:t>
      </w:r>
      <w:r>
        <w:rPr>
          <w:color w:val="auto"/>
          <w:highlight w:val="none"/>
        </w:rPr>
        <w:fldChar w:fldCharType="end"/>
      </w:r>
      <w:r>
        <w:rPr>
          <w:rFonts w:hint="default" w:ascii="Times New Roman" w:hAnsi="Times New Roman" w:cs="Times New Roman"/>
          <w:color w:val="auto"/>
          <w:highlight w:val="none"/>
        </w:rPr>
        <w:fldChar w:fldCharType="end"/>
      </w:r>
    </w:p>
    <w:p w14:paraId="4199F444">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_Toc22392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附图2  生态措施平面布置图</w:t>
      </w:r>
      <w:r>
        <w:rPr>
          <w:color w:val="auto"/>
          <w:highlight w:val="none"/>
        </w:rPr>
        <w:tab/>
      </w:r>
      <w:r>
        <w:rPr>
          <w:color w:val="auto"/>
          <w:highlight w:val="none"/>
        </w:rPr>
        <w:fldChar w:fldCharType="begin"/>
      </w:r>
      <w:r>
        <w:rPr>
          <w:color w:val="auto"/>
          <w:highlight w:val="none"/>
        </w:rPr>
        <w:instrText xml:space="preserve"> PAGEREF _Toc22392 \h </w:instrText>
      </w:r>
      <w:r>
        <w:rPr>
          <w:color w:val="auto"/>
          <w:highlight w:val="none"/>
        </w:rPr>
        <w:fldChar w:fldCharType="separate"/>
      </w:r>
      <w:r>
        <w:rPr>
          <w:color w:val="auto"/>
          <w:highlight w:val="none"/>
        </w:rPr>
        <w:t>187</w:t>
      </w:r>
      <w:r>
        <w:rPr>
          <w:color w:val="auto"/>
          <w:highlight w:val="none"/>
        </w:rPr>
        <w:fldChar w:fldCharType="end"/>
      </w:r>
      <w:r>
        <w:rPr>
          <w:rFonts w:hint="default" w:ascii="Times New Roman" w:hAnsi="Times New Roman" w:cs="Times New Roman"/>
          <w:color w:val="auto"/>
          <w:highlight w:val="none"/>
        </w:rPr>
        <w:fldChar w:fldCharType="end"/>
      </w:r>
    </w:p>
    <w:p w14:paraId="602CD5EE">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_Toc22232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附图3  跟踪监测布点图</w:t>
      </w:r>
      <w:r>
        <w:rPr>
          <w:color w:val="auto"/>
          <w:highlight w:val="none"/>
        </w:rPr>
        <w:tab/>
      </w:r>
      <w:r>
        <w:rPr>
          <w:color w:val="auto"/>
          <w:highlight w:val="none"/>
        </w:rPr>
        <w:fldChar w:fldCharType="begin"/>
      </w:r>
      <w:r>
        <w:rPr>
          <w:color w:val="auto"/>
          <w:highlight w:val="none"/>
        </w:rPr>
        <w:instrText xml:space="preserve"> PAGEREF _Toc22232 \h </w:instrText>
      </w:r>
      <w:r>
        <w:rPr>
          <w:color w:val="auto"/>
          <w:highlight w:val="none"/>
        </w:rPr>
        <w:fldChar w:fldCharType="separate"/>
      </w:r>
      <w:r>
        <w:rPr>
          <w:color w:val="auto"/>
          <w:highlight w:val="none"/>
        </w:rPr>
        <w:t>188</w:t>
      </w:r>
      <w:r>
        <w:rPr>
          <w:color w:val="auto"/>
          <w:highlight w:val="none"/>
        </w:rPr>
        <w:fldChar w:fldCharType="end"/>
      </w:r>
      <w:r>
        <w:rPr>
          <w:rFonts w:hint="default" w:ascii="Times New Roman" w:hAnsi="Times New Roman" w:cs="Times New Roman"/>
          <w:color w:val="auto"/>
          <w:highlight w:val="none"/>
        </w:rPr>
        <w:fldChar w:fldCharType="end"/>
      </w:r>
    </w:p>
    <w:p w14:paraId="7C04D16F">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_Toc23988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附图4  施工平面图</w:t>
      </w:r>
      <w:r>
        <w:rPr>
          <w:color w:val="auto"/>
          <w:highlight w:val="none"/>
        </w:rPr>
        <w:tab/>
      </w:r>
      <w:r>
        <w:rPr>
          <w:color w:val="auto"/>
          <w:highlight w:val="none"/>
        </w:rPr>
        <w:fldChar w:fldCharType="begin"/>
      </w:r>
      <w:r>
        <w:rPr>
          <w:color w:val="auto"/>
          <w:highlight w:val="none"/>
        </w:rPr>
        <w:instrText xml:space="preserve"> PAGEREF _Toc23988 \h </w:instrText>
      </w:r>
      <w:r>
        <w:rPr>
          <w:color w:val="auto"/>
          <w:highlight w:val="none"/>
        </w:rPr>
        <w:fldChar w:fldCharType="separate"/>
      </w:r>
      <w:r>
        <w:rPr>
          <w:color w:val="auto"/>
          <w:highlight w:val="none"/>
        </w:rPr>
        <w:t>190</w:t>
      </w:r>
      <w:r>
        <w:rPr>
          <w:color w:val="auto"/>
          <w:highlight w:val="none"/>
        </w:rPr>
        <w:fldChar w:fldCharType="end"/>
      </w:r>
      <w:r>
        <w:rPr>
          <w:rFonts w:hint="default" w:ascii="Times New Roman" w:hAnsi="Times New Roman" w:cs="Times New Roman"/>
          <w:color w:val="auto"/>
          <w:highlight w:val="none"/>
        </w:rPr>
        <w:fldChar w:fldCharType="end"/>
      </w:r>
    </w:p>
    <w:p w14:paraId="2601D425">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_Toc30871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w:t>
      </w:r>
      <w:r>
        <w:rPr>
          <w:rFonts w:hint="eastAsia" w:eastAsia="黑体" w:cs="Times New Roman"/>
          <w:bCs/>
          <w:color w:val="auto"/>
          <w:kern w:val="2"/>
          <w:szCs w:val="32"/>
          <w:highlight w:val="none"/>
          <w:lang w:val="en-US" w:eastAsia="zh-CN"/>
        </w:rPr>
        <w:t>5</w:t>
      </w:r>
      <w:r>
        <w:rPr>
          <w:rFonts w:hint="default" w:ascii="Times New Roman" w:hAnsi="Times New Roman" w:eastAsia="黑体" w:cs="Times New Roman"/>
          <w:bCs/>
          <w:color w:val="auto"/>
          <w:kern w:val="2"/>
          <w:szCs w:val="32"/>
          <w:highlight w:val="none"/>
          <w:lang w:val="en-US" w:eastAsia="zh-CN"/>
        </w:rPr>
        <w:t xml:space="preserve">  </w:t>
      </w:r>
      <w:r>
        <w:rPr>
          <w:rFonts w:hint="eastAsia" w:eastAsia="黑体" w:cs="Times New Roman"/>
          <w:bCs/>
          <w:color w:val="auto"/>
          <w:kern w:val="2"/>
          <w:szCs w:val="32"/>
          <w:highlight w:val="none"/>
          <w:lang w:val="en-US" w:eastAsia="zh-CN"/>
        </w:rPr>
        <w:t>分区填埋划分图</w:t>
      </w:r>
      <w:r>
        <w:rPr>
          <w:color w:val="auto"/>
          <w:highlight w:val="none"/>
        </w:rPr>
        <w:tab/>
      </w:r>
      <w:r>
        <w:rPr>
          <w:color w:val="auto"/>
          <w:highlight w:val="none"/>
        </w:rPr>
        <w:fldChar w:fldCharType="begin"/>
      </w:r>
      <w:r>
        <w:rPr>
          <w:color w:val="auto"/>
          <w:highlight w:val="none"/>
        </w:rPr>
        <w:instrText xml:space="preserve"> PAGEREF _Toc30871 \h </w:instrText>
      </w:r>
      <w:r>
        <w:rPr>
          <w:color w:val="auto"/>
          <w:highlight w:val="none"/>
        </w:rPr>
        <w:fldChar w:fldCharType="separate"/>
      </w:r>
      <w:r>
        <w:rPr>
          <w:color w:val="auto"/>
          <w:highlight w:val="none"/>
        </w:rPr>
        <w:t>191</w:t>
      </w:r>
      <w:r>
        <w:rPr>
          <w:color w:val="auto"/>
          <w:highlight w:val="none"/>
        </w:rPr>
        <w:fldChar w:fldCharType="end"/>
      </w:r>
      <w:r>
        <w:rPr>
          <w:rFonts w:hint="default" w:ascii="Times New Roman" w:hAnsi="Times New Roman" w:cs="Times New Roman"/>
          <w:color w:val="auto"/>
          <w:highlight w:val="none"/>
        </w:rPr>
        <w:fldChar w:fldCharType="end"/>
      </w:r>
    </w:p>
    <w:p w14:paraId="3B0F6CA5">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_Toc7730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附图</w:t>
      </w:r>
      <w:r>
        <w:rPr>
          <w:rFonts w:hint="eastAsia" w:ascii="Times New Roman" w:hAnsi="Times New Roman" w:eastAsia="黑体" w:cs="Times New Roman"/>
          <w:bCs/>
          <w:color w:val="auto"/>
          <w:kern w:val="2"/>
          <w:szCs w:val="32"/>
          <w:highlight w:val="none"/>
          <w:lang w:val="en-US" w:eastAsia="zh-CN"/>
        </w:rPr>
        <w:t>6</w:t>
      </w:r>
      <w:r>
        <w:rPr>
          <w:rFonts w:hint="default" w:ascii="Times New Roman" w:hAnsi="Times New Roman" w:eastAsia="黑体" w:cs="Times New Roman"/>
          <w:bCs/>
          <w:color w:val="auto"/>
          <w:kern w:val="2"/>
          <w:szCs w:val="32"/>
          <w:highlight w:val="none"/>
          <w:lang w:val="en-US" w:eastAsia="zh-CN"/>
        </w:rPr>
        <w:t xml:space="preserve">   现场照片</w:t>
      </w:r>
      <w:r>
        <w:rPr>
          <w:color w:val="auto"/>
          <w:highlight w:val="none"/>
        </w:rPr>
        <w:tab/>
      </w:r>
      <w:r>
        <w:rPr>
          <w:color w:val="auto"/>
          <w:highlight w:val="none"/>
        </w:rPr>
        <w:fldChar w:fldCharType="begin"/>
      </w:r>
      <w:r>
        <w:rPr>
          <w:color w:val="auto"/>
          <w:highlight w:val="none"/>
        </w:rPr>
        <w:instrText xml:space="preserve"> PAGEREF _Toc7730 \h </w:instrText>
      </w:r>
      <w:r>
        <w:rPr>
          <w:color w:val="auto"/>
          <w:highlight w:val="none"/>
        </w:rPr>
        <w:fldChar w:fldCharType="separate"/>
      </w:r>
      <w:r>
        <w:rPr>
          <w:color w:val="auto"/>
          <w:highlight w:val="none"/>
        </w:rPr>
        <w:t>192</w:t>
      </w:r>
      <w:r>
        <w:rPr>
          <w:color w:val="auto"/>
          <w:highlight w:val="none"/>
        </w:rPr>
        <w:fldChar w:fldCharType="end"/>
      </w:r>
      <w:r>
        <w:rPr>
          <w:rFonts w:hint="default" w:ascii="Times New Roman" w:hAnsi="Times New Roman" w:cs="Times New Roman"/>
          <w:color w:val="auto"/>
          <w:highlight w:val="none"/>
        </w:rPr>
        <w:fldChar w:fldCharType="end"/>
      </w:r>
    </w:p>
    <w:p w14:paraId="370D658B">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_Toc31878 </w:instrText>
      </w:r>
      <w:r>
        <w:rPr>
          <w:rFonts w:hint="default" w:ascii="Times New Roman" w:hAnsi="Times New Roman" w:cs="Times New Roman"/>
          <w:color w:val="auto"/>
          <w:highlight w:val="none"/>
        </w:rPr>
        <w:fldChar w:fldCharType="separate"/>
      </w:r>
      <w:r>
        <w:rPr>
          <w:rFonts w:hint="eastAsia" w:ascii="Times New Roman" w:hAnsi="Times New Roman" w:eastAsia="黑体" w:cs="Times New Roman"/>
          <w:bCs/>
          <w:color w:val="auto"/>
          <w:kern w:val="2"/>
          <w:szCs w:val="32"/>
          <w:highlight w:val="none"/>
          <w:lang w:val="en-US" w:eastAsia="zh-CN"/>
        </w:rPr>
        <w:t>附图7  土地复垦终了图</w:t>
      </w:r>
      <w:r>
        <w:rPr>
          <w:color w:val="auto"/>
          <w:highlight w:val="none"/>
        </w:rPr>
        <w:tab/>
      </w:r>
      <w:r>
        <w:rPr>
          <w:color w:val="auto"/>
          <w:highlight w:val="none"/>
        </w:rPr>
        <w:fldChar w:fldCharType="begin"/>
      </w:r>
      <w:r>
        <w:rPr>
          <w:color w:val="auto"/>
          <w:highlight w:val="none"/>
        </w:rPr>
        <w:instrText xml:space="preserve"> PAGEREF _Toc31878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cs="Times New Roman"/>
          <w:color w:val="auto"/>
          <w:highlight w:val="none"/>
        </w:rPr>
        <w:fldChar w:fldCharType="end"/>
      </w:r>
    </w:p>
    <w:p w14:paraId="7EBA4718">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_Toc7757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 xml:space="preserve">附件1  </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营业执照</w:t>
      </w:r>
      <w:r>
        <w:rPr>
          <w:color w:val="auto"/>
          <w:highlight w:val="none"/>
        </w:rPr>
        <w:tab/>
      </w:r>
      <w:r>
        <w:rPr>
          <w:color w:val="auto"/>
          <w:highlight w:val="none"/>
        </w:rPr>
        <w:fldChar w:fldCharType="begin"/>
      </w:r>
      <w:r>
        <w:rPr>
          <w:color w:val="auto"/>
          <w:highlight w:val="none"/>
        </w:rPr>
        <w:instrText xml:space="preserve"> PAGEREF _Toc7757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cs="Times New Roman"/>
          <w:color w:val="auto"/>
          <w:highlight w:val="none"/>
        </w:rPr>
        <w:fldChar w:fldCharType="end"/>
      </w:r>
    </w:p>
    <w:p w14:paraId="469EE797">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_Toc17444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附件2  采矿许可证</w:t>
      </w:r>
      <w:r>
        <w:rPr>
          <w:color w:val="auto"/>
          <w:highlight w:val="none"/>
        </w:rPr>
        <w:tab/>
      </w:r>
      <w:r>
        <w:rPr>
          <w:color w:val="auto"/>
          <w:highlight w:val="none"/>
        </w:rPr>
        <w:fldChar w:fldCharType="begin"/>
      </w:r>
      <w:r>
        <w:rPr>
          <w:color w:val="auto"/>
          <w:highlight w:val="none"/>
        </w:rPr>
        <w:instrText xml:space="preserve"> PAGEREF _Toc17444 \h </w:instrText>
      </w:r>
      <w:r>
        <w:rPr>
          <w:color w:val="auto"/>
          <w:highlight w:val="none"/>
        </w:rPr>
        <w:fldChar w:fldCharType="separate"/>
      </w:r>
      <w:r>
        <w:rPr>
          <w:color w:val="auto"/>
          <w:highlight w:val="none"/>
        </w:rPr>
        <w:t>194</w:t>
      </w:r>
      <w:r>
        <w:rPr>
          <w:color w:val="auto"/>
          <w:highlight w:val="none"/>
        </w:rPr>
        <w:fldChar w:fldCharType="end"/>
      </w:r>
      <w:r>
        <w:rPr>
          <w:rFonts w:hint="default" w:ascii="Times New Roman" w:hAnsi="Times New Roman" w:cs="Times New Roman"/>
          <w:color w:val="auto"/>
          <w:highlight w:val="none"/>
        </w:rPr>
        <w:fldChar w:fldCharType="end"/>
      </w:r>
    </w:p>
    <w:p w14:paraId="402D4111">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_Toc11468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附件3</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实施方案备案文件</w:t>
      </w:r>
      <w:r>
        <w:rPr>
          <w:color w:val="auto"/>
          <w:highlight w:val="none"/>
        </w:rPr>
        <w:tab/>
      </w:r>
      <w:r>
        <w:rPr>
          <w:color w:val="auto"/>
          <w:highlight w:val="none"/>
        </w:rPr>
        <w:fldChar w:fldCharType="begin"/>
      </w:r>
      <w:r>
        <w:rPr>
          <w:color w:val="auto"/>
          <w:highlight w:val="none"/>
        </w:rPr>
        <w:instrText xml:space="preserve"> PAGEREF _Toc11468 \h </w:instrText>
      </w:r>
      <w:r>
        <w:rPr>
          <w:color w:val="auto"/>
          <w:highlight w:val="none"/>
        </w:rPr>
        <w:fldChar w:fldCharType="separate"/>
      </w:r>
      <w:r>
        <w:rPr>
          <w:color w:val="auto"/>
          <w:highlight w:val="none"/>
        </w:rPr>
        <w:t>196</w:t>
      </w:r>
      <w:r>
        <w:rPr>
          <w:color w:val="auto"/>
          <w:highlight w:val="none"/>
        </w:rPr>
        <w:fldChar w:fldCharType="end"/>
      </w:r>
      <w:r>
        <w:rPr>
          <w:rFonts w:hint="default" w:ascii="Times New Roman" w:hAnsi="Times New Roman" w:cs="Times New Roman"/>
          <w:color w:val="auto"/>
          <w:highlight w:val="none"/>
        </w:rPr>
        <w:fldChar w:fldCharType="end"/>
      </w:r>
    </w:p>
    <w:p w14:paraId="0FEBF116">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_Toc12600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附件4  实施方案部分截图</w:t>
      </w:r>
      <w:r>
        <w:rPr>
          <w:color w:val="auto"/>
          <w:highlight w:val="none"/>
        </w:rPr>
        <w:tab/>
      </w:r>
      <w:r>
        <w:rPr>
          <w:color w:val="auto"/>
          <w:highlight w:val="none"/>
        </w:rPr>
        <w:fldChar w:fldCharType="begin"/>
      </w:r>
      <w:r>
        <w:rPr>
          <w:color w:val="auto"/>
          <w:highlight w:val="none"/>
        </w:rPr>
        <w:instrText xml:space="preserve"> PAGEREF _Toc12600 \h </w:instrText>
      </w:r>
      <w:r>
        <w:rPr>
          <w:color w:val="auto"/>
          <w:highlight w:val="none"/>
        </w:rPr>
        <w:fldChar w:fldCharType="separate"/>
      </w:r>
      <w:r>
        <w:rPr>
          <w:color w:val="auto"/>
          <w:highlight w:val="none"/>
        </w:rPr>
        <w:t>197</w:t>
      </w:r>
      <w:r>
        <w:rPr>
          <w:color w:val="auto"/>
          <w:highlight w:val="none"/>
        </w:rPr>
        <w:fldChar w:fldCharType="end"/>
      </w:r>
      <w:r>
        <w:rPr>
          <w:rFonts w:hint="default" w:ascii="Times New Roman" w:hAnsi="Times New Roman" w:cs="Times New Roman"/>
          <w:color w:val="auto"/>
          <w:highlight w:val="none"/>
        </w:rPr>
        <w:fldChar w:fldCharType="end"/>
      </w:r>
    </w:p>
    <w:p w14:paraId="2FB58AC2">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_Toc16888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附件5  风险评估评审意见</w:t>
      </w:r>
      <w:r>
        <w:rPr>
          <w:color w:val="auto"/>
          <w:highlight w:val="none"/>
        </w:rPr>
        <w:tab/>
      </w:r>
      <w:r>
        <w:rPr>
          <w:color w:val="auto"/>
          <w:highlight w:val="none"/>
        </w:rPr>
        <w:fldChar w:fldCharType="begin"/>
      </w:r>
      <w:r>
        <w:rPr>
          <w:color w:val="auto"/>
          <w:highlight w:val="none"/>
        </w:rPr>
        <w:instrText xml:space="preserve"> PAGEREF _Toc16888 \h </w:instrText>
      </w:r>
      <w:r>
        <w:rPr>
          <w:color w:val="auto"/>
          <w:highlight w:val="none"/>
        </w:rPr>
        <w:fldChar w:fldCharType="separate"/>
      </w:r>
      <w:r>
        <w:rPr>
          <w:color w:val="auto"/>
          <w:highlight w:val="none"/>
        </w:rPr>
        <w:t>198</w:t>
      </w:r>
      <w:r>
        <w:rPr>
          <w:color w:val="auto"/>
          <w:highlight w:val="none"/>
        </w:rPr>
        <w:fldChar w:fldCharType="end"/>
      </w:r>
      <w:r>
        <w:rPr>
          <w:rFonts w:hint="default" w:ascii="Times New Roman" w:hAnsi="Times New Roman" w:cs="Times New Roman"/>
          <w:color w:val="auto"/>
          <w:highlight w:val="none"/>
        </w:rPr>
        <w:fldChar w:fldCharType="end"/>
      </w:r>
    </w:p>
    <w:p w14:paraId="00014218">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_Toc27169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 xml:space="preserve">附件6 </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渗滤液成分检测1</w:t>
      </w:r>
      <w:r>
        <w:rPr>
          <w:color w:val="auto"/>
          <w:highlight w:val="none"/>
        </w:rPr>
        <w:tab/>
      </w:r>
      <w:r>
        <w:rPr>
          <w:color w:val="auto"/>
          <w:highlight w:val="none"/>
        </w:rPr>
        <w:fldChar w:fldCharType="begin"/>
      </w:r>
      <w:r>
        <w:rPr>
          <w:color w:val="auto"/>
          <w:highlight w:val="none"/>
        </w:rPr>
        <w:instrText xml:space="preserve"> PAGEREF _Toc27169 \h </w:instrText>
      </w:r>
      <w:r>
        <w:rPr>
          <w:color w:val="auto"/>
          <w:highlight w:val="none"/>
        </w:rPr>
        <w:fldChar w:fldCharType="separate"/>
      </w:r>
      <w:r>
        <w:rPr>
          <w:color w:val="auto"/>
          <w:highlight w:val="none"/>
        </w:rPr>
        <w:t>201</w:t>
      </w:r>
      <w:r>
        <w:rPr>
          <w:color w:val="auto"/>
          <w:highlight w:val="none"/>
        </w:rPr>
        <w:fldChar w:fldCharType="end"/>
      </w:r>
      <w:r>
        <w:rPr>
          <w:rFonts w:hint="default" w:ascii="Times New Roman" w:hAnsi="Times New Roman" w:cs="Times New Roman"/>
          <w:color w:val="auto"/>
          <w:highlight w:val="none"/>
        </w:rPr>
        <w:fldChar w:fldCharType="end"/>
      </w:r>
    </w:p>
    <w:p w14:paraId="2A714525">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_Toc1306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 xml:space="preserve">附件7 </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渗滤液成分检测2</w:t>
      </w:r>
      <w:r>
        <w:rPr>
          <w:color w:val="auto"/>
          <w:highlight w:val="none"/>
        </w:rPr>
        <w:tab/>
      </w:r>
      <w:r>
        <w:rPr>
          <w:color w:val="auto"/>
          <w:highlight w:val="none"/>
        </w:rPr>
        <w:fldChar w:fldCharType="begin"/>
      </w:r>
      <w:r>
        <w:rPr>
          <w:color w:val="auto"/>
          <w:highlight w:val="none"/>
        </w:rPr>
        <w:instrText xml:space="preserve"> PAGEREF _Toc1306 \h </w:instrText>
      </w:r>
      <w:r>
        <w:rPr>
          <w:color w:val="auto"/>
          <w:highlight w:val="none"/>
        </w:rPr>
        <w:fldChar w:fldCharType="separate"/>
      </w:r>
      <w:r>
        <w:rPr>
          <w:color w:val="auto"/>
          <w:highlight w:val="none"/>
        </w:rPr>
        <w:t>222</w:t>
      </w:r>
      <w:r>
        <w:rPr>
          <w:color w:val="auto"/>
          <w:highlight w:val="none"/>
        </w:rPr>
        <w:fldChar w:fldCharType="end"/>
      </w:r>
      <w:r>
        <w:rPr>
          <w:rFonts w:hint="default" w:ascii="Times New Roman" w:hAnsi="Times New Roman" w:cs="Times New Roman"/>
          <w:color w:val="auto"/>
          <w:highlight w:val="none"/>
        </w:rPr>
        <w:fldChar w:fldCharType="end"/>
      </w:r>
    </w:p>
    <w:p w14:paraId="2117BF17">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_Toc20928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 xml:space="preserve">附件8 </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粉煤灰检测报告</w:t>
      </w:r>
      <w:r>
        <w:rPr>
          <w:color w:val="auto"/>
          <w:highlight w:val="none"/>
        </w:rPr>
        <w:tab/>
      </w:r>
      <w:r>
        <w:rPr>
          <w:color w:val="auto"/>
          <w:highlight w:val="none"/>
        </w:rPr>
        <w:fldChar w:fldCharType="begin"/>
      </w:r>
      <w:r>
        <w:rPr>
          <w:color w:val="auto"/>
          <w:highlight w:val="none"/>
        </w:rPr>
        <w:instrText xml:space="preserve"> PAGEREF _Toc20928 \h </w:instrText>
      </w:r>
      <w:r>
        <w:rPr>
          <w:color w:val="auto"/>
          <w:highlight w:val="none"/>
        </w:rPr>
        <w:fldChar w:fldCharType="separate"/>
      </w:r>
      <w:r>
        <w:rPr>
          <w:color w:val="auto"/>
          <w:highlight w:val="none"/>
        </w:rPr>
        <w:t>227</w:t>
      </w:r>
      <w:r>
        <w:rPr>
          <w:color w:val="auto"/>
          <w:highlight w:val="none"/>
        </w:rPr>
        <w:fldChar w:fldCharType="end"/>
      </w:r>
      <w:r>
        <w:rPr>
          <w:rFonts w:hint="default" w:ascii="Times New Roman" w:hAnsi="Times New Roman" w:cs="Times New Roman"/>
          <w:color w:val="auto"/>
          <w:highlight w:val="none"/>
        </w:rPr>
        <w:fldChar w:fldCharType="end"/>
      </w:r>
    </w:p>
    <w:p w14:paraId="0A803094">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_Toc19277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附件9  土壤检测报告11</w:t>
      </w:r>
      <w:r>
        <w:rPr>
          <w:color w:val="auto"/>
          <w:highlight w:val="none"/>
        </w:rPr>
        <w:tab/>
      </w:r>
      <w:r>
        <w:rPr>
          <w:color w:val="auto"/>
          <w:highlight w:val="none"/>
        </w:rPr>
        <w:fldChar w:fldCharType="begin"/>
      </w:r>
      <w:r>
        <w:rPr>
          <w:color w:val="auto"/>
          <w:highlight w:val="none"/>
        </w:rPr>
        <w:instrText xml:space="preserve"> PAGEREF _Toc19277 \h </w:instrText>
      </w:r>
      <w:r>
        <w:rPr>
          <w:color w:val="auto"/>
          <w:highlight w:val="none"/>
        </w:rPr>
        <w:fldChar w:fldCharType="separate"/>
      </w:r>
      <w:r>
        <w:rPr>
          <w:color w:val="auto"/>
          <w:highlight w:val="none"/>
        </w:rPr>
        <w:t>236</w:t>
      </w:r>
      <w:r>
        <w:rPr>
          <w:color w:val="auto"/>
          <w:highlight w:val="none"/>
        </w:rPr>
        <w:fldChar w:fldCharType="end"/>
      </w:r>
      <w:r>
        <w:rPr>
          <w:rFonts w:hint="default" w:ascii="Times New Roman" w:hAnsi="Times New Roman" w:cs="Times New Roman"/>
          <w:color w:val="auto"/>
          <w:highlight w:val="none"/>
        </w:rPr>
        <w:fldChar w:fldCharType="end"/>
      </w:r>
    </w:p>
    <w:p w14:paraId="4139C400">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_Toc22426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附件10 土壤检测报告2</w:t>
      </w:r>
      <w:r>
        <w:rPr>
          <w:color w:val="auto"/>
          <w:highlight w:val="none"/>
        </w:rPr>
        <w:tab/>
      </w:r>
      <w:r>
        <w:rPr>
          <w:color w:val="auto"/>
          <w:highlight w:val="none"/>
        </w:rPr>
        <w:fldChar w:fldCharType="begin"/>
      </w:r>
      <w:r>
        <w:rPr>
          <w:color w:val="auto"/>
          <w:highlight w:val="none"/>
        </w:rPr>
        <w:instrText xml:space="preserve"> PAGEREF _Toc22426 \h </w:instrText>
      </w:r>
      <w:r>
        <w:rPr>
          <w:color w:val="auto"/>
          <w:highlight w:val="none"/>
        </w:rPr>
        <w:fldChar w:fldCharType="separate"/>
      </w:r>
      <w:r>
        <w:rPr>
          <w:color w:val="auto"/>
          <w:highlight w:val="none"/>
        </w:rPr>
        <w:t>252</w:t>
      </w:r>
      <w:r>
        <w:rPr>
          <w:color w:val="auto"/>
          <w:highlight w:val="none"/>
        </w:rPr>
        <w:fldChar w:fldCharType="end"/>
      </w:r>
      <w:r>
        <w:rPr>
          <w:rFonts w:hint="default" w:ascii="Times New Roman" w:hAnsi="Times New Roman" w:cs="Times New Roman"/>
          <w:color w:val="auto"/>
          <w:highlight w:val="none"/>
        </w:rPr>
        <w:fldChar w:fldCharType="end"/>
      </w:r>
    </w:p>
    <w:p w14:paraId="33D35E44">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_Toc16778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 xml:space="preserve">附件11 </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大气、噪声、地下水检测报告</w:t>
      </w:r>
      <w:r>
        <w:rPr>
          <w:color w:val="auto"/>
          <w:highlight w:val="none"/>
        </w:rPr>
        <w:tab/>
      </w:r>
      <w:r>
        <w:rPr>
          <w:color w:val="auto"/>
          <w:highlight w:val="none"/>
        </w:rPr>
        <w:fldChar w:fldCharType="begin"/>
      </w:r>
      <w:r>
        <w:rPr>
          <w:color w:val="auto"/>
          <w:highlight w:val="none"/>
        </w:rPr>
        <w:instrText xml:space="preserve"> PAGEREF _Toc16778 \h </w:instrText>
      </w:r>
      <w:r>
        <w:rPr>
          <w:color w:val="auto"/>
          <w:highlight w:val="none"/>
        </w:rPr>
        <w:fldChar w:fldCharType="separate"/>
      </w:r>
      <w:r>
        <w:rPr>
          <w:color w:val="auto"/>
          <w:highlight w:val="none"/>
        </w:rPr>
        <w:t>257</w:t>
      </w:r>
      <w:r>
        <w:rPr>
          <w:color w:val="auto"/>
          <w:highlight w:val="none"/>
        </w:rPr>
        <w:fldChar w:fldCharType="end"/>
      </w:r>
      <w:r>
        <w:rPr>
          <w:rFonts w:hint="default" w:ascii="Times New Roman" w:hAnsi="Times New Roman" w:cs="Times New Roman"/>
          <w:color w:val="auto"/>
          <w:highlight w:val="none"/>
        </w:rPr>
        <w:fldChar w:fldCharType="end"/>
      </w:r>
    </w:p>
    <w:p w14:paraId="3F4BE0E9">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_Toc10787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附件12</w:t>
      </w:r>
      <w:r>
        <w:rPr>
          <w:rFonts w:hint="eastAsia" w:eastAsia="黑体" w:cs="Times New Roman"/>
          <w:bCs/>
          <w:color w:val="auto"/>
          <w:kern w:val="2"/>
          <w:szCs w:val="32"/>
          <w:highlight w:val="none"/>
          <w:lang w:val="en-US" w:eastAsia="zh-CN"/>
        </w:rPr>
        <w:t xml:space="preserve">  </w:t>
      </w:r>
      <w:r>
        <w:rPr>
          <w:rFonts w:hint="default" w:ascii="Times New Roman" w:hAnsi="Times New Roman" w:eastAsia="黑体" w:cs="Times New Roman"/>
          <w:bCs/>
          <w:color w:val="auto"/>
          <w:kern w:val="2"/>
          <w:szCs w:val="32"/>
          <w:highlight w:val="none"/>
          <w:lang w:val="en-US" w:eastAsia="zh-CN"/>
        </w:rPr>
        <w:t>分区管控分析报告</w:t>
      </w:r>
      <w:r>
        <w:rPr>
          <w:color w:val="auto"/>
          <w:highlight w:val="none"/>
        </w:rPr>
        <w:tab/>
      </w:r>
      <w:r>
        <w:rPr>
          <w:color w:val="auto"/>
          <w:highlight w:val="none"/>
        </w:rPr>
        <w:fldChar w:fldCharType="begin"/>
      </w:r>
      <w:r>
        <w:rPr>
          <w:color w:val="auto"/>
          <w:highlight w:val="none"/>
        </w:rPr>
        <w:instrText xml:space="preserve"> PAGEREF _Toc10787 \h </w:instrText>
      </w:r>
      <w:r>
        <w:rPr>
          <w:color w:val="auto"/>
          <w:highlight w:val="none"/>
        </w:rPr>
        <w:fldChar w:fldCharType="separate"/>
      </w:r>
      <w:r>
        <w:rPr>
          <w:color w:val="auto"/>
          <w:highlight w:val="none"/>
        </w:rPr>
        <w:t>265</w:t>
      </w:r>
      <w:r>
        <w:rPr>
          <w:color w:val="auto"/>
          <w:highlight w:val="none"/>
        </w:rPr>
        <w:fldChar w:fldCharType="end"/>
      </w:r>
      <w:r>
        <w:rPr>
          <w:rFonts w:hint="default" w:ascii="Times New Roman" w:hAnsi="Times New Roman" w:cs="Times New Roman"/>
          <w:color w:val="auto"/>
          <w:highlight w:val="none"/>
        </w:rPr>
        <w:fldChar w:fldCharType="end"/>
      </w:r>
    </w:p>
    <w:p w14:paraId="13ACF553">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_Toc17486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附件13  复垦面积说明</w:t>
      </w:r>
      <w:r>
        <w:rPr>
          <w:color w:val="auto"/>
          <w:highlight w:val="none"/>
        </w:rPr>
        <w:tab/>
      </w:r>
      <w:r>
        <w:rPr>
          <w:color w:val="auto"/>
          <w:highlight w:val="none"/>
        </w:rPr>
        <w:fldChar w:fldCharType="begin"/>
      </w:r>
      <w:r>
        <w:rPr>
          <w:color w:val="auto"/>
          <w:highlight w:val="none"/>
        </w:rPr>
        <w:instrText xml:space="preserve"> PAGEREF _Toc17486 \h </w:instrText>
      </w:r>
      <w:r>
        <w:rPr>
          <w:color w:val="auto"/>
          <w:highlight w:val="none"/>
        </w:rPr>
        <w:fldChar w:fldCharType="separate"/>
      </w:r>
      <w:r>
        <w:rPr>
          <w:color w:val="auto"/>
          <w:highlight w:val="none"/>
        </w:rPr>
        <w:t>278</w:t>
      </w:r>
      <w:r>
        <w:rPr>
          <w:color w:val="auto"/>
          <w:highlight w:val="none"/>
        </w:rPr>
        <w:fldChar w:fldCharType="end"/>
      </w:r>
      <w:r>
        <w:rPr>
          <w:rFonts w:hint="default" w:ascii="Times New Roman" w:hAnsi="Times New Roman" w:cs="Times New Roman"/>
          <w:color w:val="auto"/>
          <w:highlight w:val="none"/>
        </w:rPr>
        <w:fldChar w:fldCharType="end"/>
      </w:r>
    </w:p>
    <w:p w14:paraId="20901E9F">
      <w:pPr>
        <w:pStyle w:val="20"/>
        <w:tabs>
          <w:tab w:val="right" w:leader="dot" w:pos="830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_Toc25685 </w:instrText>
      </w:r>
      <w:r>
        <w:rPr>
          <w:rFonts w:hint="default" w:ascii="Times New Roman" w:hAnsi="Times New Roman" w:cs="Times New Roman"/>
          <w:color w:val="auto"/>
          <w:highlight w:val="none"/>
        </w:rPr>
        <w:fldChar w:fldCharType="separate"/>
      </w:r>
      <w:r>
        <w:rPr>
          <w:rFonts w:hint="default" w:ascii="Times New Roman" w:hAnsi="Times New Roman" w:eastAsia="黑体" w:cs="Times New Roman"/>
          <w:bCs/>
          <w:color w:val="auto"/>
          <w:kern w:val="2"/>
          <w:szCs w:val="32"/>
          <w:highlight w:val="none"/>
          <w:lang w:val="en-US" w:eastAsia="zh-CN"/>
        </w:rPr>
        <w:t>附件14  现有采坑面积说明</w:t>
      </w:r>
      <w:r>
        <w:rPr>
          <w:color w:val="auto"/>
          <w:highlight w:val="none"/>
        </w:rPr>
        <w:tab/>
      </w:r>
      <w:r>
        <w:rPr>
          <w:color w:val="auto"/>
          <w:highlight w:val="none"/>
        </w:rPr>
        <w:fldChar w:fldCharType="begin"/>
      </w:r>
      <w:r>
        <w:rPr>
          <w:color w:val="auto"/>
          <w:highlight w:val="none"/>
        </w:rPr>
        <w:instrText xml:space="preserve"> PAGEREF _Toc25685 \h </w:instrText>
      </w:r>
      <w:r>
        <w:rPr>
          <w:color w:val="auto"/>
          <w:highlight w:val="none"/>
        </w:rPr>
        <w:fldChar w:fldCharType="separate"/>
      </w:r>
      <w:r>
        <w:rPr>
          <w:color w:val="auto"/>
          <w:highlight w:val="none"/>
        </w:rPr>
        <w:t>279</w:t>
      </w:r>
      <w:r>
        <w:rPr>
          <w:color w:val="auto"/>
          <w:highlight w:val="none"/>
        </w:rPr>
        <w:fldChar w:fldCharType="end"/>
      </w:r>
      <w:r>
        <w:rPr>
          <w:rFonts w:hint="default" w:ascii="Times New Roman" w:hAnsi="Times New Roman" w:cs="Times New Roman"/>
          <w:color w:val="auto"/>
          <w:highlight w:val="none"/>
        </w:rPr>
        <w:fldChar w:fldCharType="end"/>
      </w:r>
    </w:p>
    <w:p w14:paraId="636DA0E9">
      <w:pPr>
        <w:pStyle w:val="27"/>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default" w:ascii="Times New Roman" w:hAnsi="Times New Roman" w:cs="Times New Roman"/>
          <w:color w:val="auto"/>
          <w:highlight w:val="none"/>
        </w:rPr>
        <w:fldChar w:fldCharType="end"/>
      </w:r>
    </w:p>
    <w:p w14:paraId="5E513B32">
      <w:pPr>
        <w:pStyle w:val="44"/>
        <w:rPr>
          <w:rFonts w:hint="default" w:ascii="Times New Roman" w:hAnsi="Times New Roman" w:cs="Times New Roman"/>
          <w:color w:val="auto"/>
          <w:highlight w:val="none"/>
        </w:rPr>
      </w:pPr>
      <w:bookmarkStart w:id="4" w:name="_Toc14313"/>
      <w:bookmarkStart w:id="5" w:name="_Toc479252796"/>
      <w:bookmarkStart w:id="6" w:name="_Toc152926798"/>
      <w:bookmarkStart w:id="7" w:name="_Toc119316781"/>
      <w:bookmarkStart w:id="8" w:name="_Toc5986"/>
      <w:r>
        <w:rPr>
          <w:rFonts w:hint="default" w:ascii="Times New Roman" w:hAnsi="Times New Roman" w:cs="Times New Roman"/>
          <w:color w:val="auto"/>
          <w:highlight w:val="none"/>
        </w:rPr>
        <w:t>1概述</w:t>
      </w:r>
      <w:bookmarkEnd w:id="4"/>
      <w:bookmarkEnd w:id="5"/>
      <w:bookmarkEnd w:id="6"/>
      <w:bookmarkEnd w:id="7"/>
      <w:bookmarkEnd w:id="8"/>
    </w:p>
    <w:p w14:paraId="6D58D7B6">
      <w:pPr>
        <w:pStyle w:val="43"/>
        <w:rPr>
          <w:rFonts w:hint="default" w:ascii="Times New Roman" w:hAnsi="Times New Roman" w:cs="Times New Roman"/>
          <w:color w:val="auto"/>
          <w:highlight w:val="none"/>
        </w:rPr>
      </w:pPr>
      <w:bookmarkStart w:id="9" w:name="_Toc119316782"/>
      <w:bookmarkStart w:id="10" w:name="_Toc152926799"/>
      <w:bookmarkStart w:id="11" w:name="_Toc14819"/>
      <w:bookmarkStart w:id="12" w:name="_Toc29857"/>
      <w:r>
        <w:rPr>
          <w:rFonts w:hint="default" w:ascii="Times New Roman" w:hAnsi="Times New Roman" w:cs="Times New Roman"/>
          <w:color w:val="auto"/>
          <w:highlight w:val="none"/>
        </w:rPr>
        <w:t>1.1项目由来</w:t>
      </w:r>
      <w:bookmarkEnd w:id="9"/>
      <w:bookmarkEnd w:id="10"/>
      <w:bookmarkEnd w:id="11"/>
      <w:bookmarkEnd w:id="12"/>
    </w:p>
    <w:p w14:paraId="650DD7E8">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bookmarkStart w:id="13" w:name="_Hlk57016677"/>
      <w:bookmarkStart w:id="14" w:name="_Toc15991611"/>
      <w:bookmarkStart w:id="15" w:name="_Toc119316783"/>
      <w:bookmarkStart w:id="16" w:name="_Toc152926800"/>
      <w:bookmarkStart w:id="17" w:name="_Toc524431260"/>
      <w:bookmarkStart w:id="18" w:name="_Toc4340"/>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rPr>
        <w:t>位于鸡西市滴道区西8km处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鸡西市滴道区南甸子村六队，</w:t>
      </w:r>
      <w:r>
        <w:rPr>
          <w:rFonts w:hint="default" w:ascii="Times New Roman" w:hAnsi="Times New Roman" w:cs="Times New Roman"/>
          <w:color w:val="auto"/>
          <w:highlight w:val="none"/>
        </w:rPr>
        <w:t>开采方式为露天开采，开采矿种为</w:t>
      </w:r>
      <w:r>
        <w:rPr>
          <w:rFonts w:hint="default" w:ascii="Times New Roman" w:hAnsi="Times New Roman" w:cs="Times New Roman"/>
          <w:color w:val="auto"/>
          <w:highlight w:val="none"/>
          <w:lang w:eastAsia="zh-CN"/>
        </w:rPr>
        <w:t>建筑用</w:t>
      </w:r>
      <w:r>
        <w:rPr>
          <w:rFonts w:hint="default" w:ascii="Times New Roman" w:hAnsi="Times New Roman" w:cs="Times New Roman"/>
          <w:color w:val="auto"/>
          <w:highlight w:val="none"/>
        </w:rPr>
        <w:t>玄武岩，矿区地理坐标为东经130°44′21″-130°44′32″，北纬45°20′29″-45°20′34″。</w:t>
      </w:r>
    </w:p>
    <w:p w14:paraId="47D305B8">
      <w:pPr>
        <w:pStyle w:val="27"/>
        <w:bidi w:val="0"/>
        <w:rPr>
          <w:rFonts w:hint="default" w:ascii="Times New Roman" w:hAnsi="Times New Roman" w:cs="Times New Roman"/>
          <w:color w:val="auto"/>
          <w:highlight w:val="none"/>
          <w:vertAlign w:val="superscript"/>
          <w:lang w:val="en-US" w:eastAsia="zh-CN"/>
        </w:rPr>
      </w:pPr>
      <w:r>
        <w:rPr>
          <w:rFonts w:hint="default" w:ascii="Times New Roman" w:hAnsi="Times New Roman" w:cs="Times New Roman"/>
          <w:color w:val="auto"/>
          <w:highlight w:val="none"/>
          <w:lang w:val="en-US" w:eastAsia="zh-CN"/>
        </w:rPr>
        <w:t>鸡西市滴道南甸子碎石场建场前，自80年代就由南甸子村及鸡西市交通局设立采石场进行开采，形成了历史采坑，后期多次开展忙牛河治理，修筑忙牛河堤坝时需要大量土石方，在该石场外部进行了取土取石，形成了南甸子碎石场外部的采坑，外部采坑及压占土地面积共为58703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w:t>
      </w:r>
    </w:p>
    <w:p w14:paraId="294C7C8A">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鸡西市滴道南甸子碎石场始建于2014年，批准采矿证开采面积22600m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于2016编制了《鸡西市滴道南甸子碎石场项目现状环境影响评估报告》。根据2024年11月19日鸡西市自然资源和规划局发布的采矿许可证废止公示，南甸子碎石厂采矿许可证已过期且末办理登记，废止后，由原采矿继续履行生态修复的法定义务。</w:t>
      </w:r>
    </w:p>
    <w:p w14:paraId="4B63751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本次土地复垦范围为外部采坑</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采石场</w:t>
      </w:r>
      <w:r>
        <w:rPr>
          <w:rFonts w:hint="eastAsia" w:cs="Times New Roman"/>
          <w:color w:val="auto"/>
          <w:highlight w:val="none"/>
          <w:lang w:val="en-US" w:eastAsia="zh-CN"/>
        </w:rPr>
        <w:t>历史遗留采坑</w:t>
      </w:r>
      <w:r>
        <w:rPr>
          <w:rFonts w:hint="default" w:ascii="Times New Roman" w:hAnsi="Times New Roman" w:cs="Times New Roman"/>
          <w:color w:val="auto"/>
          <w:highlight w:val="none"/>
          <w:lang w:val="en-US" w:eastAsia="zh-CN"/>
        </w:rPr>
        <w:t>面积58703m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及鸡西市滴道南甸子碎石场开采矿坑进行</w:t>
      </w:r>
      <w:r>
        <w:rPr>
          <w:rFonts w:hint="default" w:ascii="Times New Roman" w:hAnsi="Times New Roman" w:cs="Times New Roman"/>
          <w:color w:val="auto"/>
          <w:highlight w:val="none"/>
          <w:lang w:val="en-US" w:eastAsia="zh-CN"/>
        </w:rPr>
        <w:t>一并回填复垦，总计面积为85303m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。修复主体为鸡西市滴道区南甸子碎石场。</w:t>
      </w:r>
    </w:p>
    <w:p w14:paraId="177E0334">
      <w:pPr>
        <w:pStyle w:val="2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本项目采用的</w:t>
      </w:r>
      <w:r>
        <w:rPr>
          <w:rFonts w:hint="default" w:ascii="Times New Roman" w:hAnsi="Times New Roman" w:cs="Times New Roman"/>
          <w:color w:val="auto"/>
          <w:highlight w:val="none"/>
        </w:rPr>
        <w:t>回填材料为大唐鸡西第二热电有限公司的粉煤灰，回填量</w:t>
      </w:r>
      <w:r>
        <w:rPr>
          <w:rFonts w:hint="default" w:ascii="Times New Roman" w:hAnsi="Times New Roman" w:cs="Times New Roman"/>
          <w:color w:val="auto"/>
          <w:highlight w:val="none"/>
          <w:lang w:val="en-US" w:eastAsia="zh-CN"/>
        </w:rPr>
        <w:t>约为105.9</w:t>
      </w:r>
      <w:r>
        <w:rPr>
          <w:rFonts w:hint="default" w:ascii="Times New Roman" w:hAnsi="Times New Roman" w:cs="Times New Roman"/>
          <w:color w:val="auto"/>
          <w:highlight w:val="none"/>
        </w:rPr>
        <w:t>万</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，覆土量为</w:t>
      </w:r>
      <w:r>
        <w:rPr>
          <w:rFonts w:hint="default" w:ascii="Times New Roman" w:hAnsi="Times New Roman" w:cs="Times New Roman"/>
          <w:color w:val="auto"/>
          <w:highlight w:val="none"/>
          <w:lang w:val="en-US" w:eastAsia="zh-CN"/>
        </w:rPr>
        <w:t>38890.9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lang w:val="en-US" w:eastAsia="zh-CN"/>
        </w:rPr>
        <w:t>其中表土量为25590.9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，回填期约</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年，年工作</w:t>
      </w:r>
      <w:r>
        <w:rPr>
          <w:rFonts w:hint="default" w:ascii="Times New Roman" w:hAnsi="Times New Roman" w:cs="Times New Roman"/>
          <w:color w:val="auto"/>
          <w:highlight w:val="none"/>
          <w:lang w:val="en-US" w:eastAsia="zh-CN"/>
        </w:rPr>
        <w:t>330</w:t>
      </w:r>
      <w:r>
        <w:rPr>
          <w:rFonts w:hint="default" w:ascii="Times New Roman" w:hAnsi="Times New Roman" w:cs="Times New Roman"/>
          <w:color w:val="auto"/>
          <w:highlight w:val="none"/>
        </w:rPr>
        <w:t>天，</w:t>
      </w:r>
      <w:r>
        <w:rPr>
          <w:rFonts w:hint="default" w:ascii="Times New Roman" w:hAnsi="Times New Roman" w:cs="Times New Roman"/>
          <w:color w:val="auto"/>
          <w:highlight w:val="none"/>
          <w:lang w:val="en-US" w:eastAsia="zh-CN"/>
        </w:rPr>
        <w:t>一</w:t>
      </w:r>
      <w:r>
        <w:rPr>
          <w:rFonts w:hint="default" w:ascii="Times New Roman" w:hAnsi="Times New Roman" w:cs="Times New Roman"/>
          <w:color w:val="auto"/>
          <w:highlight w:val="none"/>
        </w:rPr>
        <w:t>班制，每班8小时。回填的粉煤灰属于第I类一般工业固体废物，回填后按标准要求进行土地复垦，</w:t>
      </w:r>
      <w:r>
        <w:rPr>
          <w:rFonts w:hint="default" w:ascii="Times New Roman" w:hAnsi="Times New Roman" w:cs="Times New Roman"/>
          <w:color w:val="auto"/>
          <w:highlight w:val="none"/>
          <w:lang w:val="en-US" w:eastAsia="zh-CN"/>
        </w:rPr>
        <w:t>部分</w:t>
      </w:r>
      <w:r>
        <w:rPr>
          <w:rFonts w:hint="default" w:ascii="Times New Roman" w:hAnsi="Times New Roman" w:cs="Times New Roman"/>
          <w:color w:val="auto"/>
          <w:highlight w:val="none"/>
        </w:rPr>
        <w:t>覆土80cm恢复为耕地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部分覆土30cm恢复为林地</w:t>
      </w:r>
      <w:r>
        <w:rPr>
          <w:rFonts w:hint="default" w:ascii="Times New Roman" w:hAnsi="Times New Roman" w:cs="Times New Roman"/>
          <w:color w:val="auto"/>
          <w:highlight w:val="none"/>
        </w:rPr>
        <w:t>，最终地面持平</w:t>
      </w:r>
      <w:r>
        <w:rPr>
          <w:rFonts w:hint="default" w:ascii="Times New Roman" w:hAnsi="Times New Roman" w:cs="Times New Roman"/>
          <w:color w:val="auto"/>
          <w:highlight w:val="none"/>
          <w:lang w:eastAsia="zh-CN"/>
        </w:rPr>
        <w:t>。</w:t>
      </w:r>
    </w:p>
    <w:p w14:paraId="7C11352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一般工业固体废物贮存和填埋污染控制标准》（GB18599-2020）中关于回填的定义：在复垦、景观恢复、建设用地平整、农用地平整以及防止地表塌陷的地貌保护工程中，以土地复垦为目的，利用一般工业固体废物替代土、砂、石等生产材料填充地下采空空间、露天开采地表挖掘区、取土场、地下开采塌陷区以及天然坑洼区的活动。项目区的废弃采坑为露天开采而形成，</w:t>
      </w:r>
      <w:r>
        <w:rPr>
          <w:rFonts w:hint="default" w:ascii="Times New Roman" w:hAnsi="Times New Roman" w:cs="Times New Roman"/>
          <w:color w:val="auto"/>
          <w:highlight w:val="none"/>
          <w:lang w:val="en-US" w:eastAsia="zh-CN"/>
        </w:rPr>
        <w:t>面积</w:t>
      </w:r>
      <w:r>
        <w:rPr>
          <w:rFonts w:hint="default" w:ascii="Times New Roman" w:hAnsi="Times New Roman" w:cs="Times New Roman"/>
          <w:color w:val="auto"/>
          <w:sz w:val="24"/>
          <w:szCs w:val="24"/>
          <w:highlight w:val="none"/>
          <w:lang w:val="en-US" w:eastAsia="zh-CN"/>
        </w:rPr>
        <w:t>8.5303</w:t>
      </w:r>
      <w:r>
        <w:rPr>
          <w:rFonts w:hint="default" w:ascii="Times New Roman" w:hAnsi="Times New Roman" w:cs="Times New Roman"/>
          <w:color w:val="auto"/>
          <w:sz w:val="24"/>
          <w:szCs w:val="24"/>
          <w:highlight w:val="none"/>
        </w:rPr>
        <w:t>hm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highlight w:val="none"/>
        </w:rPr>
        <w:t>，目前该采坑雨天极易发生水土流失，且有边坡塌陷风险。</w:t>
      </w:r>
    </w:p>
    <w:p w14:paraId="3DC6516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大唐鸡西第二热电有限公司每年将产生大量粉煤灰，近年来粉煤灰综合利用途径不畅，因此</w:t>
      </w:r>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rPr>
        <w:t>拟将大唐鸡西第二热电有限公司产生的部分粉煤灰回填至项目区，不但将粉煤灰资源化利用，又降低了生态恢复成本，同时可以恢复露天采石场的土地使用功能，充分利用土地资源。项目实施后一方面能够有效防治固废随意排放产生的环境问题，另一方面可消除遗留采坑的水土流失、坍塌隐患，回填结束后随着土地复垦的进行，生态系统类型完整性、结构稳定性和功能多样性较本项目建设前更好。</w:t>
      </w:r>
    </w:p>
    <w:p w14:paraId="6F65CED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根据《中华人民共和国环境保护法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中华人民共和国环境影响评价法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建设项目环境保护管理条例》等有关规定，</w:t>
      </w:r>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rPr>
        <w:t>委托</w:t>
      </w:r>
      <w:r>
        <w:rPr>
          <w:rFonts w:hint="default" w:ascii="Times New Roman" w:hAnsi="Times New Roman" w:cs="Times New Roman"/>
          <w:color w:val="auto"/>
          <w:highlight w:val="none"/>
          <w:lang w:val="en-US" w:eastAsia="zh-CN"/>
        </w:rPr>
        <w:t>我</w:t>
      </w:r>
      <w:r>
        <w:rPr>
          <w:rFonts w:hint="default" w:ascii="Times New Roman" w:hAnsi="Times New Roman" w:cs="Times New Roman"/>
          <w:color w:val="auto"/>
          <w:highlight w:val="none"/>
        </w:rPr>
        <w:t>公司承担该项目的环境影响评价工作。收集了相关资料，委托相关单位进行现状监测，经资料整理、模式计算及统计分析，编制出该项目的环境影响报告书，现提交主管部门审查。</w:t>
      </w:r>
    </w:p>
    <w:bookmarkEnd w:id="13"/>
    <w:p w14:paraId="4AE232B1">
      <w:pPr>
        <w:pStyle w:val="43"/>
        <w:rPr>
          <w:rFonts w:hint="default" w:ascii="Times New Roman" w:hAnsi="Times New Roman" w:cs="Times New Roman"/>
          <w:color w:val="auto"/>
          <w:highlight w:val="none"/>
        </w:rPr>
      </w:pPr>
      <w:bookmarkStart w:id="19" w:name="_Toc11425"/>
      <w:r>
        <w:rPr>
          <w:rFonts w:hint="default" w:ascii="Times New Roman" w:hAnsi="Times New Roman" w:cs="Times New Roman"/>
          <w:color w:val="auto"/>
          <w:highlight w:val="none"/>
        </w:rPr>
        <w:t>1.2项目特点</w:t>
      </w:r>
      <w:bookmarkEnd w:id="14"/>
      <w:bookmarkEnd w:id="15"/>
      <w:bookmarkEnd w:id="16"/>
      <w:bookmarkEnd w:id="17"/>
      <w:bookmarkEnd w:id="18"/>
      <w:bookmarkEnd w:id="19"/>
    </w:p>
    <w:p w14:paraId="78C6F6CE">
      <w:pPr>
        <w:pStyle w:val="27"/>
        <w:bidi w:val="0"/>
        <w:rPr>
          <w:rFonts w:hint="default" w:ascii="Times New Roman" w:hAnsi="Times New Roman" w:cs="Times New Roman"/>
          <w:color w:val="auto"/>
          <w:highlight w:val="none"/>
          <w:lang w:val="en-US" w:eastAsia="zh-CN"/>
        </w:rPr>
      </w:pPr>
      <w:bookmarkStart w:id="20" w:name="_Toc479252799"/>
      <w:bookmarkStart w:id="21" w:name="_Toc152926801"/>
      <w:bookmarkStart w:id="22" w:name="_Toc19097"/>
      <w:bookmarkStart w:id="23" w:name="_Toc119316784"/>
      <w:r>
        <w:rPr>
          <w:rFonts w:hint="default" w:ascii="Times New Roman" w:hAnsi="Times New Roman" w:cs="Times New Roman"/>
          <w:color w:val="auto"/>
          <w:highlight w:val="none"/>
          <w:lang w:val="en-US" w:eastAsia="zh-CN"/>
        </w:rPr>
        <w:t>（1）项目建设性质为新建，</w:t>
      </w:r>
      <w:r>
        <w:rPr>
          <w:rFonts w:hint="default" w:ascii="Times New Roman" w:hAnsi="Times New Roman" w:cs="Times New Roman"/>
          <w:color w:val="auto"/>
          <w:highlight w:val="none"/>
        </w:rPr>
        <w:t>年工作天数</w:t>
      </w:r>
      <w:r>
        <w:rPr>
          <w:rFonts w:hint="default" w:ascii="Times New Roman" w:hAnsi="Times New Roman" w:cs="Times New Roman"/>
          <w:color w:val="auto"/>
          <w:highlight w:val="none"/>
          <w:lang w:val="en-US" w:eastAsia="zh-CN"/>
        </w:rPr>
        <w:t>330</w:t>
      </w:r>
      <w:r>
        <w:rPr>
          <w:rFonts w:hint="default" w:ascii="Times New Roman" w:hAnsi="Times New Roman" w:cs="Times New Roman"/>
          <w:color w:val="auto"/>
          <w:highlight w:val="none"/>
        </w:rPr>
        <w:t>天，回填期约</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年，利用大唐鸡西第二热电有限公司产生的粉煤灰对位于废弃采坑进行回填，</w:t>
      </w:r>
      <w:r>
        <w:rPr>
          <w:rFonts w:hint="default" w:ascii="Times New Roman" w:hAnsi="Times New Roman" w:cs="Times New Roman"/>
          <w:color w:val="auto"/>
          <w:highlight w:val="none"/>
          <w:lang w:val="en-US" w:eastAsia="zh-CN"/>
        </w:rPr>
        <w:t>回填面积8.5303hm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，修复目标为林地及耕地。根据《鸡西大唐矸石电厂粉煤灰检验检测报告》，对照《国家危险废物名录（2025年版）》及《一般工业固体废物贮存和填埋污染控制标准》（GB 18599-2020），项目所用回填材料粉煤灰为一般工业固体废物，工业固体废物类别为第I类一般工业固体废物，场地类别为I类场。</w:t>
      </w:r>
    </w:p>
    <w:p w14:paraId="0A9F30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场地现状</w:t>
      </w:r>
      <w:r>
        <w:rPr>
          <w:rFonts w:hint="default" w:ascii="Times New Roman" w:hAnsi="Times New Roman" w:cs="Times New Roman"/>
          <w:color w:val="auto"/>
          <w:highlight w:val="none"/>
          <w:lang w:val="en-US" w:eastAsia="zh-CN"/>
        </w:rPr>
        <w:t>及现有环境问题</w:t>
      </w:r>
      <w:r>
        <w:rPr>
          <w:rFonts w:hint="default" w:ascii="Times New Roman" w:hAnsi="Times New Roman" w:cs="Times New Roman"/>
          <w:color w:val="auto"/>
          <w:highlight w:val="none"/>
        </w:rPr>
        <w:t>：</w:t>
      </w:r>
      <w:r>
        <w:rPr>
          <w:rFonts w:hint="eastAsia" w:cs="Times New Roman"/>
          <w:color w:val="auto"/>
          <w:highlight w:val="none"/>
          <w:lang w:val="en-US" w:eastAsia="zh-CN"/>
        </w:rPr>
        <w:t>本项目修复</w:t>
      </w:r>
      <w:r>
        <w:rPr>
          <w:rFonts w:hint="default" w:ascii="Times New Roman" w:hAnsi="Times New Roman" w:cs="Times New Roman"/>
          <w:color w:val="auto"/>
          <w:highlight w:val="none"/>
        </w:rPr>
        <w:t>面积</w:t>
      </w:r>
      <w:r>
        <w:rPr>
          <w:rFonts w:hint="default" w:ascii="Times New Roman" w:hAnsi="Times New Roman" w:cs="Times New Roman"/>
          <w:color w:val="auto"/>
          <w:highlight w:val="none"/>
          <w:lang w:val="en-US" w:eastAsia="zh-CN"/>
        </w:rPr>
        <w:t>8.5303h</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历史遗留踩坑及</w:t>
      </w:r>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rPr>
        <w:t>露天开采而形成，开采平均深度约</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m，容积</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。矿坑底部高程为</w:t>
      </w:r>
      <w:r>
        <w:rPr>
          <w:rFonts w:hint="default" w:ascii="Times New Roman" w:hAnsi="Times New Roman" w:cs="Times New Roman"/>
          <w:color w:val="auto"/>
          <w:highlight w:val="none"/>
          <w:lang w:val="en-US" w:eastAsia="zh-CN"/>
        </w:rPr>
        <w:t>316~327</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边坡标高327~346m，</w:t>
      </w:r>
      <w:r>
        <w:rPr>
          <w:rFonts w:hint="default" w:ascii="Times New Roman" w:hAnsi="Times New Roman" w:cs="Times New Roman"/>
          <w:color w:val="auto"/>
          <w:highlight w:val="none"/>
        </w:rPr>
        <w:t>经现场勘察，现状坑底存在碎石及覆盖有小部分杂草，在场地内没有发现残留化学品以及异常气味、表面金属析出等污染痕迹，该采坑现</w:t>
      </w:r>
      <w:r>
        <w:rPr>
          <w:rFonts w:hint="default" w:ascii="Times New Roman" w:hAnsi="Times New Roman" w:cs="Times New Roman"/>
          <w:color w:val="auto"/>
          <w:highlight w:val="none"/>
          <w:lang w:val="en-US" w:eastAsia="zh-CN"/>
        </w:rPr>
        <w:t>岩层</w:t>
      </w:r>
      <w:r>
        <w:rPr>
          <w:rFonts w:hint="default" w:ascii="Times New Roman" w:hAnsi="Times New Roman" w:cs="Times New Roman"/>
          <w:color w:val="auto"/>
          <w:highlight w:val="none"/>
        </w:rPr>
        <w:t>裸露，</w:t>
      </w:r>
      <w:r>
        <w:rPr>
          <w:rFonts w:hint="default" w:ascii="Times New Roman" w:hAnsi="Times New Roman" w:cs="Times New Roman"/>
          <w:color w:val="auto"/>
          <w:highlight w:val="none"/>
          <w:lang w:val="en-US" w:eastAsia="zh-CN"/>
        </w:rPr>
        <w:t>现采坑西侧设置300m长的截水沟，</w:t>
      </w:r>
      <w:r>
        <w:rPr>
          <w:rFonts w:hint="default" w:ascii="Times New Roman" w:hAnsi="Times New Roman" w:cs="Times New Roman"/>
          <w:color w:val="auto"/>
          <w:highlight w:val="none"/>
        </w:rPr>
        <w:t>根据地势流向低处逐渐汇入山脚排水渠，未形成积水坑。</w:t>
      </w:r>
    </w:p>
    <w:p w14:paraId="25482CA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本项目所用表土来自矿山开采时剥离表土堆放在位于项目区西南侧的表土场内（不在本项目复垦范围内），表土堆放区面积为1.2hm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，堆放高度约为15m，堆放表土量约为39000m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。现无表面无遮盖，在表土场西侧</w:t>
      </w:r>
      <w:r>
        <w:rPr>
          <w:rFonts w:hint="eastAsia" w:cs="Times New Roman"/>
          <w:color w:val="auto"/>
          <w:highlight w:val="none"/>
          <w:lang w:val="en-US" w:eastAsia="zh-CN"/>
        </w:rPr>
        <w:t>现有</w:t>
      </w:r>
      <w:r>
        <w:rPr>
          <w:rFonts w:hint="default" w:ascii="Times New Roman" w:hAnsi="Times New Roman" w:cs="Times New Roman"/>
          <w:color w:val="auto"/>
          <w:highlight w:val="none"/>
          <w:lang w:val="en-US" w:eastAsia="zh-CN"/>
        </w:rPr>
        <w:t>截水沟100m。</w:t>
      </w:r>
    </w:p>
    <w:p w14:paraId="641A8825">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（3）本次评价时段分为施工期、生态恢复期。施工期包括场地平整、防渗系统、淋溶水收集导排系统、排水沟、淋溶水暂存池的建设、粉煤灰回填；生态恢复期主要为对回填后的场地林地和耕地复垦。</w:t>
      </w:r>
    </w:p>
    <w:p w14:paraId="6D1DAF7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）回填材料：</w:t>
      </w:r>
      <w:r>
        <w:rPr>
          <w:rFonts w:hint="default" w:ascii="Times New Roman" w:hAnsi="Times New Roman" w:cs="Times New Roman"/>
          <w:color w:val="auto"/>
          <w:highlight w:val="none"/>
          <w:lang w:val="en-US" w:eastAsia="zh-CN"/>
        </w:rPr>
        <w:t>项目回填材料为大唐鸡西第二热电有限公司产生的粉煤灰，所需粉煤灰为105.9万t。大唐鸡西第二热电有限公司现有灰场储存粉煤灰1200万吨左右，其中781.11万t用于鸡西赛龙水泥制造有限公司大理岩矿坑修复，299.86万吨用于《鸡西市滴道区电煤洗选产业基地（煤炭工业园区）用地建设项目》则剩余119.03万t粉煤灰。粉煤灰来源为大唐鸡西第二热电有限公司两台2×300MW机组产生，不包含城市垃圾及其他废弃物残渣、煅烧工业或城市垃圾、循环流化床锅炉燃烧残渣，大唐鸡西第二热电有限公司将提供项目所需的粉煤灰用于回填。大唐鸡西第二热电有限公司可提供满足本项目用于回填的粉煤灰，因此项目物料来源唯一且切实可行。</w:t>
      </w:r>
    </w:p>
    <w:p w14:paraId="29A11B7B">
      <w:pPr>
        <w:pStyle w:val="27"/>
        <w:bidi w:val="0"/>
        <w:rPr>
          <w:rFonts w:hint="default" w:ascii="Times New Roman" w:hAnsi="Times New Roman" w:cs="Times New Roman"/>
          <w:color w:val="auto"/>
          <w:highlight w:val="none"/>
          <w:vertAlign w:val="baseline"/>
          <w:lang w:val="en-US" w:eastAsia="zh-CN"/>
        </w:rPr>
      </w:pPr>
      <w:bookmarkStart w:id="24" w:name="_Hlk35965352"/>
      <w:r>
        <w:rPr>
          <w:rFonts w:hint="default" w:ascii="Times New Roman" w:hAnsi="Times New Roman" w:cs="Times New Roman"/>
          <w:color w:val="auto"/>
          <w:highlight w:val="none"/>
          <w:lang w:val="en-US" w:eastAsia="zh-CN"/>
        </w:rPr>
        <w:t>（5）表土、壤土来源：本项目覆土量为38890.9m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其中表土量为25590.9m</w:t>
      </w:r>
      <w:r>
        <w:rPr>
          <w:rFonts w:hint="default" w:ascii="Times New Roman" w:hAnsi="Times New Roman" w:cs="Times New Roman"/>
          <w:color w:val="auto"/>
          <w:highlight w:val="none"/>
          <w:vertAlign w:val="superscript"/>
          <w:lang w:val="en-US" w:eastAsia="zh-CN"/>
        </w:rPr>
        <w:t>3</w:t>
      </w:r>
      <w:bookmarkEnd w:id="24"/>
      <w:r>
        <w:rPr>
          <w:rFonts w:hint="eastAsia" w:cs="Times New Roman"/>
          <w:color w:val="auto"/>
          <w:highlight w:val="none"/>
          <w:vertAlign w:val="baseline"/>
          <w:lang w:val="en-US" w:eastAsia="zh-CN"/>
        </w:rPr>
        <w:t>，</w:t>
      </w:r>
      <w:r>
        <w:rPr>
          <w:rFonts w:hint="default" w:ascii="Times New Roman" w:hAnsi="Times New Roman" w:cs="Times New Roman"/>
          <w:color w:val="auto"/>
          <w:highlight w:val="none"/>
          <w:vertAlign w:val="baseline"/>
          <w:lang w:val="en-US" w:eastAsia="zh-CN"/>
        </w:rPr>
        <w:t>壤土</w:t>
      </w:r>
      <w:r>
        <w:rPr>
          <w:rFonts w:hint="default" w:ascii="Times New Roman" w:hAnsi="Times New Roman" w:cs="Times New Roman"/>
          <w:color w:val="auto"/>
          <w:highlight w:val="none"/>
          <w:lang w:val="en-US" w:eastAsia="zh-CN"/>
        </w:rPr>
        <w:t>13300m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vertAlign w:val="baseline"/>
          <w:lang w:val="en-US" w:eastAsia="zh-CN"/>
        </w:rPr>
        <w:t>。</w:t>
      </w:r>
      <w:r>
        <w:rPr>
          <w:rFonts w:hint="default" w:ascii="Times New Roman" w:hAnsi="Times New Roman" w:cs="Times New Roman"/>
          <w:color w:val="auto"/>
          <w:highlight w:val="none"/>
          <w:lang w:val="en-US" w:eastAsia="zh-CN"/>
        </w:rPr>
        <w:t>本项目所用表土来自</w:t>
      </w:r>
      <w:r>
        <w:rPr>
          <w:rFonts w:hint="eastAsia" w:cs="Times New Roman"/>
          <w:color w:val="auto"/>
          <w:highlight w:val="none"/>
          <w:lang w:val="en-US" w:eastAsia="zh-CN"/>
        </w:rPr>
        <w:t>原有</w:t>
      </w:r>
      <w:r>
        <w:rPr>
          <w:rFonts w:hint="default" w:ascii="Times New Roman" w:hAnsi="Times New Roman" w:cs="Times New Roman"/>
          <w:color w:val="auto"/>
          <w:highlight w:val="none"/>
          <w:lang w:val="en-US" w:eastAsia="zh-CN"/>
        </w:rPr>
        <w:t>矿山开采时剥离表土，堆放于位于项目区西南侧的表土场（表土场不在本次复垦范围内），表土堆放区面积为1.2hm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，堆放高度约为15m，堆放表土量约为39000m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vertAlign w:val="baseline"/>
          <w:lang w:val="en-US" w:eastAsia="zh-CN"/>
        </w:rPr>
        <w:t>，本次利用</w:t>
      </w:r>
      <w:r>
        <w:rPr>
          <w:rFonts w:hint="default" w:ascii="Times New Roman" w:hAnsi="Times New Roman" w:cs="Times New Roman"/>
          <w:color w:val="auto"/>
          <w:highlight w:val="none"/>
          <w:lang w:val="en-US" w:eastAsia="zh-CN"/>
        </w:rPr>
        <w:t>表土量为25590.9m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lang w:val="en-US" w:eastAsia="zh-CN"/>
        </w:rPr>
        <w:t>，壤土</w:t>
      </w:r>
      <w:r>
        <w:rPr>
          <w:rFonts w:hint="default" w:ascii="Times New Roman" w:hAnsi="Times New Roman" w:cs="Times New Roman"/>
          <w:color w:val="auto"/>
          <w:highlight w:val="none"/>
          <w:vertAlign w:val="baseline"/>
          <w:lang w:val="en-US" w:eastAsia="zh-CN"/>
        </w:rPr>
        <w:t>来源外购。</w:t>
      </w:r>
    </w:p>
    <w:p w14:paraId="09CEEAE3">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（6）回填工艺：本项目回填面积8.5303hm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为保证修复治理效果，回填过程采用“分层摊铺、往返碾压、分单元作业”的回填处理工艺，摊铺作业方法采用下推法。每层摊铺厚度不大于1m，压实系数不小于0.9，回填区域划分为近似矩形网格，拟定作业单元面积1200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，回填第二单元时，一边紧靠已填高的第一单元外。</w:t>
      </w:r>
    </w:p>
    <w:p w14:paraId="663A1CD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（7）复垦工艺：修复完毕后，在回填平整完成的基础上表层覆土并压实，耕地覆土厚度80cm（包含表土层厚30cm），林地覆土厚度为30cm，可保证回填后地质稳定性，最终与地平面持平。生态恢复后耕地面积为2.66hm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，主要作物为玉米；林地面积5.8703hm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eastAsia="zh-CN"/>
        </w:rPr>
        <w:t>落叶</w:t>
      </w:r>
      <w:r>
        <w:rPr>
          <w:rFonts w:hint="default" w:ascii="Times New Roman" w:hAnsi="Times New Roman" w:cs="Times New Roman"/>
          <w:color w:val="auto"/>
          <w:highlight w:val="none"/>
        </w:rPr>
        <w:t>松</w:t>
      </w:r>
      <w:r>
        <w:rPr>
          <w:rFonts w:hint="default" w:ascii="Times New Roman" w:hAnsi="Times New Roman" w:cs="Times New Roman"/>
          <w:color w:val="auto"/>
          <w:highlight w:val="none"/>
          <w:lang w:val="en-US" w:eastAsia="zh-CN"/>
        </w:rPr>
        <w:t>6523株。为下一步的生态建设提供有利条件。</w:t>
      </w:r>
    </w:p>
    <w:p w14:paraId="7BD55373">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根据现场踏查及收集相关资料，项目区域内主要为南甸子村等二类区中的居住区。区域内无集中式饮用水水源准保护区、无集中式饮用水水源准保护区以外的补给径流区；无热水、矿泉水、温泉等特殊地下水资源保护区。项目周边分布有南甸子村等村屯，生活用水以地下水为主，取水方式为以家庭为单位的地下水饮用水取水水源井（一户一井），供水人数小于1000人，属分散式饮用水水源，未设置地下水水源地保护区，取水目的层为第四系孔隙水。</w:t>
      </w:r>
    </w:p>
    <w:p w14:paraId="104A3BE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项目位于国土空间规划分区中矿产能源发展区，符合《鸡西市国土空间总体规划（2021-2035年）》、《滴道区滴道河乡（含街道）国土空间总体规划（2021-2035年）》。项目选址可满足《一般工业固体废物贮存和填埋污染控制标准》（GB 18599-2020）中相关要求，通过采取相应环保对策措施项目所排放的污染物均可达标排放，施工期排放的废气均可满足《大气污染物综合排放标准》（GB 16297-1996）表2中无组织排放监控浓度限值</w:t>
      </w:r>
      <w:r>
        <w:rPr>
          <w:rFonts w:hint="default" w:ascii="Times New Roman" w:hAnsi="Times New Roman" w:cs="Times New Roman"/>
          <w:color w:val="auto"/>
          <w:highlight w:val="none"/>
          <w:lang w:val="en-GB" w:eastAsia="zh-CN"/>
        </w:rPr>
        <w:t>，</w:t>
      </w:r>
      <w:r>
        <w:rPr>
          <w:rFonts w:hint="default" w:ascii="Times New Roman" w:hAnsi="Times New Roman" w:cs="Times New Roman"/>
          <w:color w:val="auto"/>
          <w:highlight w:val="none"/>
          <w:lang w:val="en-US" w:eastAsia="zh-CN"/>
        </w:rPr>
        <w:t>对区域环境空气及周边保护目标影响较小；通过预测结果，地下水可满足《地下水质量标准》（GB/T 14848-2017）表1中III类标准限值，对区域地下水及保护目标影响较小；噪声可满足《工业企业厂界环境噪声排放标准》（GB 12348-2008）表1中2类声环境功能区排放限值，对区域声环境及保护目标影响较小。</w:t>
      </w:r>
    </w:p>
    <w:p w14:paraId="1FAFC0D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（10）按照《一般工业固体废物贮存和填埋污染控制标准》（GB 18599-2020）中的相关要求，本项目在回填活动前已按照《建设用地土壤污染风险评估技术导则》（HJ25.3-2019）等相关标准开展环境风险评估，重点评估对地下水、地表水及周边土壤的环境污染风险，确保环境风险可接受。</w:t>
      </w:r>
    </w:p>
    <w:p w14:paraId="39888E4F">
      <w:pPr>
        <w:pStyle w:val="43"/>
        <w:rPr>
          <w:rFonts w:hint="default" w:ascii="Times New Roman" w:hAnsi="Times New Roman" w:cs="Times New Roman"/>
          <w:color w:val="auto"/>
          <w:highlight w:val="none"/>
        </w:rPr>
      </w:pPr>
      <w:bookmarkStart w:id="25" w:name="_Toc25111"/>
      <w:r>
        <w:rPr>
          <w:rFonts w:hint="default" w:ascii="Times New Roman" w:hAnsi="Times New Roman" w:cs="Times New Roman"/>
          <w:color w:val="auto"/>
          <w:highlight w:val="none"/>
        </w:rPr>
        <w:t>1.3</w:t>
      </w:r>
      <w:bookmarkEnd w:id="20"/>
      <w:r>
        <w:rPr>
          <w:rFonts w:hint="default" w:ascii="Times New Roman" w:hAnsi="Times New Roman" w:cs="Times New Roman"/>
          <w:color w:val="auto"/>
          <w:highlight w:val="none"/>
        </w:rPr>
        <w:t>环境影响评价工作过程</w:t>
      </w:r>
      <w:bookmarkEnd w:id="21"/>
      <w:bookmarkEnd w:id="22"/>
      <w:bookmarkEnd w:id="23"/>
      <w:bookmarkEnd w:id="25"/>
    </w:p>
    <w:p w14:paraId="46C8398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依据《建设项目环境影响评价技术导则 总纲》（HJ2.1-2016）要求，本次环评工作分为三个阶段进行。</w:t>
      </w:r>
    </w:p>
    <w:p w14:paraId="0A52C45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bookmarkStart w:id="26" w:name="_Hlk83908174"/>
    </w:p>
    <w:p w14:paraId="0D11E904">
      <w:pPr>
        <w:pStyle w:val="27"/>
        <w:bidi w:val="0"/>
        <w:rPr>
          <w:rFonts w:hint="default" w:ascii="Times New Roman" w:hAnsi="Times New Roman" w:cs="Times New Roman"/>
          <w:color w:val="auto"/>
          <w:highlight w:val="none"/>
        </w:rPr>
      </w:pPr>
      <w:r>
        <w:rPr>
          <w:rFonts w:hint="default" w:ascii="Times New Roman" w:hAnsi="Times New Roman" w:cs="Times New Roman"/>
          <w:snapToGrid w:val="0"/>
          <w:color w:val="auto"/>
          <w:szCs w:val="22"/>
          <w:highlight w:val="none"/>
        </w:rPr>
        <w:t>本项目的环境影响</w:t>
      </w:r>
      <w:r>
        <w:rPr>
          <w:rFonts w:hint="default" w:ascii="Times New Roman" w:hAnsi="Times New Roman" w:cs="Times New Roman"/>
          <w:snapToGrid w:val="0"/>
          <w:color w:val="auto"/>
          <w:szCs w:val="22"/>
          <w:highlight w:val="none"/>
          <w:lang w:val="en-US" w:eastAsia="zh-CN"/>
        </w:rPr>
        <w:t>属</w:t>
      </w:r>
      <w:r>
        <w:rPr>
          <w:rFonts w:hint="default" w:ascii="Times New Roman" w:hAnsi="Times New Roman" w:cs="Times New Roman"/>
          <w:snapToGrid w:val="0"/>
          <w:color w:val="auto"/>
          <w:szCs w:val="22"/>
          <w:highlight w:val="none"/>
        </w:rPr>
        <w:t>于名录中的</w:t>
      </w:r>
      <w:r>
        <w:rPr>
          <w:rFonts w:hint="default" w:ascii="Times New Roman" w:hAnsi="Times New Roman" w:cs="Times New Roman"/>
          <w:color w:val="auto"/>
          <w:szCs w:val="22"/>
          <w:highlight w:val="none"/>
        </w:rPr>
        <w:t>“四十七、生态保护和环境治理业：103一般工业固体废物（含污水处理污泥）、建筑施工废弃物处置及综合利用”中“一般工业固体废物（含污水处理污泥）采取填埋、焚烧（水泥窑协同处置的改造项目除外）方式的”，应编制环境影响报告书。</w:t>
      </w:r>
      <w:r>
        <w:rPr>
          <w:rFonts w:hint="default" w:ascii="Times New Roman" w:hAnsi="Times New Roman" w:cs="Times New Roman"/>
          <w:color w:val="auto"/>
          <w:highlight w:val="none"/>
        </w:rPr>
        <w:t>综上所述，本项目编制环境影响报告书</w:t>
      </w:r>
      <w:bookmarkEnd w:id="26"/>
      <w:r>
        <w:rPr>
          <w:rFonts w:hint="default" w:ascii="Times New Roman" w:hAnsi="Times New Roman" w:cs="Times New Roman"/>
          <w:color w:val="auto"/>
          <w:highlight w:val="none"/>
        </w:rPr>
        <w:t>。</w:t>
      </w:r>
    </w:p>
    <w:p w14:paraId="0325092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研究相关技术及其他有关文件基础上进行初步工程分析，开展了初步环境现状调查，进行了环境影响识别和评价因子筛选。明确了评价重点为水环境影响、大气环境影响、土壤环境影响、生态环境影响，确定了保护目标，进一步确定评价工作等级、范围及评价标准，制定出相应工作方案。</w:t>
      </w:r>
    </w:p>
    <w:p w14:paraId="3EDD210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根据第一阶段工作成果，对环境现状的大气环境、地下水环境、声环境、土壤环境等进行了调查、监测与评价，详细进行工程分析，确定了主要环境影响因素为回填对地下水和土壤的影响，作业过程扬尘对大气环境的影响，设备噪声对周边声环境的影响，一般固体废物对周边环境的影响，并采取相应的模式对各环境要素影响进行了预测与分析。</w:t>
      </w:r>
    </w:p>
    <w:p w14:paraId="444970D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（3）对作业废气提出了大气环境保护措施，对噪声采取了隔声减振等措施，对产生的固废采取了相应处理处置措施，并进行经济技术可行性论证，给出污染物排放清单并给出评价结论。</w:t>
      </w:r>
    </w:p>
    <w:p w14:paraId="507B1B1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具体过程见图1-3-1。</w:t>
      </w:r>
    </w:p>
    <w:p w14:paraId="1DCBD8B1">
      <w:pPr>
        <w:pStyle w:val="29"/>
        <w:bidi w:val="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drawing>
          <wp:inline distT="0" distB="0" distL="0" distR="0">
            <wp:extent cx="5182870" cy="4963795"/>
            <wp:effectExtent l="19050" t="0" r="0" b="0"/>
            <wp:docPr id="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pic:cNvPicPr>
                      <a:picLocks noChangeAspect="1" noChangeArrowheads="1"/>
                    </pic:cNvPicPr>
                  </pic:nvPicPr>
                  <pic:blipFill>
                    <a:blip r:embed="rId16" cstate="print"/>
                    <a:srcRect l="2990" t="2215" r="3015" b="3780"/>
                    <a:stretch>
                      <a:fillRect/>
                    </a:stretch>
                  </pic:blipFill>
                  <pic:spPr>
                    <a:xfrm>
                      <a:off x="0" y="0"/>
                      <a:ext cx="5191949" cy="4971934"/>
                    </a:xfrm>
                    <a:prstGeom prst="rect">
                      <a:avLst/>
                    </a:prstGeom>
                    <a:noFill/>
                    <a:ln w="9525">
                      <a:noFill/>
                      <a:miter lim="800000"/>
                      <a:headEnd/>
                      <a:tailEnd/>
                    </a:ln>
                  </pic:spPr>
                </pic:pic>
              </a:graphicData>
            </a:graphic>
          </wp:inline>
        </w:drawing>
      </w:r>
      <w:r>
        <w:rPr>
          <w:rFonts w:hint="default" w:ascii="Times New Roman" w:hAnsi="Times New Roman" w:cs="Times New Roman"/>
          <w:color w:val="auto"/>
          <w:highlight w:val="none"/>
        </w:rPr>
        <w:t>图1-3-1环境影响评价工作程序</w:t>
      </w:r>
    </w:p>
    <w:p w14:paraId="574AE69E">
      <w:pPr>
        <w:pStyle w:val="43"/>
        <w:rPr>
          <w:rFonts w:hint="default" w:ascii="Times New Roman" w:hAnsi="Times New Roman" w:cs="Times New Roman"/>
          <w:color w:val="auto"/>
          <w:highlight w:val="none"/>
        </w:rPr>
      </w:pPr>
      <w:bookmarkStart w:id="27" w:name="_Toc119316785"/>
      <w:bookmarkStart w:id="28" w:name="_Toc21350"/>
      <w:bookmarkStart w:id="29" w:name="_Toc488072911"/>
      <w:bookmarkStart w:id="30" w:name="_Toc29063"/>
      <w:bookmarkStart w:id="31" w:name="_Toc152926802"/>
      <w:bookmarkStart w:id="32" w:name="_Toc486932294"/>
      <w:r>
        <w:rPr>
          <w:rFonts w:hint="default" w:ascii="Times New Roman" w:hAnsi="Times New Roman" w:cs="Times New Roman"/>
          <w:color w:val="auto"/>
          <w:highlight w:val="none"/>
        </w:rPr>
        <w:t>1.4分析判定相关情况</w:t>
      </w:r>
      <w:bookmarkEnd w:id="27"/>
      <w:bookmarkEnd w:id="28"/>
      <w:bookmarkEnd w:id="29"/>
      <w:bookmarkEnd w:id="30"/>
      <w:bookmarkEnd w:id="31"/>
      <w:bookmarkEnd w:id="32"/>
    </w:p>
    <w:p w14:paraId="6F7E245F">
      <w:pPr>
        <w:pStyle w:val="41"/>
        <w:rPr>
          <w:rFonts w:hint="default" w:ascii="Times New Roman" w:hAnsi="Times New Roman" w:cs="Times New Roman"/>
          <w:color w:val="auto"/>
          <w:highlight w:val="none"/>
        </w:rPr>
      </w:pPr>
      <w:bookmarkStart w:id="33" w:name="_Toc15171"/>
      <w:r>
        <w:rPr>
          <w:rFonts w:hint="default" w:ascii="Times New Roman" w:hAnsi="Times New Roman" w:cs="Times New Roman"/>
          <w:color w:val="auto"/>
          <w:highlight w:val="none"/>
        </w:rPr>
        <w:t>1.4.1产业政策符合性分析</w:t>
      </w:r>
      <w:bookmarkEnd w:id="33"/>
    </w:p>
    <w:p w14:paraId="55463CB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产业结构调整指导目录（2024年本）》中鼓励类“四十二、环境保护与资源节约综合利用”中2、生态环境修复和资源利用中的矿山生态环境恢复工程”和10、工业“三废”循环利用：“三废”综合利用与治理技术、装备和工程，均属于产业政策中“鼓励类”项目，符合国家产业政策。</w:t>
      </w:r>
    </w:p>
    <w:p w14:paraId="0293D0B0">
      <w:pPr>
        <w:pStyle w:val="41"/>
        <w:rPr>
          <w:rFonts w:hint="default" w:ascii="Times New Roman" w:hAnsi="Times New Roman" w:cs="Times New Roman"/>
          <w:color w:val="auto"/>
          <w:highlight w:val="none"/>
        </w:rPr>
      </w:pPr>
      <w:bookmarkStart w:id="34" w:name="_Toc9998"/>
      <w:r>
        <w:rPr>
          <w:rFonts w:hint="default" w:ascii="Times New Roman" w:hAnsi="Times New Roman" w:cs="Times New Roman"/>
          <w:color w:val="auto"/>
          <w:highlight w:val="none"/>
        </w:rPr>
        <w:t>1.4.2与“</w:t>
      </w:r>
      <w:r>
        <w:rPr>
          <w:rFonts w:hint="default" w:ascii="Times New Roman" w:hAnsi="Times New Roman" w:cs="Times New Roman"/>
          <w:color w:val="auto"/>
          <w:highlight w:val="none"/>
          <w:lang w:val="en-US" w:eastAsia="zh-CN"/>
        </w:rPr>
        <w:t>生态环境分区管控</w:t>
      </w:r>
      <w:r>
        <w:rPr>
          <w:rFonts w:hint="default" w:ascii="Times New Roman" w:hAnsi="Times New Roman" w:cs="Times New Roman"/>
          <w:color w:val="auto"/>
          <w:highlight w:val="none"/>
        </w:rPr>
        <w:t>”的符合性分析</w:t>
      </w:r>
      <w:bookmarkEnd w:id="34"/>
    </w:p>
    <w:p w14:paraId="7BB996BF">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w:t>
      </w:r>
      <w:r>
        <w:rPr>
          <w:rFonts w:hint="default" w:ascii="Times New Roman" w:hAnsi="Times New Roman" w:cs="Times New Roman"/>
          <w:color w:val="auto"/>
          <w:highlight w:val="none"/>
        </w:rPr>
        <w:t>黑龙江省生态环境分区管控数据应用平台查询</w:t>
      </w:r>
      <w:r>
        <w:rPr>
          <w:rFonts w:hint="default" w:ascii="Times New Roman" w:hAnsi="Times New Roman" w:cs="Times New Roman"/>
          <w:bCs/>
          <w:color w:val="auto"/>
          <w:highlight w:val="none"/>
        </w:rPr>
        <w:t>以及鸡西市生态环境准入清单（2023年版）规定，结合本项目生产工艺、排污状况和区域环境及环境质量现状进行调查的基础上，本工程与“三线一单”符合性情况如下：</w:t>
      </w:r>
    </w:p>
    <w:p w14:paraId="19D9210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1、生态保护红线</w:t>
      </w:r>
    </w:p>
    <w:p w14:paraId="39D54C95">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本项目位于鸡西市</w:t>
      </w:r>
      <w:r>
        <w:rPr>
          <w:rFonts w:hint="default" w:ascii="Times New Roman" w:hAnsi="Times New Roman" w:cs="Times New Roman"/>
          <w:bCs/>
          <w:color w:val="auto"/>
          <w:highlight w:val="none"/>
          <w:lang w:val="en-US" w:eastAsia="zh-CN"/>
        </w:rPr>
        <w:t>滴道区</w:t>
      </w:r>
      <w:r>
        <w:rPr>
          <w:rFonts w:hint="default" w:ascii="Times New Roman" w:hAnsi="Times New Roman" w:cs="Times New Roman"/>
          <w:bCs/>
          <w:color w:val="auto"/>
          <w:highlight w:val="none"/>
        </w:rPr>
        <w:t>，项目选址均不涉及国家公园、自然保护区、森林公园、风景名胜区、地质公园、世界自然遗产、湿地公园、饮用水水源保护区、水产种质资源保护区以及其它类型禁止开发区域，根据与</w:t>
      </w:r>
      <w:r>
        <w:rPr>
          <w:rFonts w:hint="default" w:ascii="Times New Roman" w:hAnsi="Times New Roman" w:cs="Times New Roman"/>
          <w:color w:val="auto"/>
          <w:highlight w:val="none"/>
        </w:rPr>
        <w:t>黑龙江省“三区三线”划定矢量成果叠加</w:t>
      </w:r>
      <w:r>
        <w:rPr>
          <w:rFonts w:hint="default" w:ascii="Times New Roman" w:hAnsi="Times New Roman" w:cs="Times New Roman"/>
          <w:bCs/>
          <w:color w:val="auto"/>
          <w:highlight w:val="none"/>
        </w:rPr>
        <w:t>，本项目不在生态保护红线范围内。</w:t>
      </w:r>
    </w:p>
    <w:p w14:paraId="46E7C2B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2、环境质量底线</w:t>
      </w:r>
    </w:p>
    <w:p w14:paraId="44252D4F">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本项目位于鸡西市</w:t>
      </w:r>
      <w:r>
        <w:rPr>
          <w:rFonts w:hint="default" w:ascii="Times New Roman" w:hAnsi="Times New Roman" w:cs="Times New Roman"/>
          <w:bCs/>
          <w:color w:val="auto"/>
          <w:highlight w:val="none"/>
          <w:lang w:val="en-US" w:eastAsia="zh-CN"/>
        </w:rPr>
        <w:t>滴道区</w:t>
      </w:r>
      <w:r>
        <w:rPr>
          <w:rFonts w:hint="default" w:ascii="Times New Roman" w:hAnsi="Times New Roman" w:cs="Times New Roman"/>
          <w:bCs/>
          <w:color w:val="auto"/>
          <w:highlight w:val="none"/>
        </w:rPr>
        <w:t>，</w:t>
      </w:r>
      <w:r>
        <w:rPr>
          <w:rFonts w:hint="default" w:ascii="Times New Roman" w:hAnsi="Times New Roman" w:cs="Times New Roman"/>
          <w:color w:val="auto"/>
          <w:highlight w:val="none"/>
        </w:rPr>
        <w:t>根据《202</w:t>
      </w:r>
      <w:r>
        <w:rPr>
          <w:rFonts w:hint="eastAsia" w:cs="Times New Roman"/>
          <w:color w:val="auto"/>
          <w:highlight w:val="none"/>
          <w:lang w:val="en-US" w:eastAsia="zh-CN"/>
        </w:rPr>
        <w:t>4</w:t>
      </w:r>
      <w:r>
        <w:rPr>
          <w:rFonts w:hint="default" w:ascii="Times New Roman" w:hAnsi="Times New Roman" w:cs="Times New Roman"/>
          <w:color w:val="auto"/>
          <w:highlight w:val="none"/>
        </w:rPr>
        <w:t>年黑龙江省生态环境质量状况》，鸡西市各污染物平均浓度均优于《环境空气质量标准》（GB3095-2012）中二级标准限值，本项目所在区域属于达标区</w:t>
      </w:r>
      <w:r>
        <w:rPr>
          <w:rFonts w:hint="default" w:ascii="Times New Roman" w:hAnsi="Times New Roman" w:cs="Times New Roman"/>
          <w:bCs/>
          <w:color w:val="auto"/>
          <w:highlight w:val="none"/>
        </w:rPr>
        <w:t>。根据现状监测结果，项目区的TSP满足《环境空气质量标准》（GB3095-2012）及修改单二级标准；运输车辆采取加盖篷布、密封等措施，道路及时洒水降尘，</w:t>
      </w:r>
      <w:r>
        <w:rPr>
          <w:rFonts w:hint="default" w:ascii="Times New Roman" w:hAnsi="Times New Roman" w:cs="Times New Roman"/>
          <w:bCs/>
          <w:color w:val="auto"/>
          <w:highlight w:val="none"/>
          <w:lang w:val="en-US" w:eastAsia="zh-CN"/>
        </w:rPr>
        <w:t>粉煤灰</w:t>
      </w:r>
      <w:r>
        <w:rPr>
          <w:rFonts w:hint="default" w:ascii="Times New Roman" w:hAnsi="Times New Roman" w:cs="Times New Roman"/>
          <w:bCs/>
          <w:color w:val="auto"/>
          <w:highlight w:val="none"/>
        </w:rPr>
        <w:t>到场后按照指定点卸车，且做到随卸随填；根据项目地区实际天气情况制定合理的喷洒水制度，并严格执行；分单元作业，每日作业后对表面及时苫布覆盖，非作业面以及已碾实的</w:t>
      </w:r>
      <w:r>
        <w:rPr>
          <w:rFonts w:hint="default" w:ascii="Times New Roman" w:hAnsi="Times New Roman" w:cs="Times New Roman"/>
          <w:bCs/>
          <w:color w:val="auto"/>
          <w:highlight w:val="none"/>
          <w:lang w:val="en-US" w:eastAsia="zh-CN"/>
        </w:rPr>
        <w:t>粉煤灰</w:t>
      </w:r>
      <w:r>
        <w:rPr>
          <w:rFonts w:hint="default" w:ascii="Times New Roman" w:hAnsi="Times New Roman" w:cs="Times New Roman"/>
          <w:bCs/>
          <w:color w:val="auto"/>
          <w:highlight w:val="none"/>
        </w:rPr>
        <w:t>表面采用苫布覆盖；对大风等特殊气象条件，停止作业，并加大洒水强度。在采取上述措施后，场界颗粒物浓度可达到《大气污染物综合排放标准》（GB16297-1996）中的表2无组织排放监控浓度限值，不会对大气环境质量现状造成不良影响，不会突破大气环境质量底线。</w:t>
      </w:r>
    </w:p>
    <w:p w14:paraId="58A808C7">
      <w:pPr>
        <w:pStyle w:val="27"/>
        <w:ind w:firstLine="48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rPr>
        <w:t>本项目所在区域地表水体为</w:t>
      </w:r>
      <w:r>
        <w:rPr>
          <w:rFonts w:hint="default" w:ascii="Times New Roman" w:hAnsi="Times New Roman" w:cs="Times New Roman"/>
          <w:bCs/>
          <w:color w:val="auto"/>
          <w:highlight w:val="none"/>
          <w:lang w:val="en-US" w:eastAsia="zh-CN"/>
        </w:rPr>
        <w:t>牤牛</w:t>
      </w:r>
      <w:r>
        <w:rPr>
          <w:rFonts w:hint="default" w:ascii="Times New Roman" w:hAnsi="Times New Roman" w:cs="Times New Roman"/>
          <w:bCs/>
          <w:color w:val="auto"/>
          <w:highlight w:val="none"/>
        </w:rPr>
        <w:t>河，根据黑龙江省生态环境厅《202</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年黑龙江省生态环境质量状况》，鸡西市地表水国家考核断面共8个，Ⅰ - Ⅲ类水质比例为62.5%，无劣V类水质断面。与上年同期相比，Ⅰ - Ⅲ类水质比例上升12.5个百分点，均无劣 V 类水质断面。小兴凯湖的水质状况为轻度污染，兴凯湖的水质状况为中度污染。鸡西市饮用水水源地水量达标率为100%。穆棱河水质现状为Ⅲ类水体，满足水体功能区规划目标Ⅲ类标准要求。</w:t>
      </w:r>
      <w:r>
        <w:rPr>
          <w:rFonts w:hint="default" w:ascii="Times New Roman" w:hAnsi="Times New Roman" w:cs="Times New Roman"/>
          <w:bCs/>
          <w:color w:val="auto"/>
          <w:highlight w:val="none"/>
          <w:lang w:val="en-US" w:eastAsia="zh-CN"/>
        </w:rPr>
        <w:t>本项目位于水环境农业污染重点管控区，本项目无废水排放。</w:t>
      </w:r>
    </w:p>
    <w:p w14:paraId="61481932">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因此不会对区域水环境造成影响，不会突破水环境质量底线。</w:t>
      </w:r>
    </w:p>
    <w:p w14:paraId="25FB89C7">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现状监测结果，本项目监测的噪声均符合《声环境质量标准》（GB3096-2008）1类标准；选用低噪声的运输车辆、作业设备，将噪声设备尽量布置在场区中间或远离周边敏感点的区域，加强生产管理，在严格履行上述措施后，本项目厂界噪声能够满足《工业企业厂界环境噪声排放标准》（GB12348-2008）中表1的1类标准</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敏感点能够满足</w:t>
      </w:r>
      <w:r>
        <w:rPr>
          <w:rFonts w:hint="default" w:ascii="Times New Roman" w:hAnsi="Times New Roman" w:cs="Times New Roman"/>
          <w:bCs/>
          <w:color w:val="auto"/>
          <w:highlight w:val="none"/>
        </w:rPr>
        <w:t>《声环境质量标准》（GB3096-2008）1</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类标准。</w:t>
      </w:r>
    </w:p>
    <w:p w14:paraId="3DE15F60">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本项目施工期生活垃圾交由市政部门统一处理。</w:t>
      </w:r>
    </w:p>
    <w:p w14:paraId="0A14B5AD">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本项目区现状为废弃矿坑，生态环境较差，项目实施后进行覆土</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恢复为耕地</w:t>
      </w:r>
      <w:r>
        <w:rPr>
          <w:rFonts w:hint="default" w:ascii="Times New Roman" w:hAnsi="Times New Roman" w:cs="Times New Roman"/>
          <w:bCs/>
          <w:color w:val="auto"/>
          <w:highlight w:val="none"/>
        </w:rPr>
        <w:t>，生态环境将有所好转。</w:t>
      </w:r>
    </w:p>
    <w:p w14:paraId="578A727B">
      <w:pPr>
        <w:pStyle w:val="27"/>
        <w:bidi w:val="0"/>
        <w:rPr>
          <w:rFonts w:hint="default" w:ascii="Times New Roman" w:hAnsi="Times New Roman" w:cs="Times New Roman"/>
          <w:color w:val="auto"/>
          <w:highlight w:val="none"/>
        </w:rPr>
      </w:pPr>
      <w:r>
        <w:rPr>
          <w:rFonts w:hint="default" w:ascii="Times New Roman" w:hAnsi="Times New Roman" w:cs="Times New Roman"/>
          <w:bCs/>
          <w:color w:val="auto"/>
          <w:highlight w:val="none"/>
        </w:rPr>
        <w:t>综上所述，本项目的污染物采取一定环保措施后，对周围环境影响较小，不会突破</w:t>
      </w:r>
      <w:r>
        <w:rPr>
          <w:rFonts w:hint="default" w:ascii="Times New Roman" w:hAnsi="Times New Roman" w:cs="Times New Roman"/>
          <w:color w:val="auto"/>
          <w:highlight w:val="none"/>
        </w:rPr>
        <w:t>环境质量底线要求。</w:t>
      </w:r>
    </w:p>
    <w:p w14:paraId="7556C13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3、资源利用上线符合性分析</w:t>
      </w:r>
    </w:p>
    <w:p w14:paraId="1C3EF70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本项目施工期间会产生一定的水源等资源的消耗，生活用水采用瓶装饮用水，相对于区域水资源来说用量较小；本项目用水主要为</w:t>
      </w:r>
      <w:r>
        <w:rPr>
          <w:rFonts w:hint="default" w:ascii="Times New Roman" w:hAnsi="Times New Roman" w:cs="Times New Roman"/>
          <w:color w:val="auto"/>
          <w:highlight w:val="none"/>
          <w:lang w:val="en-US" w:eastAsia="zh-CN"/>
        </w:rPr>
        <w:t>施工场地洒水抑尘用水、道路洒水及回填作业区洒水抑尘用水由罐车拉运来的市政新鲜水</w:t>
      </w:r>
      <w:r>
        <w:rPr>
          <w:rFonts w:hint="default" w:ascii="Times New Roman" w:hAnsi="Times New Roman" w:cs="Times New Roman"/>
          <w:color w:val="auto"/>
          <w:highlight w:val="none"/>
        </w:rPr>
        <w:t>，能够满足本项目用水需求。本项目利用</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作为回填材料进行废弃采坑治理，可以恢复采矿破坏的土地使用功能，充分利用土地资源，生态环境将得到进一步改善；综上项目消耗资源对于区域资源利用总量较少，符合资源利用上线要求。</w:t>
      </w:r>
    </w:p>
    <w:p w14:paraId="3696B8C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4、环境准入清单符合性分析</w:t>
      </w:r>
    </w:p>
    <w:p w14:paraId="2C918649">
      <w:pPr>
        <w:pStyle w:val="27"/>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区，根据</w:t>
      </w:r>
      <w:bookmarkStart w:id="35" w:name="OLE_LINK12"/>
      <w:r>
        <w:rPr>
          <w:rFonts w:hint="default" w:ascii="Times New Roman" w:hAnsi="Times New Roman" w:cs="Times New Roman"/>
          <w:color w:val="auto"/>
          <w:highlight w:val="none"/>
        </w:rPr>
        <w:t>黑龙江省生态环境分区管控数据应用平台</w:t>
      </w:r>
      <w:bookmarkEnd w:id="35"/>
      <w:r>
        <w:rPr>
          <w:rFonts w:hint="default" w:ascii="Times New Roman" w:hAnsi="Times New Roman" w:cs="Times New Roman"/>
          <w:color w:val="auto"/>
          <w:highlight w:val="none"/>
        </w:rPr>
        <w:t>和鸡西市生态环境准入清单（2023年版），本项目</w:t>
      </w:r>
      <w:bookmarkStart w:id="36" w:name="OLE_LINK6"/>
      <w:r>
        <w:rPr>
          <w:rFonts w:hint="default" w:ascii="Times New Roman" w:hAnsi="Times New Roman" w:cs="Times New Roman"/>
          <w:color w:val="auto"/>
          <w:highlight w:val="none"/>
          <w:lang w:val="en-US" w:eastAsia="zh-CN"/>
        </w:rPr>
        <w:t>所在管控单元符合性分析见下表。</w:t>
      </w:r>
    </w:p>
    <w:p w14:paraId="6161B033">
      <w:pPr>
        <w:pStyle w:val="2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表1-4-1  </w:t>
      </w:r>
      <w:bookmarkEnd w:id="36"/>
      <w:bookmarkStart w:id="37" w:name="OLE_LINK7"/>
      <w:bookmarkStart w:id="38" w:name="OLE_LINK9"/>
      <w:r>
        <w:rPr>
          <w:rFonts w:hint="default" w:ascii="Times New Roman" w:hAnsi="Times New Roman" w:cs="Times New Roman"/>
          <w:color w:val="auto"/>
          <w:highlight w:val="none"/>
          <w:lang w:val="en-US" w:eastAsia="zh-CN"/>
        </w:rPr>
        <w:t>本</w:t>
      </w:r>
      <w:r>
        <w:rPr>
          <w:rFonts w:hint="default" w:ascii="Times New Roman" w:hAnsi="Times New Roman" w:cs="Times New Roman"/>
          <w:bCs/>
          <w:color w:val="auto"/>
          <w:highlight w:val="none"/>
          <w:lang w:eastAsia="zh-CN"/>
        </w:rPr>
        <w:t>项目区</w:t>
      </w:r>
      <w:r>
        <w:rPr>
          <w:rFonts w:hint="default" w:ascii="Times New Roman" w:hAnsi="Times New Roman" w:cs="Times New Roman"/>
          <w:color w:val="auto"/>
          <w:highlight w:val="none"/>
        </w:rPr>
        <w:t>生态环境准入清单管控要求符合性分析</w:t>
      </w:r>
    </w:p>
    <w:tbl>
      <w:tblPr>
        <w:tblStyle w:val="24"/>
        <w:tblW w:w="9055"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108" w:type="dxa"/>
          <w:bottom w:w="0" w:type="dxa"/>
          <w:right w:w="108" w:type="dxa"/>
        </w:tblCellMar>
      </w:tblPr>
      <w:tblGrid>
        <w:gridCol w:w="336"/>
        <w:gridCol w:w="462"/>
        <w:gridCol w:w="470"/>
        <w:gridCol w:w="710"/>
        <w:gridCol w:w="4970"/>
        <w:gridCol w:w="2107"/>
      </w:tblGrid>
      <w:tr w14:paraId="4993B68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90" w:hRule="atLeast"/>
        </w:trPr>
        <w:tc>
          <w:tcPr>
            <w:tcW w:w="336" w:type="dxa"/>
            <w:tcBorders>
              <w:tl2br w:val="nil"/>
              <w:tr2bl w:val="nil"/>
            </w:tcBorders>
            <w:shd w:val="clear" w:color="auto" w:fill="auto"/>
            <w:vAlign w:val="center"/>
          </w:tcPr>
          <w:p w14:paraId="7BB17D20">
            <w:pPr>
              <w:pStyle w:val="46"/>
              <w:bidi w:val="0"/>
              <w:jc w:val="center"/>
              <w:rPr>
                <w:rFonts w:hint="default" w:ascii="Times New Roman" w:hAnsi="Times New Roman" w:cs="Times New Roman"/>
                <w:color w:val="auto"/>
                <w:highlight w:val="none"/>
              </w:rPr>
            </w:pPr>
            <w:bookmarkStart w:id="39" w:name="OLE_LINK13"/>
            <w:r>
              <w:rPr>
                <w:rFonts w:hint="default" w:ascii="Times New Roman" w:hAnsi="Times New Roman" w:cs="Times New Roman"/>
                <w:color w:val="auto"/>
                <w:highlight w:val="none"/>
              </w:rPr>
              <w:t>管控单元编码</w:t>
            </w:r>
          </w:p>
        </w:tc>
        <w:tc>
          <w:tcPr>
            <w:tcW w:w="462" w:type="dxa"/>
            <w:tcBorders>
              <w:tl2br w:val="nil"/>
              <w:tr2bl w:val="nil"/>
            </w:tcBorders>
            <w:shd w:val="clear" w:color="auto" w:fill="auto"/>
            <w:vAlign w:val="center"/>
          </w:tcPr>
          <w:p w14:paraId="631A2457">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环境管控单元名称</w:t>
            </w:r>
          </w:p>
        </w:tc>
        <w:tc>
          <w:tcPr>
            <w:tcW w:w="470" w:type="dxa"/>
            <w:tcBorders>
              <w:tl2br w:val="nil"/>
              <w:tr2bl w:val="nil"/>
            </w:tcBorders>
            <w:shd w:val="clear" w:color="auto" w:fill="auto"/>
            <w:vAlign w:val="center"/>
          </w:tcPr>
          <w:p w14:paraId="7CF1173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管控单元类别</w:t>
            </w:r>
          </w:p>
        </w:tc>
        <w:tc>
          <w:tcPr>
            <w:tcW w:w="5680" w:type="dxa"/>
            <w:gridSpan w:val="2"/>
            <w:tcBorders>
              <w:tl2br w:val="nil"/>
              <w:tr2bl w:val="nil"/>
            </w:tcBorders>
            <w:shd w:val="clear" w:color="auto" w:fill="auto"/>
            <w:vAlign w:val="center"/>
          </w:tcPr>
          <w:p w14:paraId="48146B4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2107" w:type="dxa"/>
            <w:tcBorders>
              <w:tl2br w:val="nil"/>
              <w:tr2bl w:val="nil"/>
            </w:tcBorders>
            <w:shd w:val="clear" w:color="auto" w:fill="auto"/>
            <w:vAlign w:val="center"/>
          </w:tcPr>
          <w:p w14:paraId="5263612C">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3A5C08B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410" w:hRule="atLeast"/>
        </w:trPr>
        <w:tc>
          <w:tcPr>
            <w:tcW w:w="336" w:type="dxa"/>
            <w:tcBorders>
              <w:tl2br w:val="nil"/>
              <w:tr2bl w:val="nil"/>
            </w:tcBorders>
            <w:shd w:val="clear" w:color="auto" w:fill="auto"/>
            <w:vAlign w:val="center"/>
          </w:tcPr>
          <w:p w14:paraId="42CEB901">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ZH230</w:t>
            </w:r>
            <w:r>
              <w:rPr>
                <w:rFonts w:hint="default" w:ascii="Times New Roman" w:hAnsi="Times New Roman" w:cs="Times New Roman"/>
                <w:color w:val="auto"/>
                <w:highlight w:val="none"/>
                <w:lang w:val="en-US" w:eastAsia="zh-CN"/>
              </w:rPr>
              <w:t>410002</w:t>
            </w:r>
          </w:p>
        </w:tc>
        <w:tc>
          <w:tcPr>
            <w:tcW w:w="462" w:type="dxa"/>
            <w:tcBorders>
              <w:tl2br w:val="nil"/>
              <w:tr2bl w:val="nil"/>
            </w:tcBorders>
            <w:shd w:val="clear" w:color="auto" w:fill="auto"/>
            <w:vAlign w:val="center"/>
          </w:tcPr>
          <w:p w14:paraId="0F9C324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滴道区</w:t>
            </w:r>
            <w:r>
              <w:rPr>
                <w:rFonts w:hint="default" w:ascii="Times New Roman" w:hAnsi="Times New Roman" w:cs="Times New Roman"/>
                <w:color w:val="auto"/>
                <w:highlight w:val="none"/>
              </w:rPr>
              <w:t>一般生态空间</w:t>
            </w:r>
          </w:p>
        </w:tc>
        <w:tc>
          <w:tcPr>
            <w:tcW w:w="470" w:type="dxa"/>
            <w:tcBorders>
              <w:tl2br w:val="nil"/>
              <w:tr2bl w:val="nil"/>
            </w:tcBorders>
            <w:shd w:val="clear" w:color="auto" w:fill="auto"/>
            <w:vAlign w:val="center"/>
          </w:tcPr>
          <w:p w14:paraId="7641C29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710" w:type="dxa"/>
            <w:tcBorders>
              <w:tl2br w:val="nil"/>
              <w:tr2bl w:val="nil"/>
            </w:tcBorders>
            <w:shd w:val="clear" w:color="auto" w:fill="auto"/>
            <w:vAlign w:val="center"/>
          </w:tcPr>
          <w:p w14:paraId="53D394F7">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970" w:type="dxa"/>
            <w:tcBorders>
              <w:tl2br w:val="nil"/>
              <w:tr2bl w:val="nil"/>
            </w:tcBorders>
            <w:shd w:val="clear" w:color="auto" w:fill="auto"/>
            <w:vAlign w:val="center"/>
          </w:tcPr>
          <w:p w14:paraId="30DF0FA2">
            <w:pPr>
              <w:pStyle w:val="46"/>
              <w:numPr>
                <w:ilvl w:val="0"/>
                <w:numId w:val="1"/>
              </w:num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同时执行： （1）原则上按限制开发区域的要求进行管理。严格限制与生态功能不一致的开发建设活动。符合区域准入条件的新增建设项目，涉及占用生态空间中的林地、草原等， 按有关法律法规规定办理；涉及占用生态空间中其他未作明确规定的用地，应当加强论证和管理。符合条件的农业开发项目，须依法由市县级及以上地方人民政府统筹安排。除符合国 家生态退耕条件的耕地，并纳入国家生态退耕总体安排，或因国家重大生态工程建设需要外，不得随意转用。 （2）对依法保护的生态空间实行承载力控制，防止过度垦殖、放牧、 采伐、取水、渔猎、旅游等对生态功能造成损害，确保自然生态系统的稳定。（3）避免开发建设活动损害其生态服务功能和生态产品质量。 （4）已经侵占生态空间的，应建立退出机制、制定治理方案及时间表。</w:t>
            </w:r>
          </w:p>
          <w:p w14:paraId="7706ADDB">
            <w:pPr>
              <w:pStyle w:val="46"/>
              <w:numPr>
                <w:ilvl w:val="0"/>
                <w:numId w:val="0"/>
              </w:numPr>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2.鸡西市团山子水库饮用水水源同时执行 （1）饮用水地表水源各级保护区及准保护区内均必须遵守下列规定： ①禁止一切破坏水环境生态平衡的 活动以及破坏水源林、护岸林、与水源保护相关植被的活动。 ②禁止向水域倾倒工业废 渣、城市垃圾、粪便及其它废弃物。 ③运输有毒有害物质、油类、粪便的船舶和车辆一般 不准进入保护区，必须进入者应事先申请并经有关部门批准、登记并设置防渗、防溢、防漏 设施。 ④禁止使用剧毒和高残留农药，不得滥用化肥，不得使用炸药、毒品捕杀鱼类。 ⑤ 禁止建设畜禽养殖场、养殖小区。 ⑥禁止设置排污口。 （2）饮用水地表水源各级保护区及准保护区内必须分别遵守下列规定： ①一级保护区内：禁止新建、扩建与供水设施和保 护水源无关的建设项目，已建成的与供水设施和保护水源无关的建设项目，由县级以上人民 政府责令拆除或者关闭；禁止向水域排放污水，已设置的排污口必须拆除；不得设置与供水需要无关的码头，禁止停靠船舶；禁止堆置和存放工业废渣、城市垃圾、粪便和其他废弃 物；禁止设置油库；禁止从事种植、放养畜禽和网箱养殖活动；禁止可能污染水源的旅游活动和其他活动。 ②二级保护区内：禁止新建、改建、扩建排放污染物的建设项目，已建成的排放污染物的建设项目，由县级以上人民政府责令拆除或者关闭；原有排污口依法拆除或 者关闭；禁止设立装卸垃圾、粪便、油类和有毒物品的码头。 ③准保护区内：禁止新建、 扩建对水体污染严重的建设项目；改建建设项目，不得增加排污量。 （3）国务院和省、自 治区、直辖市人民政府根据水环境保护的需要，可以规定在饮用水水源保护区内，采取禁止 或者限制使用含磷洗涤剂、化肥、农药以及限制种植养殖等措施。 （4）饮用水地下水源各级保护区及准保护区内均必须遵守下列规定：禁止利用渗坑、渗井、裂隙、溶洞等排放污水 和其它有害废弃物；禁止利用透水层孔隙、裂隙、溶洞及废弃矿坑储存石油、天然气、放射 性物质、有毒有害化工原料、农药等；实行人工回灌地下水时不得污染当地地下水源。 ① 一级保护区内：禁止建设与取水设施无关的建筑物；禁止从事农牧业活动；禁止倾倒、堆放 工业废渣及城市垃圾、粪便和其它有害废弃物；禁止输送污水的渠道、管道及输油管道通过 本区；禁止建设油库；禁止建立墓地。②二级保护区内：（a）对于潜水含水层地下水水源 地：禁止建设化工、电镀、皮革、造纸、制浆、冶炼、放射性、印染、染料、炼焦、炼油及其它有严重污染的企业，已建成的要限期治理，转产或搬迁；禁止设置城市垃圾、粪便和易 溶、有毒有害废弃物堆放场和转运站，已有的上述场站要限期搬迁；禁止利用未经净化的污 水灌溉农田，已有的污灌农田要限期改用清水灌溉；化工原料、矿物油类及有毒有害矿产品 的堆放场所必须有防雨、防渗措施。（b）对于承压含水层地下水水源地：禁止承压水和潜 水的混合开采，作好潜水的止水措施。（c）准保护区内：禁止建设城市垃圾、粪便和易 溶、有毒有害废弃物的堆放场站，因特殊需要设立转运站的，必须经有关部门批准，并采取 防渗漏措施；当补给源为地表水体时，该地表水体水质不应低于《地表水环境质量标准》Ⅲ 类标准；不得使用不符合《农田灌溉水质标准》的污水进行灌溉，合理使用化肥；保护水源林，禁止毁林开荒，禁止非更新砍伐水源林。</w:t>
            </w:r>
          </w:p>
        </w:tc>
        <w:tc>
          <w:tcPr>
            <w:tcW w:w="2107" w:type="dxa"/>
            <w:tcBorders>
              <w:tl2br w:val="nil"/>
              <w:tr2bl w:val="nil"/>
            </w:tcBorders>
            <w:shd w:val="clear" w:color="auto" w:fill="auto"/>
            <w:vAlign w:val="center"/>
          </w:tcPr>
          <w:p w14:paraId="56489A80">
            <w:pPr>
              <w:pStyle w:val="46"/>
              <w:bidi w:val="0"/>
              <w:jc w:val="center"/>
              <w:rPr>
                <w:rFonts w:hint="default" w:ascii="Times New Roman" w:hAnsi="Times New Roman" w:cs="Times New Roman"/>
                <w:color w:val="auto"/>
                <w:highlight w:val="none"/>
              </w:rPr>
            </w:pPr>
            <w:bookmarkStart w:id="40" w:name="OLE_LINK10"/>
            <w:r>
              <w:rPr>
                <w:rFonts w:hint="default" w:ascii="Times New Roman" w:hAnsi="Times New Roman" w:cs="Times New Roman"/>
                <w:color w:val="auto"/>
                <w:highlight w:val="none"/>
              </w:rPr>
              <w:t>本项目为矿山生态修复项目，不属于开发项目，</w:t>
            </w:r>
            <w:r>
              <w:rPr>
                <w:rFonts w:hint="default" w:ascii="Times New Roman" w:hAnsi="Times New Roman" w:cs="Times New Roman"/>
                <w:color w:val="auto"/>
                <w:highlight w:val="none"/>
                <w:lang w:val="en-US" w:eastAsia="zh-CN"/>
              </w:rPr>
              <w:t>复垦为耕地及林地，占用优先保护单元的区域主要复垦为耕地。</w:t>
            </w:r>
            <w:r>
              <w:rPr>
                <w:rFonts w:hint="default" w:ascii="Times New Roman" w:hAnsi="Times New Roman" w:cs="Times New Roman"/>
                <w:color w:val="auto"/>
                <w:highlight w:val="none"/>
                <w:lang w:val="zh-CN"/>
              </w:rPr>
              <w:t>本项目运营期废气主要为回填</w:t>
            </w:r>
            <w:r>
              <w:rPr>
                <w:rFonts w:hint="default" w:ascii="Times New Roman" w:hAnsi="Times New Roman" w:cs="Times New Roman"/>
                <w:color w:val="auto"/>
                <w:highlight w:val="none"/>
              </w:rPr>
              <w:t>及建设排水沟等</w:t>
            </w:r>
            <w:r>
              <w:rPr>
                <w:rFonts w:hint="default" w:ascii="Times New Roman" w:hAnsi="Times New Roman" w:cs="Times New Roman"/>
                <w:color w:val="auto"/>
                <w:highlight w:val="none"/>
                <w:lang w:val="zh-CN"/>
              </w:rPr>
              <w:t>过程产生的扬尘，经洒水降尘</w:t>
            </w:r>
            <w:r>
              <w:rPr>
                <w:rFonts w:hint="default" w:ascii="Times New Roman" w:hAnsi="Times New Roman" w:cs="Times New Roman"/>
                <w:color w:val="auto"/>
                <w:highlight w:val="none"/>
              </w:rPr>
              <w:t>等措施</w:t>
            </w:r>
            <w:r>
              <w:rPr>
                <w:rFonts w:hint="default" w:ascii="Times New Roman" w:hAnsi="Times New Roman" w:cs="Times New Roman"/>
                <w:color w:val="auto"/>
                <w:highlight w:val="none"/>
                <w:lang w:val="zh-CN"/>
              </w:rPr>
              <w:t>后对周围环境影响较小，道路运输过程中采用密闭运输方式。本项目回填区不设置办公区，无生活污水产生；</w:t>
            </w:r>
            <w:r>
              <w:rPr>
                <w:rFonts w:hint="default" w:ascii="Times New Roman" w:hAnsi="Times New Roman" w:cs="Times New Roman"/>
                <w:color w:val="auto"/>
                <w:highlight w:val="none"/>
              </w:rPr>
              <w:t>回填</w:t>
            </w:r>
            <w:r>
              <w:rPr>
                <w:rFonts w:hint="default" w:ascii="Times New Roman" w:hAnsi="Times New Roman" w:cs="Times New Roman"/>
                <w:color w:val="auto"/>
                <w:highlight w:val="none"/>
                <w:lang w:val="zh-CN"/>
              </w:rPr>
              <w:t>期产生的淋溶液对地下水影响可以接受；回填过程主要是推土机、挖掘机、压实机等装置，通过选用低噪声、低振动设备、加强车辆维护保养、避免夜间操作等措施后对周围环境影响较小。本项目</w:t>
            </w:r>
            <w:r>
              <w:rPr>
                <w:rFonts w:hint="default" w:ascii="Times New Roman" w:hAnsi="Times New Roman" w:cs="Times New Roman"/>
                <w:color w:val="auto"/>
                <w:highlight w:val="none"/>
              </w:rPr>
              <w:t>回填复垦过程</w:t>
            </w:r>
            <w:r>
              <w:rPr>
                <w:rFonts w:hint="default" w:ascii="Times New Roman" w:hAnsi="Times New Roman" w:cs="Times New Roman"/>
                <w:color w:val="auto"/>
                <w:highlight w:val="none"/>
                <w:lang w:val="zh-CN"/>
              </w:rPr>
              <w:t>虽然会产生一定的污染物，但在采取以上污染防治措施后，各类污染物的排放对周边环境</w:t>
            </w: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val="zh-CN"/>
              </w:rPr>
              <w:t>，即不会改变区域环境功能区质量要求，能维持环境功能区质量现状，能够满足环境质量底线的要求。本项目区现状为废弃</w:t>
            </w:r>
            <w:r>
              <w:rPr>
                <w:rFonts w:hint="default" w:ascii="Times New Roman" w:hAnsi="Times New Roman" w:cs="Times New Roman"/>
                <w:color w:val="auto"/>
                <w:highlight w:val="none"/>
                <w:lang w:val="en-US" w:eastAsia="zh-CN"/>
              </w:rPr>
              <w:t>采石</w:t>
            </w:r>
            <w:r>
              <w:rPr>
                <w:rFonts w:hint="default" w:ascii="Times New Roman" w:hAnsi="Times New Roman" w:cs="Times New Roman"/>
                <w:color w:val="auto"/>
                <w:highlight w:val="none"/>
                <w:lang w:val="zh-CN"/>
              </w:rPr>
              <w:t>坑，生态环境较差，封场后进行覆土</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val="zh-CN"/>
              </w:rPr>
              <w:t>，恢复成</w:t>
            </w:r>
            <w:r>
              <w:rPr>
                <w:rFonts w:hint="default" w:ascii="Times New Roman" w:hAnsi="Times New Roman" w:cs="Times New Roman"/>
                <w:color w:val="auto"/>
                <w:highlight w:val="none"/>
                <w:lang w:val="en-US" w:eastAsia="zh-CN"/>
              </w:rPr>
              <w:t>耕地及</w:t>
            </w:r>
            <w:r>
              <w:rPr>
                <w:rFonts w:hint="default" w:ascii="Times New Roman" w:hAnsi="Times New Roman" w:cs="Times New Roman"/>
                <w:color w:val="auto"/>
                <w:highlight w:val="none"/>
              </w:rPr>
              <w:t>林</w:t>
            </w:r>
            <w:r>
              <w:rPr>
                <w:rFonts w:hint="default" w:ascii="Times New Roman" w:hAnsi="Times New Roman" w:cs="Times New Roman"/>
                <w:color w:val="auto"/>
                <w:highlight w:val="none"/>
                <w:lang w:val="zh-CN"/>
              </w:rPr>
              <w:t>地，生态环境好转</w:t>
            </w:r>
            <w:bookmarkEnd w:id="40"/>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rPr>
              <w:t>本项目建设符合管控要求。</w:t>
            </w:r>
          </w:p>
        </w:tc>
      </w:tr>
      <w:tr w14:paraId="729F182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943" w:hRule="atLeast"/>
        </w:trPr>
        <w:tc>
          <w:tcPr>
            <w:tcW w:w="336" w:type="dxa"/>
            <w:vMerge w:val="restart"/>
            <w:tcBorders>
              <w:tl2br w:val="nil"/>
              <w:tr2bl w:val="nil"/>
            </w:tcBorders>
            <w:shd w:val="clear" w:color="auto" w:fill="auto"/>
            <w:vAlign w:val="center"/>
          </w:tcPr>
          <w:p w14:paraId="77C79472">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ZH23030</w:t>
            </w:r>
            <w:r>
              <w:rPr>
                <w:rFonts w:hint="default" w:ascii="Times New Roman" w:hAnsi="Times New Roman" w:cs="Times New Roman"/>
                <w:color w:val="auto"/>
                <w:highlight w:val="none"/>
                <w:lang w:val="en-US" w:eastAsia="zh-CN"/>
              </w:rPr>
              <w:t>420004</w:t>
            </w:r>
          </w:p>
        </w:tc>
        <w:tc>
          <w:tcPr>
            <w:tcW w:w="462" w:type="dxa"/>
            <w:vMerge w:val="restart"/>
            <w:tcBorders>
              <w:tl2br w:val="nil"/>
              <w:tr2bl w:val="nil"/>
            </w:tcBorders>
            <w:shd w:val="clear" w:color="auto" w:fill="auto"/>
            <w:vAlign w:val="center"/>
          </w:tcPr>
          <w:p w14:paraId="3E96C131">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滴道区水环境工业污染重点管控区</w:t>
            </w:r>
          </w:p>
        </w:tc>
        <w:tc>
          <w:tcPr>
            <w:tcW w:w="470" w:type="dxa"/>
            <w:vMerge w:val="restart"/>
            <w:tcBorders>
              <w:tl2br w:val="nil"/>
              <w:tr2bl w:val="nil"/>
            </w:tcBorders>
            <w:shd w:val="clear" w:color="auto" w:fill="auto"/>
            <w:vAlign w:val="center"/>
          </w:tcPr>
          <w:p w14:paraId="387E3E4E">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重点管控单元</w:t>
            </w:r>
          </w:p>
        </w:tc>
        <w:tc>
          <w:tcPr>
            <w:tcW w:w="710" w:type="dxa"/>
            <w:tcBorders>
              <w:tl2br w:val="nil"/>
              <w:tr2bl w:val="nil"/>
            </w:tcBorders>
            <w:shd w:val="clear" w:color="auto" w:fill="auto"/>
            <w:vAlign w:val="center"/>
          </w:tcPr>
          <w:p w14:paraId="5E29177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970" w:type="dxa"/>
            <w:tcBorders>
              <w:tl2br w:val="nil"/>
              <w:tr2bl w:val="nil"/>
            </w:tcBorders>
            <w:shd w:val="clear" w:color="auto" w:fill="auto"/>
            <w:vAlign w:val="center"/>
          </w:tcPr>
          <w:p w14:paraId="6975337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1.同时执行： （1）区域内严格控制高耗水、高污染行业发展。 （2）加快淘汰落后产能，大力推进产业结构调整和优化升级。 （3）根据水资源和水环境承载能力，以水定城、以水定地、以水定人、以水定产。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107" w:type="dxa"/>
            <w:vMerge w:val="restart"/>
            <w:tcBorders>
              <w:tl2br w:val="nil"/>
              <w:tr2bl w:val="nil"/>
            </w:tcBorders>
            <w:shd w:val="clear" w:color="auto" w:fill="auto"/>
            <w:vAlign w:val="center"/>
          </w:tcPr>
          <w:p w14:paraId="50449899">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本项目为矿山生态修复项目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不属于高耗水、高污染行业，不属于两高项目。不建设锅炉及工业窑炉。</w:t>
            </w:r>
            <w:r>
              <w:rPr>
                <w:rFonts w:hint="default" w:ascii="Times New Roman" w:hAnsi="Times New Roman" w:cs="Times New Roman"/>
                <w:color w:val="auto"/>
                <w:highlight w:val="none"/>
              </w:rPr>
              <w:t>本项目建设符合管控要求。</w:t>
            </w:r>
          </w:p>
        </w:tc>
      </w:tr>
      <w:tr w14:paraId="16025DE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874" w:hRule="atLeast"/>
        </w:trPr>
        <w:tc>
          <w:tcPr>
            <w:tcW w:w="336" w:type="dxa"/>
            <w:vMerge w:val="continue"/>
            <w:tcBorders>
              <w:tl2br w:val="nil"/>
              <w:tr2bl w:val="nil"/>
            </w:tcBorders>
            <w:shd w:val="clear" w:color="auto" w:fill="auto"/>
            <w:vAlign w:val="center"/>
          </w:tcPr>
          <w:p w14:paraId="5C6E393A">
            <w:pPr>
              <w:pStyle w:val="46"/>
              <w:bidi w:val="0"/>
              <w:jc w:val="center"/>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0B965498">
            <w:pPr>
              <w:pStyle w:val="46"/>
              <w:bidi w:val="0"/>
              <w:jc w:val="center"/>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2137FBA0">
            <w:pPr>
              <w:pStyle w:val="46"/>
              <w:bidi w:val="0"/>
              <w:jc w:val="center"/>
              <w:rPr>
                <w:rFonts w:hint="default" w:ascii="Times New Roman" w:hAnsi="Times New Roman" w:cs="Times New Roman"/>
                <w:color w:val="auto"/>
                <w:highlight w:val="none"/>
              </w:rPr>
            </w:pPr>
          </w:p>
        </w:tc>
        <w:tc>
          <w:tcPr>
            <w:tcW w:w="710" w:type="dxa"/>
            <w:tcBorders>
              <w:tl2br w:val="nil"/>
              <w:tr2bl w:val="nil"/>
            </w:tcBorders>
            <w:shd w:val="clear" w:color="auto" w:fill="auto"/>
            <w:vAlign w:val="center"/>
          </w:tcPr>
          <w:p w14:paraId="7BBCE9A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970" w:type="dxa"/>
            <w:tcBorders>
              <w:tl2br w:val="nil"/>
              <w:tr2bl w:val="nil"/>
            </w:tcBorders>
            <w:shd w:val="clear" w:color="auto" w:fill="auto"/>
            <w:vAlign w:val="center"/>
          </w:tcPr>
          <w:p w14:paraId="195BFB1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1.同时执行： （1）新建、改建和扩建项目应当优先采用资源利用率高以及污染物产生量少的清洁生产技术、工艺和设备。 （2）集中治理工业集聚区内工业废水，区内工业废水必须经预处理达到集中处理要求后，方可进入污水集中处理设施。新建、升级工业集聚区应同步规划和建设污水、垃圾集中处理等污染治理设施。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107" w:type="dxa"/>
            <w:vMerge w:val="continue"/>
            <w:tcBorders>
              <w:tl2br w:val="nil"/>
              <w:tr2bl w:val="nil"/>
            </w:tcBorders>
            <w:shd w:val="clear" w:color="auto" w:fill="auto"/>
            <w:vAlign w:val="center"/>
          </w:tcPr>
          <w:p w14:paraId="78BD6CC3">
            <w:pPr>
              <w:pStyle w:val="46"/>
              <w:bidi w:val="0"/>
              <w:jc w:val="both"/>
              <w:rPr>
                <w:rFonts w:hint="default" w:ascii="Times New Roman" w:hAnsi="Times New Roman" w:cs="Times New Roman"/>
                <w:color w:val="auto"/>
                <w:highlight w:val="none"/>
              </w:rPr>
            </w:pPr>
          </w:p>
        </w:tc>
      </w:tr>
      <w:tr w14:paraId="1C41A21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90" w:hRule="atLeast"/>
        </w:trPr>
        <w:tc>
          <w:tcPr>
            <w:tcW w:w="336" w:type="dxa"/>
            <w:vMerge w:val="continue"/>
            <w:tcBorders>
              <w:tl2br w:val="nil"/>
              <w:tr2bl w:val="nil"/>
            </w:tcBorders>
            <w:shd w:val="clear" w:color="auto" w:fill="auto"/>
            <w:vAlign w:val="center"/>
          </w:tcPr>
          <w:p w14:paraId="73D8C0C7">
            <w:pPr>
              <w:pStyle w:val="46"/>
              <w:bidi w:val="0"/>
              <w:jc w:val="center"/>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5D688109">
            <w:pPr>
              <w:pStyle w:val="46"/>
              <w:bidi w:val="0"/>
              <w:jc w:val="center"/>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0D2B2218">
            <w:pPr>
              <w:pStyle w:val="46"/>
              <w:bidi w:val="0"/>
              <w:jc w:val="center"/>
              <w:rPr>
                <w:rFonts w:hint="default" w:ascii="Times New Roman" w:hAnsi="Times New Roman" w:cs="Times New Roman"/>
                <w:color w:val="auto"/>
                <w:highlight w:val="none"/>
              </w:rPr>
            </w:pPr>
          </w:p>
        </w:tc>
        <w:tc>
          <w:tcPr>
            <w:tcW w:w="710" w:type="dxa"/>
            <w:tcBorders>
              <w:tl2br w:val="nil"/>
              <w:tr2bl w:val="nil"/>
            </w:tcBorders>
            <w:shd w:val="clear" w:color="auto" w:fill="auto"/>
            <w:vAlign w:val="center"/>
          </w:tcPr>
          <w:p w14:paraId="4AC7B4C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风险管控</w:t>
            </w:r>
          </w:p>
        </w:tc>
        <w:tc>
          <w:tcPr>
            <w:tcW w:w="4970" w:type="dxa"/>
            <w:tcBorders>
              <w:tl2br w:val="nil"/>
              <w:tr2bl w:val="nil"/>
            </w:tcBorders>
            <w:shd w:val="clear" w:color="auto" w:fill="auto"/>
            <w:vAlign w:val="center"/>
          </w:tcPr>
          <w:p w14:paraId="6A70249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排放《有毒有害水污染物名录》所列有毒有害水污染物的企业事业单位和其他生产经营者，应当对排污口和周边环境进行监测，评估环境风险，排查环境安全隐患，并公开有毒有害水污染物信息，采取有效措施防范环境风险。 2.大气环境布局敏感重点管控区同时执行禁止在居民区、学校、医疗和养老机构等周边新建有色金属冶炼、焦化等行业企业。</w:t>
            </w:r>
          </w:p>
        </w:tc>
        <w:tc>
          <w:tcPr>
            <w:tcW w:w="2107" w:type="dxa"/>
            <w:vMerge w:val="continue"/>
            <w:tcBorders>
              <w:tl2br w:val="nil"/>
              <w:tr2bl w:val="nil"/>
            </w:tcBorders>
            <w:shd w:val="clear" w:color="auto" w:fill="auto"/>
            <w:noWrap/>
            <w:vAlign w:val="center"/>
          </w:tcPr>
          <w:p w14:paraId="6B399CCF">
            <w:pPr>
              <w:pStyle w:val="46"/>
              <w:bidi w:val="0"/>
              <w:jc w:val="center"/>
              <w:rPr>
                <w:rFonts w:hint="default" w:ascii="Times New Roman" w:hAnsi="Times New Roman" w:cs="Times New Roman"/>
                <w:color w:val="auto"/>
                <w:highlight w:val="none"/>
              </w:rPr>
            </w:pPr>
          </w:p>
        </w:tc>
      </w:tr>
      <w:bookmarkEnd w:id="37"/>
      <w:bookmarkEnd w:id="38"/>
      <w:bookmarkEnd w:id="39"/>
    </w:tbl>
    <w:p w14:paraId="23810769">
      <w:pPr>
        <w:pStyle w:val="27"/>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综上，本项目建设符合</w:t>
      </w:r>
      <w:r>
        <w:rPr>
          <w:rFonts w:hint="default" w:ascii="Times New Roman" w:hAnsi="Times New Roman" w:cs="Times New Roman"/>
          <w:color w:val="auto"/>
          <w:highlight w:val="none"/>
          <w:lang w:val="en-US" w:eastAsia="zh-CN"/>
        </w:rPr>
        <w:t>生态环境分区管控</w:t>
      </w:r>
      <w:r>
        <w:rPr>
          <w:rFonts w:hint="default" w:ascii="Times New Roman" w:hAnsi="Times New Roman" w:cs="Times New Roman"/>
          <w:bCs/>
          <w:color w:val="auto"/>
          <w:highlight w:val="none"/>
        </w:rPr>
        <w:t>的管控要求。</w:t>
      </w:r>
    </w:p>
    <w:p w14:paraId="280614C6">
      <w:pPr>
        <w:pStyle w:val="41"/>
        <w:bidi w:val="0"/>
        <w:rPr>
          <w:rFonts w:hint="default" w:ascii="Times New Roman" w:hAnsi="Times New Roman" w:cs="Times New Roman"/>
          <w:color w:val="auto"/>
          <w:highlight w:val="none"/>
        </w:rPr>
      </w:pPr>
      <w:bookmarkStart w:id="41" w:name="_Toc15096"/>
      <w:r>
        <w:rPr>
          <w:rFonts w:hint="default" w:ascii="Times New Roman" w:hAnsi="Times New Roman" w:cs="Times New Roman"/>
          <w:color w:val="auto"/>
          <w:highlight w:val="none"/>
        </w:rPr>
        <w:t>1.4.3与相关规划、政策和规范的符合性分析</w:t>
      </w:r>
      <w:bookmarkEnd w:id="41"/>
    </w:p>
    <w:p w14:paraId="0C57AA4D">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1.4.3.1与《黑龙江省“十四五”生态环境保护规划》符合性分析</w:t>
      </w:r>
    </w:p>
    <w:p w14:paraId="1A2D128F">
      <w:pPr>
        <w:pStyle w:val="27"/>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1、</w:t>
      </w:r>
      <w:r>
        <w:rPr>
          <w:rFonts w:hint="default" w:ascii="Times New Roman" w:hAnsi="Times New Roman" w:cs="Times New Roman"/>
          <w:color w:val="auto"/>
          <w:highlight w:val="none"/>
        </w:rPr>
        <w:t>相关内容</w:t>
      </w:r>
    </w:p>
    <w:p w14:paraId="4CCB46F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统筹推进山水林田湖草沙冰一体化保护和修复。全面加强天然林保护，开展大规模国土绿化行动，推行林长制。继续推进松嫩、三江平原农田防护林等重点防护林体系建设。坚持自然恢复为主，加强湿地保护，围绕三江、松嫩两大湿地平原和松花江沿岸，实施重大湿地保护修复工程。切实强化兴凯湖、扎龙湿地等重要珍稀候鸟迁徙繁殖地保护管理。以松嫩平原草原为重点，科学开展退化草原生态修复治理工程。推进绿色矿山建设，到 2025 年，全省完成 10%历史遗留矿山生态修复任务。优化西部平原区、西部低山丘陵区防风固沙体系建设，加强松嫩平原盐碱地改良治理，开展小流域及侵蚀沟水土流失综合治理。</w:t>
      </w:r>
    </w:p>
    <w:p w14:paraId="3224C9F6">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2、符合性分析</w:t>
      </w:r>
    </w:p>
    <w:p w14:paraId="708C7056">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w:t>
      </w:r>
      <w:r>
        <w:rPr>
          <w:rFonts w:hint="default" w:ascii="Times New Roman" w:hAnsi="Times New Roman" w:cs="Times New Roman"/>
          <w:color w:val="auto"/>
          <w:highlight w:val="none"/>
          <w:lang w:val="en-US" w:eastAsia="zh-CN"/>
        </w:rPr>
        <w:t>为露天矿坑</w:t>
      </w:r>
      <w:r>
        <w:rPr>
          <w:rFonts w:hint="default" w:ascii="Times New Roman" w:hAnsi="Times New Roman" w:cs="Times New Roman"/>
          <w:color w:val="auto"/>
          <w:highlight w:val="none"/>
        </w:rPr>
        <w:t>等，对</w:t>
      </w:r>
      <w:bookmarkStart w:id="42" w:name="OLE_LINK3"/>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进行综合治理，项目</w:t>
      </w:r>
      <w:bookmarkEnd w:id="42"/>
      <w:r>
        <w:rPr>
          <w:rFonts w:hint="default" w:ascii="Times New Roman" w:hAnsi="Times New Roman" w:cs="Times New Roman"/>
          <w:color w:val="auto"/>
          <w:highlight w:val="none"/>
        </w:rPr>
        <w:t>实施恢复为</w:t>
      </w:r>
      <w:r>
        <w:rPr>
          <w:rFonts w:hint="default" w:ascii="Times New Roman" w:hAnsi="Times New Roman" w:cs="Times New Roman"/>
          <w:color w:val="auto"/>
          <w:highlight w:val="none"/>
          <w:lang w:val="en-US" w:eastAsia="zh-CN"/>
        </w:rPr>
        <w:t>林地、耕地</w:t>
      </w:r>
      <w:r>
        <w:rPr>
          <w:rFonts w:hint="default" w:ascii="Times New Roman" w:hAnsi="Times New Roman" w:cs="Times New Roman"/>
          <w:color w:val="auto"/>
          <w:highlight w:val="none"/>
        </w:rPr>
        <w:t>，对改善和保护鸡西市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区及周边环境具有重要影响。提高土地利用率、改善地形地貌景观、减少扬尘污染。符合《黑龙江省“十四五”生态环境保护规划》中的有关要求。</w:t>
      </w:r>
    </w:p>
    <w:p w14:paraId="23EEA7AE">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1.4.3.2与《黑龙江省矿山生态修复治理行动计划（2022-2035）年》（黑政办发〔2022〕32 号）符合性分析</w:t>
      </w:r>
    </w:p>
    <w:p w14:paraId="15A38B9D">
      <w:pPr>
        <w:pStyle w:val="27"/>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1、</w:t>
      </w:r>
      <w:r>
        <w:rPr>
          <w:rFonts w:hint="default" w:ascii="Times New Roman" w:hAnsi="Times New Roman" w:cs="Times New Roman"/>
          <w:color w:val="auto"/>
          <w:highlight w:val="none"/>
        </w:rPr>
        <w:t>相关内容</w:t>
      </w:r>
    </w:p>
    <w:p w14:paraId="3E2FD1D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计划提出，到 2020 年历史遗留矿山恢复治理和矿山废弃土地恢复应达到25607 公顷。督察发现，“十三五”期间全省实际完成矿山修复 5875 公顷，仅完成 22.9%。对历史遗留矿山开展核查，研究制定矿山生态修复治理计划及矿山地质环境恢复治理方案，制定详细的整改措施和整改时限，按计划开展废弃矿山生态恢复治理工作。计划指出到 2035 年全面完成历史遗留矿山生态修复治理任务。</w:t>
      </w:r>
    </w:p>
    <w:p w14:paraId="4B92DE3B">
      <w:pPr>
        <w:pStyle w:val="27"/>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cs="Times New Roman"/>
          <w:color w:val="auto"/>
          <w:highlight w:val="none"/>
        </w:rPr>
        <w:t>符合性分析</w:t>
      </w:r>
    </w:p>
    <w:p w14:paraId="78456546">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w:t>
      </w:r>
      <w:r>
        <w:rPr>
          <w:rFonts w:hint="default" w:ascii="Times New Roman" w:hAnsi="Times New Roman" w:cs="Times New Roman"/>
          <w:color w:val="auto"/>
          <w:highlight w:val="none"/>
          <w:lang w:val="en-US" w:eastAsia="zh-CN"/>
        </w:rPr>
        <w:t>为露天矿坑</w:t>
      </w:r>
      <w:r>
        <w:rPr>
          <w:rFonts w:hint="default" w:ascii="Times New Roman" w:hAnsi="Times New Roman" w:cs="Times New Roman"/>
          <w:color w:val="auto"/>
          <w:highlight w:val="none"/>
        </w:rPr>
        <w:t>等，对</w:t>
      </w:r>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进行综合治理，项目实施恢复为</w:t>
      </w:r>
      <w:r>
        <w:rPr>
          <w:rFonts w:hint="default" w:ascii="Times New Roman" w:hAnsi="Times New Roman" w:cs="Times New Roman"/>
          <w:color w:val="auto"/>
          <w:highlight w:val="none"/>
          <w:lang w:val="en-US" w:eastAsia="zh-CN"/>
        </w:rPr>
        <w:t>林地</w:t>
      </w:r>
      <w:r>
        <w:rPr>
          <w:rFonts w:hint="eastAsia" w:cs="Times New Roman"/>
          <w:color w:val="auto"/>
          <w:highlight w:val="none"/>
          <w:lang w:val="en-US" w:eastAsia="zh-CN"/>
        </w:rPr>
        <w:t>、耕地</w:t>
      </w:r>
      <w:r>
        <w:rPr>
          <w:rFonts w:hint="default" w:ascii="Times New Roman" w:hAnsi="Times New Roman" w:cs="Times New Roman"/>
          <w:color w:val="auto"/>
          <w:highlight w:val="none"/>
        </w:rPr>
        <w:t>，对改善和保护鸡西市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区及周边环境具有重要影响。提高土地利用率、改善地形地貌景观、减少扬尘污染。符合《黑龙江省“十四五”生态环境保护规划》中的有关要求。</w:t>
      </w:r>
    </w:p>
    <w:p w14:paraId="10E50510">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1.4.3.3与《黑龙江省地质环境保护条例》的符合性分析</w:t>
      </w:r>
    </w:p>
    <w:p w14:paraId="5AC4BEF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3CFFE29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地质环境保护条例》第十四条规定：依法取得矿产资源开采权的单位和个人，应当承担保护矿山地质环境、防治矿山地质灾害的义务，依法做好水土保持、植被恢复和土地复垦工作，避免或者防止发生次生地质灾害。开采矿产资源应当遵守有关环境保护和矿山安全的法律、法规，按照国家有关规定处置废水、废气、废渣、废石和尾矿等废弃物。</w:t>
      </w:r>
    </w:p>
    <w:p w14:paraId="395BB367">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2、符合性分析</w:t>
      </w:r>
    </w:p>
    <w:p w14:paraId="3FA3D7E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w:t>
      </w:r>
      <w:r>
        <w:rPr>
          <w:rFonts w:hint="default" w:ascii="Times New Roman" w:hAnsi="Times New Roman" w:cs="Times New Roman"/>
          <w:color w:val="auto"/>
          <w:highlight w:val="none"/>
          <w:lang w:val="en-US" w:eastAsia="zh-CN"/>
        </w:rPr>
        <w:t>为露天矿坑</w:t>
      </w:r>
      <w:r>
        <w:rPr>
          <w:rFonts w:hint="default" w:ascii="Times New Roman" w:hAnsi="Times New Roman" w:cs="Times New Roman"/>
          <w:color w:val="auto"/>
          <w:highlight w:val="none"/>
        </w:rPr>
        <w:t>等，对</w:t>
      </w:r>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进行综合治理，项目实施恢复为</w:t>
      </w:r>
      <w:r>
        <w:rPr>
          <w:rFonts w:hint="default" w:ascii="Times New Roman" w:hAnsi="Times New Roman" w:cs="Times New Roman"/>
          <w:color w:val="auto"/>
          <w:highlight w:val="none"/>
          <w:lang w:val="en-US" w:eastAsia="zh-CN"/>
        </w:rPr>
        <w:t>林地</w:t>
      </w:r>
      <w:r>
        <w:rPr>
          <w:rFonts w:hint="eastAsia" w:cs="Times New Roman"/>
          <w:color w:val="auto"/>
          <w:highlight w:val="none"/>
          <w:lang w:val="en-US" w:eastAsia="zh-CN"/>
        </w:rPr>
        <w:t>、耕地</w:t>
      </w:r>
      <w:r>
        <w:rPr>
          <w:rFonts w:hint="default" w:ascii="Times New Roman" w:hAnsi="Times New Roman" w:cs="Times New Roman"/>
          <w:color w:val="auto"/>
          <w:highlight w:val="none"/>
        </w:rPr>
        <w:t>，对其采取地貌重塑、土壤重构、植被重建、配套工程等生态重建措施。项目建成后，消除矿山地质安全隐患，改善废弃矿山及周边生态环境。使昔日荒芜废弃、地表裸露的采矿破坏土地得到复垦利用，生态系统功能得到恢复。因此本项目与《黑龙江省地质环境保护条例》相符合。</w:t>
      </w:r>
    </w:p>
    <w:p w14:paraId="0B9D883E">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1.4.3.4与《矿山生态环境保护与恢复治理技术规范（试行）》（HJ651-2013）的符合性分析</w:t>
      </w:r>
    </w:p>
    <w:p w14:paraId="35805A2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根据《矿山生态环境保护与恢复治理技术规范（试行）》（HJ651-2013）恢复治理要求，本项目符合性见表1-</w:t>
      </w:r>
      <w:r>
        <w:rPr>
          <w:rFonts w:hint="default" w:ascii="Times New Roman" w:hAnsi="Times New Roman" w:cs="Times New Roman"/>
          <w:color w:val="auto"/>
          <w:highlight w:val="none"/>
          <w:lang w:val="en-US" w:eastAsia="zh-CN"/>
        </w:rPr>
        <w:t>4-2</w:t>
      </w:r>
      <w:r>
        <w:rPr>
          <w:rFonts w:hint="default" w:ascii="Times New Roman" w:hAnsi="Times New Roman" w:cs="Times New Roman"/>
          <w:color w:val="auto"/>
          <w:highlight w:val="none"/>
        </w:rPr>
        <w:t>。</w:t>
      </w:r>
    </w:p>
    <w:p w14:paraId="180FB41C">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表1-</w:t>
      </w:r>
      <w:r>
        <w:rPr>
          <w:rFonts w:hint="default" w:ascii="Times New Roman" w:hAnsi="Times New Roman" w:eastAsia="宋体" w:cs="Times New Roman"/>
          <w:color w:val="auto"/>
          <w:highlight w:val="none"/>
          <w:lang w:val="en-US" w:eastAsia="zh-CN"/>
        </w:rPr>
        <w:t>4-</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 xml:space="preserve">  本项目与《矿山生态环境保护与恢复治理技术规范（试行）》符合性对照表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3316"/>
        <w:gridCol w:w="4051"/>
        <w:gridCol w:w="1152"/>
      </w:tblGrid>
      <w:tr w14:paraId="550517C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48" w:hRule="atLeast"/>
          <w:jc w:val="center"/>
        </w:trPr>
        <w:tc>
          <w:tcPr>
            <w:tcW w:w="1946" w:type="pct"/>
            <w:tcBorders>
              <w:tl2br w:val="nil"/>
              <w:tr2bl w:val="nil"/>
            </w:tcBorders>
            <w:vAlign w:val="center"/>
          </w:tcPr>
          <w:p w14:paraId="2D7D48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政策要求</w:t>
            </w:r>
          </w:p>
        </w:tc>
        <w:tc>
          <w:tcPr>
            <w:tcW w:w="2377" w:type="pct"/>
            <w:tcBorders>
              <w:tl2br w:val="nil"/>
              <w:tr2bl w:val="nil"/>
            </w:tcBorders>
            <w:vAlign w:val="center"/>
          </w:tcPr>
          <w:p w14:paraId="3A45B9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本项目情况</w:t>
            </w:r>
          </w:p>
        </w:tc>
        <w:tc>
          <w:tcPr>
            <w:tcW w:w="676" w:type="pct"/>
            <w:tcBorders>
              <w:tl2br w:val="nil"/>
              <w:tr2bl w:val="nil"/>
            </w:tcBorders>
            <w:vAlign w:val="center"/>
          </w:tcPr>
          <w:p w14:paraId="1FECA8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符合情况</w:t>
            </w:r>
          </w:p>
        </w:tc>
      </w:tr>
      <w:tr w14:paraId="4AB7EF9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26" w:hRule="atLeast"/>
          <w:jc w:val="center"/>
        </w:trPr>
        <w:tc>
          <w:tcPr>
            <w:tcW w:w="1946" w:type="pct"/>
            <w:tcBorders>
              <w:tl2br w:val="nil"/>
              <w:tr2bl w:val="nil"/>
            </w:tcBorders>
            <w:vAlign w:val="center"/>
          </w:tcPr>
          <w:p w14:paraId="3F6E65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恢复治理后的各类场地应实现：安全稳定，对人类和动植物不造成威胁；对周边环境不产生污染:与周边自然环境和景观相协调；恢复土地基本功能，因地制宜实现土地可持续利用；区域整体生态功能得到保护和恢复。</w:t>
            </w:r>
          </w:p>
        </w:tc>
        <w:tc>
          <w:tcPr>
            <w:tcW w:w="2377" w:type="pct"/>
            <w:tcBorders>
              <w:tl2br w:val="nil"/>
              <w:tr2bl w:val="nil"/>
            </w:tcBorders>
            <w:vAlign w:val="center"/>
          </w:tcPr>
          <w:p w14:paraId="748736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w:t>
            </w:r>
            <w:r>
              <w:rPr>
                <w:rFonts w:hint="default" w:ascii="Times New Roman" w:hAnsi="Times New Roman" w:cs="Times New Roman"/>
                <w:color w:val="auto"/>
                <w:highlight w:val="none"/>
                <w:lang w:val="en-US" w:eastAsia="zh-CN"/>
              </w:rPr>
              <w:t>为露天矿坑</w:t>
            </w:r>
            <w:r>
              <w:rPr>
                <w:rFonts w:hint="default" w:ascii="Times New Roman" w:hAnsi="Times New Roman" w:cs="Times New Roman"/>
                <w:color w:val="auto"/>
                <w:highlight w:val="none"/>
              </w:rPr>
              <w:t>等，对</w:t>
            </w:r>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进行综合治理，</w:t>
            </w:r>
            <w:r>
              <w:rPr>
                <w:rFonts w:hint="eastAsia" w:cs="Times New Roman"/>
                <w:color w:val="auto"/>
                <w:highlight w:val="none"/>
                <w:lang w:eastAsia="zh-CN"/>
              </w:rPr>
              <w:t>项目实施恢复为林地、耕地</w:t>
            </w:r>
            <w:r>
              <w:rPr>
                <w:rFonts w:hint="default" w:ascii="Times New Roman" w:hAnsi="Times New Roman" w:cs="Times New Roman"/>
                <w:color w:val="auto"/>
                <w:highlight w:val="none"/>
              </w:rPr>
              <w:t>，对改善和保护鸡西市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区及周边环境具有重要影响。提高土地利用率、改善地形地貌景观、减少扬尘污染。符合《黑龙江省“十四五”生态环境保护规划》中的有关要求。</w:t>
            </w:r>
          </w:p>
          <w:p w14:paraId="28EA1CCC">
            <w:pPr>
              <w:pStyle w:val="46"/>
              <w:bidi w:val="0"/>
              <w:rPr>
                <w:rFonts w:hint="default" w:ascii="Times New Roman" w:hAnsi="Times New Roman" w:cs="Times New Roman"/>
                <w:color w:val="auto"/>
                <w:highlight w:val="none"/>
              </w:rPr>
            </w:pPr>
          </w:p>
        </w:tc>
        <w:tc>
          <w:tcPr>
            <w:tcW w:w="676" w:type="pct"/>
            <w:tcBorders>
              <w:tl2br w:val="nil"/>
              <w:tr2bl w:val="nil"/>
            </w:tcBorders>
            <w:vAlign w:val="center"/>
          </w:tcPr>
          <w:p w14:paraId="568516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0D6E31D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本项目符合相关规划要求，采取的措施可有效保护生态环境，控制环境污染，因此，本项目与《矿山生态环境保护与恢复治理技术规范（试行）》（HJ651-2013）相符合。</w:t>
      </w:r>
    </w:p>
    <w:p w14:paraId="577BE139">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zh-CN"/>
        </w:rPr>
        <w:t>与《关于“十四五”大宗固体废弃物综合利用的指导意见》符合性分析</w:t>
      </w:r>
    </w:p>
    <w:p w14:paraId="438E578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2290100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（五）主要目标。到2025年，煤矸石、</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、尾矿（共伴生矿）、冶炼渣、工业副产石膏、建筑垃圾、农作物秸秆等大宗固废的综合利用能力显著提升，利用规模不断扩大，新增大宗固废综合利用率达到60%，存量大宗固废有序减少。</w:t>
      </w:r>
    </w:p>
    <w:p w14:paraId="0BC2914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（六）</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和煤矸石。持续提高</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和煤矸石综合利用水平，推进</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和煤矸石在工程建设、塌陷区治理、矿井充填以及盐碱地、沙漠化土地生态修复等领域的利用，有序引导利用</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、煤矸石生产新型墙体材料、装饰装修材料等绿色建材，在风险可控前提下深入推动农业领域应用和有价组分提取，加强大掺量和高附加值产品应用推广。</w:t>
      </w:r>
    </w:p>
    <w:p w14:paraId="070C59D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符合性分析</w:t>
      </w:r>
    </w:p>
    <w:p w14:paraId="3E61362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可避免粉煤灰无法实现综合利用、无处安放而导致的环境问题，可实现粉煤户的综合利用，满足《关于“十四五”大宗固体废弃物综合利用的指导意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发改环资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381号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的要求。</w:t>
      </w:r>
    </w:p>
    <w:p w14:paraId="7C18C24A">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1.4.3.6与《黑龙江省城乡固体废物分类治理布局规划（2019—2035年）（2021年修订版）》符合性分析</w:t>
      </w:r>
    </w:p>
    <w:p w14:paraId="101C66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5CE2873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城乡固体废物分类治理布局规划（2019—2035年）（2021年修改）项目统筹中指出：“建议入园项目：生活垃圾焚烧、餐厨垃圾处理、危险废物处理、医疗废物处置、建筑垃圾资源化、一般工业固体废物综合利用、城市污泥处理、畜禽养殖垃圾处理、农业秸秆资源化、电子产品回收、报废汽车拆解资源化、废旧轮胎资源化、废塑料资源化、废纸资源化、织物资源化等。各地根据当地资源特点、运输条件及市场形势选择项目。</w:t>
      </w:r>
    </w:p>
    <w:p w14:paraId="79695BC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固体废物处理。对不同的固体废物进行原料提取，资源利用或综合利用；无机骨料进入建筑垃圾处理厂协同处理；剩余可焚烧的废物根据性质进入生活垃圾焚烧系统或危险废物焚烧系统，其他物质填埋处置。”</w:t>
      </w:r>
    </w:p>
    <w:p w14:paraId="05007C5C">
      <w:pPr>
        <w:pStyle w:val="27"/>
        <w:numPr>
          <w:ilvl w:val="0"/>
          <w:numId w:val="0"/>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cs="Times New Roman"/>
          <w:color w:val="auto"/>
          <w:highlight w:val="none"/>
          <w:lang w:val="en-US" w:eastAsia="zh-CN"/>
        </w:rPr>
        <w:t>符合性分析</w:t>
      </w:r>
    </w:p>
    <w:p w14:paraId="59F3FB7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可避免粉煤灰无法实现综合利用满足《黑龙江省城乡固体废物分类治理布局规划（2019—2035年）》(2021年修订版）的统筹规划要求。</w:t>
      </w:r>
    </w:p>
    <w:p w14:paraId="0002504F">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7</w:t>
      </w:r>
      <w:r>
        <w:rPr>
          <w:rFonts w:hint="default" w:ascii="Times New Roman" w:hAnsi="Times New Roman" w:cs="Times New Roman"/>
          <w:color w:val="auto"/>
          <w:highlight w:val="none"/>
          <w:lang w:val="zh-CN"/>
        </w:rPr>
        <w:t>与《黑龙江省人民政府关于印发黑龙江省“十四五”生态环境保护规划的通知》（黑政规〔2021〕18号）符合性分析</w:t>
      </w:r>
    </w:p>
    <w:p w14:paraId="2E6B357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73CF9EE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生态环境保护“十四五”规划》要求：全省生态环境质量总体改善。地表水水环境质量在总体稳定的基础上进一步改善，污染严重水体得到有效治理，饮用水安全得到有效保障；城市大气环境质量持续改善，重点行业和重点区域大气污染治理成效明显；土壤环境质量保持稳定；主要污染物排放总量显著减少；生态系统稳定性明显增强，农村环境质量初步改善；环境风险得到有效管控；生态环境治理体系与治理能力现代化取得进展，筑牢“美丽龙江”的环境基础，使生态文明建设水平与全面建成小康社会相适应。</w:t>
      </w:r>
    </w:p>
    <w:p w14:paraId="1301809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2、符合性分析</w:t>
      </w:r>
    </w:p>
    <w:p w14:paraId="7F0F99D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本项目的建设既可以减少水土流失，又可改善废弃采坑的生态环境。项目建设符合《黑龙江省人民政府关于印发黑龙江省“十四五”生态环境保护规划的通知》（黑政规〔2021〕18号）要求。</w:t>
      </w:r>
    </w:p>
    <w:p w14:paraId="148EF02F">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1.4.3.8与《鸡西市人民政府印发鸡西市“十四五”生态环境保护规划的通知》，（鸡政规〔2022〕7号）符合性分析</w:t>
      </w:r>
    </w:p>
    <w:p w14:paraId="4B6930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1A73AE5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建设与修复工作仍需加强。土地所有者造林积极性不高，落实造林地块难度大，国家对林草重点建设工程投资标准低，用地矛盾突出。县（市）区政府对生物多样性及自然保护区管理工作重视不够，资金投入少，专业人才缺乏。生态移民、退耕等工作由于资金缺口大，很难达到效果。水土保持体系不完善、治理能力不足。全市生态环境质量持续改善，在全面建成小康社会、全面打赢污染防治攻坚战基础上，开展国土绿化行动，推进水土流失综合治理，强化湿地保护和恢复，加强地质灾害防治。完善天然林保护制度。严格保护耕地，扩大轮作休耕试点，健全耕地草原森林河流湖泊休养生息制度，建立市场化、多元化生态补偿机制。深入实施减污降碳、精准治污、亮剑护绿、科技赋能“四大行动”，聚焦生态环境保护的短板弱项，大力实施绿色低碳发展战略，深入打好蓝天、碧水、净土保卫战，坚持山水林田湖草沙冰一体化保护和系统治理，加强环境风险防范，推进生态环境治理体系与治理能力现代化。</w:t>
      </w:r>
    </w:p>
    <w:p w14:paraId="62F3932C">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w:t>
      </w:r>
    </w:p>
    <w:p w14:paraId="4FDD0997">
      <w:pPr>
        <w:pStyle w:val="27"/>
        <w:numPr>
          <w:ilvl w:val="0"/>
          <w:numId w:val="2"/>
        </w:num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符合性分析</w:t>
      </w:r>
    </w:p>
    <w:p w14:paraId="076E75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本项目加强对机械、车辆的维修保养，禁止以柴油为燃料的施工机械超负荷工作，施工场地、道路采取晒水和清扫措施抑尘，土方采用苫布苫盖，运输车加盖篷布，减少施工期扬尘产生的影响。</w:t>
      </w:r>
    </w:p>
    <w:p w14:paraId="33975F78">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不但能改善场地环境、恢复土地利用价值和土地利用功能、创造新的生态景观，而且对项目区本身的安全和稳定性也具有重要意义，会增加占地内的植被覆盖率和生物产量，可使区域内野生动物的数量增加，生物量增加，提高生物多样性，可消除遗留采坑的水土流失、坍塌隐患。故符合《鸡西市人民政府印发鸡</w:t>
      </w:r>
      <w:r>
        <w:rPr>
          <w:rFonts w:hint="default" w:ascii="Times New Roman" w:hAnsi="Times New Roman" w:cs="Times New Roman" w:eastAsiaTheme="minorEastAsia"/>
          <w:color w:val="auto"/>
          <w:highlight w:val="none"/>
        </w:rPr>
        <w:t>西市“十四五”生</w:t>
      </w:r>
      <w:r>
        <w:rPr>
          <w:rFonts w:hint="default" w:ascii="Times New Roman" w:hAnsi="Times New Roman" w:cs="Times New Roman"/>
          <w:color w:val="auto"/>
          <w:highlight w:val="none"/>
        </w:rPr>
        <w:t>态环境保护规划的通知》，（鸡政规〔2022〕7号）要求。</w:t>
      </w:r>
    </w:p>
    <w:p w14:paraId="51365D87">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zh-CN"/>
        </w:rPr>
        <w:t>与《大气污染防治行动计划》《黑龙江省大气污染防治条例》（2017年5月1日实施）的符合性</w:t>
      </w:r>
    </w:p>
    <w:p w14:paraId="2DFB53A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2DAEE33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大气污染防治行动计划》：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抑尘设施。推进城市及周边绿化和防风防沙林建设，扩大城市建成区绿地规模。</w:t>
      </w:r>
    </w:p>
    <w:p w14:paraId="294F0F9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《黑龙江省大气污染防治条例》于2017年1月20日黑龙江省第十二届人民代表大会第六次会议通过，2017年5月1日实施。在条例中“第三章 大气污染防治措施，第一节 燃煤污染防治”中第二十九条各级人民政府应当调整能源结构，推广清洁能源的生产和使用，制定并组织实施煤炭消费总量控制规划，减少煤炭生产、使用、转化过程中的大气污染物排放。“第四十一条 垃圾填埋活动产生的可燃性气体应当回收利用，不具备回收利用条件的，应当进行污染防治处理。普</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遍推行垃圾分类制度。垃圾焚烧设施的运营单位，应当按照国家规定，采取有效措施，实现达标排放。”“第五节扬尘和其他污染防治 第五十六条 运输煤炭、垃圾、渣土、砂石、土方、灰浆等散装、流体物料的车辆，应当采取密闭或者其他措施防止物料遗撒、泄漏，并按照规定的路线和时间行驶。”</w:t>
      </w:r>
    </w:p>
    <w:p w14:paraId="5924D200">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2、符合性分析</w:t>
      </w:r>
    </w:p>
    <w:p w14:paraId="5915FB8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本项目回填区不需要供热，回填区接收的</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，属于无机废物，不存在可产生大量沼气的生物降解性物质以及相互通过化学反应产生气体的物质。回填</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均采用封闭运输，并按照规定的路线和时间行驶，因此本项目建设符合《大气污治行动计划》《黑龙江省大气污染防治条例》（2017年5月1日实施）。</w:t>
      </w:r>
    </w:p>
    <w:p w14:paraId="3B605F69">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10</w:t>
      </w:r>
      <w:r>
        <w:rPr>
          <w:rFonts w:hint="default" w:ascii="Times New Roman" w:hAnsi="Times New Roman" w:cs="Times New Roman"/>
          <w:color w:val="auto"/>
          <w:highlight w:val="none"/>
          <w:lang w:val="zh-CN"/>
        </w:rPr>
        <w:t>与《黑龙江省“十四五”土壤地下水和农村生态环境保护规划》（黑政规〔2021〕19号）的符合性</w:t>
      </w:r>
    </w:p>
    <w:p w14:paraId="112062C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7B391D6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十四五”土壤地下水和农村生态环境保护规划》（黑政规[2021]19号）：“（二）推进地下水生态环境保护。以保护和改善地下水环境质量为核心，建立健全地下水生态环境管理体系。扭住“双源”，加强地下水污染源头预防。”</w:t>
      </w:r>
    </w:p>
    <w:p w14:paraId="71BE9EA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2、符合性分析</w:t>
      </w:r>
    </w:p>
    <w:p w14:paraId="5929E596">
      <w:pPr>
        <w:pStyle w:val="27"/>
        <w:bidi w:val="0"/>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w:t>
      </w:r>
      <w:r>
        <w:rPr>
          <w:rFonts w:hint="default" w:ascii="Times New Roman" w:hAnsi="Times New Roman" w:cs="Times New Roman"/>
          <w:color w:val="auto"/>
          <w:highlight w:val="none"/>
          <w:lang w:val="en-US" w:eastAsia="zh-CN"/>
        </w:rPr>
        <w:t>及耕地</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szCs w:val="22"/>
          <w:highlight w:val="none"/>
        </w:rPr>
        <w:t>环境风险评估报告结论和本项目预测结果，回填材料为第</w:t>
      </w: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ROMAN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I</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类一般工业固体废物，</w:t>
      </w:r>
      <w:r>
        <w:rPr>
          <w:rFonts w:hint="default" w:ascii="Times New Roman" w:hAnsi="Times New Roman" w:cs="Times New Roman"/>
          <w:color w:val="auto"/>
          <w:sz w:val="24"/>
          <w:szCs w:val="22"/>
          <w:highlight w:val="none"/>
          <w:lang w:eastAsia="zh-CN"/>
        </w:rPr>
        <w:t>粉煤灰</w:t>
      </w:r>
      <w:r>
        <w:rPr>
          <w:rFonts w:hint="default" w:ascii="Times New Roman" w:hAnsi="Times New Roman" w:cs="Times New Roman"/>
          <w:color w:val="auto"/>
          <w:sz w:val="24"/>
          <w:szCs w:val="22"/>
          <w:highlight w:val="none"/>
        </w:rPr>
        <w:t>大气沉降对周围土壤增量影响较小，大气沉降对土壤环境影响较小，淋溶水垂直入渗对土壤环境的影响可接受，淋溶水不会对土壤环境造成明显影响</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rPr>
        <w:t>正常情况下</w:t>
      </w:r>
      <w:r>
        <w:rPr>
          <w:rFonts w:hint="default" w:ascii="Times New Roman" w:hAnsi="Times New Roman" w:cs="Times New Roman"/>
          <w:color w:val="auto"/>
          <w:sz w:val="24"/>
          <w:szCs w:val="22"/>
          <w:highlight w:val="none"/>
          <w:lang w:eastAsia="zh-CN"/>
        </w:rPr>
        <w:t>粉煤灰</w:t>
      </w:r>
      <w:r>
        <w:rPr>
          <w:rFonts w:hint="default" w:ascii="Times New Roman" w:hAnsi="Times New Roman" w:cs="Times New Roman"/>
          <w:color w:val="auto"/>
          <w:sz w:val="24"/>
          <w:szCs w:val="22"/>
          <w:highlight w:val="none"/>
        </w:rPr>
        <w:t>回填不会对地下水环境造成影响；由地下水预测结果可知，</w:t>
      </w:r>
      <w:bookmarkStart w:id="43" w:name="_Hlk144112931"/>
      <w:bookmarkStart w:id="44" w:name="_Hlk148347620"/>
      <w:r>
        <w:rPr>
          <w:rFonts w:hint="default" w:ascii="Times New Roman" w:hAnsi="Times New Roman" w:cs="Times New Roman"/>
          <w:color w:val="auto"/>
          <w:sz w:val="24"/>
          <w:szCs w:val="22"/>
          <w:highlight w:val="none"/>
        </w:rPr>
        <w:t>在非正常渗漏状态下，污染物不会对区域地下水造成较大影响。</w:t>
      </w:r>
      <w:bookmarkEnd w:id="43"/>
      <w:r>
        <w:rPr>
          <w:rFonts w:hint="default" w:ascii="Times New Roman" w:hAnsi="Times New Roman" w:cs="Times New Roman"/>
          <w:color w:val="auto"/>
          <w:sz w:val="24"/>
          <w:szCs w:val="22"/>
          <w:highlight w:val="none"/>
        </w:rPr>
        <w:t>同时应加强跟踪监测，监测周期至少为每季度一次，可监测反映有无渗漏现象，并及时采取相应处理措施，可有效避免对下游其他区域地下水环境造成影响，因此本项目对地下水环境影响可接受。</w:t>
      </w:r>
      <w:bookmarkEnd w:id="44"/>
      <w:r>
        <w:rPr>
          <w:rFonts w:hint="default" w:ascii="Times New Roman" w:hAnsi="Times New Roman" w:cs="Times New Roman"/>
          <w:color w:val="auto"/>
          <w:sz w:val="24"/>
          <w:szCs w:val="22"/>
          <w:highlight w:val="none"/>
        </w:rPr>
        <w:t>因此，本项目实施，不会对土壤和地下水环境造成明显影响，</w:t>
      </w:r>
      <w:r>
        <w:rPr>
          <w:rFonts w:hint="default" w:ascii="Times New Roman" w:hAnsi="Times New Roman" w:cs="Times New Roman"/>
          <w:color w:val="auto"/>
          <w:sz w:val="24"/>
          <w:highlight w:val="none"/>
        </w:rPr>
        <w:t>符合《黑龙江省“十四五”土壤地下水和农村生态环境保护规划》（黑政规[2021]19号）相关要求。</w:t>
      </w:r>
    </w:p>
    <w:p w14:paraId="37599E5C">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11</w:t>
      </w:r>
      <w:r>
        <w:rPr>
          <w:rFonts w:hint="default" w:ascii="Times New Roman" w:hAnsi="Times New Roman" w:cs="Times New Roman"/>
          <w:color w:val="auto"/>
          <w:highlight w:val="none"/>
          <w:lang w:val="zh-CN"/>
        </w:rPr>
        <w:t>与《中华人民共和国土壤污染防治法》（2018年修订）符合性分析</w:t>
      </w:r>
    </w:p>
    <w:p w14:paraId="1C2477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65D7251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第十八条 各类涉及土地利用的规划和可能造成土壤污染的建设项目，应当依法进行环境影响评价。环境影响评价文件应当包括对土壤可能造成的不良影响及应当采取的相应预防措施等内容。</w:t>
      </w:r>
    </w:p>
    <w:p w14:paraId="09B6E1F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第十九条 生产、使用、贮存、运输、回收、处置、排放有毒有害物质的单位和个人，应当采取有效措施，防止有毒有害物质渗漏、流失、扬散，避免土壤受到污染。</w:t>
      </w:r>
    </w:p>
    <w:p w14:paraId="4DDB264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符合性分析</w:t>
      </w:r>
    </w:p>
    <w:p w14:paraId="03581B7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利用粉煤灰</w:t>
      </w:r>
      <w:r>
        <w:rPr>
          <w:rFonts w:hint="default" w:ascii="Times New Roman" w:hAnsi="Times New Roman" w:cs="Times New Roman"/>
          <w:color w:val="auto"/>
          <w:highlight w:val="none"/>
        </w:rPr>
        <w:t>进行回填修复，</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运输过程中采取密闭运输，回填完成后进行土地复垦，可以做到防扬散、防流失，根据本次土壤的预测结果及环境风险评估报告结论，本项目回填材料为第</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大气沉降对周围土壤增量影响较小，大气沉降对土壤环境影响较小，</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淋溶液垂直入渗对土壤环境的影响可接受，淋溶水不会对土壤环境造成明显影响，不存在土壤污染环境风险。本项目土壤污染源头控制措施主要是减少项目废气、废水、固废等污染物的产生及排放量，回填或回填活动结束后，对土壤开展监测，监测频次至少每年1次。通过采取以上措施，可将对土壤可能造成的不良影响降到最低，避免土壤受到污染，满足《中华人民共和国土壤污染防治法》（2018年修订）相关要求。</w:t>
      </w:r>
    </w:p>
    <w:p w14:paraId="6621D122">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12</w:t>
      </w:r>
      <w:r>
        <w:rPr>
          <w:rFonts w:hint="default" w:ascii="Times New Roman" w:hAnsi="Times New Roman" w:cs="Times New Roman"/>
          <w:color w:val="auto"/>
          <w:highlight w:val="none"/>
          <w:lang w:val="zh-CN"/>
        </w:rPr>
        <w:t>与《黑龙江省土壤污染防治实施方案》符合性</w:t>
      </w:r>
    </w:p>
    <w:p w14:paraId="10234BE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3A60F4B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土壤污染防治实施方案》：“加强工业废物处理处置。全面整治尾矿、煤研石、工业副产石膏、煤矸石、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p w14:paraId="4E021F2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2、符合性分析</w:t>
      </w:r>
    </w:p>
    <w:p w14:paraId="349827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回填复垦项目，项目运输过程中采取密闭运输，回填完成后进行土地复垦，可以做到防扬散、防流失，根据本次土壤及地下水预测结果及环境风险评估报告结论，项目对土壤及地下水影响可以接受，项目对地下水设置定期监测，满足《黑龙江省土壤污染防治实施方案》相关要求。</w:t>
      </w:r>
    </w:p>
    <w:p w14:paraId="1FF72CB6">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1.4.3.13与《土壤污染源头防控行动计划》符合性分析</w:t>
      </w:r>
    </w:p>
    <w:p w14:paraId="1698CA5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3D4F5E0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推进固体废物源头减量和综合利用。加强一般工业固体废物规范化环境管理，开展历史遗留固体废物堆存场摸底排查和分级分类整改，全面完善防渗漏、防流失、防扬散等措施。严密防控危险废物环境风险，深化危险废物规范化环境管理评估，推进全过程信息化环境管理，严格管控最终填埋处置。严厉打击非法排放、倾倒、转移处置固体废物，尤其是危险废物环境违法犯罪行为。加快推进大宗固体废弃物综合利用示范基地、工业资源综合利用基地建设，推动提升磷石膏、赤泥等复杂难用大宗固废净化处理和综合利用水平。加强废弃电器电子产品、报废机动车、废有色金属等再生资源加工利用企业土壤和地下水污染防治监管，强化防渗等措施落实。加强生活垃圾填埋场和危险废物处置场运行监管，严格落实雨污分流、地表水与地下水导排、渗沥液收集与处理等污染防治措施，对库容已满的规范有序开展封场治理。加强建筑垃圾处置监管。</w:t>
      </w:r>
    </w:p>
    <w:p w14:paraId="3BCFD9A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2、符合性分析</w:t>
      </w:r>
    </w:p>
    <w:p w14:paraId="4052DFD7">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可以做到防扬散、防流失，根据本次土壤及地下水预测结果及环境风险评估报告结论，项目对土壤及地下水影响可以接受，项目对地下水设置定期监测，满足《</w:t>
      </w:r>
      <w:r>
        <w:rPr>
          <w:rFonts w:hint="default" w:ascii="Times New Roman" w:hAnsi="Times New Roman" w:cs="Times New Roman"/>
          <w:color w:val="auto"/>
          <w:highlight w:val="none"/>
          <w:lang w:val="en-US" w:eastAsia="zh-CN"/>
        </w:rPr>
        <w:t>土壤污染源头防控行动计划</w:t>
      </w:r>
      <w:r>
        <w:rPr>
          <w:rFonts w:hint="default" w:ascii="Times New Roman" w:hAnsi="Times New Roman" w:cs="Times New Roman"/>
          <w:color w:val="auto"/>
          <w:highlight w:val="none"/>
        </w:rPr>
        <w:t>》相关要求。</w:t>
      </w:r>
    </w:p>
    <w:p w14:paraId="4C2AADF7">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1.4.3.14</w:t>
      </w:r>
      <w:r>
        <w:rPr>
          <w:rFonts w:hint="default" w:ascii="Times New Roman" w:hAnsi="Times New Roman" w:cs="Times New Roman"/>
          <w:color w:val="auto"/>
          <w:highlight w:val="none"/>
        </w:rPr>
        <w:t>与《地下水管理条例》的符合性分析</w:t>
      </w:r>
    </w:p>
    <w:p w14:paraId="1C60C9C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本项目与《地下水管理条例》的符合性详见下表。</w:t>
      </w:r>
    </w:p>
    <w:p w14:paraId="4828AF9A">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本项目与《地下水管理条例》符合性分析一览表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3495"/>
        <w:gridCol w:w="1255"/>
      </w:tblGrid>
      <w:tr w14:paraId="38771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13" w:type="pct"/>
            <w:vAlign w:val="center"/>
          </w:tcPr>
          <w:p w14:paraId="5BE593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地下水管理条例</w:t>
            </w:r>
          </w:p>
        </w:tc>
        <w:tc>
          <w:tcPr>
            <w:tcW w:w="2050" w:type="pct"/>
            <w:vAlign w:val="center"/>
          </w:tcPr>
          <w:p w14:paraId="115910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项目情况</w:t>
            </w:r>
          </w:p>
        </w:tc>
        <w:tc>
          <w:tcPr>
            <w:tcW w:w="736" w:type="pct"/>
            <w:vAlign w:val="center"/>
          </w:tcPr>
          <w:p w14:paraId="20D578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是否符合</w:t>
            </w:r>
          </w:p>
        </w:tc>
      </w:tr>
      <w:tr w14:paraId="4A4AB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13" w:type="pct"/>
            <w:vAlign w:val="center"/>
          </w:tcPr>
          <w:p w14:paraId="4C35A4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第四十条 禁止下列污染或者可能污染地下水的行为：</w:t>
            </w:r>
          </w:p>
          <w:p w14:paraId="40E321B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（一）利用渗井、渗坑、裂隙、溶洞以及私设暗管等逃避监管的方式排放水污染物；</w:t>
            </w:r>
          </w:p>
          <w:p w14:paraId="649092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（二）利用岩层孔隙、裂隙、溶洞、废弃矿坑等贮存石化原料及产品、农药、危险废物、城镇污水处理设施产生的污泥和处理后的污泥或者其他有毒有害物质；</w:t>
            </w:r>
          </w:p>
          <w:p w14:paraId="1950A3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（三）利用无防渗漏措施的沟渠、坑塘等输送或者贮存含有毒污染物的废水、含病原体的污水和其他废弃物；</w:t>
            </w:r>
          </w:p>
          <w:p w14:paraId="45A3C4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（四）法律法规禁止的其他污染或者可能污染地下水的行为。</w:t>
            </w:r>
          </w:p>
        </w:tc>
        <w:tc>
          <w:tcPr>
            <w:tcW w:w="2050" w:type="pct"/>
            <w:vAlign w:val="center"/>
          </w:tcPr>
          <w:p w14:paraId="36AE3D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本项目施工区不设置办公区，生活污</w:t>
            </w:r>
            <w:r>
              <w:rPr>
                <w:rFonts w:hint="default" w:ascii="Times New Roman" w:hAnsi="Times New Roman" w:cs="Times New Roman"/>
                <w:color w:val="auto"/>
                <w:highlight w:val="none"/>
                <w:lang w:val="en-US" w:eastAsia="zh-CN"/>
              </w:rPr>
              <w:t>生活污</w:t>
            </w:r>
            <w:r>
              <w:rPr>
                <w:rFonts w:hint="default" w:ascii="Times New Roman" w:hAnsi="Times New Roman" w:cs="Times New Roman"/>
                <w:color w:val="auto"/>
                <w:highlight w:val="none"/>
              </w:rPr>
              <w:t>水依托</w:t>
            </w:r>
            <w:r>
              <w:rPr>
                <w:rFonts w:hint="default" w:ascii="Times New Roman" w:hAnsi="Times New Roman" w:cs="Times New Roman"/>
                <w:color w:val="auto"/>
                <w:highlight w:val="none"/>
                <w:lang w:val="en-US" w:eastAsia="zh-CN"/>
              </w:rPr>
              <w:t>碎石场现有</w:t>
            </w:r>
            <w:r>
              <w:rPr>
                <w:rFonts w:hint="default" w:ascii="Times New Roman" w:hAnsi="Times New Roman" w:cs="Times New Roman"/>
                <w:color w:val="auto"/>
                <w:highlight w:val="none"/>
              </w:rPr>
              <w:t>的防渗旱厕，定期清掏，外运堆肥；矿区外雨水通过矿区四周排水沟，最终排入厂区自然冲沟内。根据地下水预测结果，在非正常渗漏状态下，污染物不会对区域地下水造成较大影响。同时应加强跟踪监测，监测周期至少为每季度一次，可监测反映有无渗漏现象，并及时采取相应处理措施，可有效避免对下游其他区域地下水环境造成影响，因此本项目对地下水环境影响可接受。</w:t>
            </w:r>
          </w:p>
        </w:tc>
        <w:tc>
          <w:tcPr>
            <w:tcW w:w="736" w:type="pct"/>
            <w:vAlign w:val="center"/>
          </w:tcPr>
          <w:p w14:paraId="5580D3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AC5E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13" w:type="pct"/>
            <w:vAlign w:val="center"/>
          </w:tcPr>
          <w:p w14:paraId="2F03CE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第四十二条 在泉域保护范围以及岩溶强发育、存在较多落水洞和岩溶漏斗的区域内，不得新建、改建、扩建可能造成地下水污染的建设项目。</w:t>
            </w:r>
          </w:p>
        </w:tc>
        <w:tc>
          <w:tcPr>
            <w:tcW w:w="2050" w:type="pct"/>
            <w:vAlign w:val="center"/>
          </w:tcPr>
          <w:p w14:paraId="401EDE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区，不在泉域保护范围以及岩溶强发育、存在较多落水洞和岩溶漏斗的区域，根据检测可知</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石为第I类一般工业固体废物，场地内有天然基础防渗层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不会对当地的地下水造成污染。</w:t>
            </w:r>
          </w:p>
        </w:tc>
        <w:tc>
          <w:tcPr>
            <w:tcW w:w="736" w:type="pct"/>
            <w:vAlign w:val="center"/>
          </w:tcPr>
          <w:p w14:paraId="7B4ED8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3472372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综上所述，本项目符合《地下水管理条例》中相关要求。</w:t>
      </w:r>
    </w:p>
    <w:p w14:paraId="1CB99F31">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与《中华人民共和国水污染防治法》(2017年6月27日第二次修正）符合性分析</w:t>
      </w:r>
    </w:p>
    <w:p w14:paraId="0CE391B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092E027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第四十条 化学品生产企业以及工业集聚区、矿山开采区、尾矿库、危险废物处置场、垃圾填埋场等的运营、管理单位，应当采取防渗漏等措施，并建设地下水水质监测井进行监测，防止地下水污染。加油站等的地下油罐应当使用双层罐或者采取建造防渗池等其他有效措施，并进行防渗漏监测，防止地下水污染。</w:t>
      </w:r>
    </w:p>
    <w:p w14:paraId="4521E39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禁止利用无防渗漏措施的沟渠、坑塘等输送或者存贮含有毒污染物的废水、含病原体的污水和其他废弃物。</w:t>
      </w:r>
    </w:p>
    <w:p w14:paraId="2FB4409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符合性分析</w:t>
      </w:r>
    </w:p>
    <w:p w14:paraId="51C6A13D">
      <w:pPr>
        <w:pStyle w:val="27"/>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w:t>
      </w:r>
      <w:r>
        <w:rPr>
          <w:rFonts w:hint="default" w:ascii="Times New Roman" w:hAnsi="Times New Roman" w:cs="Times New Roman"/>
          <w:color w:val="auto"/>
          <w:sz w:val="24"/>
          <w:szCs w:val="22"/>
          <w:highlight w:val="none"/>
        </w:rPr>
        <w:t>根据环境风险评估报告结论和本项目预测结果，回填材料为第</w:t>
      </w: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ROMAN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I</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类一般工业固体废物，</w:t>
      </w:r>
      <w:r>
        <w:rPr>
          <w:rFonts w:hint="default" w:ascii="Times New Roman" w:hAnsi="Times New Roman" w:cs="Times New Roman"/>
          <w:color w:val="auto"/>
          <w:sz w:val="24"/>
          <w:szCs w:val="22"/>
          <w:highlight w:val="none"/>
          <w:lang w:eastAsia="zh-CN"/>
        </w:rPr>
        <w:t>粉煤灰</w:t>
      </w:r>
      <w:r>
        <w:rPr>
          <w:rFonts w:hint="default" w:ascii="Times New Roman" w:hAnsi="Times New Roman" w:cs="Times New Roman"/>
          <w:color w:val="auto"/>
          <w:sz w:val="24"/>
          <w:szCs w:val="22"/>
          <w:highlight w:val="none"/>
        </w:rPr>
        <w:t>大气沉降对周围土壤增量影响较小，大气沉降对土壤环境影响较小，</w:t>
      </w:r>
      <w:r>
        <w:rPr>
          <w:rFonts w:hint="default" w:ascii="Times New Roman" w:hAnsi="Times New Roman" w:cs="Times New Roman"/>
          <w:color w:val="auto"/>
          <w:sz w:val="24"/>
          <w:szCs w:val="22"/>
          <w:highlight w:val="none"/>
          <w:lang w:val="en-US" w:eastAsia="zh-CN"/>
        </w:rPr>
        <w:t>正常状况下</w:t>
      </w:r>
      <w:r>
        <w:rPr>
          <w:rFonts w:hint="default" w:ascii="Times New Roman" w:hAnsi="Times New Roman" w:cs="Times New Roman"/>
          <w:color w:val="auto"/>
          <w:sz w:val="24"/>
          <w:szCs w:val="22"/>
          <w:highlight w:val="none"/>
        </w:rPr>
        <w:t>淋溶水不会对土壤环境造成明显影响。正常情况下</w:t>
      </w:r>
      <w:r>
        <w:rPr>
          <w:rFonts w:hint="default" w:ascii="Times New Roman" w:hAnsi="Times New Roman" w:cs="Times New Roman"/>
          <w:color w:val="auto"/>
          <w:sz w:val="24"/>
          <w:szCs w:val="22"/>
          <w:highlight w:val="none"/>
          <w:lang w:eastAsia="zh-CN"/>
        </w:rPr>
        <w:t>粉煤灰</w:t>
      </w:r>
      <w:r>
        <w:rPr>
          <w:rFonts w:hint="default" w:ascii="Times New Roman" w:hAnsi="Times New Roman" w:cs="Times New Roman"/>
          <w:color w:val="auto"/>
          <w:sz w:val="24"/>
          <w:szCs w:val="22"/>
          <w:highlight w:val="none"/>
        </w:rPr>
        <w:t>回填不会对地下水环境造成影响；由地下水预测结果可知，在非正常渗漏状态下，污染物不会对区域地下水造成较大影响。同时应加强跟踪监测可监测反映有无渗漏现象，并及时采取相应处理措施，可有效避免对下游其他区域地下水环境造成影响，因此本项目对地下水环境影响可接受。</w:t>
      </w:r>
    </w:p>
    <w:p w14:paraId="4C249479">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zh-CN"/>
        </w:rPr>
        <w:t>与《一般工业固体废物贮存和填埋污染控制标准》（GB18599-2020）符合性分析</w:t>
      </w:r>
    </w:p>
    <w:p w14:paraId="3260D4B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本项目是利用大唐鸡西第二热电有限公司产生的部分粉煤灰作为回填材料进行废弃采坑回填修复治理项目，回填完成后覆土恢复成林地，根据检测结果可知，</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属于第</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根据《一般工业固体废物贮存和填埋污染控制标准》（GB18599-2020）中关于回填的定义：在复垦、景观恢复、建设用地平整、农用地平整以及防止地表塌陷的地貌保护工程中，以土地复垦为目的，利用一般工业固体废物替代土、砂、石等生产材料填充地下采空空间、露天开采地表挖掘区、取土场、地下开采塌陷区以及天然坑洼区的活动。本项目与《一般工业固体废物贮存和填埋污染控制标准》（GB18599-2020）相符性分析如下。</w:t>
      </w:r>
    </w:p>
    <w:p w14:paraId="47CCC2B3">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表1-4-</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rPr>
        <w:t>与GB18599-2020符合性分析</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1"/>
        <w:gridCol w:w="1096"/>
        <w:gridCol w:w="3925"/>
        <w:gridCol w:w="2344"/>
        <w:gridCol w:w="833"/>
      </w:tblGrid>
      <w:tr w14:paraId="1DE23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tblHeader/>
        </w:trPr>
        <w:tc>
          <w:tcPr>
            <w:tcW w:w="3134" w:type="pct"/>
            <w:gridSpan w:val="3"/>
            <w:tcBorders>
              <w:top w:val="single" w:color="auto" w:sz="12" w:space="0"/>
              <w:left w:val="nil"/>
              <w:bottom w:val="single" w:color="auto" w:sz="4" w:space="0"/>
              <w:right w:val="single" w:color="auto" w:sz="4" w:space="0"/>
            </w:tcBorders>
            <w:vAlign w:val="center"/>
          </w:tcPr>
          <w:p w14:paraId="1556278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相关要求</w:t>
            </w:r>
          </w:p>
        </w:tc>
        <w:tc>
          <w:tcPr>
            <w:tcW w:w="1375" w:type="pct"/>
            <w:tcBorders>
              <w:top w:val="single" w:color="auto" w:sz="12" w:space="0"/>
              <w:left w:val="single" w:color="auto" w:sz="4" w:space="0"/>
              <w:bottom w:val="single" w:color="auto" w:sz="4" w:space="0"/>
              <w:right w:val="single" w:color="auto" w:sz="4" w:space="0"/>
            </w:tcBorders>
            <w:vAlign w:val="center"/>
          </w:tcPr>
          <w:p w14:paraId="2537C32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本项目情况</w:t>
            </w:r>
          </w:p>
        </w:tc>
        <w:tc>
          <w:tcPr>
            <w:tcW w:w="489" w:type="pct"/>
            <w:tcBorders>
              <w:top w:val="single" w:color="auto" w:sz="12" w:space="0"/>
              <w:left w:val="single" w:color="auto" w:sz="4" w:space="0"/>
              <w:bottom w:val="single" w:color="auto" w:sz="4" w:space="0"/>
              <w:right w:val="nil"/>
            </w:tcBorders>
            <w:vAlign w:val="center"/>
          </w:tcPr>
          <w:p w14:paraId="6746B03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符合性</w:t>
            </w:r>
          </w:p>
        </w:tc>
      </w:tr>
      <w:tr w14:paraId="1EAE0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8" w:type="pct"/>
            <w:vMerge w:val="restart"/>
            <w:tcBorders>
              <w:top w:val="single" w:color="auto" w:sz="4" w:space="0"/>
              <w:left w:val="nil"/>
              <w:right w:val="single" w:color="auto" w:sz="4" w:space="0"/>
            </w:tcBorders>
            <w:vAlign w:val="center"/>
          </w:tcPr>
          <w:p w14:paraId="0853879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643" w:type="pct"/>
            <w:vMerge w:val="restart"/>
            <w:tcBorders>
              <w:top w:val="single" w:color="auto" w:sz="4" w:space="0"/>
              <w:left w:val="single" w:color="auto" w:sz="4" w:space="0"/>
              <w:right w:val="single" w:color="auto" w:sz="4" w:space="0"/>
            </w:tcBorders>
            <w:vAlign w:val="center"/>
          </w:tcPr>
          <w:p w14:paraId="0784CD9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充填及回填利用污染控制要求</w:t>
            </w:r>
          </w:p>
        </w:tc>
        <w:tc>
          <w:tcPr>
            <w:tcW w:w="2302" w:type="pct"/>
            <w:tcBorders>
              <w:top w:val="single" w:color="auto" w:sz="4" w:space="0"/>
              <w:left w:val="single" w:color="auto" w:sz="4" w:space="0"/>
              <w:bottom w:val="single" w:color="auto" w:sz="4" w:space="0"/>
              <w:right w:val="single" w:color="auto" w:sz="4" w:space="0"/>
            </w:tcBorders>
            <w:vAlign w:val="center"/>
          </w:tcPr>
          <w:p w14:paraId="0CD02D1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8.2第Ⅱ类一般工业固体废物以及不符合8.1条充填或回填途径的第I类一般工业固体废物，其充填或回填活动前应开展环境本底调查，并按照HJ25.3等相关标准进行环境风险评估，重点评估对地下水、地表水及周边土壤的环境污染风险，确保环境风险可以接受。充填或回填活动结束后，应根据风险评估结果对可能受到影响的土壤、地表水及地下水开展长期监测，监测频次至少每年1次。</w:t>
            </w:r>
          </w:p>
        </w:tc>
        <w:tc>
          <w:tcPr>
            <w:tcW w:w="1375" w:type="pct"/>
            <w:tcBorders>
              <w:top w:val="single" w:color="auto" w:sz="4" w:space="0"/>
              <w:left w:val="single" w:color="auto" w:sz="4" w:space="0"/>
              <w:bottom w:val="single" w:color="auto" w:sz="4" w:space="0"/>
              <w:right w:val="single" w:color="auto" w:sz="4" w:space="0"/>
            </w:tcBorders>
            <w:vAlign w:val="center"/>
          </w:tcPr>
          <w:p w14:paraId="295EA24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szCs w:val="22"/>
                <w:highlight w:val="none"/>
                <w:lang w:val="zh-CN"/>
              </w:rPr>
              <w:t>本项目在回填活动前已开展环境本底调查，并按照《建设用地土壤污染风险评估技术导则》（HJ25.3-2019）等相关标准开展环境风险评估，形成了环境风险评估报告并通过专家评审（附件</w:t>
            </w:r>
            <w:r>
              <w:rPr>
                <w:rFonts w:hint="default" w:ascii="Times New Roman" w:hAnsi="Times New Roman" w:cs="Times New Roman"/>
                <w:color w:val="auto"/>
                <w:szCs w:val="22"/>
                <w:highlight w:val="none"/>
                <w:lang w:val="en-US" w:eastAsia="zh-CN"/>
              </w:rPr>
              <w:t>5</w:t>
            </w:r>
            <w:r>
              <w:rPr>
                <w:rFonts w:hint="default" w:ascii="Times New Roman" w:hAnsi="Times New Roman" w:cs="Times New Roman"/>
                <w:color w:val="auto"/>
                <w:szCs w:val="22"/>
                <w:highlight w:val="none"/>
                <w:lang w:val="zh-CN"/>
              </w:rPr>
              <w:t>），风险评估报告重点评估项目对地下水及周边土壤的环境污染风险，评估结论为环境风险可以接受。本项目回填活动结束后，对可能受到影响的土壤及地下水开展长期监测，土壤的监测频次至少每年1次，地下水的监测频次为每季度1次</w:t>
            </w:r>
          </w:p>
        </w:tc>
        <w:tc>
          <w:tcPr>
            <w:tcW w:w="489" w:type="pct"/>
            <w:tcBorders>
              <w:top w:val="single" w:color="auto" w:sz="4" w:space="0"/>
              <w:left w:val="single" w:color="auto" w:sz="4" w:space="0"/>
              <w:bottom w:val="single" w:color="auto" w:sz="4" w:space="0"/>
              <w:right w:val="nil"/>
            </w:tcBorders>
            <w:vAlign w:val="center"/>
          </w:tcPr>
          <w:p w14:paraId="2E8425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142DD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8" w:type="pct"/>
            <w:vMerge w:val="continue"/>
            <w:tcBorders>
              <w:top w:val="single" w:color="auto" w:sz="4" w:space="0"/>
              <w:left w:val="nil"/>
              <w:bottom w:val="single" w:color="auto" w:sz="4" w:space="0"/>
              <w:right w:val="single" w:color="auto" w:sz="4" w:space="0"/>
            </w:tcBorders>
            <w:vAlign w:val="center"/>
          </w:tcPr>
          <w:p w14:paraId="15AB4DAC">
            <w:pPr>
              <w:pStyle w:val="46"/>
              <w:bidi w:val="0"/>
              <w:rPr>
                <w:rFonts w:hint="default" w:ascii="Times New Roman" w:hAnsi="Times New Roman" w:cs="Times New Roman"/>
                <w:color w:val="auto"/>
                <w:highlight w:val="none"/>
                <w:lang w:val="zh-CN"/>
              </w:rPr>
            </w:pPr>
          </w:p>
        </w:tc>
        <w:tc>
          <w:tcPr>
            <w:tcW w:w="643" w:type="pct"/>
            <w:vMerge w:val="continue"/>
            <w:tcBorders>
              <w:top w:val="single" w:color="auto" w:sz="4" w:space="0"/>
              <w:left w:val="single" w:color="auto" w:sz="4" w:space="0"/>
              <w:bottom w:val="single" w:color="auto" w:sz="4" w:space="0"/>
              <w:right w:val="single" w:color="auto" w:sz="4" w:space="0"/>
            </w:tcBorders>
            <w:vAlign w:val="center"/>
          </w:tcPr>
          <w:p w14:paraId="67CF7B20">
            <w:pPr>
              <w:pStyle w:val="46"/>
              <w:bidi w:val="0"/>
              <w:rPr>
                <w:rFonts w:hint="default" w:ascii="Times New Roman" w:hAnsi="Times New Roman" w:cs="Times New Roman"/>
                <w:color w:val="auto"/>
                <w:highlight w:val="none"/>
                <w:lang w:val="zh-CN"/>
              </w:rPr>
            </w:pPr>
          </w:p>
        </w:tc>
        <w:tc>
          <w:tcPr>
            <w:tcW w:w="2302" w:type="pct"/>
            <w:tcBorders>
              <w:top w:val="single" w:color="auto" w:sz="4" w:space="0"/>
              <w:left w:val="single" w:color="auto" w:sz="4" w:space="0"/>
              <w:bottom w:val="single" w:color="auto" w:sz="4" w:space="0"/>
              <w:right w:val="single" w:color="auto" w:sz="4" w:space="0"/>
            </w:tcBorders>
            <w:vAlign w:val="center"/>
          </w:tcPr>
          <w:p w14:paraId="1DB36AF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8.3不应在充填物料中掺加除充填作业所需要的添加剂之外的其他固体废物。</w:t>
            </w:r>
          </w:p>
        </w:tc>
        <w:tc>
          <w:tcPr>
            <w:tcW w:w="1375" w:type="pct"/>
            <w:tcBorders>
              <w:top w:val="single" w:color="auto" w:sz="4" w:space="0"/>
              <w:left w:val="single" w:color="auto" w:sz="4" w:space="0"/>
              <w:bottom w:val="single" w:color="auto" w:sz="4" w:space="0"/>
              <w:right w:val="single" w:color="auto" w:sz="4" w:space="0"/>
            </w:tcBorders>
            <w:vAlign w:val="center"/>
          </w:tcPr>
          <w:p w14:paraId="071A841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szCs w:val="22"/>
                <w:highlight w:val="none"/>
                <w:lang w:val="zh-CN"/>
              </w:rPr>
              <w:t>本项目不在回填物料中掺加除充填作业所需要的添加剂之外的其他固体废物，回填材料来源唯一，为大唐鸡西第二热电有限公司产生的粉煤灰</w:t>
            </w:r>
          </w:p>
        </w:tc>
        <w:tc>
          <w:tcPr>
            <w:tcW w:w="489" w:type="pct"/>
            <w:tcBorders>
              <w:top w:val="single" w:color="auto" w:sz="4" w:space="0"/>
              <w:left w:val="single" w:color="auto" w:sz="4" w:space="0"/>
              <w:bottom w:val="single" w:color="auto" w:sz="4" w:space="0"/>
              <w:right w:val="nil"/>
            </w:tcBorders>
            <w:vAlign w:val="center"/>
          </w:tcPr>
          <w:p w14:paraId="1F4AD08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27C5D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8" w:type="pct"/>
            <w:vMerge w:val="continue"/>
            <w:tcBorders>
              <w:top w:val="single" w:color="auto" w:sz="4" w:space="0"/>
              <w:left w:val="nil"/>
              <w:bottom w:val="single" w:color="auto" w:sz="4" w:space="0"/>
              <w:right w:val="single" w:color="auto" w:sz="4" w:space="0"/>
            </w:tcBorders>
            <w:vAlign w:val="center"/>
          </w:tcPr>
          <w:p w14:paraId="3D94878D">
            <w:pPr>
              <w:pStyle w:val="46"/>
              <w:bidi w:val="0"/>
              <w:rPr>
                <w:rFonts w:hint="default" w:ascii="Times New Roman" w:hAnsi="Times New Roman" w:cs="Times New Roman"/>
                <w:color w:val="auto"/>
                <w:highlight w:val="none"/>
                <w:lang w:val="zh-CN"/>
              </w:rPr>
            </w:pPr>
          </w:p>
        </w:tc>
        <w:tc>
          <w:tcPr>
            <w:tcW w:w="643" w:type="pct"/>
            <w:vMerge w:val="continue"/>
            <w:tcBorders>
              <w:top w:val="single" w:color="auto" w:sz="4" w:space="0"/>
              <w:left w:val="single" w:color="auto" w:sz="4" w:space="0"/>
              <w:bottom w:val="single" w:color="auto" w:sz="4" w:space="0"/>
              <w:right w:val="single" w:color="auto" w:sz="4" w:space="0"/>
            </w:tcBorders>
            <w:vAlign w:val="center"/>
          </w:tcPr>
          <w:p w14:paraId="0620F31C">
            <w:pPr>
              <w:pStyle w:val="46"/>
              <w:bidi w:val="0"/>
              <w:rPr>
                <w:rFonts w:hint="default" w:ascii="Times New Roman" w:hAnsi="Times New Roman" w:cs="Times New Roman"/>
                <w:color w:val="auto"/>
                <w:highlight w:val="none"/>
                <w:lang w:val="zh-CN"/>
              </w:rPr>
            </w:pPr>
          </w:p>
        </w:tc>
        <w:tc>
          <w:tcPr>
            <w:tcW w:w="2302" w:type="pct"/>
            <w:tcBorders>
              <w:top w:val="single" w:color="auto" w:sz="4" w:space="0"/>
              <w:left w:val="single" w:color="auto" w:sz="4" w:space="0"/>
              <w:bottom w:val="single" w:color="auto" w:sz="4" w:space="0"/>
              <w:right w:val="single" w:color="auto" w:sz="4" w:space="0"/>
            </w:tcBorders>
            <w:vAlign w:val="center"/>
          </w:tcPr>
          <w:p w14:paraId="391B263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8.4一般工业固体废物回填作业结束后应立即实施土地复垦（回填地下的除外），土地复垦应符合本标准9.9条的规定。</w:t>
            </w:r>
          </w:p>
        </w:tc>
        <w:tc>
          <w:tcPr>
            <w:tcW w:w="1375" w:type="pct"/>
            <w:tcBorders>
              <w:top w:val="single" w:color="auto" w:sz="4" w:space="0"/>
              <w:left w:val="single" w:color="auto" w:sz="4" w:space="0"/>
              <w:bottom w:val="single" w:color="auto" w:sz="4" w:space="0"/>
              <w:right w:val="single" w:color="auto" w:sz="4" w:space="0"/>
            </w:tcBorders>
            <w:vAlign w:val="center"/>
          </w:tcPr>
          <w:p w14:paraId="6195791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本项目一般工业固体废物回填作业结束后立即实施土地复垦，土地复垦符合本标准9.9条的规定。</w:t>
            </w:r>
          </w:p>
        </w:tc>
        <w:tc>
          <w:tcPr>
            <w:tcW w:w="489" w:type="pct"/>
            <w:tcBorders>
              <w:top w:val="single" w:color="auto" w:sz="4" w:space="0"/>
              <w:left w:val="single" w:color="auto" w:sz="4" w:space="0"/>
              <w:bottom w:val="single" w:color="auto" w:sz="4" w:space="0"/>
              <w:right w:val="nil"/>
            </w:tcBorders>
            <w:vAlign w:val="center"/>
          </w:tcPr>
          <w:p w14:paraId="3E53969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04B6C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8" w:type="pct"/>
            <w:vMerge w:val="continue"/>
            <w:tcBorders>
              <w:top w:val="single" w:color="auto" w:sz="4" w:space="0"/>
              <w:left w:val="nil"/>
              <w:bottom w:val="single" w:color="auto" w:sz="12" w:space="0"/>
              <w:right w:val="single" w:color="auto" w:sz="4" w:space="0"/>
            </w:tcBorders>
            <w:vAlign w:val="center"/>
          </w:tcPr>
          <w:p w14:paraId="6C32327C">
            <w:pPr>
              <w:pStyle w:val="46"/>
              <w:bidi w:val="0"/>
              <w:rPr>
                <w:rFonts w:hint="default" w:ascii="Times New Roman" w:hAnsi="Times New Roman" w:cs="Times New Roman"/>
                <w:color w:val="auto"/>
                <w:highlight w:val="none"/>
                <w:lang w:val="zh-CN"/>
              </w:rPr>
            </w:pPr>
          </w:p>
        </w:tc>
        <w:tc>
          <w:tcPr>
            <w:tcW w:w="643" w:type="pct"/>
            <w:vMerge w:val="continue"/>
            <w:tcBorders>
              <w:top w:val="single" w:color="auto" w:sz="4" w:space="0"/>
              <w:left w:val="single" w:color="auto" w:sz="4" w:space="0"/>
              <w:bottom w:val="single" w:color="auto" w:sz="12" w:space="0"/>
              <w:right w:val="single" w:color="auto" w:sz="4" w:space="0"/>
            </w:tcBorders>
            <w:vAlign w:val="center"/>
          </w:tcPr>
          <w:p w14:paraId="5CC7B8BB">
            <w:pPr>
              <w:pStyle w:val="46"/>
              <w:bidi w:val="0"/>
              <w:rPr>
                <w:rFonts w:hint="default" w:ascii="Times New Roman" w:hAnsi="Times New Roman" w:cs="Times New Roman"/>
                <w:color w:val="auto"/>
                <w:highlight w:val="none"/>
                <w:lang w:val="zh-CN"/>
              </w:rPr>
            </w:pPr>
          </w:p>
        </w:tc>
        <w:tc>
          <w:tcPr>
            <w:tcW w:w="2302" w:type="pct"/>
            <w:tcBorders>
              <w:top w:val="single" w:color="auto" w:sz="4" w:space="0"/>
              <w:left w:val="single" w:color="auto" w:sz="4" w:space="0"/>
              <w:bottom w:val="single" w:color="auto" w:sz="12" w:space="0"/>
              <w:right w:val="single" w:color="auto" w:sz="4" w:space="0"/>
            </w:tcBorders>
            <w:vAlign w:val="center"/>
          </w:tcPr>
          <w:p w14:paraId="7506B72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8.5食品制造业、纺织服装和服饰业、造纸和纸制品业、农副食品加工业等为日常生活提供服务的活动中产生的与生活垃圾性质相近的一般工业固体废物以及其他有机物含量超过5%的一般工业固体废物（煤矸石除外）不得进行充填、回填作业。</w:t>
            </w:r>
          </w:p>
        </w:tc>
        <w:tc>
          <w:tcPr>
            <w:tcW w:w="1375" w:type="pct"/>
            <w:tcBorders>
              <w:top w:val="single" w:color="auto" w:sz="4" w:space="0"/>
              <w:left w:val="single" w:color="auto" w:sz="4" w:space="0"/>
              <w:bottom w:val="single" w:color="auto" w:sz="12" w:space="0"/>
              <w:right w:val="single" w:color="auto" w:sz="4" w:space="0"/>
            </w:tcBorders>
            <w:vAlign w:val="center"/>
          </w:tcPr>
          <w:p w14:paraId="1DADF9A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本项目回填物</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lang w:val="zh-CN"/>
              </w:rPr>
              <w:t>的有机物含量</w:t>
            </w:r>
            <w:r>
              <w:rPr>
                <w:rFonts w:hint="default" w:ascii="Times New Roman" w:hAnsi="Times New Roman" w:cs="Times New Roman"/>
                <w:color w:val="auto"/>
                <w:highlight w:val="none"/>
                <w:lang w:val="en-US" w:eastAsia="zh-CN"/>
              </w:rPr>
              <w:t>1.34</w:t>
            </w:r>
            <w:r>
              <w:rPr>
                <w:rFonts w:hint="default" w:ascii="Times New Roman" w:hAnsi="Times New Roman" w:cs="Times New Roman"/>
                <w:color w:val="auto"/>
                <w:highlight w:val="none"/>
                <w:lang w:val="zh-CN"/>
              </w:rPr>
              <w:t>%。</w:t>
            </w:r>
          </w:p>
        </w:tc>
        <w:tc>
          <w:tcPr>
            <w:tcW w:w="489" w:type="pct"/>
            <w:tcBorders>
              <w:top w:val="single" w:color="auto" w:sz="4" w:space="0"/>
              <w:left w:val="single" w:color="auto" w:sz="4" w:space="0"/>
              <w:bottom w:val="single" w:color="auto" w:sz="12" w:space="0"/>
              <w:right w:val="nil"/>
            </w:tcBorders>
            <w:vAlign w:val="center"/>
          </w:tcPr>
          <w:p w14:paraId="364EB65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bl>
    <w:p w14:paraId="72071A2C">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本项目影响类似于一般工业固体废物填埋场，因此执行参照执行部分填埋场要求，</w:t>
      </w:r>
    </w:p>
    <w:p w14:paraId="15840877">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与《黑龙江省水土保持规划》(2015-2030年）、《鸡西市水土保持规划》（2019-2030年）符合性分析</w:t>
      </w:r>
    </w:p>
    <w:p w14:paraId="05458816">
      <w:pPr>
        <w:pStyle w:val="27"/>
        <w:widowControl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根据《黑龙江省水土保持规划》(2015-2030年）、《鸡西市水土保持规划》（2019-2030年），鸡西市位于东北漫川漫岗水土流失重点治理区，为省级治理区。本项目是利用大唐鸡西第二热电有限公司产生的部分粉煤灰作为回填材料进行废弃采坑回填修复治理项目，回填完成后覆土恢复成林地项目实施后提高区域的植被覆盖率，可使区域内野生动物的数量增加，生物量增加，提高生物多样性，可消除遗留采坑的水土流失、坍塌隐患，对当地生态环境起到积极的作用，因此本项目与《黑龙江省水土保持规划》(2015-2030年）、《鸡西市水土保持规划》（2019-2030年）符合。 </w:t>
      </w:r>
    </w:p>
    <w:p w14:paraId="08B5D4DC">
      <w:pPr>
        <w:pStyle w:val="6"/>
        <w:rPr>
          <w:rFonts w:hint="default" w:ascii="Times New Roman" w:hAnsi="Times New Roman" w:eastAsia="宋体" w:cs="Times New Roman"/>
          <w:color w:val="auto"/>
          <w:highlight w:val="none"/>
          <w:u w:val="none"/>
        </w:rPr>
      </w:pPr>
      <w:r>
        <w:rPr>
          <w:rFonts w:hint="default" w:ascii="Times New Roman" w:hAnsi="Times New Roman" w:cs="Times New Roman"/>
          <w:color w:val="auto"/>
          <w:highlight w:val="none"/>
        </w:rPr>
        <w:t>1.4.3.1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与《鸡西市国土空间总体规划》（2021—2035年）</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u w:val="none"/>
          <w:lang w:val="en-US" w:eastAsia="zh-CN"/>
        </w:rPr>
        <w:t>滴道区滴道河乡（含街道）国土空间总体规划（2021-2035年）》</w:t>
      </w:r>
    </w:p>
    <w:p w14:paraId="57827913">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符合性分析</w:t>
      </w:r>
    </w:p>
    <w:p w14:paraId="44DC7DC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相关内容</w:t>
      </w:r>
    </w:p>
    <w:p w14:paraId="6EB3D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21"/>
          <w:sz w:val="24"/>
          <w:highlight w:val="none"/>
          <w:u w:val="none"/>
          <w:lang w:val="en-US" w:eastAsia="zh-CN"/>
        </w:rPr>
      </w:pPr>
      <w:bookmarkStart w:id="45" w:name="_Hlk148357494"/>
      <w:r>
        <w:rPr>
          <w:rFonts w:hint="default" w:ascii="Times New Roman" w:hAnsi="Times New Roman" w:eastAsia="宋体" w:cs="Times New Roman"/>
          <w:b w:val="0"/>
          <w:bCs/>
          <w:color w:val="auto"/>
          <w:kern w:val="21"/>
          <w:sz w:val="24"/>
          <w:highlight w:val="none"/>
          <w:u w:val="none"/>
          <w:lang w:val="en-US" w:eastAsia="zh-CN"/>
        </w:rPr>
        <w:t>根据《鸡西市国土空间总体规划（2021-2035年）》、《滴道区滴道河乡（含街道）国土空间总体规划（2021-2035年）》相关内容，规划中国土综合整治和生态修复提出：构建整治修复格局，①两屏包括老爷岭余脉生态屏障和三江平原湿地生态屏障；②四廊包括穆棱河生态廊道、七虎林河生态廊道、阿布沁河生态廊道及乌苏里江-松阿察河生态廊道；③多片区包括生态功能修复区、矿山环境治理与修复区、城市环境综合整治区和农林业治区。生态修复重点工程包括两大屏障生态修复工程、两大屏障生态修复工程、水土保持生态修复工程、矿山环境修复工程、湿地保护修复工程及保护生物多样性重大工程。其中山体生态修复治理的修复目标为：山体开发建设管控、“还绿于民”、受损山体修复、修复矿山生态环境。</w:t>
      </w:r>
    </w:p>
    <w:p w14:paraId="497D7D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21"/>
          <w:sz w:val="24"/>
          <w:highlight w:val="none"/>
          <w:u w:val="none"/>
          <w:lang w:val="en-US" w:eastAsia="zh-CN"/>
        </w:rPr>
      </w:pPr>
      <w:r>
        <w:rPr>
          <w:rFonts w:hint="default" w:ascii="Times New Roman" w:hAnsi="Times New Roman" w:eastAsia="宋体" w:cs="Times New Roman"/>
          <w:b w:val="0"/>
          <w:bCs/>
          <w:color w:val="auto"/>
          <w:kern w:val="21"/>
          <w:sz w:val="24"/>
          <w:highlight w:val="none"/>
          <w:u w:val="none"/>
          <w:lang w:val="en-US" w:eastAsia="zh-CN"/>
        </w:rPr>
        <w:t>2、符合性分析</w:t>
      </w:r>
    </w:p>
    <w:bookmarkEnd w:id="45"/>
    <w:p w14:paraId="157C0B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21"/>
          <w:sz w:val="24"/>
          <w:highlight w:val="none"/>
          <w:u w:val="none"/>
          <w:lang w:val="en-US" w:eastAsia="zh-CN"/>
        </w:rPr>
      </w:pPr>
      <w:r>
        <w:rPr>
          <w:rFonts w:hint="default" w:ascii="Times New Roman" w:hAnsi="Times New Roman" w:eastAsia="宋体" w:cs="Times New Roman"/>
          <w:b w:val="0"/>
          <w:bCs/>
          <w:color w:val="auto"/>
          <w:kern w:val="21"/>
          <w:sz w:val="24"/>
          <w:highlight w:val="none"/>
          <w:u w:val="none"/>
          <w:lang w:val="en-US" w:eastAsia="zh-CN"/>
        </w:rPr>
        <w:t>项目位于国土空间规划分区中矿产能源发展区，本次为采矿结束后进行生态恢复，回填后作林地、耕地，不但能改善场地环境、恢复土地利用价值、区域土地利用功能，而且对项目区本身的安全和稳定性也具有重要意义，可消除遗留的水土流失、坍塌隐患。因此项目符合《鸡西市国土空间总体规划（2021-2035年）》、《滴道区滴道河乡（含街道）国土空间总体规划（2021-2035年）》。</w:t>
      </w:r>
    </w:p>
    <w:p w14:paraId="0A11C362">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zh-CN"/>
        </w:rPr>
        <w:t>与《黑龙江省生态功能区划》符合性分析</w:t>
      </w:r>
    </w:p>
    <w:p w14:paraId="66814A1C">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根据《黑龙江省生态功能区规划》，本项目位于</w:t>
      </w: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-3-2-6鸡西矿、农业、林业生态功能区，主要生态环境问题为植被覆盖率低，矿产开采的生态恢复措施未跟上，引发严重的次生生态环境问题；该区南部小片地区土壤侵蚀敏感性为高度敏感；主要生态系统服务功能为土壤保持、林矿农业生产；保护措施与发展方向为合理地进行矿产开发，禁止野蛮开采的情况出现，大力发展生态林业和生态农业。</w:t>
      </w:r>
    </w:p>
    <w:p w14:paraId="0905074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highlight w:val="none"/>
        </w:rPr>
        <w:t>林地，本项目的建设既可以减少水土流失，又可改善废弃矿山的生态环境。因此，本项目的建设符合《</w:t>
      </w:r>
      <w:bookmarkStart w:id="46" w:name="OLE_LINK15"/>
      <w:r>
        <w:rPr>
          <w:rFonts w:hint="default" w:ascii="Times New Roman" w:hAnsi="Times New Roman" w:cs="Times New Roman"/>
          <w:color w:val="auto"/>
          <w:highlight w:val="none"/>
        </w:rPr>
        <w:t>黑龙江省生态功能区划</w:t>
      </w:r>
      <w:bookmarkEnd w:id="46"/>
      <w:r>
        <w:rPr>
          <w:rFonts w:hint="default" w:ascii="Times New Roman" w:hAnsi="Times New Roman" w:cs="Times New Roman"/>
          <w:color w:val="auto"/>
          <w:highlight w:val="none"/>
        </w:rPr>
        <w:t>》。</w:t>
      </w:r>
    </w:p>
    <w:p w14:paraId="20F46F2E">
      <w:pPr>
        <w:pStyle w:val="27"/>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3422650</wp:posOffset>
                </wp:positionH>
                <wp:positionV relativeFrom="paragraph">
                  <wp:posOffset>4211955</wp:posOffset>
                </wp:positionV>
                <wp:extent cx="108585" cy="114935"/>
                <wp:effectExtent l="12700" t="12700" r="31115" b="24765"/>
                <wp:wrapNone/>
                <wp:docPr id="15" name="六角星 15"/>
                <wp:cNvGraphicFramePr/>
                <a:graphic xmlns:a="http://schemas.openxmlformats.org/drawingml/2006/main">
                  <a:graphicData uri="http://schemas.microsoft.com/office/word/2010/wordprocessingShape">
                    <wps:wsp>
                      <wps:cNvSpPr/>
                      <wps:spPr>
                        <a:xfrm>
                          <a:off x="4565650" y="5126355"/>
                          <a:ext cx="108585" cy="114935"/>
                        </a:xfrm>
                        <a:prstGeom prst="star6">
                          <a:avLst/>
                        </a:prstGeom>
                        <a:solidFill>
                          <a:schemeClr val="accent2"/>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9.5pt;margin-top:331.65pt;height:9.05pt;width:8.55pt;z-index:251669504;v-text-anchor:middle;mso-width-relative:page;mso-height-relative:page;" fillcolor="#C0504D [3205]" filled="t" stroked="t" coordsize="108585,114935" o:gfxdata="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Tc0md0AAAALAQAADwAAAAAAAAABACAAAAAi&#10;AAAAZHJzL2Rvd25yZXYueG1sUEsBAhQAFAAAAAgAh07iQGpGrAB3AgAA7gQAAA4AAAAAAAAAAQAg&#10;AAAALAEAAGRycy9lMm9Eb2MueG1sUEsFBgAAAAAGAAYAWQEAABUGAAAAAA==&#10;" path="m0,28733l36194,28733,54292,0,72390,28733,108584,28733,90488,57467,108584,86201,72390,86201,54292,114935,36194,86201,0,86201,18096,57467xe">
                <v:path o:connectlocs="108584,28733;108584,86201;54292,114935;0,86201;0,28733;54292,0" o:connectangles="0,0,82,164,164,247"/>
                <v:fill on="t" focussize="0,0"/>
                <v:stroke weight="2pt" color="#C0504D [3205]"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3927475</wp:posOffset>
                </wp:positionH>
                <wp:positionV relativeFrom="paragraph">
                  <wp:posOffset>3477260</wp:posOffset>
                </wp:positionV>
                <wp:extent cx="817880" cy="294005"/>
                <wp:effectExtent l="440055" t="6350" r="18415" b="518795"/>
                <wp:wrapNone/>
                <wp:docPr id="14" name="圆角矩形标注 14"/>
                <wp:cNvGraphicFramePr/>
                <a:graphic xmlns:a="http://schemas.openxmlformats.org/drawingml/2006/main">
                  <a:graphicData uri="http://schemas.microsoft.com/office/word/2010/wordprocessingShape">
                    <wps:wsp>
                      <wps:cNvSpPr/>
                      <wps:spPr>
                        <a:xfrm>
                          <a:off x="4974590" y="4429760"/>
                          <a:ext cx="817880" cy="294005"/>
                        </a:xfrm>
                        <a:prstGeom prst="wedgeRoundRectCallout">
                          <a:avLst>
                            <a:gd name="adj1" fmla="val -103061"/>
                            <a:gd name="adj2" fmla="val 219503"/>
                            <a:gd name="adj3" fmla="val 16667"/>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9CEDF7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9.25pt;margin-top:273.8pt;height:23.15pt;width:64.4pt;z-index:251668480;v-text-anchor:middle;mso-width-relative:page;mso-height-relative:page;" filled="f" stroked="t" coordsize="21600,21600" o:gfxdata="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I2anlnYAAAACwEAAA8AAAAA&#10;AAAAAQAgAAAAIgAAAGRycy9kb3ducmV2LnhtbFBLAQIUABQAAAAIAIdO4kB+QUjCvwIAAGEFAAAO&#10;AAAAAAAAAAEAIAAAACcBAABkcnMvZTJvRG9jLnhtbFBLBQYAAAAABgAGAFkBAABYBgAAAAA=&#10;" adj="-11461,58213,14400">
                <v:fill on="f" focussize="0,0"/>
                <v:stroke weight="1pt" color="#000000 [3213]" joinstyle="round"/>
                <v:imagedata o:title=""/>
                <o:lock v:ext="edit" aspectratio="f"/>
                <v:textbox>
                  <w:txbxContent>
                    <w:p w14:paraId="49CEDF7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5273040" cy="5586095"/>
            <wp:effectExtent l="0" t="0" r="3810" b="1460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7"/>
                    <a:stretch>
                      <a:fillRect/>
                    </a:stretch>
                  </pic:blipFill>
                  <pic:spPr>
                    <a:xfrm>
                      <a:off x="0" y="0"/>
                      <a:ext cx="5273040" cy="5586095"/>
                    </a:xfrm>
                    <a:prstGeom prst="rect">
                      <a:avLst/>
                    </a:prstGeom>
                    <a:solidFill>
                      <a:schemeClr val="accent2"/>
                    </a:solidFill>
                    <a:ln>
                      <a:noFill/>
                    </a:ln>
                  </pic:spPr>
                </pic:pic>
              </a:graphicData>
            </a:graphic>
          </wp:inline>
        </w:drawing>
      </w:r>
    </w:p>
    <w:p w14:paraId="5C5A0962">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图1-4-1黑龙江省生态功能区划图</w:t>
      </w:r>
    </w:p>
    <w:p w14:paraId="0526CDFF">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lang w:val="en-US" w:eastAsia="zh-CN"/>
        </w:rPr>
        <w:t>20</w:t>
      </w:r>
      <w:r>
        <w:rPr>
          <w:rFonts w:hint="default" w:ascii="Times New Roman" w:hAnsi="Times New Roman" w:cs="Times New Roman"/>
          <w:snapToGrid w:val="0"/>
          <w:color w:val="auto"/>
          <w:highlight w:val="none"/>
          <w:lang w:val="zh-CN"/>
        </w:rPr>
        <w:t>与</w:t>
      </w:r>
      <w:bookmarkStart w:id="47" w:name="_Hlk520812012"/>
      <w:r>
        <w:rPr>
          <w:rFonts w:hint="default" w:ascii="Times New Roman" w:hAnsi="Times New Roman" w:cs="Times New Roman"/>
          <w:snapToGrid w:val="0"/>
          <w:color w:val="auto"/>
          <w:highlight w:val="none"/>
          <w:lang w:val="zh-CN"/>
        </w:rPr>
        <w:t>《黑龙江省主体功能区划》</w:t>
      </w:r>
      <w:bookmarkEnd w:id="47"/>
      <w:r>
        <w:rPr>
          <w:rFonts w:hint="default" w:ascii="Times New Roman" w:hAnsi="Times New Roman" w:cs="Times New Roman"/>
          <w:snapToGrid w:val="0"/>
          <w:color w:val="auto"/>
          <w:highlight w:val="none"/>
          <w:lang w:val="zh-CN"/>
        </w:rPr>
        <w:t>符合性分析</w:t>
      </w:r>
    </w:p>
    <w:p w14:paraId="3CB9578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本项目位于鸡西市，属于省级重点开发区域。</w:t>
      </w:r>
    </w:p>
    <w:p w14:paraId="2D5E95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功能定位：全省重要的能源基地和煤电化基地，以煤机为重点的装备制造业基地，以石墨精深加工为重点的新材料基地，打造国内生态旅游城市，建设对俄进出口产品加工基地、优质农产品加工基地。</w:t>
      </w:r>
    </w:p>
    <w:p w14:paraId="2090AA9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产业发展方向及布局：发展煤电化、石墨新材料、装备制造、绿色食品和生态旅游五大主导产业。永庆煤化工园区、滴道煤电循环经济产业等园区重点发展煤炭、电力、煤化工、建材产业；麻山石墨产业园区、恒山石墨产业园区等园区重点发展石墨新材料产业；鸡西煤机园区重点发展煤机装备制造产业；依托农业资源优势重点发展绿色食品和医药产业；依托兴凯湖、乌苏里江等良好的生态资源重点发展生态旅游产业。</w:t>
      </w:r>
    </w:p>
    <w:p w14:paraId="68ED43B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生态建设：加强水土流失预防和治理。开展重点矿区生态修复和环境治理，加强煤矸石等废弃物和采煤沉陷区治理，强化煤层气抽采及综合利用，提高矿区土地复垦和矿井水回收利用率。</w:t>
      </w:r>
    </w:p>
    <w:p w14:paraId="714C7E2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基础设施建设：完善主城区基础设施建设，加快鸡西机场改扩建和东部物流通道建设。</w:t>
      </w:r>
    </w:p>
    <w:p w14:paraId="1E91805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3734435</wp:posOffset>
                </wp:positionH>
                <wp:positionV relativeFrom="paragraph">
                  <wp:posOffset>2633345</wp:posOffset>
                </wp:positionV>
                <wp:extent cx="1087755" cy="392430"/>
                <wp:effectExtent l="170815" t="4445" r="17780" b="155575"/>
                <wp:wrapNone/>
                <wp:docPr id="490470110" name="对话气泡: 矩形 8"/>
                <wp:cNvGraphicFramePr/>
                <a:graphic xmlns:a="http://schemas.openxmlformats.org/drawingml/2006/main">
                  <a:graphicData uri="http://schemas.microsoft.com/office/word/2010/wordprocessingShape">
                    <wps:wsp>
                      <wps:cNvSpPr/>
                      <wps:spPr>
                        <a:xfrm>
                          <a:off x="0" y="0"/>
                          <a:ext cx="1087755" cy="392430"/>
                        </a:xfrm>
                        <a:prstGeom prst="wedgeRectCallout">
                          <a:avLst>
                            <a:gd name="adj1" fmla="val -65278"/>
                            <a:gd name="adj2" fmla="val 88081"/>
                          </a:avLst>
                        </a:prstGeom>
                        <a:ln w="3175"/>
                      </wps:spPr>
                      <wps:style>
                        <a:lnRef idx="2">
                          <a:schemeClr val="dk1"/>
                        </a:lnRef>
                        <a:fillRef idx="1">
                          <a:schemeClr val="lt1"/>
                        </a:fillRef>
                        <a:effectRef idx="0">
                          <a:schemeClr val="dk1"/>
                        </a:effectRef>
                        <a:fontRef idx="minor">
                          <a:schemeClr val="dk1"/>
                        </a:fontRef>
                      </wps:style>
                      <wps:txbx>
                        <w:txbxContent>
                          <w:p w14:paraId="78BC5409">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 o:spid="_x0000_s1026" o:spt="61" type="#_x0000_t61" style="position:absolute;left:0pt;margin-left:294.05pt;margin-top:207.35pt;height:30.9pt;width:85.65pt;z-index:251660288;v-text-anchor:middle;mso-width-relative:page;mso-height-relative:page;" fillcolor="#FFFFFF [3201]" filled="t" stroked="t" coordsize="21600,21600" o:gfxdata="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sLyaodsAAAALAQAADwAAAAAAAAABACAA&#10;AAAiAAAAZHJzL2Rvd25yZXYueG1sUEsBAhQAFAAAAAgAh07iQFldvYu1AgAAWwUAAA4AAAAAAAAA&#10;AQAgAAAAKgEAAGRycy9lMm9Eb2MueG1sUEsFBgAAAAAGAAYAWQEAAFEGAAAAAA==&#10;" adj="-3300,29825">
                <v:fill on="t" focussize="0,0"/>
                <v:stroke weight="0.25pt" color="#000000 [3200]" joinstyle="round"/>
                <v:imagedata o:title=""/>
                <o:lock v:ext="edit" aspectratio="f"/>
                <v:textbox>
                  <w:txbxContent>
                    <w:p w14:paraId="78BC5409">
                      <w:r>
                        <w:rPr>
                          <w:rFonts w:hint="eastAsia"/>
                        </w:rPr>
                        <w:t>本项目</w:t>
                      </w:r>
                    </w:p>
                  </w:txbxContent>
                </v:textbox>
              </v:shape>
            </w:pict>
          </mc:Fallback>
        </mc:AlternateContent>
      </w:r>
      <w:r>
        <w:rPr>
          <w:rFonts w:hint="default" w:ascii="Times New Roman" w:hAnsi="Times New Roman" w:cs="Times New Roman"/>
          <w:color w:val="auto"/>
          <w:highlight w:val="none"/>
        </w:rPr>
        <w:drawing>
          <wp:inline distT="0" distB="0" distL="0" distR="0">
            <wp:extent cx="5274310" cy="3963035"/>
            <wp:effectExtent l="0" t="0" r="2540" b="0"/>
            <wp:docPr id="18332751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75179" name="图片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3963035"/>
                    </a:xfrm>
                    <a:prstGeom prst="rect">
                      <a:avLst/>
                    </a:prstGeom>
                    <a:noFill/>
                    <a:ln>
                      <a:noFill/>
                    </a:ln>
                  </pic:spPr>
                </pic:pic>
              </a:graphicData>
            </a:graphic>
          </wp:inline>
        </w:drawing>
      </w:r>
    </w:p>
    <w:p w14:paraId="4EF5EE36">
      <w:pPr>
        <w:pStyle w:val="29"/>
        <w:bidi w:val="0"/>
        <w:rPr>
          <w:rFonts w:hint="default" w:ascii="Times New Roman" w:hAnsi="Times New Roman" w:cs="Times New Roman" w:eastAsiaTheme="majorEastAsia"/>
          <w:snapToGrid w:val="0"/>
          <w:color w:val="auto"/>
          <w:sz w:val="24"/>
          <w:highlight w:val="none"/>
          <w:lang w:val="zh-CN"/>
        </w:rPr>
      </w:pPr>
      <w:r>
        <w:rPr>
          <w:rFonts w:hint="default" w:ascii="Times New Roman" w:hAnsi="Times New Roman" w:cs="Times New Roman" w:eastAsiaTheme="majorEastAsia"/>
          <w:color w:val="auto"/>
          <w:highlight w:val="none"/>
        </w:rPr>
        <w:t>图</w:t>
      </w:r>
      <w:r>
        <w:rPr>
          <w:rFonts w:hint="default" w:ascii="Times New Roman" w:hAnsi="Times New Roman" w:cs="Times New Roman" w:eastAsiaTheme="majorEastAsia"/>
          <w:snapToGrid w:val="0"/>
          <w:color w:val="auto"/>
          <w:sz w:val="24"/>
          <w:highlight w:val="none"/>
          <w:lang w:val="zh-CN"/>
        </w:rPr>
        <w:t>1-4-2黑龙江省主体功能区划图</w:t>
      </w:r>
    </w:p>
    <w:p w14:paraId="4BC06E9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项目的实施不但能改善场地环境、恢复土地利用价值和土地利用功能、提高农产品供给能力，而且对项目区本身的安全和稳定性也具有重要意义。因此，符合《黑龙江省主体功能区划》中的功能定位和发展方向。</w:t>
      </w:r>
    </w:p>
    <w:p w14:paraId="63FB2463">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1.4.3.2</w:t>
      </w:r>
      <w:r>
        <w:rPr>
          <w:rFonts w:hint="default" w:ascii="Times New Roman" w:hAnsi="Times New Roman" w:cs="Times New Roman"/>
          <w:color w:val="auto"/>
          <w:highlight w:val="none"/>
          <w:lang w:val="en-US" w:eastAsia="zh-CN"/>
        </w:rPr>
        <w:t>1与《土地复垦条例实施办法 》符合性分析</w:t>
      </w:r>
    </w:p>
    <w:p w14:paraId="5D462502">
      <w:pPr>
        <w:pStyle w:val="48"/>
        <w:numPr>
          <w:ilvl w:val="0"/>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相关内容</w:t>
      </w:r>
    </w:p>
    <w:p w14:paraId="68881172">
      <w:pPr>
        <w:pStyle w:val="48"/>
        <w:numPr>
          <w:ilvl w:val="0"/>
          <w:numId w:val="0"/>
        </w:numPr>
        <w:bidi w:val="0"/>
        <w:ind w:firstLine="480" w:firstLineChars="20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第二十四条  土地复垦义务人在生产建设活动中应当遵循“保护、预防和控制为主，生产建设与复垦相结合”的原则，采取下列预防控制措施：</w:t>
      </w:r>
    </w:p>
    <w:p w14:paraId="01346F5A">
      <w:pPr>
        <w:pStyle w:val="48"/>
        <w:bidi w:val="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一）对可能被损毁的耕地、林地、草地等，应当进行表土剥离，分层存放，分层回填，优先用于复垦土地的土壤改良。表土剥离厚度应当依据相关技术标准,根据实际情况确定。表土剥离应当在生产工艺和施工建设前进行或者同步进行；</w:t>
      </w:r>
    </w:p>
    <w:p w14:paraId="28CDC5AD">
      <w:pPr>
        <w:pStyle w:val="48"/>
        <w:bidi w:val="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（二）露天采矿、烧制砖瓦、挖沙取土、采石，修建铁路、公路、水利工程等，应当合理确定取土的位置、范围、深度和堆放的位置、高度等；</w:t>
      </w:r>
    </w:p>
    <w:p w14:paraId="5CE08FB2">
      <w:pPr>
        <w:pStyle w:val="48"/>
        <w:bidi w:val="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（三）地下采矿或者疏干抽排地下水等施工，对易造成地面塌陷或者地面沉降等特殊地段应当采取充填、设置保护支柱等工程技术方法以及限制、禁止开采地下水等措施；</w:t>
      </w:r>
    </w:p>
    <w:p w14:paraId="431C739E">
      <w:pPr>
        <w:pStyle w:val="48"/>
        <w:bidi w:val="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（四）禁止不按照规定排放废气、废水、废渣、粉灰、废油等。</w:t>
      </w:r>
    </w:p>
    <w:p w14:paraId="741CCDED">
      <w:pPr>
        <w:pStyle w:val="4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2、符合性分析</w:t>
      </w:r>
    </w:p>
    <w:p w14:paraId="054F5982">
      <w:pPr>
        <w:pStyle w:val="4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本项目开采前已对开采区域的表土进行剥离保存。用于本次项目的复垦所用表土。本项目不设置取土场及地下水抽排。故本项目实施符合土地复垦条例实施办法 》。</w:t>
      </w:r>
    </w:p>
    <w:p w14:paraId="5D57FA6F">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1.4.3.2</w:t>
      </w:r>
      <w:r>
        <w:rPr>
          <w:rFonts w:hint="default" w:ascii="Times New Roman" w:hAnsi="Times New Roman" w:cs="Times New Roman"/>
          <w:color w:val="auto"/>
          <w:highlight w:val="none"/>
          <w:lang w:val="en-US" w:eastAsia="zh-CN"/>
        </w:rPr>
        <w:t>2与《粉煤灰综合利用管理办法 》符合性分析</w:t>
      </w:r>
    </w:p>
    <w:p w14:paraId="30254E7C">
      <w:pPr>
        <w:pStyle w:val="48"/>
        <w:numPr>
          <w:ilvl w:val="0"/>
          <w:numId w:val="4"/>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相关内容</w:t>
      </w:r>
    </w:p>
    <w:p w14:paraId="738B4415">
      <w:pPr>
        <w:pStyle w:val="48"/>
        <w:numPr>
          <w:ilvl w:val="0"/>
          <w:numId w:val="0"/>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第四条 本办法所称粉煤灰综合利用是指：从粉煤灰中进行物质提取，以粉煤灰为原料生产建材、化工、复合材料等产品，粉煤灰直接用于建筑工程、筑路、回填和农业等。</w:t>
      </w:r>
    </w:p>
    <w:p w14:paraId="22CB3302">
      <w:pPr>
        <w:pStyle w:val="48"/>
        <w:numPr>
          <w:ilvl w:val="0"/>
          <w:numId w:val="4"/>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符合性分析</w:t>
      </w:r>
    </w:p>
    <w:p w14:paraId="663531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21"/>
          <w:sz w:val="24"/>
          <w:highlight w:val="none"/>
          <w:u w:val="none"/>
          <w:lang w:val="en-US" w:eastAsia="zh-CN"/>
        </w:rPr>
      </w:pPr>
      <w:r>
        <w:rPr>
          <w:rFonts w:hint="default" w:ascii="Times New Roman" w:hAnsi="Times New Roman" w:eastAsia="宋体" w:cs="Times New Roman"/>
          <w:b w:val="0"/>
          <w:bCs/>
          <w:color w:val="auto"/>
          <w:kern w:val="21"/>
          <w:sz w:val="24"/>
          <w:highlight w:val="none"/>
          <w:u w:val="none"/>
          <w:lang w:val="en-US" w:eastAsia="zh-CN"/>
        </w:rPr>
        <w:t>项目利用大唐鸡西第二热电有限公司产生的粉煤灰作为回填材料进行回填，项目不但将粉煤灰资源化利用，对粉煤灰是一种处理和消减，同时可以恢复回填区域的土地使用功能，充分利用土地资源，项目回填期为3年，不属于永久性粉煤灰堆场（库）。因此项目符合《粉煤灰综合利用管理办法》相关要求。</w:t>
      </w:r>
    </w:p>
    <w:p w14:paraId="19DEFEFE">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1.4.3.2</w:t>
      </w:r>
      <w:r>
        <w:rPr>
          <w:rFonts w:hint="default" w:ascii="Times New Roman" w:hAnsi="Times New Roman" w:cs="Times New Roman"/>
          <w:color w:val="auto"/>
          <w:highlight w:val="none"/>
          <w:lang w:val="en-US" w:eastAsia="zh-CN"/>
        </w:rPr>
        <w:t>3与《鸡西市空气质量持续改善行动计划贯彻落实方案》符合性分析</w:t>
      </w:r>
    </w:p>
    <w:p w14:paraId="1E34E16B">
      <w:pPr>
        <w:pStyle w:val="48"/>
        <w:numPr>
          <w:ilvl w:val="0"/>
          <w:numId w:val="5"/>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相关内容</w:t>
      </w:r>
    </w:p>
    <w:p w14:paraId="198883E6">
      <w:pPr>
        <w:pStyle w:val="48"/>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十）推进矿山生态环境综合整治。新建矿山原则上要同步建设铁路专用线或采用其他清洁运输方式。对限期整改仍不达标的矿山，根据安全生产、水土保持、生态环境等要求依法关闭。大力推进历史遗留矿山修复治理，2025年12月底前，累计完成本辖区剩余历史遗留矿山总数的40%；2028年12月底前，累计完成本辖区剩余历史遗留矿山总数的70%；2030年12月底前，完成本辖区全部剩余矿山治理修复任务。严格落实矿山“边开采边治理”，做到修复和开采同步，力争矿山生态修复“不欠新债”。加快推进绿色矿山创建，将绿色发展理念融入矿产资源规划、勘查、开发利用与保护全过程，不断改善矿山生态环境。</w:t>
      </w:r>
      <w:r>
        <w:rPr>
          <w:rFonts w:hint="default" w:ascii="Times New Roman" w:hAnsi="Times New Roman" w:cs="Times New Roman"/>
          <w:color w:val="auto"/>
          <w:highlight w:val="none"/>
          <w:lang w:eastAsia="zh-CN"/>
        </w:rPr>
        <w:t>（由</w:t>
      </w:r>
      <w:r>
        <w:rPr>
          <w:rFonts w:hint="default" w:ascii="Times New Roman" w:hAnsi="Times New Roman" w:cs="Times New Roman"/>
          <w:color w:val="auto"/>
          <w:highlight w:val="none"/>
        </w:rPr>
        <w:t>市自然资源和规划局、市生态环境局、市水务局、市林草局等按职责分工负责</w:t>
      </w:r>
      <w:r>
        <w:rPr>
          <w:rFonts w:hint="default" w:ascii="Times New Roman" w:hAnsi="Times New Roman" w:cs="Times New Roman"/>
          <w:color w:val="auto"/>
          <w:highlight w:val="none"/>
          <w:lang w:eastAsia="zh-CN"/>
        </w:rPr>
        <w:t>）</w:t>
      </w:r>
    </w:p>
    <w:p w14:paraId="69F499A5">
      <w:pPr>
        <w:pStyle w:val="48"/>
        <w:numPr>
          <w:ilvl w:val="0"/>
          <w:numId w:val="5"/>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符合性分析</w:t>
      </w:r>
    </w:p>
    <w:p w14:paraId="519455CF">
      <w:pPr>
        <w:pStyle w:val="4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本项目为</w:t>
      </w:r>
      <w:r>
        <w:rPr>
          <w:rFonts w:hint="default" w:ascii="Times New Roman" w:hAnsi="Times New Roman" w:cs="Times New Roman"/>
          <w:color w:val="auto"/>
          <w:highlight w:val="none"/>
        </w:rPr>
        <w:t>历史遗留矿山修复治理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对</w:t>
      </w:r>
      <w:r>
        <w:rPr>
          <w:rFonts w:hint="default" w:ascii="Times New Roman" w:hAnsi="Times New Roman" w:cs="Times New Roman"/>
          <w:color w:val="auto"/>
          <w:highlight w:val="none"/>
          <w:lang w:val="en-US" w:eastAsia="zh-CN"/>
        </w:rPr>
        <w:t>其</w:t>
      </w:r>
      <w:r>
        <w:rPr>
          <w:rFonts w:hint="default" w:ascii="Times New Roman" w:hAnsi="Times New Roman" w:cs="Times New Roman"/>
          <w:color w:val="auto"/>
          <w:highlight w:val="none"/>
        </w:rPr>
        <w:t>进行综合治理，项目实施恢复为</w:t>
      </w:r>
      <w:r>
        <w:rPr>
          <w:rFonts w:hint="default" w:ascii="Times New Roman" w:hAnsi="Times New Roman" w:cs="Times New Roman"/>
          <w:color w:val="auto"/>
          <w:highlight w:val="none"/>
          <w:lang w:val="en-US" w:eastAsia="zh-CN"/>
        </w:rPr>
        <w:t>林地、耕地</w:t>
      </w:r>
      <w:r>
        <w:rPr>
          <w:rFonts w:hint="default" w:ascii="Times New Roman" w:hAnsi="Times New Roman" w:cs="Times New Roman"/>
          <w:color w:val="auto"/>
          <w:highlight w:val="none"/>
        </w:rPr>
        <w:t>，对改善和保护鸡西市</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区及周边环境具有重要影响。提高土地利用率、改善地形地貌景观、减少扬尘污染。</w:t>
      </w:r>
      <w:r>
        <w:rPr>
          <w:rFonts w:hint="default" w:ascii="Times New Roman" w:hAnsi="Times New Roman" w:cs="Times New Roman"/>
          <w:color w:val="auto"/>
          <w:highlight w:val="none"/>
          <w:lang w:val="en-US" w:eastAsia="zh-CN"/>
        </w:rPr>
        <w:t>符合《鸡西市空气质量持续改善行动计划贯彻落实方案》。</w:t>
      </w:r>
    </w:p>
    <w:p w14:paraId="0A00A048">
      <w:pPr>
        <w:pStyle w:val="6"/>
        <w:bidi w:val="0"/>
        <w:rPr>
          <w:rFonts w:hint="default" w:ascii="Times New Roman" w:hAnsi="Times New Roman" w:cs="Times New Roman"/>
          <w:b/>
          <w:bCs/>
          <w:color w:val="auto"/>
          <w:highlight w:val="none"/>
          <w:lang w:val="en-US" w:eastAsia="zh-CN"/>
        </w:rPr>
      </w:pPr>
      <w:r>
        <w:rPr>
          <w:rFonts w:hint="default" w:ascii="Times New Roman" w:hAnsi="Times New Roman" w:cs="Times New Roman"/>
          <w:color w:val="auto"/>
          <w:highlight w:val="none"/>
          <w:lang w:val="zh-CN"/>
        </w:rPr>
        <w:t>1</w:t>
      </w:r>
      <w:r>
        <w:rPr>
          <w:rFonts w:hint="default" w:ascii="Times New Roman" w:hAnsi="Times New Roman" w:cs="Times New Roman"/>
          <w:b/>
          <w:bCs/>
          <w:color w:val="auto"/>
          <w:highlight w:val="none"/>
          <w:lang w:val="zh-CN"/>
        </w:rPr>
        <w:t>.4.3.2</w:t>
      </w:r>
      <w:r>
        <w:rPr>
          <w:rFonts w:hint="default" w:ascii="Times New Roman" w:hAnsi="Times New Roman" w:cs="Times New Roman"/>
          <w:b/>
          <w:bCs/>
          <w:color w:val="auto"/>
          <w:highlight w:val="none"/>
          <w:lang w:val="en-US" w:eastAsia="zh-CN"/>
        </w:rPr>
        <w:t>4与《</w:t>
      </w:r>
      <w:r>
        <w:rPr>
          <w:rFonts w:hint="default" w:ascii="Times New Roman" w:hAnsi="Times New Roman" w:eastAsia="宋体" w:cs="Times New Roman"/>
          <w:b/>
          <w:bCs/>
          <w:color w:val="auto"/>
          <w:sz w:val="24"/>
          <w:szCs w:val="24"/>
          <w:highlight w:val="none"/>
          <w:lang w:val="en-US" w:eastAsia="zh-CN"/>
        </w:rPr>
        <w:t>鸡西市滴道南甸子碎石场土地复垦实施方案</w:t>
      </w:r>
      <w:r>
        <w:rPr>
          <w:rFonts w:hint="default" w:ascii="Times New Roman" w:hAnsi="Times New Roman" w:cs="Times New Roman"/>
          <w:b/>
          <w:bCs/>
          <w:color w:val="auto"/>
          <w:highlight w:val="none"/>
          <w:lang w:val="en-US" w:eastAsia="zh-CN"/>
        </w:rPr>
        <w:t>》符合性</w:t>
      </w:r>
    </w:p>
    <w:p w14:paraId="5BA0628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1、相关内容</w:t>
      </w:r>
    </w:p>
    <w:p w14:paraId="47F33660">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本实施方案复垦土地的面积为合计8.5303hm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。复垦为旱田和林地。土地复垦率100%。</w:t>
      </w:r>
    </w:p>
    <w:p w14:paraId="483E5F9A">
      <w:pPr>
        <w:numPr>
          <w:ilvl w:val="0"/>
          <w:numId w:val="0"/>
        </w:numPr>
        <w:ind w:left="0" w:leftChars="0"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2、符合性分析</w:t>
      </w:r>
    </w:p>
    <w:p w14:paraId="3A11EF77">
      <w:pPr>
        <w:pStyle w:val="19"/>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本次土地复垦为达到平整土地的目的，复垦范围为外部采坑及采石场压占土地面积58703m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及鸡西市滴道南甸子碎石场</w:t>
      </w:r>
      <w:r>
        <w:rPr>
          <w:rFonts w:hint="default" w:ascii="Times New Roman" w:hAnsi="Times New Roman" w:eastAsia="宋体" w:cs="Times New Roman"/>
          <w:b w:val="0"/>
          <w:bCs w:val="0"/>
          <w:color w:val="auto"/>
          <w:kern w:val="2"/>
          <w:sz w:val="24"/>
          <w:szCs w:val="24"/>
          <w:highlight w:val="none"/>
          <w:lang w:val="en-US" w:eastAsia="zh-CN" w:bidi="ar-SA"/>
        </w:rPr>
        <w:t>开采遗留的矿坑进行一并回填复垦，总计面积为85303m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。恢复为农田和林地。本项目符合《</w:t>
      </w:r>
      <w:r>
        <w:rPr>
          <w:rFonts w:hint="default" w:ascii="Times New Roman" w:hAnsi="Times New Roman" w:eastAsia="宋体" w:cs="Times New Roman"/>
          <w:b w:val="0"/>
          <w:bCs w:val="0"/>
          <w:color w:val="auto"/>
          <w:sz w:val="24"/>
          <w:szCs w:val="24"/>
          <w:highlight w:val="none"/>
          <w:lang w:val="en-US" w:eastAsia="zh-CN"/>
        </w:rPr>
        <w:t>鸡西市滴道南甸子碎石场土地复垦实施方案</w:t>
      </w:r>
      <w:r>
        <w:rPr>
          <w:rFonts w:hint="default" w:ascii="Times New Roman" w:hAnsi="Times New Roman" w:eastAsia="宋体" w:cs="Times New Roman"/>
          <w:b w:val="0"/>
          <w:bCs w:val="0"/>
          <w:color w:val="auto"/>
          <w:kern w:val="2"/>
          <w:sz w:val="24"/>
          <w:szCs w:val="24"/>
          <w:highlight w:val="none"/>
          <w:lang w:val="en-US" w:eastAsia="zh-CN" w:bidi="ar-SA"/>
        </w:rPr>
        <w:t>》。</w:t>
      </w:r>
    </w:p>
    <w:p w14:paraId="305ED8E4">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1.4.3.25</w:t>
      </w:r>
      <w:r>
        <w:rPr>
          <w:rFonts w:hint="default" w:ascii="Times New Roman" w:hAnsi="Times New Roman" w:cs="Times New Roman"/>
          <w:color w:val="auto"/>
          <w:highlight w:val="none"/>
          <w:lang w:val="zh-CN"/>
        </w:rPr>
        <w:t>与黑龙江省“三区三线”符合性分析</w:t>
      </w:r>
    </w:p>
    <w:p w14:paraId="41B3745A">
      <w:pPr>
        <w:pStyle w:val="27"/>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根据《自然资源部办公厅关于辽宁等省启用“三区三线”划定成果作为报批建设项目用地用海依据的函》（自然资办函〔2022〕2341号），经与黑龙江省“三区三线”划定矢量成果叠加，本项目</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均</w:t>
      </w:r>
      <w:r>
        <w:rPr>
          <w:rFonts w:hint="default" w:ascii="Times New Roman" w:hAnsi="Times New Roman" w:cs="Times New Roman"/>
          <w:color w:val="auto"/>
          <w:highlight w:val="none"/>
          <w:lang w:val="zh-CN"/>
        </w:rPr>
        <w:t>不在生态保护红线范围内。</w:t>
      </w:r>
    </w:p>
    <w:p w14:paraId="1C836C27">
      <w:pPr>
        <w:pStyle w:val="41"/>
        <w:rPr>
          <w:rFonts w:hint="default" w:ascii="Times New Roman" w:hAnsi="Times New Roman" w:cs="Times New Roman"/>
          <w:color w:val="auto"/>
          <w:highlight w:val="none"/>
        </w:rPr>
      </w:pPr>
      <w:bookmarkStart w:id="48" w:name="_Toc29961"/>
      <w:bookmarkStart w:id="49" w:name="_Toc15991621"/>
      <w:r>
        <w:rPr>
          <w:rFonts w:hint="default" w:ascii="Times New Roman" w:hAnsi="Times New Roman" w:cs="Times New Roman"/>
          <w:color w:val="auto"/>
          <w:highlight w:val="none"/>
        </w:rPr>
        <w:t>1.4.4选址合理性分析</w:t>
      </w:r>
      <w:bookmarkEnd w:id="48"/>
    </w:p>
    <w:p w14:paraId="78D8C445">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耕地</w:t>
      </w:r>
      <w:r>
        <w:rPr>
          <w:rFonts w:hint="default" w:ascii="Times New Roman" w:hAnsi="Times New Roman" w:cs="Times New Roman"/>
          <w:snapToGrid w:val="0"/>
          <w:color w:val="auto"/>
          <w:highlight w:val="none"/>
        </w:rPr>
        <w:t>，</w:t>
      </w:r>
      <w:r>
        <w:rPr>
          <w:rFonts w:hint="default" w:ascii="Times New Roman" w:hAnsi="Times New Roman" w:cs="Times New Roman"/>
          <w:color w:val="auto"/>
          <w:highlight w:val="none"/>
        </w:rPr>
        <w:t>不但能改善场地环境、恢复土地利用价值、区域土地利用功能、创造新的生态景观，而且对项目区本身的安全和稳定性也具有重要意义，可起到水土保持、防风固沙的效果，可消除遗留采坑的水土流失、坍塌隐患。因此，选址合理。</w:t>
      </w:r>
    </w:p>
    <w:p w14:paraId="5DB6A97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本项目评价范围内无自然保护区、风景名胜区、森林公园、地质公园、重要湿地、饮用水源保护区等环境敏感区，不占用生态保护红线。</w:t>
      </w:r>
    </w:p>
    <w:p w14:paraId="0E28816C">
      <w:pPr>
        <w:pStyle w:val="27"/>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根据项目周边自然环境的踏查，项目选址周边最近敏感点为</w:t>
      </w:r>
      <w:r>
        <w:rPr>
          <w:rFonts w:hint="default" w:ascii="Times New Roman" w:hAnsi="Times New Roman" w:cs="Times New Roman"/>
          <w:color w:val="auto"/>
          <w:highlight w:val="none"/>
          <w:lang w:val="en-US" w:eastAsia="zh-CN"/>
        </w:rPr>
        <w:t>东南侧255</w:t>
      </w:r>
      <w:r>
        <w:rPr>
          <w:rFonts w:hint="default" w:ascii="Times New Roman" w:hAnsi="Times New Roman" w:cs="Times New Roman"/>
          <w:color w:val="auto"/>
          <w:highlight w:val="none"/>
        </w:rPr>
        <w:t>m处</w:t>
      </w:r>
      <w:r>
        <w:rPr>
          <w:rFonts w:hint="default" w:ascii="Times New Roman" w:hAnsi="Times New Roman" w:cs="Times New Roman"/>
          <w:color w:val="auto"/>
          <w:highlight w:val="none"/>
          <w:lang w:val="en-US" w:eastAsia="zh-CN"/>
        </w:rPr>
        <w:t>南甸子六队</w:t>
      </w:r>
      <w:r>
        <w:rPr>
          <w:rFonts w:hint="default" w:ascii="Times New Roman" w:hAnsi="Times New Roman" w:cs="Times New Roman"/>
          <w:color w:val="auto"/>
          <w:highlight w:val="none"/>
        </w:rPr>
        <w:t>，位于常年主导风向侧风向。经预测计算，本项目厂界外大气污染物短期贡献浓度无超标点，因此本项目不需要设置大气环境防护距离，对敏感点的影响很小</w:t>
      </w:r>
      <w:r>
        <w:rPr>
          <w:rFonts w:hint="default" w:ascii="Times New Roman" w:hAnsi="Times New Roman" w:cs="Times New Roman"/>
          <w:color w:val="auto"/>
          <w:highlight w:val="none"/>
          <w:lang w:eastAsia="zh-CN"/>
        </w:rPr>
        <w:t>。</w:t>
      </w:r>
    </w:p>
    <w:p w14:paraId="5240C5A6">
      <w:pPr>
        <w:pStyle w:val="27"/>
        <w:ind w:firstLine="480"/>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kern w:val="21"/>
          <w:sz w:val="24"/>
          <w:highlight w:val="none"/>
          <w:u w:val="none"/>
          <w:lang w:val="en-US" w:eastAsia="zh-CN"/>
        </w:rPr>
        <w:t>影响范围内无饮用水水源保护区、饮用水取水口，</w:t>
      </w:r>
      <w:r>
        <w:rPr>
          <w:rFonts w:hint="default" w:ascii="Times New Roman" w:hAnsi="Times New Roman" w:eastAsia="宋体" w:cs="Times New Roman"/>
          <w:color w:val="auto"/>
          <w:kern w:val="21"/>
          <w:szCs w:val="21"/>
          <w:highlight w:val="none"/>
          <w:u w:val="none"/>
          <w:lang w:val="en-US" w:eastAsia="zh-CN"/>
        </w:rPr>
        <w:t>项目周边分布有南甸子村、等村屯，生活用水以地下水为主，属分散式饮用水水源，未设置地下水水源地保护区，取水目的层为第四系孔隙水</w:t>
      </w:r>
      <w:r>
        <w:rPr>
          <w:rFonts w:hint="default" w:ascii="Times New Roman" w:hAnsi="Times New Roman" w:eastAsia="宋体" w:cs="Times New Roman"/>
          <w:color w:val="auto"/>
          <w:kern w:val="21"/>
          <w:sz w:val="24"/>
          <w:highlight w:val="none"/>
          <w:u w:val="none"/>
          <w:lang w:val="en-US" w:eastAsia="zh-CN"/>
        </w:rPr>
        <w:t>。</w:t>
      </w:r>
      <w:r>
        <w:rPr>
          <w:rFonts w:hint="default" w:ascii="Times New Roman" w:hAnsi="Times New Roman" w:eastAsia="宋体" w:cs="Times New Roman"/>
          <w:b w:val="0"/>
          <w:bCs/>
          <w:color w:val="auto"/>
          <w:kern w:val="21"/>
          <w:sz w:val="24"/>
          <w:highlight w:val="none"/>
          <w:u w:val="none"/>
          <w:lang w:val="en-US" w:eastAsia="zh-CN"/>
        </w:rPr>
        <w:t>项目周边水、电、通讯等基础设施较为完善，交通便利。</w:t>
      </w:r>
    </w:p>
    <w:p w14:paraId="42F9D09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回填活动前已开展环境本底调查，并按照《建设用地土壤污染风险评估技术导则》（HJ25.3-2019）等相关标准开展环境风险评估，形成了环境风险评估报告并通过专家评审，风险评估报告重点评估项目对地下水、地表水及周边土壤的环境污染风险，评估结论为环境风险可以接受。</w:t>
      </w:r>
    </w:p>
    <w:p w14:paraId="453CE2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szCs w:val="24"/>
          <w:highlight w:val="none"/>
          <w:u w:val="none"/>
          <w:lang w:val="en-US" w:eastAsia="zh-CN"/>
        </w:rPr>
      </w:pPr>
      <w:r>
        <w:rPr>
          <w:rFonts w:hint="default" w:ascii="Times New Roman" w:hAnsi="Times New Roman" w:cs="Times New Roman"/>
          <w:color w:val="auto"/>
          <w:highlight w:val="none"/>
        </w:rPr>
        <w:t>本项目回填粉煤灰由建设单位指派专门的运输单位负责运输至项目场地，每次运输量50t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每天运输15车</w:t>
      </w:r>
      <w:r>
        <w:rPr>
          <w:rFonts w:hint="default" w:ascii="Times New Roman" w:hAnsi="Times New Roman" w:cs="Times New Roman"/>
          <w:color w:val="auto"/>
          <w:highlight w:val="none"/>
        </w:rPr>
        <w:t>。运输路线由大唐鸡西第二热电有限公司储灰场向</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rPr>
        <w:t>进入国道201后进入</w:t>
      </w:r>
      <w:r>
        <w:rPr>
          <w:rFonts w:hint="default" w:ascii="Times New Roman" w:hAnsi="Times New Roman" w:cs="Times New Roman"/>
          <w:color w:val="auto"/>
          <w:highlight w:val="none"/>
          <w:lang w:val="en-US" w:eastAsia="zh-CN"/>
        </w:rPr>
        <w:t>村道</w:t>
      </w:r>
      <w:r>
        <w:rPr>
          <w:rFonts w:hint="default" w:ascii="Times New Roman" w:hAnsi="Times New Roman" w:cs="Times New Roman"/>
          <w:color w:val="auto"/>
          <w:highlight w:val="none"/>
        </w:rPr>
        <w:t>进入回填区。运输路线总长约</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公里，到达废弃采坑后，直接拉运至分区回填单元。</w:t>
      </w:r>
      <w:r>
        <w:rPr>
          <w:rFonts w:hint="default" w:ascii="Times New Roman" w:hAnsi="Times New Roman" w:eastAsia="宋体" w:cs="Times New Roman"/>
          <w:color w:val="auto"/>
          <w:kern w:val="21"/>
          <w:szCs w:val="24"/>
          <w:highlight w:val="none"/>
          <w:u w:val="none"/>
          <w:lang w:val="en-US" w:eastAsia="zh-CN"/>
        </w:rPr>
        <w:t>大唐鸡西第二热电有限公司与回填区之间仅有201国道可以进行公路运输，因此运输路线设置情况具有唯一性。</w:t>
      </w:r>
    </w:p>
    <w:p w14:paraId="682D36D6">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（2）与《一般工业固体废物贮存和填埋污染控制标准》选址符合性分析</w:t>
      </w:r>
    </w:p>
    <w:p w14:paraId="6643AB05">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本项目为利用</w:t>
      </w:r>
      <w:r>
        <w:rPr>
          <w:rFonts w:hint="default" w:ascii="Times New Roman" w:hAnsi="Times New Roman" w:cs="Times New Roman"/>
          <w:color w:val="auto"/>
          <w:highlight w:val="none"/>
          <w:lang w:val="en-US" w:eastAsia="zh-CN"/>
        </w:rPr>
        <w:t>粉煤灰</w:t>
      </w:r>
      <w:r>
        <w:rPr>
          <w:rFonts w:hint="default" w:ascii="Times New Roman" w:hAnsi="Times New Roman" w:eastAsia="宋体" w:cs="Times New Roman"/>
          <w:color w:val="auto"/>
          <w:highlight w:val="none"/>
          <w:lang w:val="en-US" w:eastAsia="zh-CN"/>
        </w:rPr>
        <w:t>回填后复垦，不适用于《一般工业固体废物贮存和填埋污染控制标准》选址规定，</w:t>
      </w:r>
      <w:r>
        <w:rPr>
          <w:rFonts w:hint="default" w:ascii="Times New Roman" w:hAnsi="Times New Roman" w:cs="Times New Roman"/>
          <w:color w:val="auto"/>
          <w:highlight w:val="none"/>
          <w:lang w:val="en-US" w:eastAsia="zh-CN"/>
        </w:rPr>
        <w:t>但</w:t>
      </w:r>
      <w:r>
        <w:rPr>
          <w:rFonts w:hint="default" w:ascii="Times New Roman" w:hAnsi="Times New Roman" w:eastAsia="宋体" w:cs="Times New Roman"/>
          <w:color w:val="auto"/>
          <w:highlight w:val="none"/>
          <w:lang w:val="en-US" w:eastAsia="zh-CN"/>
        </w:rPr>
        <w:t>本项目选址不在生态保护红线区域、永久基本农田集中区域和其他需要特别保护的区域内、不在活动断层、溶洞区、天然滑坡或泥石流影响区以及湿地等区域、不在江河、湖泊、运河、渠道、水库最高水位线以下的滩地和岸坡，以及国家和地方长远规划中的水库等人工蓄水设施的淹没区和保护区之内。</w:t>
      </w:r>
    </w:p>
    <w:p w14:paraId="3AF0AEF4">
      <w:pPr>
        <w:pStyle w:val="27"/>
        <w:keepNext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综上所述，拟建项目选址是可行的。</w:t>
      </w:r>
    </w:p>
    <w:bookmarkEnd w:id="49"/>
    <w:p w14:paraId="3E749936">
      <w:pPr>
        <w:pStyle w:val="43"/>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bookmarkStart w:id="50" w:name="_Toc12890"/>
      <w:bookmarkStart w:id="51" w:name="_Toc6957"/>
      <w:bookmarkStart w:id="52" w:name="_Toc152926803"/>
      <w:bookmarkStart w:id="53" w:name="_Toc119316786"/>
      <w:r>
        <w:rPr>
          <w:rFonts w:hint="default" w:ascii="Times New Roman" w:hAnsi="Times New Roman" w:cs="Times New Roman"/>
          <w:color w:val="auto"/>
          <w:highlight w:val="none"/>
        </w:rPr>
        <w:t>1.5关注的主要环境问题</w:t>
      </w:r>
      <w:bookmarkEnd w:id="50"/>
      <w:bookmarkEnd w:id="51"/>
      <w:bookmarkEnd w:id="52"/>
      <w:bookmarkEnd w:id="53"/>
    </w:p>
    <w:p w14:paraId="4F583C4E">
      <w:pPr>
        <w:pStyle w:val="27"/>
        <w:keepNext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rPr>
      </w:pPr>
      <w:bookmarkStart w:id="54" w:name="_Toc479252801"/>
      <w:r>
        <w:rPr>
          <w:rFonts w:hint="default" w:ascii="Times New Roman" w:hAnsi="Times New Roman" w:eastAsia="宋体" w:cs="Times New Roman"/>
          <w:color w:val="auto"/>
          <w:highlight w:val="none"/>
        </w:rPr>
        <w:t>根据本项目工程特点和项目周边环境现状，关注的主要问题为：</w:t>
      </w:r>
    </w:p>
    <w:p w14:paraId="6A03F8A0">
      <w:pPr>
        <w:pStyle w:val="27"/>
        <w:keepNext w:val="0"/>
        <w:pageBreakBefore w:val="0"/>
        <w:numPr>
          <w:ilvl w:val="0"/>
          <w:numId w:val="6"/>
        </w:numPr>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本次评价关注的主要环境问题及环境影响为施工期施工噪声、施工扬尘、施工废水排放对环境的影响。</w:t>
      </w:r>
    </w:p>
    <w:p w14:paraId="7F112B4D">
      <w:pPr>
        <w:pStyle w:val="27"/>
        <w:keepNext w:val="0"/>
        <w:pageBreakBefore w:val="0"/>
        <w:numPr>
          <w:ilvl w:val="0"/>
          <w:numId w:val="6"/>
        </w:numPr>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highlight w:val="none"/>
          <w:lang w:val="en-US" w:eastAsia="zh-CN"/>
        </w:rPr>
        <w:t>回填作业过程中回填、运输产生扬尘、机械燃油尾气对周边大气环境的</w:t>
      </w:r>
      <w:r>
        <w:rPr>
          <w:rFonts w:hint="default" w:ascii="Times New Roman" w:hAnsi="Times New Roman" w:eastAsia="宋体" w:cs="Times New Roman"/>
          <w:color w:val="auto"/>
          <w:kern w:val="2"/>
          <w:sz w:val="24"/>
          <w:szCs w:val="24"/>
          <w:highlight w:val="none"/>
          <w:lang w:val="en-US" w:eastAsia="zh-CN" w:bidi="ar-SA"/>
        </w:rPr>
        <w:t>污染影响；粉煤灰运输对沿线大气环境、声环境的影响；</w:t>
      </w:r>
      <w:r>
        <w:rPr>
          <w:rFonts w:hint="eastAsia" w:cs="Times New Roman"/>
          <w:color w:val="auto"/>
          <w:kern w:val="2"/>
          <w:sz w:val="24"/>
          <w:szCs w:val="24"/>
          <w:highlight w:val="none"/>
          <w:lang w:val="en-US" w:eastAsia="zh-CN" w:bidi="ar-SA"/>
        </w:rPr>
        <w:t>回填粉煤灰遇到强降雨天气时</w:t>
      </w:r>
      <w:r>
        <w:rPr>
          <w:rFonts w:hint="default" w:ascii="Times New Roman" w:hAnsi="Times New Roman" w:eastAsia="宋体" w:cs="Times New Roman"/>
          <w:color w:val="auto"/>
          <w:kern w:val="2"/>
          <w:sz w:val="24"/>
          <w:szCs w:val="24"/>
          <w:highlight w:val="none"/>
          <w:lang w:val="en-US" w:eastAsia="zh-CN" w:bidi="ar-SA"/>
        </w:rPr>
        <w:t>淋溶水对周围地下水、土壤的影响及污染防治措施的有效性；作业机械设备和运输车辆产生的噪声对环境的影响；环境风险对周边环境的影响。</w:t>
      </w:r>
    </w:p>
    <w:p w14:paraId="50155B8C">
      <w:pPr>
        <w:pStyle w:val="27"/>
        <w:keepNext w:val="0"/>
        <w:pageBreakBefore w:val="0"/>
        <w:numPr>
          <w:ilvl w:val="0"/>
          <w:numId w:val="6"/>
        </w:numPr>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生态恢复期主要为对回填后的场地进行复垦，主要各类机械设备噪声以及物料运输过程中的交通噪声。</w:t>
      </w:r>
    </w:p>
    <w:p w14:paraId="0ED28235">
      <w:pPr>
        <w:pStyle w:val="43"/>
        <w:rPr>
          <w:rFonts w:hint="default" w:ascii="Times New Roman" w:hAnsi="Times New Roman" w:cs="Times New Roman"/>
          <w:color w:val="auto"/>
          <w:highlight w:val="none"/>
        </w:rPr>
      </w:pPr>
      <w:bookmarkStart w:id="55" w:name="_Toc152926804"/>
      <w:bookmarkStart w:id="56" w:name="_Toc4361"/>
      <w:bookmarkStart w:id="57" w:name="_Toc8200"/>
      <w:bookmarkStart w:id="58" w:name="_Toc119316787"/>
      <w:r>
        <w:rPr>
          <w:rFonts w:hint="default" w:ascii="Times New Roman" w:hAnsi="Times New Roman" w:cs="Times New Roman"/>
          <w:color w:val="auto"/>
          <w:highlight w:val="none"/>
        </w:rPr>
        <w:t>1.6环境影响评价主要结论</w:t>
      </w:r>
      <w:bookmarkEnd w:id="54"/>
      <w:bookmarkEnd w:id="55"/>
      <w:bookmarkEnd w:id="56"/>
      <w:bookmarkEnd w:id="57"/>
      <w:bookmarkEnd w:id="58"/>
    </w:p>
    <w:p w14:paraId="3CD9F62F">
      <w:pPr>
        <w:pStyle w:val="27"/>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本报告通过调查、分析和综合评价后认为：拟建项目符合国家和地方有关环境保护法律法规、标准、政策、规范及相关规划要求；所采用的各项污染防治措施技术可行、经济合理，能保证各类污染物长期稳定达标排放；预测结果表明项目所排放的污染物对周围环境和环境保护目标影响较小；通过采取有针对性的风险防范措施并落实应急预案，项目的环境风险可接受。综上所述，在规划相符、落实本报告书中的各项环保措施以及各级环保主管部门管理要求、项目取得周边公众理解和支持的前提下，从环保角度分析，拟建项目的建设具有环境可行性。同时，拟建项目在设计、建设、运行全过程中还必须满足消防、安全、职业卫生等相关管理要求，进行规范化的设计、施工和运行管理。</w:t>
      </w:r>
    </w:p>
    <w:p w14:paraId="795B2894">
      <w:pPr>
        <w:pStyle w:val="27"/>
        <w:bidi w:val="0"/>
        <w:rPr>
          <w:rFonts w:hint="default" w:ascii="Times New Roman" w:hAnsi="Times New Roman" w:cs="Times New Roman"/>
          <w:color w:val="auto"/>
          <w:highlight w:val="none"/>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1EF0F47A">
      <w:pPr>
        <w:pStyle w:val="44"/>
        <w:bidi w:val="0"/>
        <w:rPr>
          <w:rFonts w:hint="default" w:ascii="Times New Roman" w:hAnsi="Times New Roman" w:cs="Times New Roman"/>
          <w:color w:val="auto"/>
          <w:highlight w:val="none"/>
        </w:rPr>
      </w:pPr>
      <w:bookmarkStart w:id="59" w:name="_Toc25989"/>
      <w:bookmarkStart w:id="60" w:name="_Toc152926805"/>
      <w:bookmarkStart w:id="61" w:name="_Toc12035"/>
      <w:bookmarkStart w:id="62" w:name="_Toc140149410"/>
      <w:bookmarkStart w:id="63" w:name="_Toc119316788"/>
      <w:bookmarkStart w:id="64" w:name="_Toc479252802"/>
      <w:r>
        <w:rPr>
          <w:rFonts w:hint="default" w:ascii="Times New Roman" w:hAnsi="Times New Roman" w:cs="Times New Roman"/>
          <w:color w:val="auto"/>
          <w:highlight w:val="none"/>
        </w:rPr>
        <w:t>2总则</w:t>
      </w:r>
      <w:bookmarkEnd w:id="59"/>
      <w:bookmarkEnd w:id="60"/>
      <w:bookmarkEnd w:id="61"/>
      <w:bookmarkEnd w:id="62"/>
    </w:p>
    <w:p w14:paraId="1CDFBCB9">
      <w:pPr>
        <w:pStyle w:val="43"/>
        <w:bidi w:val="0"/>
        <w:rPr>
          <w:rFonts w:hint="default" w:ascii="Times New Roman" w:hAnsi="Times New Roman" w:cs="Times New Roman"/>
          <w:color w:val="auto"/>
          <w:highlight w:val="none"/>
        </w:rPr>
      </w:pPr>
      <w:bookmarkStart w:id="65" w:name="_Toc14629"/>
      <w:bookmarkStart w:id="66" w:name="_Toc152926806"/>
      <w:bookmarkStart w:id="67" w:name="_Toc140149411"/>
      <w:bookmarkStart w:id="68" w:name="_Toc158"/>
      <w:r>
        <w:rPr>
          <w:rFonts w:hint="default" w:ascii="Times New Roman" w:hAnsi="Times New Roman" w:cs="Times New Roman"/>
          <w:color w:val="auto"/>
          <w:highlight w:val="none"/>
        </w:rPr>
        <w:t>2.1评价目的</w:t>
      </w:r>
      <w:bookmarkEnd w:id="65"/>
      <w:bookmarkEnd w:id="66"/>
      <w:bookmarkEnd w:id="67"/>
      <w:bookmarkEnd w:id="68"/>
    </w:p>
    <w:p w14:paraId="4E57B4D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根据本工程特性及工程所在地的环境特点，确定本报告的编制目的：</w:t>
      </w:r>
    </w:p>
    <w:p w14:paraId="15C249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（1）贯彻“预防为主，防治结合，综合利用”环境管理方针，要求在开发建设活动实施之前预计可能产生的环境污染与破坏，再据此采取防治对策，做到防患于未然。</w:t>
      </w:r>
    </w:p>
    <w:p w14:paraId="5997A8D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（2）本次环评将在对本项目工程分析的基础上，分析论证本项目“三废”排放情况及从环保角度确认工艺过程的先进性，为环境影响预测提供基础数据，并为今后的环境管理工作提供科学依据。</w:t>
      </w:r>
    </w:p>
    <w:p w14:paraId="2A3594A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（3）通过对建设地点及周围环境的综合现状调查和现场监测，了解和掌握该地区的环境质量现状及污染现状，并确定环境保护目标。</w:t>
      </w:r>
    </w:p>
    <w:p w14:paraId="649596C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（4）采用适当的预测模式，预测和评价工程投产后对该地区的环境影响程度和范围，提出经济上合理，技术上可行的环境保护措施。</w:t>
      </w:r>
    </w:p>
    <w:p w14:paraId="59C51EC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（5）通过对环境、经济的损益分析，论证本工程社会效益、环境效益和经济效益的统一性。</w:t>
      </w:r>
    </w:p>
    <w:p w14:paraId="7A3AF97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（6）从环境功能规划、环境容量及周围环境敏感保护目标等方面，论证本项目选址的合理性，为项目实现优化选址、合理布局、最佳设计提供科学依据。</w:t>
      </w:r>
    </w:p>
    <w:p w14:paraId="4380E1AF">
      <w:pPr>
        <w:pStyle w:val="43"/>
        <w:bidi w:val="0"/>
        <w:rPr>
          <w:rFonts w:hint="default" w:ascii="Times New Roman" w:hAnsi="Times New Roman" w:cs="Times New Roman"/>
          <w:color w:val="auto"/>
          <w:highlight w:val="none"/>
        </w:rPr>
      </w:pPr>
      <w:bookmarkStart w:id="69" w:name="_Toc8950"/>
      <w:bookmarkStart w:id="70" w:name="_Toc19098"/>
      <w:bookmarkStart w:id="71" w:name="_Toc140149412"/>
      <w:bookmarkStart w:id="72" w:name="_Toc152926807"/>
      <w:r>
        <w:rPr>
          <w:rFonts w:hint="default" w:ascii="Times New Roman" w:hAnsi="Times New Roman" w:cs="Times New Roman"/>
          <w:color w:val="auto"/>
          <w:highlight w:val="none"/>
        </w:rPr>
        <w:t>2.2评价原则</w:t>
      </w:r>
      <w:bookmarkEnd w:id="69"/>
      <w:bookmarkEnd w:id="70"/>
      <w:bookmarkEnd w:id="71"/>
      <w:bookmarkEnd w:id="72"/>
    </w:p>
    <w:p w14:paraId="425ECADE">
      <w:pPr>
        <w:pStyle w:val="27"/>
        <w:bidi w:val="0"/>
        <w:rPr>
          <w:rFonts w:hint="default" w:ascii="Times New Roman" w:hAnsi="Times New Roman" w:cs="Times New Roman"/>
          <w:color w:val="auto"/>
          <w:highlight w:val="none"/>
        </w:rPr>
      </w:pPr>
      <w:bookmarkStart w:id="73" w:name="_Toc436918980"/>
      <w:bookmarkStart w:id="74" w:name="_Toc439236475"/>
      <w:bookmarkStart w:id="75" w:name="_Toc472585613"/>
      <w:bookmarkStart w:id="76" w:name="_Toc477190961"/>
      <w:r>
        <w:rPr>
          <w:rFonts w:hint="default" w:ascii="Times New Roman" w:hAnsi="Times New Roman" w:cs="Times New Roman"/>
          <w:color w:val="auto"/>
          <w:highlight w:val="none"/>
        </w:rPr>
        <w:t xml:space="preserve">突出环境影响评价的源头预防作用，坚持保护和改善环境质量。 </w:t>
      </w:r>
    </w:p>
    <w:p w14:paraId="49998DC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（1）依法评价</w:t>
      </w:r>
    </w:p>
    <w:p w14:paraId="22DFD63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贯彻执行我国环境保护相关法律法规、标准、政策和规划等，优化项目建设，服务环境管理。</w:t>
      </w:r>
    </w:p>
    <w:p w14:paraId="0028EEA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（2）科学评价</w:t>
      </w:r>
    </w:p>
    <w:p w14:paraId="3D58D9E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规范环境影响评价方法，科学分析项目建设对环境质量的影响。</w:t>
      </w:r>
    </w:p>
    <w:p w14:paraId="14AD681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（3）突出重点</w:t>
      </w:r>
    </w:p>
    <w:p w14:paraId="5B7E058D">
      <w:pPr>
        <w:pStyle w:val="27"/>
        <w:bidi w:val="0"/>
        <w:rPr>
          <w:rFonts w:hint="default" w:ascii="Times New Roman" w:hAnsi="Times New Roman" w:cs="Times New Roman"/>
          <w:snapToGrid w:val="0"/>
          <w:color w:val="auto"/>
          <w:szCs w:val="22"/>
          <w:highlight w:val="none"/>
        </w:rPr>
      </w:pPr>
      <w:r>
        <w:rPr>
          <w:rFonts w:hint="default" w:ascii="Times New Roman" w:hAnsi="Times New Roman" w:cs="Times New Roman"/>
          <w:color w:val="auto"/>
          <w:highlight w:val="none"/>
        </w:rPr>
        <w:t>根据建设项目的工程内容及其特点，明确与环境要素间的作用效应关系，充分利用符合时效的数据资料及成果，对建设项目主要环境影响予以</w:t>
      </w:r>
      <w:r>
        <w:rPr>
          <w:rFonts w:hint="default" w:ascii="Times New Roman" w:hAnsi="Times New Roman" w:cs="Times New Roman"/>
          <w:snapToGrid w:val="0"/>
          <w:color w:val="auto"/>
          <w:szCs w:val="22"/>
          <w:highlight w:val="none"/>
        </w:rPr>
        <w:t>重点分析和评价。</w:t>
      </w:r>
    </w:p>
    <w:p w14:paraId="0CA7E6F7">
      <w:pPr>
        <w:pStyle w:val="43"/>
        <w:bidi w:val="0"/>
        <w:rPr>
          <w:rFonts w:hint="default" w:ascii="Times New Roman" w:hAnsi="Times New Roman" w:cs="Times New Roman"/>
          <w:color w:val="auto"/>
          <w:highlight w:val="none"/>
        </w:rPr>
      </w:pPr>
      <w:bookmarkStart w:id="77" w:name="_Toc16623"/>
      <w:bookmarkStart w:id="78" w:name="_Toc28580"/>
      <w:bookmarkStart w:id="79" w:name="_Toc152926808"/>
      <w:bookmarkStart w:id="80" w:name="_Toc140149413"/>
      <w:r>
        <w:rPr>
          <w:rFonts w:hint="default" w:ascii="Times New Roman" w:hAnsi="Times New Roman" w:cs="Times New Roman"/>
          <w:color w:val="auto"/>
          <w:highlight w:val="none"/>
        </w:rPr>
        <w:t>2.3编制依据</w:t>
      </w:r>
      <w:bookmarkEnd w:id="73"/>
      <w:bookmarkEnd w:id="74"/>
      <w:bookmarkEnd w:id="75"/>
      <w:bookmarkEnd w:id="76"/>
      <w:bookmarkEnd w:id="77"/>
      <w:bookmarkEnd w:id="78"/>
      <w:bookmarkEnd w:id="79"/>
      <w:bookmarkEnd w:id="80"/>
    </w:p>
    <w:p w14:paraId="2054450F">
      <w:pPr>
        <w:pStyle w:val="41"/>
        <w:bidi w:val="0"/>
        <w:rPr>
          <w:rFonts w:hint="default" w:ascii="Times New Roman" w:hAnsi="Times New Roman" w:cs="Times New Roman"/>
          <w:color w:val="auto"/>
          <w:highlight w:val="none"/>
        </w:rPr>
      </w:pPr>
      <w:bookmarkStart w:id="81" w:name="_Toc685"/>
      <w:r>
        <w:rPr>
          <w:rFonts w:hint="default" w:ascii="Times New Roman" w:hAnsi="Times New Roman" w:cs="Times New Roman"/>
          <w:color w:val="auto"/>
          <w:highlight w:val="none"/>
        </w:rPr>
        <w:t>2.3.1相关法律法规及政策</w:t>
      </w:r>
      <w:bookmarkEnd w:id="81"/>
    </w:p>
    <w:p w14:paraId="5BEA142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（1）《中华人民共和国环境保护法》，2015年1月1日；</w:t>
      </w:r>
    </w:p>
    <w:p w14:paraId="3E1530B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（2）《中华人民共和国环境影响评价法》（2018修正），2018年12月29日；</w:t>
      </w:r>
    </w:p>
    <w:p w14:paraId="4DFA5D3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（3）《中华人民共和国森林法》，2020年7月1日起施行；</w:t>
      </w:r>
    </w:p>
    <w:p w14:paraId="18D7733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（4）《中华人民共和国大气污染防治法》（2018修正），2018年10月26日；</w:t>
      </w:r>
    </w:p>
    <w:p w14:paraId="1C6C6D4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（5）《中华人民共和国水污染防治法》，2018年1月1日；</w:t>
      </w:r>
    </w:p>
    <w:p w14:paraId="06A85A1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（6）《中华人民共和国噪声污染防治法》，2022年6月5日；</w:t>
      </w:r>
    </w:p>
    <w:p w14:paraId="0395DBE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（7）《中华人民共和国固体废物污染环境防治法》，2020年9月1日；</w:t>
      </w:r>
    </w:p>
    <w:p w14:paraId="2722372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（8）《中华人民共和国土壤污染防治法》，2018年8月31日；</w:t>
      </w:r>
    </w:p>
    <w:p w14:paraId="66AAFE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（9）《中华人民共和国清洁生产促进法》，2019年4月28日；</w:t>
      </w:r>
    </w:p>
    <w:p w14:paraId="48F64A9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（10）《中华人民共和国循环经济促进法》，2018年10月26日修正；</w:t>
      </w:r>
    </w:p>
    <w:p w14:paraId="2B97506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（11）国务院第682号令《建设项目环境保护管理条例》，2017年10月1日；</w:t>
      </w:r>
    </w:p>
    <w:p w14:paraId="66F3597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（12）国发〔2005〕39号《国务院关于落实科学发展观加强环境保护的决定》，2005年12月3日；</w:t>
      </w:r>
    </w:p>
    <w:p w14:paraId="20BB842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（13）《建设项目环境影响评价分类管理名录》（2021年版）；</w:t>
      </w:r>
    </w:p>
    <w:p w14:paraId="54CA34F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（14）《产业结构调整指导目录》（2024年本）；</w:t>
      </w:r>
    </w:p>
    <w:p w14:paraId="6C5EF5A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（15）《国务院关于加强环境保护重点工作的意见》（国发〔2011〕35号）；</w:t>
      </w:r>
    </w:p>
    <w:p w14:paraId="120295D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（16）国务院令第592号《土地复垦条例》；</w:t>
      </w:r>
    </w:p>
    <w:p w14:paraId="083ACC9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（17）《关于切实加强风险防范严格环境影响评价管理的通知》环发〔2012〕98号；</w:t>
      </w:r>
    </w:p>
    <w:p w14:paraId="52C7B03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（18）《关于切实加强环境影响评价监督管理工作的通知》（环办〔2013〕104号）；</w:t>
      </w:r>
    </w:p>
    <w:p w14:paraId="51C130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（19）《关于印发〈突发环境事件应急预案管理暂行办法〉的通知》，（环发〔2010〕113号）；</w:t>
      </w:r>
    </w:p>
    <w:p w14:paraId="7B64555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（20）《突发环境事件信息报告办法》，（环境保护部令第17号，2011.5.1）；</w:t>
      </w:r>
    </w:p>
    <w:p w14:paraId="532B123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（21）《企业事业单位突发环境事件应急预案备案管理办法（试行）》，（环发〔2015〕4号）；</w:t>
      </w:r>
    </w:p>
    <w:p w14:paraId="3666D4E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（22）《国务院关于印发大气污染防治行动计划的通知》（国发〔2013〕37号，2013年9月10日）；</w:t>
      </w:r>
    </w:p>
    <w:p w14:paraId="22032E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（23）《国务院关于印发水污染防治行动计划的通知》（国发〔2015〕17号，2015年4月16日）；</w:t>
      </w:r>
    </w:p>
    <w:p w14:paraId="6F25BE3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（24）《国务院关于印发土壤污染防治行动计划的通知》（国发〔2016〕31号，2016年5月28日）；</w:t>
      </w:r>
    </w:p>
    <w:p w14:paraId="15FE1EF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（25）《关于落实大气污染防治行动计划严格环境影响评价准入的通知》（环办〔2014〕30号，2014年3月25日）；</w:t>
      </w:r>
    </w:p>
    <w:p w14:paraId="50F7AAF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（26）《关于做好环境影响评价制度与排污许可制衔接相关工作的通知》（环办环评〔2017〕84号，2017年11月15日）；</w:t>
      </w:r>
    </w:p>
    <w:p w14:paraId="4865FA5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（27）《黑龙江省人民政府关于印发黑龙江省大气污染防治行动计划实施细则的通知》（黑政发〔2014〕1号，2014年1月26日）；</w:t>
      </w:r>
    </w:p>
    <w:p w14:paraId="0B4232E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（28）《黑龙江省人民政府关于印发黑龙江省水污染防治工作方案的通知》（黑政发〔2016〕3号，2016 年1月10日）；</w:t>
      </w:r>
    </w:p>
    <w:p w14:paraId="05A68F9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（29）《黑龙江省人民政府关于印发黑龙江省土壤污染防治实施方案的通知》（黑政发〔2016〕46号，2016年12月30日）；</w:t>
      </w:r>
    </w:p>
    <w:p w14:paraId="61DF9A5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（30）《黑龙江省人民政府关于印发黑龙江省“十四五”生态环境保护规划的通知》（黑政规〔2021〕18号）；</w:t>
      </w:r>
    </w:p>
    <w:p w14:paraId="5A314A4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（31）《黑龙江省“十四五”土壤地下水和农村生态环境保护规划》（黑政规〔2021〕19号）；</w:t>
      </w:r>
    </w:p>
    <w:p w14:paraId="105D3A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（32）《粉煤灰综合利用管理办法》，国家发改委令第19号，2013年3月1日起实施。</w:t>
      </w:r>
    </w:p>
    <w:p w14:paraId="3C9E28E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（33）《鸡西市人民政府印发鸡西市“十四五”生态环境保护规划的通知》，（鸡政规〔2022〕7号）。</w:t>
      </w:r>
    </w:p>
    <w:p w14:paraId="131604E5">
      <w:pPr>
        <w:pStyle w:val="27"/>
        <w:bidi w:val="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（34）《黑龙江省黑土地保护利用条例》（2024年3月1日起施行。）</w:t>
      </w:r>
    </w:p>
    <w:p w14:paraId="3F07CA31">
      <w:pPr>
        <w:pStyle w:val="27"/>
        <w:bidi w:val="0"/>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（35）《黑龙江省固体废物污染环境防治条例》</w:t>
      </w:r>
    </w:p>
    <w:p w14:paraId="25C8FB4D">
      <w:pPr>
        <w:pStyle w:val="27"/>
        <w:bidi w:val="0"/>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（36）《鸡西市空气质量持续改善行动计划贯彻落实方案》（鸡政发〔2024〕6号）</w:t>
      </w:r>
    </w:p>
    <w:p w14:paraId="1A94E2F1">
      <w:pPr>
        <w:pStyle w:val="41"/>
        <w:bidi w:val="0"/>
        <w:rPr>
          <w:rFonts w:hint="default" w:ascii="Times New Roman" w:hAnsi="Times New Roman" w:cs="Times New Roman"/>
          <w:color w:val="auto"/>
          <w:highlight w:val="none"/>
        </w:rPr>
      </w:pPr>
      <w:bookmarkStart w:id="82" w:name="_Toc22538"/>
      <w:r>
        <w:rPr>
          <w:rFonts w:hint="default" w:ascii="Times New Roman" w:hAnsi="Times New Roman" w:cs="Times New Roman"/>
          <w:color w:val="auto"/>
          <w:highlight w:val="none"/>
        </w:rPr>
        <w:t>2.3.2相关技术规范</w:t>
      </w:r>
      <w:bookmarkEnd w:id="82"/>
    </w:p>
    <w:p w14:paraId="5CD2FF0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（1）《建设项目环境影响评价技术导则 总纲》(HJ2.1-2016)；</w:t>
      </w:r>
    </w:p>
    <w:p w14:paraId="258EBAB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（2）《环境影响评价技术导则 大气环境》(HJ2.2-2018)；</w:t>
      </w:r>
    </w:p>
    <w:p w14:paraId="6F9CB12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（3）《环境影响评价技术导则 地表水环境》(HJ2.3-2018)；</w:t>
      </w:r>
    </w:p>
    <w:p w14:paraId="6945F0E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（4）《环境影响评价技术导则 声环境》(HJ2.4-2021)；</w:t>
      </w:r>
    </w:p>
    <w:p w14:paraId="3B36A00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（5）《环境影响评价技术导则 地下水环境》(HJ610-2016)；</w:t>
      </w:r>
    </w:p>
    <w:p w14:paraId="39A5566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（6）《环境影响评价技术导则 生态影响》(HJ19-2022)；</w:t>
      </w:r>
    </w:p>
    <w:p w14:paraId="16EF7F1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（7）《建设项目环境风险评价技术导则》(HJ 169-2018)；</w:t>
      </w:r>
    </w:p>
    <w:p w14:paraId="7CEA48A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（8）《环境影响评价技术导则 土壤环境（试行）》(HJ 964-2018)。</w:t>
      </w:r>
    </w:p>
    <w:p w14:paraId="42F1FF3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（9）《大气污染治理工程技术导则》（HJ2000-2010）；</w:t>
      </w:r>
    </w:p>
    <w:p w14:paraId="58D8C50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（10）《水污染治理工程技术导则》（HJ2015-2012）；</w:t>
      </w:r>
    </w:p>
    <w:p w14:paraId="0F0ACA6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（11）《排污单位自行监测技术指南 总则》（HJ819-2017）；</w:t>
      </w:r>
    </w:p>
    <w:p w14:paraId="2C0286E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（12）《地下水环境监测技术规范》（HJ/T164-2020）；</w:t>
      </w:r>
    </w:p>
    <w:p w14:paraId="77FD8D4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（13）《污染源强核算技术指南 总则》（HJ884-2018）；</w:t>
      </w:r>
    </w:p>
    <w:p w14:paraId="5521BC5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（14）《生产建设项目水土保持技术标准》(GB50433-2018)；</w:t>
      </w:r>
    </w:p>
    <w:p w14:paraId="0A42ACC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（15）《固体废物处理处置工程技术导则》（HJ2035-2013）；</w:t>
      </w:r>
    </w:p>
    <w:p w14:paraId="3AEADBA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（16）《环境噪声与振动控制工程技术导则》（HJ2034-2013）；</w:t>
      </w:r>
    </w:p>
    <w:p w14:paraId="38C9B53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）《开发建设项目水土保持技术规范》（GB50433-2008）；</w:t>
      </w:r>
    </w:p>
    <w:p w14:paraId="2D3ACCB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rPr>
        <w:t>）《开发建设项目水土流失防治标准》（GB50434-2008）。</w:t>
      </w:r>
    </w:p>
    <w:bookmarkEnd w:id="63"/>
    <w:bookmarkEnd w:id="64"/>
    <w:p w14:paraId="43CC4878">
      <w:pPr>
        <w:pStyle w:val="41"/>
        <w:rPr>
          <w:rFonts w:hint="default" w:ascii="Times New Roman" w:hAnsi="Times New Roman" w:cs="Times New Roman"/>
          <w:color w:val="auto"/>
          <w:highlight w:val="none"/>
        </w:rPr>
      </w:pPr>
      <w:bookmarkStart w:id="83" w:name="_Toc32634"/>
      <w:r>
        <w:rPr>
          <w:rFonts w:hint="default" w:ascii="Times New Roman" w:hAnsi="Times New Roman" w:cs="Times New Roman"/>
          <w:color w:val="auto"/>
          <w:highlight w:val="none"/>
        </w:rPr>
        <w:t>2.3.3其他技术文件</w:t>
      </w:r>
      <w:bookmarkEnd w:id="83"/>
    </w:p>
    <w:p w14:paraId="0F050215">
      <w:pPr>
        <w:pStyle w:val="27"/>
        <w:ind w:left="480" w:leftChars="200" w:firstLine="0" w:firstLineChars="0"/>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color w:val="auto"/>
          <w:highlight w:val="none"/>
        </w:rPr>
        <w:t>（1）</w:t>
      </w:r>
      <w:r>
        <w:rPr>
          <w:rFonts w:hint="default" w:ascii="Times New Roman" w:hAnsi="Times New Roman" w:cs="Times New Roman"/>
          <w:snapToGrid w:val="0"/>
          <w:color w:val="auto"/>
          <w:highlight w:val="none"/>
        </w:rPr>
        <w:t>《鸡西市滴道南甸子碎石场土地复垦实施方案》；</w:t>
      </w:r>
      <w:r>
        <w:rPr>
          <w:rFonts w:hint="default" w:ascii="Times New Roman" w:hAnsi="Times New Roman" w:cs="Times New Roman"/>
          <w:snapToGrid w:val="0"/>
          <w:color w:val="auto"/>
          <w:highlight w:val="none"/>
        </w:rPr>
        <w:br w:type="textWrapping"/>
      </w:r>
      <w:r>
        <w:rPr>
          <w:rFonts w:hint="default" w:ascii="Times New Roman" w:hAnsi="Times New Roman" w:cs="Times New Roman"/>
          <w:snapToGrid w:val="0"/>
          <w:color w:val="auto"/>
          <w:highlight w:val="none"/>
        </w:rPr>
        <w:t>（2）</w:t>
      </w:r>
      <w:r>
        <w:rPr>
          <w:rFonts w:hint="default" w:ascii="Times New Roman" w:hAnsi="Times New Roman" w:cs="Times New Roman"/>
          <w:snapToGrid w:val="0"/>
          <w:color w:val="auto"/>
          <w:highlight w:val="none"/>
          <w:lang w:eastAsia="zh-CN"/>
        </w:rPr>
        <w:t>《鸡西市滴道南甸子碎石场土地复垦方案》</w:t>
      </w:r>
    </w:p>
    <w:p w14:paraId="4E2D94FA">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3</w:t>
      </w:r>
      <w:r>
        <w:rPr>
          <w:rFonts w:hint="default" w:ascii="Times New Roman" w:hAnsi="Times New Roman" w:cs="Times New Roman"/>
          <w:snapToGrid w:val="0"/>
          <w:color w:val="auto"/>
          <w:highlight w:val="none"/>
        </w:rPr>
        <w:t>）《鸡西市滴道南甸子碎石场矿山</w:t>
      </w:r>
      <w:r>
        <w:rPr>
          <w:rFonts w:hint="default" w:ascii="Times New Roman" w:hAnsi="Times New Roman" w:cs="Times New Roman"/>
          <w:snapToGrid w:val="0"/>
          <w:color w:val="auto"/>
          <w:highlight w:val="none"/>
          <w:lang w:val="en-US" w:eastAsia="zh-CN"/>
        </w:rPr>
        <w:t>复垦</w:t>
      </w:r>
      <w:r>
        <w:rPr>
          <w:rFonts w:hint="default" w:ascii="Times New Roman" w:hAnsi="Times New Roman" w:cs="Times New Roman"/>
          <w:snapToGrid w:val="0"/>
          <w:color w:val="auto"/>
          <w:highlight w:val="none"/>
        </w:rPr>
        <w:t>项目环境风险评估报告》及专家意见；</w:t>
      </w:r>
    </w:p>
    <w:p w14:paraId="6A3D5356">
      <w:pPr>
        <w:pStyle w:val="43"/>
        <w:bidi w:val="0"/>
        <w:rPr>
          <w:rFonts w:hint="default" w:ascii="Times New Roman" w:hAnsi="Times New Roman" w:cs="Times New Roman"/>
          <w:color w:val="auto"/>
          <w:highlight w:val="none"/>
        </w:rPr>
      </w:pPr>
      <w:bookmarkStart w:id="84" w:name="_Toc152926809"/>
      <w:bookmarkStart w:id="85" w:name="_Toc22977"/>
      <w:bookmarkStart w:id="86" w:name="_Toc119316790"/>
      <w:bookmarkStart w:id="87" w:name="_Toc28417"/>
      <w:r>
        <w:rPr>
          <w:rFonts w:hint="default" w:ascii="Times New Roman" w:hAnsi="Times New Roman" w:cs="Times New Roman"/>
          <w:color w:val="auto"/>
          <w:highlight w:val="none"/>
        </w:rPr>
        <w:t>2.4环境影响因素识别与评价因子筛选</w:t>
      </w:r>
      <w:bookmarkEnd w:id="84"/>
      <w:bookmarkEnd w:id="85"/>
      <w:bookmarkEnd w:id="86"/>
      <w:bookmarkEnd w:id="87"/>
    </w:p>
    <w:p w14:paraId="4DB30832">
      <w:pPr>
        <w:pStyle w:val="41"/>
        <w:bidi w:val="0"/>
        <w:rPr>
          <w:rFonts w:hint="default" w:ascii="Times New Roman" w:hAnsi="Times New Roman" w:cs="Times New Roman"/>
          <w:color w:val="auto"/>
          <w:highlight w:val="none"/>
        </w:rPr>
      </w:pPr>
      <w:bookmarkStart w:id="88" w:name="_Toc17300"/>
      <w:r>
        <w:rPr>
          <w:rFonts w:hint="default" w:ascii="Times New Roman" w:hAnsi="Times New Roman" w:cs="Times New Roman"/>
          <w:color w:val="auto"/>
          <w:highlight w:val="none"/>
        </w:rPr>
        <w:t>2.4.1环境影响因素识别</w:t>
      </w:r>
      <w:bookmarkEnd w:id="88"/>
    </w:p>
    <w:p w14:paraId="684E4CF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根据本项目工程方案及生产工艺流程、污染物排放特征，以及项目区的环境现状，采用矩阵法对本项目施工期</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生态恢复期</w:t>
      </w:r>
      <w:r>
        <w:rPr>
          <w:rFonts w:hint="default" w:ascii="Times New Roman" w:hAnsi="Times New Roman" w:cs="Times New Roman"/>
          <w:color w:val="auto"/>
          <w:highlight w:val="none"/>
          <w:lang w:val="en-US" w:eastAsia="zh-CN"/>
        </w:rPr>
        <w:t>两</w:t>
      </w:r>
      <w:r>
        <w:rPr>
          <w:rFonts w:hint="default" w:ascii="Times New Roman" w:hAnsi="Times New Roman" w:cs="Times New Roman"/>
          <w:color w:val="auto"/>
          <w:highlight w:val="none"/>
        </w:rPr>
        <w:t>个时段存在的主要环境影响因素、影响类型和影响程度进行识别。</w:t>
      </w:r>
    </w:p>
    <w:p w14:paraId="1EEB81A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根据本项目的排污特点及污染源分析，本项目环境影响因素如下：</w:t>
      </w:r>
    </w:p>
    <w:p w14:paraId="4BDA19BE">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施工期：</w:t>
      </w:r>
    </w:p>
    <w:p w14:paraId="091A76B4">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（1）机械运行时的尾气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场地平整、</w:t>
      </w:r>
      <w:r>
        <w:rPr>
          <w:rFonts w:hint="default" w:ascii="Times New Roman" w:hAnsi="Times New Roman" w:eastAsia="宋体" w:cs="Times New Roman"/>
          <w:color w:val="auto"/>
          <w:highlight w:val="none"/>
          <w:lang w:eastAsia="zh-CN"/>
        </w:rPr>
        <w:t>粉煤灰</w:t>
      </w:r>
      <w:r>
        <w:rPr>
          <w:rFonts w:hint="default" w:ascii="Times New Roman" w:hAnsi="Times New Roman" w:eastAsia="宋体" w:cs="Times New Roman"/>
          <w:color w:val="auto"/>
          <w:highlight w:val="none"/>
        </w:rPr>
        <w:t>运输、卸车和回填作业过程产生的扬尘</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污染物为TSP；</w:t>
      </w:r>
    </w:p>
    <w:p w14:paraId="57488159">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（2）施工过程中机械设备</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运输设备</w:t>
      </w:r>
      <w:r>
        <w:rPr>
          <w:rFonts w:hint="default" w:ascii="Times New Roman" w:hAnsi="Times New Roman" w:eastAsia="宋体" w:cs="Times New Roman"/>
          <w:color w:val="auto"/>
          <w:highlight w:val="none"/>
        </w:rPr>
        <w:t>等噪声，会对周围声环境产生影响；</w:t>
      </w:r>
    </w:p>
    <w:p w14:paraId="31AC1CFA">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（3）施工人员生活垃圾、建筑垃圾如不妥善处置，将对周围环境造成影响；项目施工</w:t>
      </w:r>
      <w:r>
        <w:rPr>
          <w:rFonts w:hint="default" w:ascii="Times New Roman" w:hAnsi="Times New Roman" w:eastAsia="宋体" w:cs="Times New Roman"/>
          <w:color w:val="auto"/>
          <w:highlight w:val="none"/>
          <w:lang w:val="en-US" w:eastAsia="zh-CN"/>
        </w:rPr>
        <w:t>期降雨天气产生的淋溶水</w:t>
      </w:r>
      <w:r>
        <w:rPr>
          <w:rFonts w:hint="default" w:ascii="Times New Roman" w:hAnsi="Times New Roman" w:eastAsia="宋体" w:cs="Times New Roman"/>
          <w:color w:val="auto"/>
          <w:highlight w:val="none"/>
        </w:rPr>
        <w:t>，对地下水环境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土壤、地表水</w:t>
      </w:r>
      <w:r>
        <w:rPr>
          <w:rFonts w:hint="default" w:ascii="Times New Roman" w:hAnsi="Times New Roman" w:eastAsia="宋体" w:cs="Times New Roman"/>
          <w:color w:val="auto"/>
          <w:highlight w:val="none"/>
        </w:rPr>
        <w:t>产生影响。</w:t>
      </w:r>
    </w:p>
    <w:p w14:paraId="0F228E08">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（4）工程施工中会扰动地表，易引起水土流失，给场区生态环境带来不利影响。</w:t>
      </w:r>
    </w:p>
    <w:p w14:paraId="11C7B069">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（5）运输车辆、作业机噪声对周围声环境的影响。</w:t>
      </w:r>
    </w:p>
    <w:p w14:paraId="70AB717C">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）工作人员产生的生活垃圾如不妥善处理，向外排放，将对周边环境产生一定影响。</w:t>
      </w:r>
    </w:p>
    <w:p w14:paraId="20FD82B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w:t>
      </w:r>
    </w:p>
    <w:p w14:paraId="385D8C39">
      <w:pPr>
        <w:pStyle w:val="27"/>
        <w:keepNext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生态恢复期主要为对回填后的场地进行复垦，主要各类机械设备噪声以及物料运输过程中的交通噪声。</w:t>
      </w:r>
    </w:p>
    <w:p w14:paraId="05619322">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表2-4-1  影响因素识别一览表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1142"/>
        <w:gridCol w:w="1355"/>
        <w:gridCol w:w="1355"/>
        <w:gridCol w:w="1356"/>
        <w:gridCol w:w="1356"/>
        <w:gridCol w:w="1356"/>
      </w:tblGrid>
      <w:tr w14:paraId="72AA4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pct"/>
            <w:gridSpan w:val="2"/>
            <w:vMerge w:val="restart"/>
            <w:tcBorders>
              <w:top w:val="single" w:color="auto" w:sz="12" w:space="0"/>
              <w:left w:val="nil"/>
              <w:bottom w:val="single" w:color="auto" w:sz="4" w:space="0"/>
              <w:right w:val="single" w:color="auto" w:sz="4" w:space="0"/>
              <w:tl2br w:val="single" w:color="auto" w:sz="4" w:space="0"/>
            </w:tcBorders>
            <w:vAlign w:val="center"/>
          </w:tcPr>
          <w:p w14:paraId="1546A38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评价阶段</w:t>
            </w:r>
          </w:p>
          <w:p w14:paraId="52CEA651">
            <w:pPr>
              <w:pStyle w:val="46"/>
              <w:bidi w:val="0"/>
              <w:rPr>
                <w:rFonts w:hint="default" w:ascii="Times New Roman" w:hAnsi="Times New Roman" w:cs="Times New Roman"/>
                <w:color w:val="auto"/>
                <w:highlight w:val="none"/>
                <w:lang w:val="zh-CN"/>
              </w:rPr>
            </w:pPr>
          </w:p>
          <w:p w14:paraId="38F2E73F">
            <w:pPr>
              <w:pStyle w:val="46"/>
              <w:bidi w:val="0"/>
              <w:rPr>
                <w:rFonts w:hint="default" w:ascii="Times New Roman" w:hAnsi="Times New Roman" w:cs="Times New Roman"/>
                <w:color w:val="auto"/>
                <w:highlight w:val="none"/>
                <w:lang w:val="zh-CN"/>
              </w:rPr>
            </w:pPr>
          </w:p>
          <w:p w14:paraId="1E70C59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环境影响要素</w:t>
            </w:r>
          </w:p>
        </w:tc>
        <w:tc>
          <w:tcPr>
            <w:tcW w:w="3180" w:type="pct"/>
            <w:gridSpan w:val="4"/>
            <w:tcBorders>
              <w:top w:val="single" w:color="auto" w:sz="12" w:space="0"/>
              <w:left w:val="single" w:color="auto" w:sz="4" w:space="0"/>
              <w:bottom w:val="single" w:color="auto" w:sz="4" w:space="0"/>
              <w:right w:val="single" w:color="auto" w:sz="4" w:space="0"/>
            </w:tcBorders>
            <w:vAlign w:val="center"/>
          </w:tcPr>
          <w:p w14:paraId="594BF17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w:t>
            </w:r>
          </w:p>
        </w:tc>
        <w:tc>
          <w:tcPr>
            <w:tcW w:w="795" w:type="pct"/>
            <w:vMerge w:val="restart"/>
            <w:tcBorders>
              <w:top w:val="single" w:color="auto" w:sz="12" w:space="0"/>
              <w:left w:val="single" w:color="auto" w:sz="4" w:space="0"/>
              <w:right w:val="nil"/>
            </w:tcBorders>
            <w:vAlign w:val="center"/>
          </w:tcPr>
          <w:p w14:paraId="30BFE23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生态恢复期</w:t>
            </w:r>
          </w:p>
        </w:tc>
      </w:tr>
      <w:tr w14:paraId="27AB3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Merge w:val="continue"/>
            <w:tcBorders>
              <w:top w:val="single" w:color="auto" w:sz="12" w:space="0"/>
              <w:left w:val="nil"/>
              <w:bottom w:val="single" w:color="auto" w:sz="4" w:space="0"/>
              <w:right w:val="single" w:color="auto" w:sz="4" w:space="0"/>
            </w:tcBorders>
            <w:vAlign w:val="center"/>
          </w:tcPr>
          <w:p w14:paraId="6D80F8D3">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228556E1">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构筑物建设</w:t>
            </w:r>
          </w:p>
        </w:tc>
        <w:tc>
          <w:tcPr>
            <w:tcW w:w="795" w:type="pct"/>
            <w:tcBorders>
              <w:top w:val="single" w:color="auto" w:sz="4" w:space="0"/>
              <w:left w:val="single" w:color="auto" w:sz="4" w:space="0"/>
              <w:bottom w:val="single" w:color="auto" w:sz="4" w:space="0"/>
              <w:right w:val="single" w:color="auto" w:sz="4" w:space="0"/>
            </w:tcBorders>
            <w:vAlign w:val="center"/>
          </w:tcPr>
          <w:p w14:paraId="4246797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物料运输</w:t>
            </w:r>
          </w:p>
        </w:tc>
        <w:tc>
          <w:tcPr>
            <w:tcW w:w="795" w:type="pct"/>
            <w:tcBorders>
              <w:top w:val="single" w:color="auto" w:sz="4" w:space="0"/>
              <w:left w:val="single" w:color="auto" w:sz="4" w:space="0"/>
              <w:bottom w:val="single" w:color="auto" w:sz="4" w:space="0"/>
              <w:right w:val="single" w:color="auto" w:sz="4" w:space="0"/>
            </w:tcBorders>
            <w:vAlign w:val="center"/>
          </w:tcPr>
          <w:p w14:paraId="6C284CF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固废运输</w:t>
            </w:r>
          </w:p>
        </w:tc>
        <w:tc>
          <w:tcPr>
            <w:tcW w:w="795" w:type="pct"/>
            <w:tcBorders>
              <w:top w:val="single" w:color="auto" w:sz="4" w:space="0"/>
              <w:left w:val="single" w:color="auto" w:sz="4" w:space="0"/>
              <w:bottom w:val="single" w:color="auto" w:sz="4" w:space="0"/>
              <w:right w:val="single" w:color="auto" w:sz="4" w:space="0"/>
            </w:tcBorders>
            <w:vAlign w:val="center"/>
          </w:tcPr>
          <w:p w14:paraId="646C583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回填</w:t>
            </w:r>
          </w:p>
        </w:tc>
        <w:tc>
          <w:tcPr>
            <w:tcW w:w="795" w:type="pct"/>
            <w:vMerge w:val="continue"/>
            <w:tcBorders>
              <w:left w:val="single" w:color="auto" w:sz="4" w:space="0"/>
              <w:bottom w:val="single" w:color="auto" w:sz="4" w:space="0"/>
              <w:right w:val="nil"/>
            </w:tcBorders>
            <w:vAlign w:val="center"/>
          </w:tcPr>
          <w:p w14:paraId="6C9ACC0F">
            <w:pPr>
              <w:pStyle w:val="46"/>
              <w:bidi w:val="0"/>
              <w:rPr>
                <w:rFonts w:hint="default" w:ascii="Times New Roman" w:hAnsi="Times New Roman" w:cs="Times New Roman"/>
                <w:color w:val="auto"/>
                <w:highlight w:val="none"/>
                <w:lang w:val="zh-CN"/>
              </w:rPr>
            </w:pPr>
          </w:p>
        </w:tc>
      </w:tr>
      <w:tr w14:paraId="1D50E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3" w:type="pct"/>
            <w:vMerge w:val="restart"/>
            <w:tcBorders>
              <w:top w:val="single" w:color="auto" w:sz="4" w:space="0"/>
              <w:left w:val="nil"/>
              <w:bottom w:val="single" w:color="auto" w:sz="4" w:space="0"/>
              <w:right w:val="single" w:color="auto" w:sz="4" w:space="0"/>
            </w:tcBorders>
            <w:vAlign w:val="center"/>
          </w:tcPr>
          <w:p w14:paraId="00D96EA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环境质量</w:t>
            </w:r>
          </w:p>
        </w:tc>
        <w:tc>
          <w:tcPr>
            <w:tcW w:w="670" w:type="pct"/>
            <w:tcBorders>
              <w:top w:val="single" w:color="auto" w:sz="4" w:space="0"/>
              <w:left w:val="single" w:color="auto" w:sz="4" w:space="0"/>
              <w:bottom w:val="single" w:color="auto" w:sz="4" w:space="0"/>
              <w:right w:val="single" w:color="auto" w:sz="4" w:space="0"/>
            </w:tcBorders>
            <w:vAlign w:val="center"/>
          </w:tcPr>
          <w:p w14:paraId="6B7789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空气质量</w:t>
            </w:r>
          </w:p>
        </w:tc>
        <w:tc>
          <w:tcPr>
            <w:tcW w:w="795" w:type="pct"/>
            <w:tcBorders>
              <w:top w:val="single" w:color="auto" w:sz="4" w:space="0"/>
              <w:left w:val="single" w:color="auto" w:sz="4" w:space="0"/>
              <w:bottom w:val="single" w:color="auto" w:sz="4" w:space="0"/>
              <w:right w:val="single" w:color="auto" w:sz="4" w:space="0"/>
            </w:tcBorders>
            <w:vAlign w:val="center"/>
          </w:tcPr>
          <w:p w14:paraId="626AF90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69EE02E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0982D82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7E6BCF9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nil"/>
            </w:tcBorders>
            <w:vAlign w:val="center"/>
          </w:tcPr>
          <w:p w14:paraId="34890823">
            <w:pPr>
              <w:pStyle w:val="46"/>
              <w:bidi w:val="0"/>
              <w:rPr>
                <w:rFonts w:hint="default" w:ascii="Times New Roman" w:hAnsi="Times New Roman" w:cs="Times New Roman"/>
                <w:color w:val="auto"/>
                <w:highlight w:val="none"/>
                <w:lang w:val="zh-CN"/>
              </w:rPr>
            </w:pPr>
          </w:p>
        </w:tc>
      </w:tr>
      <w:tr w14:paraId="6652B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14:paraId="5A825C5A">
            <w:pPr>
              <w:pStyle w:val="46"/>
              <w:bidi w:val="0"/>
              <w:rPr>
                <w:rFonts w:hint="default" w:ascii="Times New Roman" w:hAnsi="Times New Roman" w:cs="Times New Roman"/>
                <w:color w:val="auto"/>
                <w:highlight w:val="none"/>
                <w:lang w:val="zh-CN"/>
              </w:rPr>
            </w:pPr>
          </w:p>
        </w:tc>
        <w:tc>
          <w:tcPr>
            <w:tcW w:w="670" w:type="pct"/>
            <w:tcBorders>
              <w:top w:val="single" w:color="auto" w:sz="4" w:space="0"/>
              <w:left w:val="single" w:color="auto" w:sz="4" w:space="0"/>
              <w:bottom w:val="single" w:color="auto" w:sz="4" w:space="0"/>
              <w:right w:val="single" w:color="auto" w:sz="4" w:space="0"/>
            </w:tcBorders>
            <w:vAlign w:val="center"/>
          </w:tcPr>
          <w:p w14:paraId="6A58B1F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地表水</w:t>
            </w:r>
          </w:p>
        </w:tc>
        <w:tc>
          <w:tcPr>
            <w:tcW w:w="795" w:type="pct"/>
            <w:tcBorders>
              <w:top w:val="single" w:color="auto" w:sz="4" w:space="0"/>
              <w:left w:val="single" w:color="auto" w:sz="4" w:space="0"/>
              <w:bottom w:val="single" w:color="auto" w:sz="4" w:space="0"/>
              <w:right w:val="single" w:color="auto" w:sz="4" w:space="0"/>
            </w:tcBorders>
            <w:vAlign w:val="center"/>
          </w:tcPr>
          <w:p w14:paraId="034567F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136EC46D">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21DEF6BD">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4D3D157E">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nil"/>
            </w:tcBorders>
            <w:vAlign w:val="center"/>
          </w:tcPr>
          <w:p w14:paraId="48538AB8">
            <w:pPr>
              <w:pStyle w:val="46"/>
              <w:bidi w:val="0"/>
              <w:rPr>
                <w:rFonts w:hint="default" w:ascii="Times New Roman" w:hAnsi="Times New Roman" w:cs="Times New Roman"/>
                <w:color w:val="auto"/>
                <w:highlight w:val="none"/>
                <w:lang w:val="zh-CN"/>
              </w:rPr>
            </w:pPr>
          </w:p>
        </w:tc>
      </w:tr>
      <w:tr w14:paraId="4BEA7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14:paraId="0B21386B">
            <w:pPr>
              <w:pStyle w:val="46"/>
              <w:bidi w:val="0"/>
              <w:rPr>
                <w:rFonts w:hint="default" w:ascii="Times New Roman" w:hAnsi="Times New Roman" w:cs="Times New Roman"/>
                <w:color w:val="auto"/>
                <w:highlight w:val="none"/>
                <w:lang w:val="zh-CN"/>
              </w:rPr>
            </w:pPr>
          </w:p>
        </w:tc>
        <w:tc>
          <w:tcPr>
            <w:tcW w:w="670" w:type="pct"/>
            <w:tcBorders>
              <w:top w:val="single" w:color="auto" w:sz="4" w:space="0"/>
              <w:left w:val="single" w:color="auto" w:sz="4" w:space="0"/>
              <w:bottom w:val="single" w:color="auto" w:sz="4" w:space="0"/>
              <w:right w:val="single" w:color="auto" w:sz="4" w:space="0"/>
            </w:tcBorders>
            <w:vAlign w:val="center"/>
          </w:tcPr>
          <w:p w14:paraId="2F5ECC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地下水</w:t>
            </w:r>
          </w:p>
        </w:tc>
        <w:tc>
          <w:tcPr>
            <w:tcW w:w="795" w:type="pct"/>
            <w:tcBorders>
              <w:top w:val="single" w:color="auto" w:sz="4" w:space="0"/>
              <w:left w:val="single" w:color="auto" w:sz="4" w:space="0"/>
              <w:bottom w:val="single" w:color="auto" w:sz="4" w:space="0"/>
              <w:right w:val="single" w:color="auto" w:sz="4" w:space="0"/>
            </w:tcBorders>
            <w:vAlign w:val="center"/>
          </w:tcPr>
          <w:p w14:paraId="07E3160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370D91E9">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5BEC03D0">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1D313D0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nil"/>
            </w:tcBorders>
            <w:vAlign w:val="center"/>
          </w:tcPr>
          <w:p w14:paraId="76C9F0FD">
            <w:pPr>
              <w:pStyle w:val="46"/>
              <w:bidi w:val="0"/>
              <w:rPr>
                <w:rFonts w:hint="default" w:ascii="Times New Roman" w:hAnsi="Times New Roman" w:cs="Times New Roman"/>
                <w:color w:val="auto"/>
                <w:highlight w:val="none"/>
                <w:lang w:val="zh-CN"/>
              </w:rPr>
            </w:pPr>
          </w:p>
        </w:tc>
      </w:tr>
      <w:tr w14:paraId="56261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14:paraId="739E097B">
            <w:pPr>
              <w:pStyle w:val="46"/>
              <w:bidi w:val="0"/>
              <w:rPr>
                <w:rFonts w:hint="default" w:ascii="Times New Roman" w:hAnsi="Times New Roman" w:cs="Times New Roman"/>
                <w:color w:val="auto"/>
                <w:highlight w:val="none"/>
                <w:lang w:val="zh-CN"/>
              </w:rPr>
            </w:pPr>
          </w:p>
        </w:tc>
        <w:tc>
          <w:tcPr>
            <w:tcW w:w="670" w:type="pct"/>
            <w:tcBorders>
              <w:top w:val="single" w:color="auto" w:sz="4" w:space="0"/>
              <w:left w:val="single" w:color="auto" w:sz="4" w:space="0"/>
              <w:bottom w:val="single" w:color="auto" w:sz="4" w:space="0"/>
              <w:right w:val="single" w:color="auto" w:sz="4" w:space="0"/>
            </w:tcBorders>
            <w:vAlign w:val="center"/>
          </w:tcPr>
          <w:p w14:paraId="184CBDF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声环境</w:t>
            </w:r>
          </w:p>
        </w:tc>
        <w:tc>
          <w:tcPr>
            <w:tcW w:w="795" w:type="pct"/>
            <w:tcBorders>
              <w:top w:val="single" w:color="auto" w:sz="4" w:space="0"/>
              <w:left w:val="single" w:color="auto" w:sz="4" w:space="0"/>
              <w:bottom w:val="single" w:color="auto" w:sz="4" w:space="0"/>
              <w:right w:val="single" w:color="auto" w:sz="4" w:space="0"/>
            </w:tcBorders>
            <w:vAlign w:val="center"/>
          </w:tcPr>
          <w:p w14:paraId="7535498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713D9E8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2C17DBA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21ADAB4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nil"/>
            </w:tcBorders>
            <w:vAlign w:val="center"/>
          </w:tcPr>
          <w:p w14:paraId="1350548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6B5D0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nil"/>
              <w:bottom w:val="single" w:color="auto" w:sz="4" w:space="0"/>
              <w:right w:val="single" w:color="auto" w:sz="4" w:space="0"/>
            </w:tcBorders>
            <w:vAlign w:val="center"/>
          </w:tcPr>
          <w:p w14:paraId="5663580A">
            <w:pPr>
              <w:pStyle w:val="46"/>
              <w:bidi w:val="0"/>
              <w:rPr>
                <w:rFonts w:hint="default" w:ascii="Times New Roman" w:hAnsi="Times New Roman" w:cs="Times New Roman"/>
                <w:color w:val="auto"/>
                <w:highlight w:val="none"/>
                <w:lang w:val="zh-CN"/>
              </w:rPr>
            </w:pPr>
          </w:p>
        </w:tc>
        <w:tc>
          <w:tcPr>
            <w:tcW w:w="670" w:type="pct"/>
            <w:tcBorders>
              <w:top w:val="single" w:color="auto" w:sz="4" w:space="0"/>
              <w:left w:val="single" w:color="auto" w:sz="4" w:space="0"/>
              <w:bottom w:val="single" w:color="auto" w:sz="4" w:space="0"/>
              <w:right w:val="single" w:color="auto" w:sz="4" w:space="0"/>
            </w:tcBorders>
            <w:vAlign w:val="center"/>
          </w:tcPr>
          <w:p w14:paraId="1026E5C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土壤</w:t>
            </w:r>
          </w:p>
        </w:tc>
        <w:tc>
          <w:tcPr>
            <w:tcW w:w="795" w:type="pct"/>
            <w:tcBorders>
              <w:top w:val="single" w:color="auto" w:sz="4" w:space="0"/>
              <w:left w:val="single" w:color="auto" w:sz="4" w:space="0"/>
              <w:bottom w:val="single" w:color="auto" w:sz="4" w:space="0"/>
              <w:right w:val="single" w:color="auto" w:sz="4" w:space="0"/>
            </w:tcBorders>
            <w:vAlign w:val="center"/>
          </w:tcPr>
          <w:p w14:paraId="1BD4BBB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single" w:color="auto" w:sz="4" w:space="0"/>
            </w:tcBorders>
            <w:vAlign w:val="center"/>
          </w:tcPr>
          <w:p w14:paraId="1771C8D0">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07F69303">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4" w:space="0"/>
              <w:right w:val="single" w:color="auto" w:sz="4" w:space="0"/>
            </w:tcBorders>
            <w:vAlign w:val="center"/>
          </w:tcPr>
          <w:p w14:paraId="4AE30EC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4" w:space="0"/>
              <w:right w:val="nil"/>
            </w:tcBorders>
            <w:vAlign w:val="center"/>
          </w:tcPr>
          <w:p w14:paraId="26AF3782">
            <w:pPr>
              <w:pStyle w:val="46"/>
              <w:bidi w:val="0"/>
              <w:rPr>
                <w:rFonts w:hint="default" w:ascii="Times New Roman" w:hAnsi="Times New Roman" w:cs="Times New Roman"/>
                <w:color w:val="auto"/>
                <w:highlight w:val="none"/>
                <w:lang w:val="zh-CN"/>
              </w:rPr>
            </w:pPr>
          </w:p>
        </w:tc>
      </w:tr>
      <w:tr w14:paraId="151A1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3" w:type="pct"/>
            <w:gridSpan w:val="2"/>
            <w:tcBorders>
              <w:top w:val="single" w:color="auto" w:sz="4" w:space="0"/>
              <w:left w:val="nil"/>
              <w:bottom w:val="single" w:color="auto" w:sz="12" w:space="0"/>
              <w:right w:val="single" w:color="auto" w:sz="4" w:space="0"/>
            </w:tcBorders>
            <w:vAlign w:val="center"/>
          </w:tcPr>
          <w:p w14:paraId="62D858A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生态环境</w:t>
            </w:r>
          </w:p>
        </w:tc>
        <w:tc>
          <w:tcPr>
            <w:tcW w:w="795" w:type="pct"/>
            <w:tcBorders>
              <w:top w:val="single" w:color="auto" w:sz="4" w:space="0"/>
              <w:left w:val="single" w:color="auto" w:sz="4" w:space="0"/>
              <w:bottom w:val="single" w:color="auto" w:sz="12" w:space="0"/>
              <w:right w:val="single" w:color="auto" w:sz="4" w:space="0"/>
            </w:tcBorders>
            <w:vAlign w:val="center"/>
          </w:tcPr>
          <w:p w14:paraId="281CF4B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95" w:type="pct"/>
            <w:tcBorders>
              <w:top w:val="single" w:color="auto" w:sz="4" w:space="0"/>
              <w:left w:val="single" w:color="auto" w:sz="4" w:space="0"/>
              <w:bottom w:val="single" w:color="auto" w:sz="12" w:space="0"/>
              <w:right w:val="single" w:color="auto" w:sz="4" w:space="0"/>
            </w:tcBorders>
            <w:vAlign w:val="center"/>
          </w:tcPr>
          <w:p w14:paraId="0D466876">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12" w:space="0"/>
              <w:right w:val="single" w:color="auto" w:sz="4" w:space="0"/>
            </w:tcBorders>
            <w:vAlign w:val="center"/>
          </w:tcPr>
          <w:p w14:paraId="7FA70F80">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12" w:space="0"/>
              <w:right w:val="single" w:color="auto" w:sz="4" w:space="0"/>
            </w:tcBorders>
            <w:vAlign w:val="center"/>
          </w:tcPr>
          <w:p w14:paraId="4008E0E8">
            <w:pPr>
              <w:pStyle w:val="46"/>
              <w:bidi w:val="0"/>
              <w:rPr>
                <w:rFonts w:hint="default" w:ascii="Times New Roman" w:hAnsi="Times New Roman" w:cs="Times New Roman"/>
                <w:color w:val="auto"/>
                <w:highlight w:val="none"/>
                <w:lang w:val="zh-CN"/>
              </w:rPr>
            </w:pPr>
          </w:p>
        </w:tc>
        <w:tc>
          <w:tcPr>
            <w:tcW w:w="795" w:type="pct"/>
            <w:tcBorders>
              <w:top w:val="single" w:color="auto" w:sz="4" w:space="0"/>
              <w:left w:val="single" w:color="auto" w:sz="4" w:space="0"/>
              <w:bottom w:val="single" w:color="auto" w:sz="12" w:space="0"/>
              <w:right w:val="nil"/>
            </w:tcBorders>
            <w:vAlign w:val="center"/>
          </w:tcPr>
          <w:p w14:paraId="7061919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w:t>
            </w:r>
          </w:p>
        </w:tc>
      </w:tr>
    </w:tbl>
    <w:p w14:paraId="39657258">
      <w:pPr>
        <w:pStyle w:val="5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注：（1）★/☆表示长期不利影响/有利影响；（2）▲/△表示短期不利影响/有利影响；（3）空格表示影响不明显或</w:t>
      </w:r>
      <w:r>
        <w:rPr>
          <w:rFonts w:hint="default" w:ascii="Times New Roman" w:hAnsi="Times New Roman" w:cs="Times New Roman"/>
          <w:color w:val="auto"/>
          <w:highlight w:val="none"/>
          <w:lang w:eastAsia="zh-CN"/>
        </w:rPr>
        <w:t>没有</w:t>
      </w:r>
      <w:r>
        <w:rPr>
          <w:rFonts w:hint="default" w:ascii="Times New Roman" w:hAnsi="Times New Roman" w:cs="Times New Roman"/>
          <w:color w:val="auto"/>
          <w:highlight w:val="none"/>
        </w:rPr>
        <w:t>影响。</w:t>
      </w:r>
      <w:bookmarkStart w:id="89" w:name="_Toc7379"/>
    </w:p>
    <w:p w14:paraId="314DD63B">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2.4.2评价因子筛选</w:t>
      </w:r>
      <w:bookmarkEnd w:id="89"/>
    </w:p>
    <w:p w14:paraId="1220609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根据本项目周边环境及项目特征，确定本项目现状评价因子和预测评价因子，具体见下表。</w:t>
      </w:r>
    </w:p>
    <w:p w14:paraId="7F263B72">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表2-4-2</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环境影响评价因子筛选结果</w:t>
      </w:r>
    </w:p>
    <w:tbl>
      <w:tblPr>
        <w:tblStyle w:val="24"/>
        <w:tblW w:w="825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3"/>
        <w:gridCol w:w="1134"/>
        <w:gridCol w:w="1276"/>
        <w:gridCol w:w="5017"/>
      </w:tblGrid>
      <w:tr w14:paraId="18746F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3" w:hRule="atLeast"/>
          <w:jc w:val="center"/>
        </w:trPr>
        <w:tc>
          <w:tcPr>
            <w:tcW w:w="823" w:type="dxa"/>
            <w:vAlign w:val="center"/>
          </w:tcPr>
          <w:p w14:paraId="78C386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评价阶段</w:t>
            </w:r>
          </w:p>
        </w:tc>
        <w:tc>
          <w:tcPr>
            <w:tcW w:w="1134" w:type="dxa"/>
            <w:vAlign w:val="center"/>
          </w:tcPr>
          <w:p w14:paraId="0002B0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276" w:type="dxa"/>
            <w:vAlign w:val="center"/>
          </w:tcPr>
          <w:p w14:paraId="02324C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评价类别</w:t>
            </w:r>
          </w:p>
        </w:tc>
        <w:tc>
          <w:tcPr>
            <w:tcW w:w="5017" w:type="dxa"/>
            <w:vAlign w:val="center"/>
          </w:tcPr>
          <w:p w14:paraId="5EAC70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r>
      <w:tr w14:paraId="74BC36F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restart"/>
            <w:vAlign w:val="center"/>
          </w:tcPr>
          <w:p w14:paraId="45EF75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1134" w:type="dxa"/>
            <w:vMerge w:val="restart"/>
            <w:vAlign w:val="center"/>
          </w:tcPr>
          <w:p w14:paraId="0E8B33B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1276" w:type="dxa"/>
            <w:vAlign w:val="center"/>
          </w:tcPr>
          <w:p w14:paraId="0D4C36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3FCE9F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、TSP</w:t>
            </w:r>
          </w:p>
        </w:tc>
      </w:tr>
      <w:tr w14:paraId="293C63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73958A7A">
            <w:pPr>
              <w:pStyle w:val="46"/>
              <w:bidi w:val="0"/>
              <w:rPr>
                <w:rFonts w:hint="default" w:ascii="Times New Roman" w:hAnsi="Times New Roman" w:cs="Times New Roman"/>
                <w:color w:val="auto"/>
                <w:highlight w:val="none"/>
              </w:rPr>
            </w:pPr>
          </w:p>
        </w:tc>
        <w:tc>
          <w:tcPr>
            <w:tcW w:w="1134" w:type="dxa"/>
            <w:vMerge w:val="continue"/>
            <w:vAlign w:val="center"/>
          </w:tcPr>
          <w:p w14:paraId="4AEE6820">
            <w:pPr>
              <w:pStyle w:val="46"/>
              <w:bidi w:val="0"/>
              <w:rPr>
                <w:rFonts w:hint="default" w:ascii="Times New Roman" w:hAnsi="Times New Roman" w:cs="Times New Roman"/>
                <w:color w:val="auto"/>
                <w:highlight w:val="none"/>
              </w:rPr>
            </w:pPr>
          </w:p>
        </w:tc>
        <w:tc>
          <w:tcPr>
            <w:tcW w:w="1276" w:type="dxa"/>
            <w:vAlign w:val="center"/>
          </w:tcPr>
          <w:p w14:paraId="371D6C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Align w:val="center"/>
          </w:tcPr>
          <w:p w14:paraId="7EDAC1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r>
      <w:tr w14:paraId="40869D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0CC69492">
            <w:pPr>
              <w:pStyle w:val="46"/>
              <w:bidi w:val="0"/>
              <w:rPr>
                <w:rFonts w:hint="default" w:ascii="Times New Roman" w:hAnsi="Times New Roman" w:cs="Times New Roman"/>
                <w:color w:val="auto"/>
                <w:highlight w:val="none"/>
              </w:rPr>
            </w:pPr>
          </w:p>
        </w:tc>
        <w:tc>
          <w:tcPr>
            <w:tcW w:w="1134" w:type="dxa"/>
            <w:vMerge w:val="restart"/>
            <w:vAlign w:val="center"/>
          </w:tcPr>
          <w:p w14:paraId="393E55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276" w:type="dxa"/>
            <w:vAlign w:val="center"/>
          </w:tcPr>
          <w:p w14:paraId="275AF7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Merge w:val="restart"/>
            <w:vAlign w:val="center"/>
          </w:tcPr>
          <w:p w14:paraId="67C9B7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等效连续A声级Leq（A）</w:t>
            </w:r>
          </w:p>
        </w:tc>
      </w:tr>
      <w:tr w14:paraId="333936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52" w:hRule="atLeast"/>
          <w:jc w:val="center"/>
        </w:trPr>
        <w:tc>
          <w:tcPr>
            <w:tcW w:w="823" w:type="dxa"/>
            <w:vMerge w:val="continue"/>
            <w:vAlign w:val="center"/>
          </w:tcPr>
          <w:p w14:paraId="0753819A">
            <w:pPr>
              <w:pStyle w:val="46"/>
              <w:bidi w:val="0"/>
              <w:rPr>
                <w:rFonts w:hint="default" w:ascii="Times New Roman" w:hAnsi="Times New Roman" w:cs="Times New Roman"/>
                <w:color w:val="auto"/>
                <w:highlight w:val="none"/>
              </w:rPr>
            </w:pPr>
          </w:p>
        </w:tc>
        <w:tc>
          <w:tcPr>
            <w:tcW w:w="1134" w:type="dxa"/>
            <w:vMerge w:val="continue"/>
            <w:vAlign w:val="center"/>
          </w:tcPr>
          <w:p w14:paraId="299F9A3C">
            <w:pPr>
              <w:pStyle w:val="46"/>
              <w:bidi w:val="0"/>
              <w:rPr>
                <w:rFonts w:hint="default" w:ascii="Times New Roman" w:hAnsi="Times New Roman" w:cs="Times New Roman"/>
                <w:color w:val="auto"/>
                <w:highlight w:val="none"/>
              </w:rPr>
            </w:pPr>
          </w:p>
        </w:tc>
        <w:tc>
          <w:tcPr>
            <w:tcW w:w="1276" w:type="dxa"/>
            <w:vAlign w:val="center"/>
          </w:tcPr>
          <w:p w14:paraId="6AECA6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Merge w:val="continue"/>
            <w:vAlign w:val="center"/>
          </w:tcPr>
          <w:p w14:paraId="13BC208B">
            <w:pPr>
              <w:pStyle w:val="46"/>
              <w:bidi w:val="0"/>
              <w:rPr>
                <w:rFonts w:hint="default" w:ascii="Times New Roman" w:hAnsi="Times New Roman" w:cs="Times New Roman"/>
                <w:color w:val="auto"/>
                <w:highlight w:val="none"/>
              </w:rPr>
            </w:pPr>
          </w:p>
        </w:tc>
      </w:tr>
      <w:tr w14:paraId="62C47A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4E1748F">
            <w:pPr>
              <w:pStyle w:val="46"/>
              <w:bidi w:val="0"/>
              <w:rPr>
                <w:rFonts w:hint="default" w:ascii="Times New Roman" w:hAnsi="Times New Roman" w:cs="Times New Roman"/>
                <w:color w:val="auto"/>
                <w:highlight w:val="none"/>
              </w:rPr>
            </w:pPr>
          </w:p>
        </w:tc>
        <w:tc>
          <w:tcPr>
            <w:tcW w:w="1134" w:type="dxa"/>
            <w:vMerge w:val="restart"/>
            <w:vAlign w:val="center"/>
          </w:tcPr>
          <w:p w14:paraId="48415B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w:t>
            </w:r>
          </w:p>
        </w:tc>
        <w:tc>
          <w:tcPr>
            <w:tcW w:w="1276" w:type="dxa"/>
            <w:vAlign w:val="center"/>
          </w:tcPr>
          <w:p w14:paraId="0E6411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3012F8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溶解氧、水温、</w:t>
            </w:r>
            <w:r>
              <w:rPr>
                <w:rFonts w:hint="default" w:ascii="Times New Roman" w:hAnsi="Times New Roman" w:cs="Times New Roman"/>
                <w:color w:val="auto"/>
                <w:highlight w:val="none"/>
              </w:rPr>
              <w:t>氨氮、总磷、总氮、石油类、粪大肠菌群数</w:t>
            </w:r>
          </w:p>
        </w:tc>
      </w:tr>
      <w:tr w14:paraId="72FA1A2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26A5DCE9">
            <w:pPr>
              <w:pStyle w:val="46"/>
              <w:bidi w:val="0"/>
              <w:rPr>
                <w:rFonts w:hint="default" w:ascii="Times New Roman" w:hAnsi="Times New Roman" w:cs="Times New Roman"/>
                <w:color w:val="auto"/>
                <w:highlight w:val="none"/>
              </w:rPr>
            </w:pPr>
          </w:p>
        </w:tc>
        <w:tc>
          <w:tcPr>
            <w:tcW w:w="1134" w:type="dxa"/>
            <w:vMerge w:val="continue"/>
            <w:vAlign w:val="center"/>
          </w:tcPr>
          <w:p w14:paraId="4418A339">
            <w:pPr>
              <w:pStyle w:val="46"/>
              <w:bidi w:val="0"/>
              <w:rPr>
                <w:rFonts w:hint="default" w:ascii="Times New Roman" w:hAnsi="Times New Roman" w:cs="Times New Roman"/>
                <w:color w:val="auto"/>
                <w:highlight w:val="none"/>
              </w:rPr>
            </w:pPr>
          </w:p>
        </w:tc>
        <w:tc>
          <w:tcPr>
            <w:tcW w:w="1276" w:type="dxa"/>
            <w:vAlign w:val="center"/>
          </w:tcPr>
          <w:p w14:paraId="003A8D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tcPr>
          <w:p w14:paraId="615773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水污染控制和水环境影响减缓措施有效性评价</w:t>
            </w:r>
          </w:p>
        </w:tc>
      </w:tr>
      <w:tr w14:paraId="0ADEF1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7FC96E01">
            <w:pPr>
              <w:pStyle w:val="46"/>
              <w:bidi w:val="0"/>
              <w:rPr>
                <w:rFonts w:hint="default" w:ascii="Times New Roman" w:hAnsi="Times New Roman" w:cs="Times New Roman"/>
                <w:color w:val="auto"/>
                <w:highlight w:val="none"/>
              </w:rPr>
            </w:pPr>
          </w:p>
        </w:tc>
        <w:tc>
          <w:tcPr>
            <w:tcW w:w="1134" w:type="dxa"/>
            <w:vAlign w:val="center"/>
          </w:tcPr>
          <w:p w14:paraId="6D8E0C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276" w:type="dxa"/>
            <w:vAlign w:val="center"/>
          </w:tcPr>
          <w:p w14:paraId="7D8953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186236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；pH、氨氮、硝酸盐、亚硝酸盐、挥发性酚类、氰化物、砷、汞、铬（六价）、总硬度、铅、氟</w:t>
            </w:r>
            <w:r>
              <w:rPr>
                <w:rFonts w:hint="default" w:ascii="Times New Roman" w:hAnsi="Times New Roman" w:cs="Times New Roman"/>
                <w:color w:val="auto"/>
                <w:highlight w:val="none"/>
                <w:lang w:val="en-US" w:eastAsia="zh-CN"/>
              </w:rPr>
              <w:t>化物</w:t>
            </w:r>
            <w:r>
              <w:rPr>
                <w:rFonts w:hint="default" w:ascii="Times New Roman" w:hAnsi="Times New Roman" w:cs="Times New Roman"/>
                <w:color w:val="auto"/>
                <w:highlight w:val="none"/>
              </w:rPr>
              <w:t>、镉、铁、锰、溶解性总固体、高锰酸盐指数、硫酸盐、氯化物、总大肠菌群、细菌总数</w:t>
            </w:r>
          </w:p>
        </w:tc>
      </w:tr>
      <w:tr w14:paraId="1B8A76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25DB37D1">
            <w:pPr>
              <w:pStyle w:val="46"/>
              <w:bidi w:val="0"/>
              <w:rPr>
                <w:rFonts w:hint="default" w:ascii="Times New Roman" w:hAnsi="Times New Roman" w:cs="Times New Roman"/>
                <w:color w:val="auto"/>
                <w:highlight w:val="none"/>
              </w:rPr>
            </w:pPr>
          </w:p>
        </w:tc>
        <w:tc>
          <w:tcPr>
            <w:tcW w:w="1134" w:type="dxa"/>
            <w:vAlign w:val="center"/>
          </w:tcPr>
          <w:p w14:paraId="65F90C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276" w:type="dxa"/>
            <w:vAlign w:val="center"/>
          </w:tcPr>
          <w:p w14:paraId="1E62EC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Align w:val="center"/>
          </w:tcPr>
          <w:p w14:paraId="5409EB08">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砷</w:t>
            </w:r>
          </w:p>
        </w:tc>
      </w:tr>
      <w:tr w14:paraId="2F9358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823" w:type="dxa"/>
            <w:vMerge w:val="continue"/>
            <w:vAlign w:val="center"/>
          </w:tcPr>
          <w:p w14:paraId="29EF5D91">
            <w:pPr>
              <w:pStyle w:val="46"/>
              <w:bidi w:val="0"/>
              <w:rPr>
                <w:rFonts w:hint="default" w:ascii="Times New Roman" w:hAnsi="Times New Roman" w:cs="Times New Roman"/>
                <w:color w:val="auto"/>
                <w:highlight w:val="none"/>
              </w:rPr>
            </w:pPr>
          </w:p>
        </w:tc>
        <w:tc>
          <w:tcPr>
            <w:tcW w:w="1134" w:type="dxa"/>
            <w:vMerge w:val="restart"/>
            <w:vAlign w:val="center"/>
          </w:tcPr>
          <w:p w14:paraId="5EE54F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276" w:type="dxa"/>
            <w:vAlign w:val="center"/>
          </w:tcPr>
          <w:p w14:paraId="1E1C5B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40E86C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74C681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7" w:hRule="atLeast"/>
          <w:jc w:val="center"/>
        </w:trPr>
        <w:tc>
          <w:tcPr>
            <w:tcW w:w="823" w:type="dxa"/>
            <w:vMerge w:val="continue"/>
            <w:vAlign w:val="center"/>
          </w:tcPr>
          <w:p w14:paraId="42B513FC">
            <w:pPr>
              <w:pStyle w:val="46"/>
              <w:bidi w:val="0"/>
              <w:rPr>
                <w:rFonts w:hint="default" w:ascii="Times New Roman" w:hAnsi="Times New Roman" w:cs="Times New Roman"/>
                <w:color w:val="auto"/>
                <w:highlight w:val="none"/>
              </w:rPr>
            </w:pPr>
          </w:p>
        </w:tc>
        <w:tc>
          <w:tcPr>
            <w:tcW w:w="1134" w:type="dxa"/>
            <w:vMerge w:val="continue"/>
            <w:vAlign w:val="center"/>
          </w:tcPr>
          <w:p w14:paraId="37CC8D14">
            <w:pPr>
              <w:pStyle w:val="46"/>
              <w:bidi w:val="0"/>
              <w:rPr>
                <w:rFonts w:hint="default" w:ascii="Times New Roman" w:hAnsi="Times New Roman" w:cs="Times New Roman"/>
                <w:color w:val="auto"/>
                <w:highlight w:val="none"/>
              </w:rPr>
            </w:pPr>
          </w:p>
        </w:tc>
        <w:tc>
          <w:tcPr>
            <w:tcW w:w="1276" w:type="dxa"/>
            <w:vAlign w:val="center"/>
          </w:tcPr>
          <w:p w14:paraId="3D4D0C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017" w:type="dxa"/>
            <w:vAlign w:val="center"/>
          </w:tcPr>
          <w:p w14:paraId="4FEA90EC">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生活垃圾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建筑材料等</w:t>
            </w:r>
          </w:p>
        </w:tc>
      </w:tr>
      <w:tr w14:paraId="147369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7E51CF52">
            <w:pPr>
              <w:pStyle w:val="46"/>
              <w:bidi w:val="0"/>
              <w:rPr>
                <w:rFonts w:hint="default" w:ascii="Times New Roman" w:hAnsi="Times New Roman" w:cs="Times New Roman"/>
                <w:color w:val="auto"/>
                <w:highlight w:val="none"/>
              </w:rPr>
            </w:pPr>
          </w:p>
        </w:tc>
        <w:tc>
          <w:tcPr>
            <w:tcW w:w="1134" w:type="dxa"/>
            <w:vMerge w:val="restart"/>
            <w:vAlign w:val="center"/>
          </w:tcPr>
          <w:p w14:paraId="238B89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w:t>
            </w:r>
          </w:p>
        </w:tc>
        <w:tc>
          <w:tcPr>
            <w:tcW w:w="1276" w:type="dxa"/>
            <w:vAlign w:val="center"/>
          </w:tcPr>
          <w:p w14:paraId="3B3557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08753B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氯苯、1,2-二氯苯、1,4-二氯苯、乙苯、苯乙烯、硝基苯、苯胺、2-氯酚、苯并[a]蒽、苯并[a]芘、苯并[b]荧蒽、苯并[k]荧蒽、䓛（又名1，2-苯并菲）、二苯并[a,h]蒽、茚并[1,2,3-cd]芘、萘、苯、甲苯、间二甲苯+对二甲苯、邻二甲苯、pH</w:t>
            </w:r>
          </w:p>
        </w:tc>
      </w:tr>
      <w:tr w14:paraId="5A02C2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2A9C8FBD">
            <w:pPr>
              <w:pStyle w:val="46"/>
              <w:bidi w:val="0"/>
              <w:rPr>
                <w:rFonts w:hint="default" w:ascii="Times New Roman" w:hAnsi="Times New Roman" w:cs="Times New Roman"/>
                <w:color w:val="auto"/>
                <w:highlight w:val="none"/>
              </w:rPr>
            </w:pPr>
          </w:p>
        </w:tc>
        <w:tc>
          <w:tcPr>
            <w:tcW w:w="1134" w:type="dxa"/>
            <w:vMerge w:val="continue"/>
            <w:vAlign w:val="center"/>
          </w:tcPr>
          <w:p w14:paraId="5342FF6E">
            <w:pPr>
              <w:pStyle w:val="46"/>
              <w:bidi w:val="0"/>
              <w:rPr>
                <w:rFonts w:hint="default" w:ascii="Times New Roman" w:hAnsi="Times New Roman" w:cs="Times New Roman"/>
                <w:color w:val="auto"/>
                <w:highlight w:val="none"/>
              </w:rPr>
            </w:pPr>
          </w:p>
        </w:tc>
        <w:tc>
          <w:tcPr>
            <w:tcW w:w="1276" w:type="dxa"/>
            <w:vAlign w:val="center"/>
          </w:tcPr>
          <w:p w14:paraId="4C4DFA8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Align w:val="center"/>
          </w:tcPr>
          <w:p w14:paraId="6690BF2B">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r>
      <w:tr w14:paraId="2605627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6E57445">
            <w:pPr>
              <w:pStyle w:val="46"/>
              <w:bidi w:val="0"/>
              <w:rPr>
                <w:rFonts w:hint="default" w:ascii="Times New Roman" w:hAnsi="Times New Roman" w:cs="Times New Roman"/>
                <w:color w:val="auto"/>
                <w:highlight w:val="none"/>
              </w:rPr>
            </w:pPr>
            <w:bookmarkStart w:id="90" w:name="_Toc15991632"/>
          </w:p>
        </w:tc>
        <w:tc>
          <w:tcPr>
            <w:tcW w:w="1134" w:type="dxa"/>
            <w:vMerge w:val="restart"/>
            <w:vAlign w:val="center"/>
          </w:tcPr>
          <w:p w14:paraId="1BAA42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w:t>
            </w:r>
          </w:p>
        </w:tc>
        <w:tc>
          <w:tcPr>
            <w:tcW w:w="1276" w:type="dxa"/>
            <w:vAlign w:val="center"/>
          </w:tcPr>
          <w:p w14:paraId="6DC7D9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26F527D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78DFD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79EDAB3">
            <w:pPr>
              <w:pStyle w:val="46"/>
              <w:bidi w:val="0"/>
              <w:rPr>
                <w:rFonts w:hint="default" w:ascii="Times New Roman" w:hAnsi="Times New Roman" w:cs="Times New Roman"/>
                <w:color w:val="auto"/>
                <w:highlight w:val="none"/>
              </w:rPr>
            </w:pPr>
          </w:p>
        </w:tc>
        <w:tc>
          <w:tcPr>
            <w:tcW w:w="1134" w:type="dxa"/>
            <w:vMerge w:val="continue"/>
            <w:vAlign w:val="center"/>
          </w:tcPr>
          <w:p w14:paraId="6438E7B5">
            <w:pPr>
              <w:pStyle w:val="46"/>
              <w:bidi w:val="0"/>
              <w:rPr>
                <w:rFonts w:hint="default" w:ascii="Times New Roman" w:hAnsi="Times New Roman" w:cs="Times New Roman"/>
                <w:color w:val="auto"/>
                <w:highlight w:val="none"/>
              </w:rPr>
            </w:pPr>
          </w:p>
        </w:tc>
        <w:tc>
          <w:tcPr>
            <w:tcW w:w="1276" w:type="dxa"/>
            <w:vAlign w:val="center"/>
          </w:tcPr>
          <w:p w14:paraId="761DED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017" w:type="dxa"/>
            <w:vAlign w:val="center"/>
          </w:tcPr>
          <w:p w14:paraId="751C3E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淋溶水下渗</w:t>
            </w:r>
          </w:p>
        </w:tc>
      </w:tr>
    </w:tbl>
    <w:p w14:paraId="0A74C728">
      <w:pPr>
        <w:pStyle w:val="29"/>
        <w:bidi w:val="0"/>
        <w:rPr>
          <w:rFonts w:hint="default" w:ascii="Times New Roman" w:hAnsi="Times New Roman" w:cs="Times New Roman"/>
          <w:color w:val="auto"/>
          <w:highlight w:val="none"/>
          <w:lang w:val="zh-CN"/>
        </w:rPr>
      </w:pPr>
      <w:bookmarkStart w:id="91" w:name="_Toc119316791"/>
      <w:r>
        <w:rPr>
          <w:rFonts w:hint="default" w:ascii="Times New Roman" w:hAnsi="Times New Roman" w:cs="Times New Roman"/>
          <w:color w:val="auto"/>
          <w:highlight w:val="none"/>
          <w:lang w:val="zh-CN"/>
        </w:rPr>
        <w:t>表2-4-</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生态影响评价因子筛选</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
        <w:gridCol w:w="411"/>
        <w:gridCol w:w="629"/>
        <w:gridCol w:w="863"/>
        <w:gridCol w:w="1756"/>
        <w:gridCol w:w="1743"/>
        <w:gridCol w:w="1204"/>
        <w:gridCol w:w="10"/>
        <w:gridCol w:w="1054"/>
      </w:tblGrid>
      <w:tr w14:paraId="7F13E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tcBorders>
              <w:tl2br w:val="nil"/>
              <w:tr2bl w:val="nil"/>
            </w:tcBorders>
            <w:vAlign w:val="center"/>
          </w:tcPr>
          <w:p w14:paraId="3D08F4D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评价时段</w:t>
            </w:r>
          </w:p>
        </w:tc>
        <w:tc>
          <w:tcPr>
            <w:tcW w:w="241" w:type="pct"/>
            <w:tcBorders>
              <w:tl2br w:val="nil"/>
              <w:tr2bl w:val="nil"/>
            </w:tcBorders>
            <w:vAlign w:val="center"/>
          </w:tcPr>
          <w:p w14:paraId="1BA5B57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序号</w:t>
            </w:r>
          </w:p>
        </w:tc>
        <w:tc>
          <w:tcPr>
            <w:tcW w:w="875" w:type="pct"/>
            <w:gridSpan w:val="2"/>
            <w:tcBorders>
              <w:tl2br w:val="nil"/>
              <w:tr2bl w:val="nil"/>
            </w:tcBorders>
            <w:vAlign w:val="center"/>
          </w:tcPr>
          <w:p w14:paraId="3F30975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受影响对象</w:t>
            </w:r>
          </w:p>
        </w:tc>
        <w:tc>
          <w:tcPr>
            <w:tcW w:w="1030" w:type="pct"/>
            <w:tcBorders>
              <w:tl2br w:val="nil"/>
              <w:tr2bl w:val="nil"/>
            </w:tcBorders>
            <w:vAlign w:val="center"/>
          </w:tcPr>
          <w:p w14:paraId="462B968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评价因子</w:t>
            </w:r>
          </w:p>
        </w:tc>
        <w:tc>
          <w:tcPr>
            <w:tcW w:w="1022" w:type="pct"/>
            <w:tcBorders>
              <w:tl2br w:val="nil"/>
              <w:tr2bl w:val="nil"/>
            </w:tcBorders>
            <w:vAlign w:val="center"/>
          </w:tcPr>
          <w:p w14:paraId="113AF81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工程内容及影响方式</w:t>
            </w:r>
          </w:p>
        </w:tc>
        <w:tc>
          <w:tcPr>
            <w:tcW w:w="712" w:type="pct"/>
            <w:gridSpan w:val="2"/>
            <w:tcBorders>
              <w:tl2br w:val="nil"/>
              <w:tr2bl w:val="nil"/>
            </w:tcBorders>
            <w:vAlign w:val="center"/>
          </w:tcPr>
          <w:p w14:paraId="1E4D2B0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影响性质</w:t>
            </w:r>
          </w:p>
        </w:tc>
        <w:tc>
          <w:tcPr>
            <w:tcW w:w="618" w:type="pct"/>
            <w:tcBorders>
              <w:tl2br w:val="nil"/>
              <w:tr2bl w:val="nil"/>
            </w:tcBorders>
            <w:vAlign w:val="center"/>
          </w:tcPr>
          <w:p w14:paraId="11798C9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影响程度</w:t>
            </w:r>
          </w:p>
        </w:tc>
      </w:tr>
      <w:tr w14:paraId="33A38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99" w:type="pct"/>
            <w:vMerge w:val="restart"/>
            <w:tcBorders>
              <w:tl2br w:val="nil"/>
              <w:tr2bl w:val="nil"/>
            </w:tcBorders>
            <w:vAlign w:val="center"/>
          </w:tcPr>
          <w:p w14:paraId="3A4FBAB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w:t>
            </w:r>
          </w:p>
        </w:tc>
        <w:tc>
          <w:tcPr>
            <w:tcW w:w="241" w:type="pct"/>
            <w:tcBorders>
              <w:tl2br w:val="nil"/>
              <w:tr2bl w:val="nil"/>
            </w:tcBorders>
            <w:vAlign w:val="center"/>
          </w:tcPr>
          <w:p w14:paraId="1FBAFEF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369" w:type="pct"/>
            <w:vMerge w:val="restart"/>
            <w:tcBorders>
              <w:tl2br w:val="nil"/>
              <w:tr2bl w:val="nil"/>
            </w:tcBorders>
            <w:vAlign w:val="center"/>
          </w:tcPr>
          <w:p w14:paraId="63D4D0B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w:t>
            </w:r>
          </w:p>
        </w:tc>
        <w:tc>
          <w:tcPr>
            <w:tcW w:w="506" w:type="pct"/>
            <w:tcBorders>
              <w:tl2br w:val="nil"/>
              <w:tr2bl w:val="nil"/>
            </w:tcBorders>
            <w:vAlign w:val="center"/>
          </w:tcPr>
          <w:p w14:paraId="76585ED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野生植物</w:t>
            </w:r>
          </w:p>
        </w:tc>
        <w:tc>
          <w:tcPr>
            <w:tcW w:w="1030" w:type="pct"/>
            <w:tcBorders>
              <w:tl2br w:val="nil"/>
              <w:tr2bl w:val="nil"/>
            </w:tcBorders>
            <w:vAlign w:val="center"/>
          </w:tcPr>
          <w:p w14:paraId="373B2DD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w:t>
            </w:r>
          </w:p>
        </w:tc>
        <w:tc>
          <w:tcPr>
            <w:tcW w:w="1022" w:type="pct"/>
            <w:tcBorders>
              <w:tl2br w:val="nil"/>
              <w:tr2bl w:val="nil"/>
            </w:tcBorders>
            <w:vAlign w:val="center"/>
          </w:tcPr>
          <w:p w14:paraId="745A020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工程占地/直接影响</w:t>
            </w:r>
          </w:p>
        </w:tc>
        <w:tc>
          <w:tcPr>
            <w:tcW w:w="712" w:type="pct"/>
            <w:gridSpan w:val="2"/>
            <w:tcBorders>
              <w:tl2br w:val="nil"/>
              <w:tr2bl w:val="nil"/>
            </w:tcBorders>
            <w:vAlign w:val="center"/>
          </w:tcPr>
          <w:p w14:paraId="3C0D4CA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6542181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2B81D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9" w:type="pct"/>
            <w:vMerge w:val="continue"/>
            <w:tcBorders>
              <w:tl2br w:val="nil"/>
              <w:tr2bl w:val="nil"/>
            </w:tcBorders>
            <w:vAlign w:val="center"/>
          </w:tcPr>
          <w:p w14:paraId="23600375">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35716A6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369" w:type="pct"/>
            <w:vMerge w:val="continue"/>
            <w:tcBorders>
              <w:tl2br w:val="nil"/>
              <w:tr2bl w:val="nil"/>
            </w:tcBorders>
            <w:vAlign w:val="center"/>
          </w:tcPr>
          <w:p w14:paraId="5B0CF060">
            <w:pPr>
              <w:pStyle w:val="46"/>
              <w:bidi w:val="0"/>
              <w:jc w:val="center"/>
              <w:rPr>
                <w:rFonts w:hint="default" w:ascii="Times New Roman" w:hAnsi="Times New Roman" w:cs="Times New Roman"/>
                <w:color w:val="auto"/>
                <w:highlight w:val="none"/>
                <w:lang w:val="zh-CN"/>
              </w:rPr>
            </w:pPr>
          </w:p>
        </w:tc>
        <w:tc>
          <w:tcPr>
            <w:tcW w:w="506" w:type="pct"/>
            <w:tcBorders>
              <w:tl2br w:val="nil"/>
              <w:tr2bl w:val="nil"/>
            </w:tcBorders>
            <w:vAlign w:val="center"/>
          </w:tcPr>
          <w:p w14:paraId="1A6E7AB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野生动物</w:t>
            </w:r>
          </w:p>
        </w:tc>
        <w:tc>
          <w:tcPr>
            <w:tcW w:w="1030" w:type="pct"/>
            <w:tcBorders>
              <w:tl2br w:val="nil"/>
              <w:tr2bl w:val="nil"/>
            </w:tcBorders>
            <w:vAlign w:val="center"/>
          </w:tcPr>
          <w:p w14:paraId="1B6701F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分布范围、行为</w:t>
            </w:r>
          </w:p>
        </w:tc>
        <w:tc>
          <w:tcPr>
            <w:tcW w:w="1022" w:type="pct"/>
            <w:tcBorders>
              <w:tl2br w:val="nil"/>
              <w:tr2bl w:val="nil"/>
            </w:tcBorders>
            <w:vAlign w:val="center"/>
          </w:tcPr>
          <w:p w14:paraId="59C35D1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工程占地、施工活动/直接影响</w:t>
            </w:r>
          </w:p>
        </w:tc>
        <w:tc>
          <w:tcPr>
            <w:tcW w:w="712" w:type="pct"/>
            <w:gridSpan w:val="2"/>
            <w:tcBorders>
              <w:tl2br w:val="nil"/>
              <w:tr2bl w:val="nil"/>
            </w:tcBorders>
            <w:vAlign w:val="center"/>
          </w:tcPr>
          <w:p w14:paraId="36D7E91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1416031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6630F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9" w:type="pct"/>
            <w:vMerge w:val="continue"/>
            <w:tcBorders>
              <w:tl2br w:val="nil"/>
              <w:tr2bl w:val="nil"/>
            </w:tcBorders>
            <w:vAlign w:val="center"/>
          </w:tcPr>
          <w:p w14:paraId="302BB300">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177EE20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369" w:type="pct"/>
            <w:tcBorders>
              <w:tl2br w:val="nil"/>
              <w:tr2bl w:val="nil"/>
            </w:tcBorders>
            <w:vAlign w:val="center"/>
          </w:tcPr>
          <w:p w14:paraId="79B267B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w:t>
            </w:r>
          </w:p>
        </w:tc>
        <w:tc>
          <w:tcPr>
            <w:tcW w:w="1536" w:type="pct"/>
            <w:gridSpan w:val="2"/>
            <w:tcBorders>
              <w:tl2br w:val="nil"/>
              <w:tr2bl w:val="nil"/>
            </w:tcBorders>
            <w:vAlign w:val="center"/>
          </w:tcPr>
          <w:p w14:paraId="4C416EE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生境面积、质量、连通性等</w:t>
            </w:r>
          </w:p>
        </w:tc>
        <w:tc>
          <w:tcPr>
            <w:tcW w:w="1022" w:type="pct"/>
            <w:tcBorders>
              <w:tl2br w:val="nil"/>
              <w:tr2bl w:val="nil"/>
            </w:tcBorders>
            <w:vAlign w:val="center"/>
          </w:tcPr>
          <w:p w14:paraId="05499B1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工程占地、施工活动/直接影响</w:t>
            </w:r>
          </w:p>
        </w:tc>
        <w:tc>
          <w:tcPr>
            <w:tcW w:w="712" w:type="pct"/>
            <w:gridSpan w:val="2"/>
            <w:tcBorders>
              <w:tl2br w:val="nil"/>
              <w:tr2bl w:val="nil"/>
            </w:tcBorders>
            <w:vAlign w:val="center"/>
          </w:tcPr>
          <w:p w14:paraId="73D0B4F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28BC987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0D9D3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00D97E0E">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32C59D3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c>
          <w:tcPr>
            <w:tcW w:w="875" w:type="pct"/>
            <w:gridSpan w:val="2"/>
            <w:tcBorders>
              <w:tl2br w:val="nil"/>
              <w:tr2bl w:val="nil"/>
            </w:tcBorders>
            <w:vAlign w:val="center"/>
          </w:tcPr>
          <w:p w14:paraId="622C9D9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生态系统</w:t>
            </w:r>
          </w:p>
        </w:tc>
        <w:tc>
          <w:tcPr>
            <w:tcW w:w="1030" w:type="pct"/>
            <w:tcBorders>
              <w:tl2br w:val="nil"/>
              <w:tr2bl w:val="nil"/>
            </w:tcBorders>
            <w:vAlign w:val="center"/>
          </w:tcPr>
          <w:p w14:paraId="64A7B7E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植被覆盖度、生产力、生物量、生态系统功能等</w:t>
            </w:r>
          </w:p>
        </w:tc>
        <w:tc>
          <w:tcPr>
            <w:tcW w:w="1022" w:type="pct"/>
            <w:tcBorders>
              <w:tl2br w:val="nil"/>
              <w:tr2bl w:val="nil"/>
            </w:tcBorders>
            <w:vAlign w:val="center"/>
          </w:tcPr>
          <w:p w14:paraId="1147516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施工活动/直接影响</w:t>
            </w:r>
          </w:p>
        </w:tc>
        <w:tc>
          <w:tcPr>
            <w:tcW w:w="712" w:type="pct"/>
            <w:gridSpan w:val="2"/>
            <w:tcBorders>
              <w:tl2br w:val="nil"/>
              <w:tr2bl w:val="nil"/>
            </w:tcBorders>
            <w:vAlign w:val="center"/>
          </w:tcPr>
          <w:p w14:paraId="780A4AC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3DE4CD1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052AD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63B3181F">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68B1417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c>
          <w:tcPr>
            <w:tcW w:w="875" w:type="pct"/>
            <w:gridSpan w:val="2"/>
            <w:tcBorders>
              <w:tl2br w:val="nil"/>
              <w:tr2bl w:val="nil"/>
            </w:tcBorders>
            <w:vAlign w:val="center"/>
          </w:tcPr>
          <w:p w14:paraId="7328604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生物多样性</w:t>
            </w:r>
          </w:p>
        </w:tc>
        <w:tc>
          <w:tcPr>
            <w:tcW w:w="1030" w:type="pct"/>
            <w:tcBorders>
              <w:tl2br w:val="nil"/>
              <w:tr2bl w:val="nil"/>
            </w:tcBorders>
            <w:vAlign w:val="center"/>
          </w:tcPr>
          <w:p w14:paraId="6F02173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物种丰富度、生态系统多样性</w:t>
            </w:r>
          </w:p>
        </w:tc>
        <w:tc>
          <w:tcPr>
            <w:tcW w:w="1022" w:type="pct"/>
            <w:tcBorders>
              <w:tl2br w:val="nil"/>
              <w:tr2bl w:val="nil"/>
            </w:tcBorders>
            <w:vAlign w:val="center"/>
          </w:tcPr>
          <w:p w14:paraId="3E40DB2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施工活动/直接影响</w:t>
            </w:r>
          </w:p>
        </w:tc>
        <w:tc>
          <w:tcPr>
            <w:tcW w:w="712" w:type="pct"/>
            <w:gridSpan w:val="2"/>
            <w:tcBorders>
              <w:tl2br w:val="nil"/>
              <w:tr2bl w:val="nil"/>
            </w:tcBorders>
            <w:vAlign w:val="center"/>
          </w:tcPr>
          <w:p w14:paraId="5924B9C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70F86AE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70ACB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restart"/>
            <w:tcBorders>
              <w:tl2br w:val="nil"/>
              <w:tr2bl w:val="nil"/>
            </w:tcBorders>
            <w:vAlign w:val="center"/>
          </w:tcPr>
          <w:p w14:paraId="7D110A5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生态恢复期</w:t>
            </w:r>
          </w:p>
        </w:tc>
        <w:tc>
          <w:tcPr>
            <w:tcW w:w="241" w:type="pct"/>
            <w:tcBorders>
              <w:tl2br w:val="nil"/>
              <w:tr2bl w:val="nil"/>
            </w:tcBorders>
            <w:vAlign w:val="center"/>
          </w:tcPr>
          <w:p w14:paraId="11C7843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369" w:type="pct"/>
            <w:vMerge w:val="restart"/>
            <w:tcBorders>
              <w:tl2br w:val="nil"/>
              <w:tr2bl w:val="nil"/>
            </w:tcBorders>
            <w:vAlign w:val="center"/>
          </w:tcPr>
          <w:p w14:paraId="2E27807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w:t>
            </w:r>
          </w:p>
        </w:tc>
        <w:tc>
          <w:tcPr>
            <w:tcW w:w="506" w:type="pct"/>
            <w:tcBorders>
              <w:tl2br w:val="nil"/>
              <w:tr2bl w:val="nil"/>
            </w:tcBorders>
            <w:vAlign w:val="center"/>
          </w:tcPr>
          <w:p w14:paraId="3C77B98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野生植物</w:t>
            </w:r>
          </w:p>
        </w:tc>
        <w:tc>
          <w:tcPr>
            <w:tcW w:w="1030" w:type="pct"/>
            <w:tcBorders>
              <w:tl2br w:val="nil"/>
              <w:tr2bl w:val="nil"/>
            </w:tcBorders>
            <w:vAlign w:val="center"/>
          </w:tcPr>
          <w:p w14:paraId="5814821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w:t>
            </w:r>
          </w:p>
        </w:tc>
        <w:tc>
          <w:tcPr>
            <w:tcW w:w="1022" w:type="pct"/>
            <w:tcBorders>
              <w:tl2br w:val="nil"/>
              <w:tr2bl w:val="nil"/>
            </w:tcBorders>
            <w:vAlign w:val="center"/>
          </w:tcPr>
          <w:p w14:paraId="25D0CD8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生态恢复/间接影响</w:t>
            </w:r>
          </w:p>
        </w:tc>
        <w:tc>
          <w:tcPr>
            <w:tcW w:w="706" w:type="pct"/>
            <w:tcBorders>
              <w:tl2br w:val="nil"/>
              <w:tr2bl w:val="nil"/>
            </w:tcBorders>
            <w:vAlign w:val="center"/>
          </w:tcPr>
          <w:p w14:paraId="566AA8CF">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4" w:type="pct"/>
            <w:gridSpan w:val="2"/>
            <w:tcBorders>
              <w:tl2br w:val="nil"/>
              <w:tr2bl w:val="nil"/>
            </w:tcBorders>
            <w:vAlign w:val="center"/>
          </w:tcPr>
          <w:p w14:paraId="54DB007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30A96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2BFA8EA9">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463FC38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369" w:type="pct"/>
            <w:vMerge w:val="continue"/>
            <w:tcBorders>
              <w:tl2br w:val="nil"/>
              <w:tr2bl w:val="nil"/>
            </w:tcBorders>
            <w:vAlign w:val="center"/>
          </w:tcPr>
          <w:p w14:paraId="173D25F4">
            <w:pPr>
              <w:pStyle w:val="46"/>
              <w:bidi w:val="0"/>
              <w:jc w:val="center"/>
              <w:rPr>
                <w:rFonts w:hint="default" w:ascii="Times New Roman" w:hAnsi="Times New Roman" w:cs="Times New Roman"/>
                <w:color w:val="auto"/>
                <w:highlight w:val="none"/>
                <w:lang w:val="zh-CN"/>
              </w:rPr>
            </w:pPr>
          </w:p>
        </w:tc>
        <w:tc>
          <w:tcPr>
            <w:tcW w:w="506" w:type="pct"/>
            <w:tcBorders>
              <w:tl2br w:val="nil"/>
              <w:tr2bl w:val="nil"/>
            </w:tcBorders>
            <w:vAlign w:val="center"/>
          </w:tcPr>
          <w:p w14:paraId="1FE5CA8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野生动物</w:t>
            </w:r>
          </w:p>
        </w:tc>
        <w:tc>
          <w:tcPr>
            <w:tcW w:w="1030" w:type="pct"/>
            <w:tcBorders>
              <w:tl2br w:val="nil"/>
              <w:tr2bl w:val="nil"/>
            </w:tcBorders>
            <w:vAlign w:val="center"/>
          </w:tcPr>
          <w:p w14:paraId="4D982C9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分布范围、行为</w:t>
            </w:r>
          </w:p>
        </w:tc>
        <w:tc>
          <w:tcPr>
            <w:tcW w:w="1022" w:type="pct"/>
            <w:tcBorders>
              <w:tl2br w:val="nil"/>
              <w:tr2bl w:val="nil"/>
            </w:tcBorders>
            <w:vAlign w:val="center"/>
          </w:tcPr>
          <w:p w14:paraId="61F3342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生态恢复/间接影响</w:t>
            </w:r>
          </w:p>
        </w:tc>
        <w:tc>
          <w:tcPr>
            <w:tcW w:w="706" w:type="pct"/>
            <w:tcBorders>
              <w:tl2br w:val="nil"/>
              <w:tr2bl w:val="nil"/>
            </w:tcBorders>
            <w:vAlign w:val="center"/>
          </w:tcPr>
          <w:p w14:paraId="4A24CF2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4" w:type="pct"/>
            <w:gridSpan w:val="2"/>
            <w:tcBorders>
              <w:tl2br w:val="nil"/>
              <w:tr2bl w:val="nil"/>
            </w:tcBorders>
            <w:vAlign w:val="center"/>
          </w:tcPr>
          <w:p w14:paraId="012CD9B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46675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6E2EC459">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132F866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875" w:type="pct"/>
            <w:gridSpan w:val="2"/>
            <w:tcBorders>
              <w:tl2br w:val="nil"/>
              <w:tr2bl w:val="nil"/>
            </w:tcBorders>
            <w:vAlign w:val="center"/>
          </w:tcPr>
          <w:p w14:paraId="2142F2A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w:t>
            </w:r>
          </w:p>
        </w:tc>
        <w:tc>
          <w:tcPr>
            <w:tcW w:w="1030" w:type="pct"/>
            <w:tcBorders>
              <w:tl2br w:val="nil"/>
              <w:tr2bl w:val="nil"/>
            </w:tcBorders>
            <w:vAlign w:val="center"/>
          </w:tcPr>
          <w:p w14:paraId="2063F27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生境面积、质量、连通性等</w:t>
            </w:r>
          </w:p>
        </w:tc>
        <w:tc>
          <w:tcPr>
            <w:tcW w:w="1022" w:type="pct"/>
            <w:tcBorders>
              <w:tl2br w:val="nil"/>
              <w:tr2bl w:val="nil"/>
            </w:tcBorders>
            <w:vAlign w:val="center"/>
          </w:tcPr>
          <w:p w14:paraId="3558C9F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2A48FEAB">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4" w:type="pct"/>
            <w:gridSpan w:val="2"/>
            <w:tcBorders>
              <w:tl2br w:val="nil"/>
              <w:tr2bl w:val="nil"/>
            </w:tcBorders>
            <w:vAlign w:val="center"/>
          </w:tcPr>
          <w:p w14:paraId="4D5EBC3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3B23E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05BB347E">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79D9814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c>
          <w:tcPr>
            <w:tcW w:w="875" w:type="pct"/>
            <w:gridSpan w:val="2"/>
            <w:tcBorders>
              <w:tl2br w:val="nil"/>
              <w:tr2bl w:val="nil"/>
            </w:tcBorders>
            <w:vAlign w:val="center"/>
          </w:tcPr>
          <w:p w14:paraId="2840F01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生态系统</w:t>
            </w:r>
          </w:p>
        </w:tc>
        <w:tc>
          <w:tcPr>
            <w:tcW w:w="1030" w:type="pct"/>
            <w:tcBorders>
              <w:tl2br w:val="nil"/>
              <w:tr2bl w:val="nil"/>
            </w:tcBorders>
            <w:vAlign w:val="center"/>
          </w:tcPr>
          <w:p w14:paraId="5E47428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植被覆盖度、生产力、生物量、生态系统功能等</w:t>
            </w:r>
          </w:p>
        </w:tc>
        <w:tc>
          <w:tcPr>
            <w:tcW w:w="1022" w:type="pct"/>
            <w:tcBorders>
              <w:tl2br w:val="nil"/>
              <w:tr2bl w:val="nil"/>
            </w:tcBorders>
            <w:vAlign w:val="center"/>
          </w:tcPr>
          <w:p w14:paraId="6ECEFF6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16297A53">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64" w:type="dxa"/>
            <w:gridSpan w:val="2"/>
            <w:tcBorders>
              <w:tl2br w:val="nil"/>
              <w:tr2bl w:val="nil"/>
            </w:tcBorders>
            <w:vAlign w:val="center"/>
          </w:tcPr>
          <w:p w14:paraId="50467C85">
            <w:pPr>
              <w:pStyle w:val="46"/>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211B2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l2br w:val="nil"/>
              <w:tr2bl w:val="nil"/>
            </w:tcBorders>
            <w:vAlign w:val="center"/>
          </w:tcPr>
          <w:p w14:paraId="6B6BD339">
            <w:pPr>
              <w:pStyle w:val="46"/>
              <w:bidi w:val="0"/>
              <w:jc w:val="center"/>
              <w:rPr>
                <w:rFonts w:hint="default" w:ascii="Times New Roman" w:hAnsi="Times New Roman" w:cs="Times New Roman"/>
                <w:color w:val="auto"/>
                <w:highlight w:val="none"/>
                <w:lang w:val="zh-CN"/>
              </w:rPr>
            </w:pPr>
          </w:p>
        </w:tc>
        <w:tc>
          <w:tcPr>
            <w:tcW w:w="241" w:type="pct"/>
            <w:tcBorders>
              <w:tl2br w:val="nil"/>
              <w:tr2bl w:val="nil"/>
            </w:tcBorders>
            <w:vAlign w:val="center"/>
          </w:tcPr>
          <w:p w14:paraId="2293226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c>
          <w:tcPr>
            <w:tcW w:w="875" w:type="pct"/>
            <w:gridSpan w:val="2"/>
            <w:tcBorders>
              <w:tl2br w:val="nil"/>
              <w:tr2bl w:val="nil"/>
            </w:tcBorders>
            <w:vAlign w:val="center"/>
          </w:tcPr>
          <w:p w14:paraId="019B841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生物多样性</w:t>
            </w:r>
          </w:p>
        </w:tc>
        <w:tc>
          <w:tcPr>
            <w:tcW w:w="1030" w:type="pct"/>
            <w:tcBorders>
              <w:tl2br w:val="nil"/>
              <w:tr2bl w:val="nil"/>
            </w:tcBorders>
            <w:vAlign w:val="center"/>
          </w:tcPr>
          <w:p w14:paraId="4627227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物种丰富度、生态系统多样性</w:t>
            </w:r>
          </w:p>
        </w:tc>
        <w:tc>
          <w:tcPr>
            <w:tcW w:w="1022" w:type="pct"/>
            <w:tcBorders>
              <w:tl2br w:val="nil"/>
              <w:tr2bl w:val="nil"/>
            </w:tcBorders>
            <w:vAlign w:val="center"/>
          </w:tcPr>
          <w:p w14:paraId="6661632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4126B301">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64" w:type="dxa"/>
            <w:gridSpan w:val="2"/>
            <w:tcBorders>
              <w:tl2br w:val="nil"/>
              <w:tr2bl w:val="nil"/>
            </w:tcBorders>
            <w:vAlign w:val="center"/>
          </w:tcPr>
          <w:p w14:paraId="04ADF84C">
            <w:pPr>
              <w:pStyle w:val="46"/>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bl>
    <w:p w14:paraId="28D94876">
      <w:pPr>
        <w:pStyle w:val="43"/>
        <w:rPr>
          <w:rFonts w:hint="default" w:ascii="Times New Roman" w:hAnsi="Times New Roman" w:cs="Times New Roman"/>
          <w:color w:val="auto"/>
          <w:highlight w:val="none"/>
        </w:rPr>
      </w:pPr>
      <w:bookmarkStart w:id="92" w:name="_Toc18379"/>
      <w:bookmarkStart w:id="93" w:name="_Toc152926810"/>
      <w:bookmarkStart w:id="94" w:name="_Toc2785"/>
      <w:r>
        <w:rPr>
          <w:rFonts w:hint="default" w:ascii="Times New Roman" w:hAnsi="Times New Roman" w:cs="Times New Roman"/>
          <w:color w:val="auto"/>
          <w:highlight w:val="none"/>
        </w:rPr>
        <w:t>2.5评价标准</w:t>
      </w:r>
      <w:bookmarkEnd w:id="90"/>
      <w:bookmarkEnd w:id="91"/>
      <w:bookmarkEnd w:id="92"/>
      <w:bookmarkEnd w:id="93"/>
      <w:bookmarkEnd w:id="94"/>
    </w:p>
    <w:p w14:paraId="32BDA744">
      <w:pPr>
        <w:pStyle w:val="41"/>
        <w:rPr>
          <w:rFonts w:hint="default" w:ascii="Times New Roman" w:hAnsi="Times New Roman" w:cs="Times New Roman"/>
          <w:color w:val="auto"/>
          <w:highlight w:val="none"/>
        </w:rPr>
      </w:pPr>
      <w:bookmarkStart w:id="95" w:name="_Toc22918"/>
      <w:r>
        <w:rPr>
          <w:rFonts w:hint="default" w:ascii="Times New Roman" w:hAnsi="Times New Roman" w:cs="Times New Roman"/>
          <w:color w:val="auto"/>
          <w:highlight w:val="none"/>
        </w:rPr>
        <w:t>2.5.1环境质量标准</w:t>
      </w:r>
      <w:bookmarkEnd w:id="95"/>
    </w:p>
    <w:p w14:paraId="30C6B1B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环境空气</w:t>
      </w:r>
    </w:p>
    <w:p w14:paraId="519CCD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、TSP执行《环境空气质量标准》（GB3095-2012）及修改单中的二级标准。</w:t>
      </w:r>
    </w:p>
    <w:p w14:paraId="054064FA">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表2-5-1环境空气质量标准</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1868"/>
        <w:gridCol w:w="1287"/>
        <w:gridCol w:w="1081"/>
        <w:gridCol w:w="2618"/>
        <w:gridCol w:w="1104"/>
      </w:tblGrid>
      <w:tr w14:paraId="3E61A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12" w:space="0"/>
              <w:left w:val="nil"/>
              <w:bottom w:val="single" w:color="auto" w:sz="4" w:space="0"/>
              <w:right w:val="single" w:color="auto" w:sz="4" w:space="0"/>
            </w:tcBorders>
            <w:vAlign w:val="center"/>
          </w:tcPr>
          <w:p w14:paraId="126E8A5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35BEC67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1096" w:type="pct"/>
            <w:vMerge w:val="restart"/>
            <w:tcBorders>
              <w:top w:val="single" w:color="auto" w:sz="12" w:space="0"/>
              <w:left w:val="single" w:color="auto" w:sz="4" w:space="0"/>
              <w:bottom w:val="single" w:color="auto" w:sz="4" w:space="0"/>
              <w:right w:val="single" w:color="auto" w:sz="4" w:space="0"/>
            </w:tcBorders>
            <w:vAlign w:val="center"/>
          </w:tcPr>
          <w:p w14:paraId="72D06AF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755" w:type="pct"/>
            <w:vMerge w:val="restart"/>
            <w:tcBorders>
              <w:top w:val="single" w:color="auto" w:sz="12" w:space="0"/>
              <w:left w:val="single" w:color="auto" w:sz="4" w:space="0"/>
              <w:bottom w:val="single" w:color="auto" w:sz="4" w:space="0"/>
              <w:right w:val="single" w:color="auto" w:sz="4" w:space="0"/>
            </w:tcBorders>
            <w:vAlign w:val="center"/>
          </w:tcPr>
          <w:p w14:paraId="40A383B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2818" w:type="pct"/>
            <w:gridSpan w:val="3"/>
            <w:tcBorders>
              <w:top w:val="single" w:color="auto" w:sz="12" w:space="0"/>
              <w:left w:val="single" w:color="auto" w:sz="4" w:space="0"/>
              <w:bottom w:val="single" w:color="auto" w:sz="4" w:space="0"/>
              <w:right w:val="nil"/>
            </w:tcBorders>
            <w:vAlign w:val="center"/>
          </w:tcPr>
          <w:p w14:paraId="5C01713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4255F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4" w:space="0"/>
              <w:right w:val="single" w:color="auto" w:sz="4" w:space="0"/>
            </w:tcBorders>
            <w:vAlign w:val="center"/>
          </w:tcPr>
          <w:p w14:paraId="430A606D">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00220E78">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3591AF0B">
            <w:pPr>
              <w:pStyle w:val="46"/>
              <w:bidi w:val="0"/>
              <w:rPr>
                <w:rFonts w:hint="default" w:ascii="Times New Roman" w:hAnsi="Times New Roman" w:cs="Times New Roman"/>
                <w:color w:val="auto"/>
                <w:highlight w:val="none"/>
                <w:lang w:val="zh-CN"/>
              </w:rPr>
            </w:pPr>
          </w:p>
        </w:tc>
        <w:tc>
          <w:tcPr>
            <w:tcW w:w="634" w:type="pct"/>
            <w:tcBorders>
              <w:top w:val="single" w:color="auto" w:sz="4" w:space="0"/>
              <w:left w:val="single" w:color="auto" w:sz="4" w:space="0"/>
              <w:bottom w:val="single" w:color="auto" w:sz="4" w:space="0"/>
              <w:right w:val="single" w:color="auto" w:sz="4" w:space="0"/>
            </w:tcBorders>
            <w:vAlign w:val="center"/>
          </w:tcPr>
          <w:p w14:paraId="30F4FB3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2184" w:type="pct"/>
            <w:gridSpan w:val="2"/>
            <w:tcBorders>
              <w:top w:val="single" w:color="auto" w:sz="4" w:space="0"/>
              <w:left w:val="single" w:color="auto" w:sz="4" w:space="0"/>
              <w:bottom w:val="single" w:color="auto" w:sz="4" w:space="0"/>
              <w:right w:val="nil"/>
            </w:tcBorders>
            <w:vAlign w:val="center"/>
          </w:tcPr>
          <w:p w14:paraId="4157048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5D3CC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4" w:space="0"/>
              <w:left w:val="nil"/>
              <w:bottom w:val="single" w:color="auto" w:sz="12" w:space="0"/>
              <w:right w:val="single" w:color="auto" w:sz="4" w:space="0"/>
            </w:tcBorders>
            <w:vAlign w:val="center"/>
          </w:tcPr>
          <w:p w14:paraId="75F884E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w:t>
            </w:r>
          </w:p>
          <w:p w14:paraId="5A0FEF1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境</w:t>
            </w:r>
          </w:p>
          <w:p w14:paraId="3054C07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空</w:t>
            </w:r>
          </w:p>
          <w:p w14:paraId="3E677C8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气</w:t>
            </w:r>
          </w:p>
        </w:tc>
        <w:tc>
          <w:tcPr>
            <w:tcW w:w="1096" w:type="pct"/>
            <w:vMerge w:val="restart"/>
            <w:tcBorders>
              <w:top w:val="single" w:color="auto" w:sz="4" w:space="0"/>
              <w:left w:val="single" w:color="auto" w:sz="4" w:space="0"/>
              <w:bottom w:val="single" w:color="auto" w:sz="12" w:space="0"/>
              <w:right w:val="single" w:color="auto" w:sz="4" w:space="0"/>
            </w:tcBorders>
            <w:vAlign w:val="center"/>
          </w:tcPr>
          <w:p w14:paraId="232119D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《环境空气质量标准》（GB3095-2012）及修改单中二级标准</w:t>
            </w: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47E91BE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w:t>
            </w:r>
            <w:r>
              <w:rPr>
                <w:rFonts w:hint="default" w:ascii="Times New Roman" w:hAnsi="Times New Roman" w:cs="Times New Roman"/>
                <w:color w:val="auto"/>
                <w:highlight w:val="none"/>
                <w:vertAlign w:val="subscript"/>
                <w:lang w:val="zh-CN"/>
              </w:rPr>
              <w:t>10</w:t>
            </w:r>
          </w:p>
        </w:tc>
        <w:tc>
          <w:tcPr>
            <w:tcW w:w="634" w:type="pct"/>
            <w:vMerge w:val="restart"/>
            <w:tcBorders>
              <w:top w:val="single" w:color="auto" w:sz="4" w:space="0"/>
              <w:left w:val="single" w:color="auto" w:sz="4" w:space="0"/>
              <w:bottom w:val="single" w:color="auto" w:sz="4" w:space="0"/>
              <w:right w:val="single" w:color="auto" w:sz="4" w:space="0"/>
            </w:tcBorders>
            <w:vAlign w:val="center"/>
          </w:tcPr>
          <w:p w14:paraId="54E1569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μg/m</w:t>
            </w:r>
            <w:r>
              <w:rPr>
                <w:rFonts w:hint="default" w:ascii="Times New Roman" w:hAnsi="Times New Roman" w:cs="Times New Roman"/>
                <w:color w:val="auto"/>
                <w:highlight w:val="none"/>
                <w:vertAlign w:val="superscript"/>
                <w:lang w:val="zh-CN"/>
              </w:rPr>
              <w:t>3</w:t>
            </w:r>
          </w:p>
        </w:tc>
        <w:tc>
          <w:tcPr>
            <w:tcW w:w="1536" w:type="pct"/>
            <w:tcBorders>
              <w:top w:val="single" w:color="auto" w:sz="4" w:space="0"/>
              <w:left w:val="single" w:color="auto" w:sz="4" w:space="0"/>
              <w:bottom w:val="single" w:color="auto" w:sz="4" w:space="0"/>
              <w:right w:val="single" w:color="auto" w:sz="4" w:space="0"/>
            </w:tcBorders>
            <w:vAlign w:val="center"/>
          </w:tcPr>
          <w:p w14:paraId="63C3FCF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70CC008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150</w:t>
            </w:r>
          </w:p>
        </w:tc>
      </w:tr>
      <w:tr w14:paraId="4FCAB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0924FCD">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080C1F2D">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414C190">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B5289D7">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687EDB1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65A6EC7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70</w:t>
            </w:r>
          </w:p>
        </w:tc>
      </w:tr>
      <w:tr w14:paraId="0F183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2F6FB97B">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C2B6D8F">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59170AE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409EE72">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6C0D83E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5D89EB6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3D8BB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2F0D00AC">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20DF9F94">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DF9A31E">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CF39223">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73A133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29FF2DC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80</w:t>
            </w:r>
          </w:p>
        </w:tc>
      </w:tr>
      <w:tr w14:paraId="579CC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343C9ECF">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4A52FFD">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02EA6A6">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8BBE873">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BD15BD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49BC4B2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40</w:t>
            </w:r>
          </w:p>
        </w:tc>
      </w:tr>
      <w:tr w14:paraId="209DB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3479FAD2">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46981DD6">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54BD628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SO</w:t>
            </w:r>
            <w:r>
              <w:rPr>
                <w:rFonts w:hint="default" w:ascii="Times New Roman" w:hAnsi="Times New Roman" w:cs="Times New Roman"/>
                <w:color w:val="auto"/>
                <w:highlight w:val="none"/>
                <w:vertAlign w:val="subscript"/>
                <w:lang w:val="zh-CN"/>
              </w:rPr>
              <w:t>2</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07988F9">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5188673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78EC69A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500</w:t>
            </w:r>
          </w:p>
        </w:tc>
      </w:tr>
      <w:tr w14:paraId="4FB1B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5E171EC8">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804BEB7">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9154714">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0548084">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4D30EE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1FEFDB0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150</w:t>
            </w:r>
          </w:p>
        </w:tc>
      </w:tr>
      <w:tr w14:paraId="0E82E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6FE58977">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3D79171">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FF37598">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9F2FE05">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4A07C95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27C3683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60</w:t>
            </w:r>
          </w:p>
        </w:tc>
      </w:tr>
      <w:tr w14:paraId="051E4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4FB27D75">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0D83CAE6">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140B816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w:t>
            </w:r>
            <w:r>
              <w:rPr>
                <w:rFonts w:hint="default" w:ascii="Times New Roman" w:hAnsi="Times New Roman" w:cs="Times New Roman"/>
                <w:color w:val="auto"/>
                <w:highlight w:val="none"/>
                <w:vertAlign w:val="subscript"/>
                <w:lang w:val="zh-CN"/>
              </w:rPr>
              <w:t>2.5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870B1A0">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65B131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5EF8AD5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35</w:t>
            </w:r>
          </w:p>
        </w:tc>
      </w:tr>
      <w:tr w14:paraId="1A780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524E2E9">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2321F617">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8EA8421">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7DBD38A">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74EF7A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4B80779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75</w:t>
            </w:r>
          </w:p>
        </w:tc>
      </w:tr>
      <w:tr w14:paraId="647BA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8A778D3">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BD2F8AB">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079A6C9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O</w:t>
            </w:r>
            <w:r>
              <w:rPr>
                <w:rFonts w:hint="default" w:ascii="Times New Roman" w:hAnsi="Times New Roman" w:cs="Times New Roman"/>
                <w:color w:val="auto"/>
                <w:highlight w:val="none"/>
                <w:vertAlign w:val="subscript"/>
                <w:lang w:val="zh-CN"/>
              </w:rPr>
              <w:t>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A43FC93">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2D3D5D9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日最大8小时平均</w:t>
            </w:r>
          </w:p>
        </w:tc>
        <w:tc>
          <w:tcPr>
            <w:tcW w:w="648" w:type="pct"/>
            <w:tcBorders>
              <w:top w:val="single" w:color="auto" w:sz="4" w:space="0"/>
              <w:left w:val="single" w:color="auto" w:sz="4" w:space="0"/>
              <w:bottom w:val="single" w:color="auto" w:sz="4" w:space="0"/>
              <w:right w:val="nil"/>
            </w:tcBorders>
            <w:vAlign w:val="center"/>
          </w:tcPr>
          <w:p w14:paraId="263BF03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160</w:t>
            </w:r>
          </w:p>
        </w:tc>
      </w:tr>
      <w:tr w14:paraId="763F8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685536E">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73DE9C31">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E1B001B">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CDFF2D6">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2673CC3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436E36F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12595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ED8A629">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86B774B">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2DCC509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23C6A41">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2C4F85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4977C1F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18FB5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8C2E13F">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747E94E">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CE30BF">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D31004D">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0BE57FE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7E68E3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300</w:t>
            </w:r>
          </w:p>
        </w:tc>
      </w:tr>
      <w:tr w14:paraId="3DFDE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D68FEA1">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FFD5708">
            <w:pPr>
              <w:pStyle w:val="46"/>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12" w:space="0"/>
              <w:right w:val="single" w:color="auto" w:sz="4" w:space="0"/>
            </w:tcBorders>
            <w:vAlign w:val="center"/>
          </w:tcPr>
          <w:p w14:paraId="7500A12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634" w:type="pct"/>
            <w:vMerge w:val="restart"/>
            <w:tcBorders>
              <w:top w:val="single" w:color="auto" w:sz="4" w:space="0"/>
              <w:left w:val="single" w:color="auto" w:sz="4" w:space="0"/>
              <w:bottom w:val="single" w:color="auto" w:sz="12" w:space="0"/>
              <w:right w:val="single" w:color="auto" w:sz="4" w:space="0"/>
            </w:tcBorders>
            <w:vAlign w:val="center"/>
          </w:tcPr>
          <w:p w14:paraId="3433277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mg/m</w:t>
            </w:r>
            <w:r>
              <w:rPr>
                <w:rFonts w:hint="default" w:ascii="Times New Roman" w:hAnsi="Times New Roman" w:cs="Times New Roman"/>
                <w:color w:val="auto"/>
                <w:highlight w:val="none"/>
                <w:vertAlign w:val="superscript"/>
                <w:lang w:val="zh-CN"/>
              </w:rPr>
              <w:t>3</w:t>
            </w:r>
          </w:p>
        </w:tc>
        <w:tc>
          <w:tcPr>
            <w:tcW w:w="1536" w:type="pct"/>
            <w:tcBorders>
              <w:top w:val="single" w:color="auto" w:sz="4" w:space="0"/>
              <w:left w:val="single" w:color="auto" w:sz="4" w:space="0"/>
              <w:bottom w:val="single" w:color="auto" w:sz="4" w:space="0"/>
              <w:right w:val="single" w:color="auto" w:sz="4" w:space="0"/>
            </w:tcBorders>
            <w:vAlign w:val="center"/>
          </w:tcPr>
          <w:p w14:paraId="297CDE9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3674E83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r>
      <w:tr w14:paraId="02E5F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506B2578">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9893B0B">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0AAF5A7">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99EEDA6">
            <w:pPr>
              <w:pStyle w:val="46"/>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12" w:space="0"/>
              <w:right w:val="single" w:color="auto" w:sz="4" w:space="0"/>
            </w:tcBorders>
            <w:vAlign w:val="center"/>
          </w:tcPr>
          <w:p w14:paraId="010FB4F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12" w:space="0"/>
              <w:right w:val="nil"/>
            </w:tcBorders>
            <w:vAlign w:val="center"/>
          </w:tcPr>
          <w:p w14:paraId="529D983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bl>
    <w:p w14:paraId="4ACE0D1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地下水</w:t>
      </w:r>
    </w:p>
    <w:p w14:paraId="5DD8556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项目所在区域地下水为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类，执行《地下水质量标准》（GB/T14848-2017）中</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类标准。</w:t>
      </w:r>
    </w:p>
    <w:p w14:paraId="04F61D91">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表2-5-2地下水质量标准</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1632"/>
        <w:gridCol w:w="2651"/>
        <w:gridCol w:w="1858"/>
        <w:gridCol w:w="1276"/>
      </w:tblGrid>
      <w:tr w14:paraId="0ACFB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restart"/>
            <w:tcBorders>
              <w:tl2br w:val="nil"/>
              <w:tr2bl w:val="nil"/>
            </w:tcBorders>
            <w:vAlign w:val="center"/>
          </w:tcPr>
          <w:p w14:paraId="2E306E1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1D88651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957" w:type="pct"/>
            <w:vMerge w:val="restart"/>
            <w:tcBorders>
              <w:tl2br w:val="nil"/>
              <w:tr2bl w:val="nil"/>
            </w:tcBorders>
            <w:vAlign w:val="center"/>
          </w:tcPr>
          <w:p w14:paraId="76B8A54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1555" w:type="pct"/>
            <w:vMerge w:val="restart"/>
            <w:tcBorders>
              <w:tl2br w:val="nil"/>
              <w:tr2bl w:val="nil"/>
            </w:tcBorders>
            <w:vAlign w:val="center"/>
          </w:tcPr>
          <w:p w14:paraId="4EB2A15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1838" w:type="pct"/>
            <w:gridSpan w:val="2"/>
            <w:tcBorders>
              <w:tl2br w:val="nil"/>
              <w:tr2bl w:val="nil"/>
            </w:tcBorders>
            <w:vAlign w:val="center"/>
          </w:tcPr>
          <w:p w14:paraId="1160271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4DA8B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8B67F84">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1F73F5C3">
            <w:pPr>
              <w:pStyle w:val="46"/>
              <w:bidi w:val="0"/>
              <w:rPr>
                <w:rFonts w:hint="default" w:ascii="Times New Roman" w:hAnsi="Times New Roman" w:cs="Times New Roman"/>
                <w:color w:val="auto"/>
                <w:highlight w:val="none"/>
                <w:lang w:val="zh-CN"/>
              </w:rPr>
            </w:pPr>
          </w:p>
        </w:tc>
        <w:tc>
          <w:tcPr>
            <w:tcW w:w="1555" w:type="pct"/>
            <w:vMerge w:val="continue"/>
            <w:tcBorders>
              <w:tl2br w:val="nil"/>
              <w:tr2bl w:val="nil"/>
            </w:tcBorders>
            <w:vAlign w:val="center"/>
          </w:tcPr>
          <w:p w14:paraId="38D490CE">
            <w:pPr>
              <w:pStyle w:val="46"/>
              <w:bidi w:val="0"/>
              <w:rPr>
                <w:rFonts w:hint="default" w:ascii="Times New Roman" w:hAnsi="Times New Roman" w:cs="Times New Roman"/>
                <w:color w:val="auto"/>
                <w:highlight w:val="none"/>
                <w:lang w:val="zh-CN"/>
              </w:rPr>
            </w:pPr>
          </w:p>
        </w:tc>
        <w:tc>
          <w:tcPr>
            <w:tcW w:w="1090" w:type="pct"/>
            <w:tcBorders>
              <w:tl2br w:val="nil"/>
              <w:tr2bl w:val="nil"/>
            </w:tcBorders>
            <w:vAlign w:val="center"/>
          </w:tcPr>
          <w:p w14:paraId="57E73B6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748" w:type="pct"/>
            <w:tcBorders>
              <w:tl2br w:val="nil"/>
              <w:tr2bl w:val="nil"/>
            </w:tcBorders>
            <w:vAlign w:val="center"/>
          </w:tcPr>
          <w:p w14:paraId="6BD5068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0E8B6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restart"/>
            <w:tcBorders>
              <w:tl2br w:val="nil"/>
              <w:tr2bl w:val="nil"/>
            </w:tcBorders>
            <w:vAlign w:val="center"/>
          </w:tcPr>
          <w:p w14:paraId="745D865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w:t>
            </w:r>
          </w:p>
          <w:p w14:paraId="2823DC5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下</w:t>
            </w:r>
          </w:p>
          <w:p w14:paraId="354524B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水</w:t>
            </w:r>
          </w:p>
          <w:p w14:paraId="5A9A341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w:t>
            </w:r>
          </w:p>
          <w:p w14:paraId="67BFDC4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境</w:t>
            </w:r>
          </w:p>
        </w:tc>
        <w:tc>
          <w:tcPr>
            <w:tcW w:w="957" w:type="pct"/>
            <w:vMerge w:val="restart"/>
            <w:tcBorders>
              <w:tl2br w:val="nil"/>
              <w:tr2bl w:val="nil"/>
            </w:tcBorders>
            <w:vAlign w:val="center"/>
          </w:tcPr>
          <w:p w14:paraId="3942607D">
            <w:pPr>
              <w:pStyle w:val="46"/>
              <w:bidi w:val="0"/>
              <w:rPr>
                <w:rFonts w:hint="default" w:ascii="Times New Roman" w:hAnsi="Times New Roman" w:cs="Times New Roman"/>
                <w:color w:val="auto"/>
                <w:highlight w:val="none"/>
                <w:lang w:val="zh-CN"/>
              </w:rPr>
            </w:pPr>
            <w:bookmarkStart w:id="96" w:name="_Hlk73542284"/>
            <w:r>
              <w:rPr>
                <w:rFonts w:hint="default" w:ascii="Times New Roman" w:hAnsi="Times New Roman" w:cs="Times New Roman"/>
                <w:color w:val="auto"/>
                <w:highlight w:val="none"/>
                <w:lang w:val="zh-CN"/>
              </w:rPr>
              <w:t>《地下水质量标准》（GB/T14848-2017）中</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zh-CN"/>
              </w:rPr>
              <w:t>类标准</w:t>
            </w:r>
            <w:bookmarkEnd w:id="96"/>
          </w:p>
        </w:tc>
        <w:tc>
          <w:tcPr>
            <w:tcW w:w="1555" w:type="pct"/>
            <w:tcBorders>
              <w:tl2br w:val="nil"/>
              <w:tr2bl w:val="nil"/>
            </w:tcBorders>
            <w:vAlign w:val="center"/>
          </w:tcPr>
          <w:p w14:paraId="709C196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pH值</w:t>
            </w:r>
          </w:p>
        </w:tc>
        <w:tc>
          <w:tcPr>
            <w:tcW w:w="1090" w:type="pct"/>
            <w:tcBorders>
              <w:tl2br w:val="nil"/>
              <w:tr2bl w:val="nil"/>
            </w:tcBorders>
            <w:vAlign w:val="center"/>
          </w:tcPr>
          <w:p w14:paraId="66734F9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无量纲</w:t>
            </w:r>
          </w:p>
        </w:tc>
        <w:tc>
          <w:tcPr>
            <w:tcW w:w="748" w:type="pct"/>
            <w:tcBorders>
              <w:tl2br w:val="nil"/>
              <w:tr2bl w:val="nil"/>
            </w:tcBorders>
            <w:vAlign w:val="center"/>
          </w:tcPr>
          <w:p w14:paraId="423B2D5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6.5～8.5</w:t>
            </w:r>
          </w:p>
        </w:tc>
      </w:tr>
      <w:tr w14:paraId="7AB77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53BC70D">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C82D6D9">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307D74B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总硬度</w:t>
            </w:r>
          </w:p>
        </w:tc>
        <w:tc>
          <w:tcPr>
            <w:tcW w:w="1090" w:type="pct"/>
            <w:vMerge w:val="restart"/>
            <w:tcBorders>
              <w:tl2br w:val="nil"/>
              <w:tr2bl w:val="nil"/>
            </w:tcBorders>
            <w:vAlign w:val="center"/>
          </w:tcPr>
          <w:p w14:paraId="4069A41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mg/L</w:t>
            </w:r>
          </w:p>
        </w:tc>
        <w:tc>
          <w:tcPr>
            <w:tcW w:w="748" w:type="pct"/>
            <w:tcBorders>
              <w:tl2br w:val="nil"/>
              <w:tr2bl w:val="nil"/>
            </w:tcBorders>
            <w:vAlign w:val="center"/>
          </w:tcPr>
          <w:p w14:paraId="482EF50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≤450</w:t>
            </w:r>
          </w:p>
        </w:tc>
      </w:tr>
      <w:tr w14:paraId="40BC0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E806D1B">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94BD1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BF7AB2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铁</w:t>
            </w:r>
          </w:p>
        </w:tc>
        <w:tc>
          <w:tcPr>
            <w:tcW w:w="1090" w:type="pct"/>
            <w:vMerge w:val="continue"/>
            <w:tcBorders>
              <w:tl2br w:val="nil"/>
              <w:tr2bl w:val="nil"/>
            </w:tcBorders>
            <w:vAlign w:val="center"/>
          </w:tcPr>
          <w:p w14:paraId="7B5017FE">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1E55642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≤0.3</w:t>
            </w:r>
          </w:p>
        </w:tc>
      </w:tr>
      <w:tr w14:paraId="4AD86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00C7465">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18E615E">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4F3FE9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锰</w:t>
            </w:r>
          </w:p>
        </w:tc>
        <w:tc>
          <w:tcPr>
            <w:tcW w:w="1090" w:type="pct"/>
            <w:vMerge w:val="continue"/>
            <w:tcBorders>
              <w:tl2br w:val="nil"/>
              <w:tr2bl w:val="nil"/>
            </w:tcBorders>
            <w:vAlign w:val="center"/>
          </w:tcPr>
          <w:p w14:paraId="583C489C">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49849F5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≤0.1</w:t>
            </w:r>
          </w:p>
        </w:tc>
      </w:tr>
      <w:tr w14:paraId="4F6F6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0286DBF">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75BAE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E569BA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溶解性总固体</w:t>
            </w:r>
          </w:p>
        </w:tc>
        <w:tc>
          <w:tcPr>
            <w:tcW w:w="1090" w:type="pct"/>
            <w:vMerge w:val="continue"/>
            <w:tcBorders>
              <w:tl2br w:val="nil"/>
              <w:tr2bl w:val="nil"/>
            </w:tcBorders>
            <w:vAlign w:val="center"/>
          </w:tcPr>
          <w:p w14:paraId="19232057">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6B49093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≤1000</w:t>
            </w:r>
          </w:p>
        </w:tc>
      </w:tr>
      <w:tr w14:paraId="64154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248522E">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B4D859">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A23A9B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挥发酚类</w:t>
            </w:r>
          </w:p>
        </w:tc>
        <w:tc>
          <w:tcPr>
            <w:tcW w:w="1090" w:type="pct"/>
            <w:vMerge w:val="continue"/>
            <w:tcBorders>
              <w:tl2br w:val="nil"/>
              <w:tr2bl w:val="nil"/>
            </w:tcBorders>
            <w:vAlign w:val="center"/>
          </w:tcPr>
          <w:p w14:paraId="1C9C7F74">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F4280D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≤0.002</w:t>
            </w:r>
          </w:p>
        </w:tc>
      </w:tr>
      <w:tr w14:paraId="23E538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482B1D86">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1F34127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34CF53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耗氧量</w:t>
            </w:r>
          </w:p>
        </w:tc>
        <w:tc>
          <w:tcPr>
            <w:tcW w:w="1090" w:type="pct"/>
            <w:vMerge w:val="continue"/>
            <w:tcBorders>
              <w:tl2br w:val="nil"/>
              <w:tr2bl w:val="nil"/>
            </w:tcBorders>
            <w:vAlign w:val="center"/>
          </w:tcPr>
          <w:p w14:paraId="4A1F3B4A">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E067C2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w:t>
            </w:r>
          </w:p>
        </w:tc>
      </w:tr>
      <w:tr w14:paraId="5BA5A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EA819F7">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808C447">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33F2686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铅</w:t>
            </w:r>
          </w:p>
        </w:tc>
        <w:tc>
          <w:tcPr>
            <w:tcW w:w="1090" w:type="pct"/>
            <w:vMerge w:val="continue"/>
            <w:tcBorders>
              <w:tl2br w:val="nil"/>
              <w:tr2bl w:val="nil"/>
            </w:tcBorders>
            <w:vAlign w:val="center"/>
          </w:tcPr>
          <w:p w14:paraId="693FAF2B">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4909DDF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5B599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4A02C71C">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7B0360E">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8C8151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六价铬</w:t>
            </w:r>
          </w:p>
        </w:tc>
        <w:tc>
          <w:tcPr>
            <w:tcW w:w="1090" w:type="pct"/>
            <w:vMerge w:val="continue"/>
            <w:tcBorders>
              <w:tl2br w:val="nil"/>
              <w:tr2bl w:val="nil"/>
            </w:tcBorders>
            <w:vAlign w:val="center"/>
          </w:tcPr>
          <w:p w14:paraId="02F97A8A">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6B7D70C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3D3BD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05EEE96E">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37308DD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3877F8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镉</w:t>
            </w:r>
          </w:p>
        </w:tc>
        <w:tc>
          <w:tcPr>
            <w:tcW w:w="1090" w:type="pct"/>
            <w:vMerge w:val="continue"/>
            <w:tcBorders>
              <w:tl2br w:val="nil"/>
              <w:tr2bl w:val="nil"/>
            </w:tcBorders>
            <w:vAlign w:val="center"/>
          </w:tcPr>
          <w:p w14:paraId="42A0502B">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612363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≤0.01</w:t>
            </w:r>
          </w:p>
        </w:tc>
      </w:tr>
      <w:tr w14:paraId="69946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EAFE157">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E137223">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AEA8C2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砷</w:t>
            </w:r>
          </w:p>
        </w:tc>
        <w:tc>
          <w:tcPr>
            <w:tcW w:w="1090" w:type="pct"/>
            <w:vMerge w:val="continue"/>
            <w:tcBorders>
              <w:tl2br w:val="nil"/>
              <w:tr2bl w:val="nil"/>
            </w:tcBorders>
            <w:vAlign w:val="center"/>
          </w:tcPr>
          <w:p w14:paraId="6867D854">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51979F4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1BC1D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0611E519">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B3DE0BC">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505FE8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汞</w:t>
            </w:r>
          </w:p>
        </w:tc>
        <w:tc>
          <w:tcPr>
            <w:tcW w:w="1090" w:type="pct"/>
            <w:vMerge w:val="continue"/>
            <w:tcBorders>
              <w:tl2br w:val="nil"/>
              <w:tr2bl w:val="nil"/>
            </w:tcBorders>
            <w:vAlign w:val="center"/>
          </w:tcPr>
          <w:p w14:paraId="3117DECC">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273587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≤0.001</w:t>
            </w:r>
          </w:p>
        </w:tc>
      </w:tr>
      <w:tr w14:paraId="4C5B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E43A541">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0998CF9">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FDA517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硝酸盐</w:t>
            </w:r>
          </w:p>
        </w:tc>
        <w:tc>
          <w:tcPr>
            <w:tcW w:w="1090" w:type="pct"/>
            <w:vMerge w:val="continue"/>
            <w:tcBorders>
              <w:tl2br w:val="nil"/>
              <w:tr2bl w:val="nil"/>
            </w:tcBorders>
            <w:vAlign w:val="center"/>
          </w:tcPr>
          <w:p w14:paraId="2F840FD7">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2EEE0BF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w:t>
            </w:r>
          </w:p>
        </w:tc>
      </w:tr>
      <w:tr w14:paraId="6696F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AB6CC00">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06CFDB1F">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86050E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亚硝酸盐</w:t>
            </w:r>
          </w:p>
        </w:tc>
        <w:tc>
          <w:tcPr>
            <w:tcW w:w="1090" w:type="pct"/>
            <w:vMerge w:val="continue"/>
            <w:tcBorders>
              <w:tl2br w:val="nil"/>
              <w:tr2bl w:val="nil"/>
            </w:tcBorders>
            <w:vAlign w:val="center"/>
          </w:tcPr>
          <w:p w14:paraId="57E62BAA">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DC323A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≤0.02</w:t>
            </w:r>
          </w:p>
        </w:tc>
      </w:tr>
      <w:tr w14:paraId="2B6FF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597A58C8">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520EB9A2">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CF6244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氨氮</w:t>
            </w:r>
          </w:p>
        </w:tc>
        <w:tc>
          <w:tcPr>
            <w:tcW w:w="1090" w:type="pct"/>
            <w:vMerge w:val="continue"/>
            <w:tcBorders>
              <w:tl2br w:val="nil"/>
              <w:tr2bl w:val="nil"/>
            </w:tcBorders>
            <w:vAlign w:val="center"/>
          </w:tcPr>
          <w:p w14:paraId="6909A43C">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D96A56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≤0.5</w:t>
            </w:r>
          </w:p>
        </w:tc>
      </w:tr>
      <w:tr w14:paraId="361D2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339906A">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28B7184">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943B57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氟化物</w:t>
            </w:r>
          </w:p>
        </w:tc>
        <w:tc>
          <w:tcPr>
            <w:tcW w:w="1090" w:type="pct"/>
            <w:vMerge w:val="continue"/>
            <w:tcBorders>
              <w:tl2br w:val="nil"/>
              <w:tr2bl w:val="nil"/>
            </w:tcBorders>
            <w:vAlign w:val="center"/>
          </w:tcPr>
          <w:p w14:paraId="222DC9EB">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2386CAA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r w14:paraId="603F9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0AED508">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8953CD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2AC1059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氰化物</w:t>
            </w:r>
          </w:p>
        </w:tc>
        <w:tc>
          <w:tcPr>
            <w:tcW w:w="1090" w:type="pct"/>
            <w:vMerge w:val="continue"/>
            <w:tcBorders>
              <w:tl2br w:val="nil"/>
              <w:tr2bl w:val="nil"/>
            </w:tcBorders>
            <w:vAlign w:val="center"/>
          </w:tcPr>
          <w:p w14:paraId="703DEEE7">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1A97C34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392C8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225145A">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43811945">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63B031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氯化物</w:t>
            </w:r>
          </w:p>
        </w:tc>
        <w:tc>
          <w:tcPr>
            <w:tcW w:w="1090" w:type="pct"/>
            <w:vMerge w:val="continue"/>
            <w:tcBorders>
              <w:tl2br w:val="nil"/>
              <w:tr2bl w:val="nil"/>
            </w:tcBorders>
            <w:vAlign w:val="center"/>
          </w:tcPr>
          <w:p w14:paraId="6E88B1C5">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551BA05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≤250</w:t>
            </w:r>
          </w:p>
        </w:tc>
      </w:tr>
      <w:tr w14:paraId="45B9B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B28D7AE">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038E5C6F">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4392A0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硫酸盐</w:t>
            </w:r>
          </w:p>
        </w:tc>
        <w:tc>
          <w:tcPr>
            <w:tcW w:w="1090" w:type="pct"/>
            <w:vMerge w:val="continue"/>
            <w:tcBorders>
              <w:tl2br w:val="nil"/>
              <w:tr2bl w:val="nil"/>
            </w:tcBorders>
            <w:vAlign w:val="center"/>
          </w:tcPr>
          <w:p w14:paraId="2EBF8B80">
            <w:pPr>
              <w:pStyle w:val="46"/>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0859036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≤250</w:t>
            </w:r>
          </w:p>
        </w:tc>
      </w:tr>
      <w:tr w14:paraId="05007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97AAE6A">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520B3947">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FEA0AA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菌落总数</w:t>
            </w:r>
          </w:p>
        </w:tc>
        <w:tc>
          <w:tcPr>
            <w:tcW w:w="1090" w:type="pct"/>
            <w:tcBorders>
              <w:tl2br w:val="nil"/>
              <w:tr2bl w:val="nil"/>
            </w:tcBorders>
            <w:vAlign w:val="center"/>
          </w:tcPr>
          <w:p w14:paraId="1C9EF71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CFU/mL</w:t>
            </w:r>
          </w:p>
        </w:tc>
        <w:tc>
          <w:tcPr>
            <w:tcW w:w="748" w:type="pct"/>
            <w:tcBorders>
              <w:tl2br w:val="nil"/>
              <w:tr2bl w:val="nil"/>
            </w:tcBorders>
            <w:vAlign w:val="center"/>
          </w:tcPr>
          <w:p w14:paraId="1EA0438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≤100</w:t>
            </w:r>
          </w:p>
        </w:tc>
      </w:tr>
      <w:tr w14:paraId="3BA4E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1CE030D">
            <w:pPr>
              <w:pStyle w:val="46"/>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7BBEEC4">
            <w:pPr>
              <w:pStyle w:val="46"/>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3D5F0A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总大肠菌群</w:t>
            </w:r>
          </w:p>
        </w:tc>
        <w:tc>
          <w:tcPr>
            <w:tcW w:w="1090" w:type="pct"/>
            <w:tcBorders>
              <w:tl2br w:val="nil"/>
              <w:tr2bl w:val="nil"/>
            </w:tcBorders>
            <w:vAlign w:val="center"/>
          </w:tcPr>
          <w:p w14:paraId="7D98EB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MPN/100mL</w:t>
            </w:r>
            <w:r>
              <w:rPr>
                <w:rFonts w:hint="default" w:ascii="Times New Roman" w:hAnsi="Times New Roman" w:cs="Times New Roman"/>
                <w:color w:val="auto"/>
                <w:highlight w:val="none"/>
                <w:lang w:val="zh-CN"/>
              </w:rPr>
              <w:t>或</w:t>
            </w:r>
            <w:r>
              <w:rPr>
                <w:rFonts w:hint="default" w:ascii="Times New Roman" w:hAnsi="Times New Roman" w:cs="Times New Roman"/>
                <w:color w:val="auto"/>
                <w:highlight w:val="none"/>
              </w:rPr>
              <w:t>CFU/100mL</w:t>
            </w:r>
          </w:p>
        </w:tc>
        <w:tc>
          <w:tcPr>
            <w:tcW w:w="748" w:type="pct"/>
            <w:tcBorders>
              <w:tl2br w:val="nil"/>
              <w:tr2bl w:val="nil"/>
            </w:tcBorders>
            <w:vAlign w:val="center"/>
          </w:tcPr>
          <w:p w14:paraId="5E8245D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w:t>
            </w:r>
          </w:p>
        </w:tc>
      </w:tr>
    </w:tbl>
    <w:p w14:paraId="0F4912A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地表水</w:t>
      </w:r>
    </w:p>
    <w:p w14:paraId="1194C1F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附近地表水体为牤牛河，属于穆棱河水系。根据《全国重要江河湖泊水功能区划（2011—2030年）》规定，本项目区域穆棱河断面水质执行《地表水环境质量标准》（GB3838-2002）中Ⅲ类标准，本项目附近水体牤牛河（穆棱河一级支流）参照Ⅲ类功能水体，因此本工程地表水环境质量执行《地表水环境质量标准》（GB3838-2002）中Ⅲ类水体标准。</w:t>
      </w:r>
    </w:p>
    <w:p w14:paraId="77E90683">
      <w:pPr>
        <w:pStyle w:val="29"/>
        <w:bidi w:val="0"/>
        <w:rPr>
          <w:rFonts w:hint="default" w:ascii="Times New Roman" w:hAnsi="Times New Roman" w:cs="Times New Roman"/>
          <w:color w:val="auto"/>
          <w:highlight w:val="none"/>
          <w:lang w:val="zh-CN"/>
        </w:rPr>
      </w:pPr>
    </w:p>
    <w:p w14:paraId="6514F8D3">
      <w:pPr>
        <w:pStyle w:val="29"/>
        <w:bidi w:val="0"/>
        <w:rPr>
          <w:rFonts w:hint="default" w:ascii="Times New Roman" w:hAnsi="Times New Roman" w:cs="Times New Roman"/>
          <w:color w:val="auto"/>
          <w:highlight w:val="none"/>
          <w:lang w:val="zh-CN"/>
        </w:rPr>
      </w:pPr>
    </w:p>
    <w:p w14:paraId="61843B0E">
      <w:pPr>
        <w:rPr>
          <w:rFonts w:hint="default" w:ascii="Times New Roman" w:hAnsi="Times New Roman" w:cs="Times New Roman"/>
          <w:color w:val="auto"/>
          <w:highlight w:val="none"/>
          <w:lang w:val="zh-CN"/>
        </w:rPr>
      </w:pPr>
    </w:p>
    <w:p w14:paraId="3EF7D6AB">
      <w:pPr>
        <w:pStyle w:val="14"/>
        <w:rPr>
          <w:rFonts w:hint="default"/>
          <w:color w:val="auto"/>
          <w:highlight w:val="none"/>
          <w:lang w:val="zh-CN"/>
        </w:rPr>
      </w:pPr>
    </w:p>
    <w:p w14:paraId="19E2C645">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表2-5-3地表水质量标准</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173"/>
        <w:gridCol w:w="1171"/>
        <w:gridCol w:w="775"/>
        <w:gridCol w:w="4853"/>
      </w:tblGrid>
      <w:tr w14:paraId="3BF32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12" w:space="0"/>
              <w:left w:val="nil"/>
              <w:right w:val="single" w:color="auto" w:sz="4" w:space="0"/>
            </w:tcBorders>
            <w:vAlign w:val="center"/>
          </w:tcPr>
          <w:p w14:paraId="2BDCF30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5663133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0" w:type="auto"/>
            <w:vMerge w:val="restart"/>
            <w:tcBorders>
              <w:top w:val="single" w:color="auto" w:sz="12" w:space="0"/>
              <w:left w:val="single" w:color="auto" w:sz="4" w:space="0"/>
              <w:right w:val="single" w:color="auto" w:sz="4" w:space="0"/>
            </w:tcBorders>
            <w:vAlign w:val="center"/>
          </w:tcPr>
          <w:p w14:paraId="31E5F14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0" w:type="auto"/>
            <w:vMerge w:val="restart"/>
            <w:tcBorders>
              <w:top w:val="single" w:color="auto" w:sz="12" w:space="0"/>
              <w:left w:val="single" w:color="auto" w:sz="4" w:space="0"/>
              <w:bottom w:val="single" w:color="auto" w:sz="4" w:space="0"/>
              <w:right w:val="single" w:color="auto" w:sz="4" w:space="0"/>
            </w:tcBorders>
            <w:vAlign w:val="center"/>
          </w:tcPr>
          <w:p w14:paraId="5D64FD9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0" w:type="auto"/>
            <w:gridSpan w:val="2"/>
            <w:tcBorders>
              <w:top w:val="single" w:color="auto" w:sz="12" w:space="0"/>
              <w:left w:val="single" w:color="auto" w:sz="4" w:space="0"/>
              <w:bottom w:val="single" w:color="auto" w:sz="4" w:space="0"/>
              <w:right w:val="nil"/>
            </w:tcBorders>
            <w:vAlign w:val="center"/>
          </w:tcPr>
          <w:p w14:paraId="06606AF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5566B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7986F8A0">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49FD1CE4">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0E4A3FF5">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184476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0" w:type="auto"/>
            <w:tcBorders>
              <w:top w:val="single" w:color="auto" w:sz="4" w:space="0"/>
              <w:left w:val="single" w:color="auto" w:sz="4" w:space="0"/>
              <w:bottom w:val="single" w:color="auto" w:sz="4" w:space="0"/>
              <w:right w:val="nil"/>
            </w:tcBorders>
            <w:vAlign w:val="center"/>
          </w:tcPr>
          <w:p w14:paraId="5AB463D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72FD9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5F867694">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447FE83A">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79FCD8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0" w:type="auto"/>
            <w:tcBorders>
              <w:top w:val="single" w:color="auto" w:sz="4" w:space="0"/>
              <w:left w:val="single" w:color="auto" w:sz="4" w:space="0"/>
              <w:bottom w:val="single" w:color="auto" w:sz="4" w:space="0"/>
              <w:right w:val="single" w:color="auto" w:sz="4" w:space="0"/>
            </w:tcBorders>
            <w:vAlign w:val="center"/>
          </w:tcPr>
          <w:p w14:paraId="7408BCB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0" w:type="auto"/>
            <w:tcBorders>
              <w:top w:val="single" w:color="auto" w:sz="4" w:space="0"/>
              <w:left w:val="single" w:color="auto" w:sz="4" w:space="0"/>
              <w:bottom w:val="single" w:color="auto" w:sz="4" w:space="0"/>
              <w:right w:val="nil"/>
            </w:tcBorders>
            <w:vAlign w:val="center"/>
          </w:tcPr>
          <w:p w14:paraId="0E3DC6B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人为造成的环境水温变化应限制在：周平均最大温升≤1℃，周平均最大温降≤2℃</w:t>
            </w:r>
          </w:p>
        </w:tc>
      </w:tr>
      <w:tr w14:paraId="616E3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04B95F1A">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568213D4">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73F8C5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w:t>
            </w:r>
          </w:p>
        </w:tc>
        <w:tc>
          <w:tcPr>
            <w:tcW w:w="0" w:type="auto"/>
            <w:tcBorders>
              <w:top w:val="single" w:color="auto" w:sz="4" w:space="0"/>
              <w:left w:val="single" w:color="auto" w:sz="4" w:space="0"/>
              <w:bottom w:val="single" w:color="auto" w:sz="4" w:space="0"/>
              <w:right w:val="single" w:color="auto" w:sz="4" w:space="0"/>
            </w:tcBorders>
            <w:vAlign w:val="center"/>
          </w:tcPr>
          <w:p w14:paraId="3BF908F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无量纲</w:t>
            </w:r>
          </w:p>
        </w:tc>
        <w:tc>
          <w:tcPr>
            <w:tcW w:w="0" w:type="auto"/>
            <w:tcBorders>
              <w:top w:val="single" w:color="auto" w:sz="4" w:space="0"/>
              <w:left w:val="single" w:color="auto" w:sz="4" w:space="0"/>
              <w:bottom w:val="single" w:color="auto" w:sz="4" w:space="0"/>
              <w:right w:val="nil"/>
            </w:tcBorders>
            <w:vAlign w:val="center"/>
          </w:tcPr>
          <w:p w14:paraId="5BDA514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6~9</w:t>
            </w:r>
          </w:p>
        </w:tc>
      </w:tr>
      <w:tr w14:paraId="16F83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5B94E498">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7A12719C">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309D581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溶解氧</w:t>
            </w:r>
          </w:p>
        </w:tc>
        <w:tc>
          <w:tcPr>
            <w:tcW w:w="0" w:type="auto"/>
            <w:vMerge w:val="restart"/>
            <w:tcBorders>
              <w:top w:val="single" w:color="auto" w:sz="4" w:space="0"/>
              <w:left w:val="single" w:color="auto" w:sz="4" w:space="0"/>
              <w:right w:val="single" w:color="auto" w:sz="4" w:space="0"/>
            </w:tcBorders>
            <w:vAlign w:val="center"/>
          </w:tcPr>
          <w:p w14:paraId="1F4881A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mg/L</w:t>
            </w:r>
          </w:p>
        </w:tc>
        <w:tc>
          <w:tcPr>
            <w:tcW w:w="0" w:type="auto"/>
            <w:tcBorders>
              <w:top w:val="single" w:color="auto" w:sz="4" w:space="0"/>
              <w:left w:val="single" w:color="auto" w:sz="4" w:space="0"/>
              <w:bottom w:val="single" w:color="auto" w:sz="4" w:space="0"/>
              <w:right w:val="nil"/>
            </w:tcBorders>
            <w:vAlign w:val="center"/>
          </w:tcPr>
          <w:p w14:paraId="3BA3D39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r>
      <w:tr w14:paraId="7DA0E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0BDA9B24">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5C7E6EAC">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796897F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COD</w:t>
            </w:r>
          </w:p>
        </w:tc>
        <w:tc>
          <w:tcPr>
            <w:tcW w:w="0" w:type="auto"/>
            <w:vMerge w:val="continue"/>
            <w:tcBorders>
              <w:left w:val="single" w:color="auto" w:sz="4" w:space="0"/>
              <w:right w:val="single" w:color="auto" w:sz="4" w:space="0"/>
            </w:tcBorders>
            <w:vAlign w:val="center"/>
          </w:tcPr>
          <w:p w14:paraId="3C9AFCFB">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20E7F4A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w:t>
            </w:r>
          </w:p>
        </w:tc>
      </w:tr>
      <w:tr w14:paraId="59C66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20E4EF94">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09C7D3DD">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217899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BOD</w:t>
            </w:r>
            <w:r>
              <w:rPr>
                <w:rFonts w:hint="default" w:ascii="Times New Roman" w:hAnsi="Times New Roman" w:cs="Times New Roman"/>
                <w:color w:val="auto"/>
                <w:highlight w:val="none"/>
                <w:vertAlign w:val="subscript"/>
                <w:lang w:val="zh-CN"/>
              </w:rPr>
              <w:t>5</w:t>
            </w:r>
          </w:p>
        </w:tc>
        <w:tc>
          <w:tcPr>
            <w:tcW w:w="0" w:type="auto"/>
            <w:vMerge w:val="continue"/>
            <w:tcBorders>
              <w:left w:val="single" w:color="auto" w:sz="4" w:space="0"/>
              <w:right w:val="single" w:color="auto" w:sz="4" w:space="0"/>
            </w:tcBorders>
            <w:vAlign w:val="center"/>
          </w:tcPr>
          <w:p w14:paraId="6C076569">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72CA666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r>
      <w:tr w14:paraId="23A78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2C5764BD">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2FC07722">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05A7305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氨氮</w:t>
            </w:r>
          </w:p>
        </w:tc>
        <w:tc>
          <w:tcPr>
            <w:tcW w:w="0" w:type="auto"/>
            <w:vMerge w:val="continue"/>
            <w:tcBorders>
              <w:left w:val="single" w:color="auto" w:sz="4" w:space="0"/>
              <w:right w:val="single" w:color="auto" w:sz="4" w:space="0"/>
            </w:tcBorders>
            <w:vAlign w:val="center"/>
          </w:tcPr>
          <w:p w14:paraId="79F63D0A">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769094C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r w14:paraId="1E92A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6E052025">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55AF0B33">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374D82C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总磷</w:t>
            </w:r>
          </w:p>
        </w:tc>
        <w:tc>
          <w:tcPr>
            <w:tcW w:w="0" w:type="auto"/>
            <w:vMerge w:val="continue"/>
            <w:tcBorders>
              <w:left w:val="single" w:color="auto" w:sz="4" w:space="0"/>
              <w:right w:val="single" w:color="auto" w:sz="4" w:space="0"/>
            </w:tcBorders>
            <w:vAlign w:val="center"/>
          </w:tcPr>
          <w:p w14:paraId="339E4783">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5A2A29C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≤0.2</w:t>
            </w:r>
          </w:p>
        </w:tc>
      </w:tr>
      <w:tr w14:paraId="25587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7C050D01">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68D0DE4A">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2FECB1B3">
            <w:pPr>
              <w:pStyle w:val="46"/>
              <w:bidi w:val="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en-US" w:eastAsia="zh-CN"/>
              </w:rPr>
              <w:t>总氮</w:t>
            </w:r>
          </w:p>
        </w:tc>
        <w:tc>
          <w:tcPr>
            <w:tcW w:w="0" w:type="auto"/>
            <w:vMerge w:val="continue"/>
            <w:tcBorders>
              <w:left w:val="single" w:color="auto" w:sz="4" w:space="0"/>
              <w:right w:val="single" w:color="auto" w:sz="4" w:space="0"/>
            </w:tcBorders>
            <w:vAlign w:val="center"/>
          </w:tcPr>
          <w:p w14:paraId="2669DA53">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45E961C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r w14:paraId="5047B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right w:val="single" w:color="auto" w:sz="4" w:space="0"/>
            </w:tcBorders>
            <w:vAlign w:val="center"/>
          </w:tcPr>
          <w:p w14:paraId="31724DE0">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right w:val="single" w:color="auto" w:sz="4" w:space="0"/>
            </w:tcBorders>
            <w:vAlign w:val="center"/>
          </w:tcPr>
          <w:p w14:paraId="11D7AC3D">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09A3FA30">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石油类</w:t>
            </w:r>
          </w:p>
        </w:tc>
        <w:tc>
          <w:tcPr>
            <w:tcW w:w="0" w:type="auto"/>
            <w:vMerge w:val="continue"/>
            <w:tcBorders>
              <w:left w:val="single" w:color="auto" w:sz="4" w:space="0"/>
              <w:right w:val="single" w:color="auto" w:sz="4" w:space="0"/>
            </w:tcBorders>
            <w:vAlign w:val="center"/>
          </w:tcPr>
          <w:p w14:paraId="06A8A50B">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4BD755F9">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0.05</w:t>
            </w:r>
          </w:p>
        </w:tc>
      </w:tr>
      <w:tr w14:paraId="4D772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left w:val="nil"/>
              <w:bottom w:val="single" w:color="auto" w:sz="12" w:space="0"/>
              <w:right w:val="single" w:color="auto" w:sz="4" w:space="0"/>
            </w:tcBorders>
            <w:vAlign w:val="center"/>
          </w:tcPr>
          <w:p w14:paraId="55A170A6">
            <w:pPr>
              <w:pStyle w:val="46"/>
              <w:bidi w:val="0"/>
              <w:rPr>
                <w:rFonts w:hint="default" w:ascii="Times New Roman" w:hAnsi="Times New Roman" w:cs="Times New Roman"/>
                <w:color w:val="auto"/>
                <w:highlight w:val="none"/>
                <w:lang w:val="zh-CN"/>
              </w:rPr>
            </w:pPr>
          </w:p>
        </w:tc>
        <w:tc>
          <w:tcPr>
            <w:tcW w:w="0" w:type="auto"/>
            <w:vMerge w:val="continue"/>
            <w:tcBorders>
              <w:left w:val="single" w:color="auto" w:sz="4" w:space="0"/>
              <w:bottom w:val="single" w:color="auto" w:sz="12" w:space="0"/>
              <w:right w:val="single" w:color="auto" w:sz="4" w:space="0"/>
            </w:tcBorders>
            <w:vAlign w:val="center"/>
          </w:tcPr>
          <w:p w14:paraId="3DC5326A">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12" w:space="0"/>
              <w:right w:val="single" w:color="auto" w:sz="4" w:space="0"/>
            </w:tcBorders>
            <w:vAlign w:val="center"/>
          </w:tcPr>
          <w:p w14:paraId="54156888">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粪大肠菌群数</w:t>
            </w:r>
          </w:p>
        </w:tc>
        <w:tc>
          <w:tcPr>
            <w:tcW w:w="0" w:type="auto"/>
            <w:vMerge w:val="continue"/>
            <w:tcBorders>
              <w:left w:val="single" w:color="auto" w:sz="4" w:space="0"/>
              <w:bottom w:val="single" w:color="auto" w:sz="12" w:space="0"/>
              <w:right w:val="single" w:color="auto" w:sz="4" w:space="0"/>
            </w:tcBorders>
            <w:vAlign w:val="center"/>
          </w:tcPr>
          <w:p w14:paraId="2DDED9CE">
            <w:pPr>
              <w:pStyle w:val="46"/>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12" w:space="0"/>
              <w:right w:val="nil"/>
            </w:tcBorders>
            <w:vAlign w:val="center"/>
          </w:tcPr>
          <w:p w14:paraId="24431860">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10000</w:t>
            </w:r>
          </w:p>
        </w:tc>
      </w:tr>
    </w:tbl>
    <w:p w14:paraId="4EEEA79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声环境</w:t>
      </w:r>
    </w:p>
    <w:p w14:paraId="349F7098">
      <w:pPr>
        <w:pStyle w:val="2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鸡西市中心城市声环境功能区划分细化调整方案》，本项目不在声环境功能区划范围内，按照声环境功能区划分技术规范》(GB/T15190-2014)，项目区声环境功能区按照1类功能区执行，运输道路两侧敏感点农村执行《声环境质量标准》（GB3096-2008）中的1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城镇执行2类标准</w:t>
      </w:r>
      <w:r>
        <w:rPr>
          <w:rFonts w:hint="default" w:ascii="Times New Roman" w:hAnsi="Times New Roman" w:cs="Times New Roman"/>
          <w:color w:val="auto"/>
          <w:highlight w:val="none"/>
          <w:lang w:eastAsia="zh-CN"/>
        </w:rPr>
        <w:t>。</w:t>
      </w:r>
    </w:p>
    <w:p w14:paraId="63AF47EA">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表2-5-4声环境质量标准</w:t>
      </w:r>
    </w:p>
    <w:tbl>
      <w:tblPr>
        <w:tblStyle w:val="24"/>
        <w:tblW w:w="52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9"/>
        <w:gridCol w:w="2898"/>
        <w:gridCol w:w="4053"/>
      </w:tblGrid>
      <w:tr w14:paraId="30EC5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vMerge w:val="restart"/>
            <w:tcBorders>
              <w:tl2br w:val="nil"/>
              <w:tr2bl w:val="nil"/>
            </w:tcBorders>
            <w:vAlign w:val="center"/>
          </w:tcPr>
          <w:p w14:paraId="5666CDE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类别</w:t>
            </w:r>
          </w:p>
        </w:tc>
        <w:tc>
          <w:tcPr>
            <w:tcW w:w="3917" w:type="pct"/>
            <w:gridSpan w:val="2"/>
            <w:tcBorders>
              <w:tl2br w:val="nil"/>
              <w:tr2bl w:val="nil"/>
            </w:tcBorders>
            <w:vAlign w:val="center"/>
          </w:tcPr>
          <w:p w14:paraId="40F5CDF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标准限值dB（A）</w:t>
            </w:r>
          </w:p>
        </w:tc>
      </w:tr>
      <w:tr w14:paraId="4A5D0C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continue"/>
            <w:tcBorders>
              <w:tl2br w:val="nil"/>
              <w:tr2bl w:val="nil"/>
            </w:tcBorders>
            <w:vAlign w:val="center"/>
          </w:tcPr>
          <w:p w14:paraId="74CBE1EC">
            <w:pPr>
              <w:pStyle w:val="46"/>
              <w:bidi w:val="0"/>
              <w:rPr>
                <w:rFonts w:hint="default" w:ascii="Times New Roman" w:hAnsi="Times New Roman" w:cs="Times New Roman"/>
                <w:color w:val="auto"/>
                <w:highlight w:val="none"/>
                <w:lang w:val="zh-CN"/>
              </w:rPr>
            </w:pPr>
          </w:p>
        </w:tc>
        <w:tc>
          <w:tcPr>
            <w:tcW w:w="1633" w:type="pct"/>
            <w:tcBorders>
              <w:tl2br w:val="nil"/>
              <w:tr2bl w:val="nil"/>
            </w:tcBorders>
            <w:vAlign w:val="center"/>
          </w:tcPr>
          <w:p w14:paraId="4CA7214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昼间</w:t>
            </w:r>
          </w:p>
        </w:tc>
        <w:tc>
          <w:tcPr>
            <w:tcW w:w="2283" w:type="pct"/>
            <w:tcBorders>
              <w:tl2br w:val="nil"/>
              <w:tr2bl w:val="nil"/>
            </w:tcBorders>
            <w:vAlign w:val="center"/>
          </w:tcPr>
          <w:p w14:paraId="42B58FD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夜间</w:t>
            </w:r>
          </w:p>
        </w:tc>
      </w:tr>
      <w:tr w14:paraId="0A9B7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Borders>
              <w:tl2br w:val="nil"/>
              <w:tr2bl w:val="nil"/>
            </w:tcBorders>
            <w:vAlign w:val="center"/>
          </w:tcPr>
          <w:p w14:paraId="6EA2E38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1类</w:t>
            </w:r>
          </w:p>
        </w:tc>
        <w:tc>
          <w:tcPr>
            <w:tcW w:w="1633" w:type="pct"/>
            <w:tcBorders>
              <w:tl2br w:val="nil"/>
              <w:tr2bl w:val="nil"/>
            </w:tcBorders>
            <w:vAlign w:val="center"/>
          </w:tcPr>
          <w:p w14:paraId="79FF5EF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55</w:t>
            </w:r>
          </w:p>
        </w:tc>
        <w:tc>
          <w:tcPr>
            <w:tcW w:w="2283" w:type="pct"/>
            <w:tcBorders>
              <w:tl2br w:val="nil"/>
              <w:tr2bl w:val="nil"/>
            </w:tcBorders>
            <w:vAlign w:val="center"/>
          </w:tcPr>
          <w:p w14:paraId="54EC5C3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45</w:t>
            </w:r>
          </w:p>
        </w:tc>
      </w:tr>
      <w:tr w14:paraId="240C0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Borders>
              <w:tl2br w:val="nil"/>
              <w:tr2bl w:val="nil"/>
            </w:tcBorders>
            <w:vAlign w:val="center"/>
          </w:tcPr>
          <w:p w14:paraId="6B99FAC8">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2类</w:t>
            </w:r>
          </w:p>
        </w:tc>
        <w:tc>
          <w:tcPr>
            <w:tcW w:w="1633" w:type="pct"/>
            <w:tcBorders>
              <w:tl2br w:val="nil"/>
              <w:tr2bl w:val="nil"/>
            </w:tcBorders>
            <w:vAlign w:val="center"/>
          </w:tcPr>
          <w:p w14:paraId="5268E143">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2283" w:type="pct"/>
            <w:tcBorders>
              <w:tl2br w:val="nil"/>
              <w:tr2bl w:val="nil"/>
            </w:tcBorders>
            <w:vAlign w:val="center"/>
          </w:tcPr>
          <w:p w14:paraId="32B5D3FB">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bl>
    <w:p w14:paraId="01CA0AE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土壤环境</w:t>
      </w:r>
    </w:p>
    <w:p w14:paraId="3F117CD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占地</w:t>
      </w:r>
      <w:r>
        <w:rPr>
          <w:rFonts w:hint="default" w:ascii="Times New Roman" w:hAnsi="Times New Roman" w:cs="Times New Roman"/>
          <w:color w:val="auto"/>
          <w:highlight w:val="none"/>
        </w:rPr>
        <w:t>范围内的</w:t>
      </w:r>
      <w:r>
        <w:rPr>
          <w:rFonts w:hint="default" w:ascii="Times New Roman" w:hAnsi="Times New Roman" w:cs="Times New Roman"/>
          <w:color w:val="auto"/>
          <w:highlight w:val="none"/>
          <w:lang w:val="en-US" w:eastAsia="zh-CN"/>
        </w:rPr>
        <w:t>S1、S2</w:t>
      </w:r>
      <w:r>
        <w:rPr>
          <w:rFonts w:hint="default" w:ascii="Times New Roman" w:hAnsi="Times New Roman" w:cs="Times New Roman"/>
          <w:color w:val="auto"/>
          <w:highlight w:val="none"/>
        </w:rPr>
        <w:t>执行《土壤环境质量 建设用地土壤污染风险管控标准（试行）》（GB36600-2018）表1建设用地土壤污染风险筛选值和管制值（基本项目）中的第二类用地标准，</w:t>
      </w:r>
      <w:r>
        <w:rPr>
          <w:rFonts w:hint="default" w:ascii="Times New Roman" w:hAnsi="Times New Roman" w:cs="Times New Roman"/>
          <w:color w:val="auto"/>
          <w:highlight w:val="none"/>
          <w:lang w:val="en-US" w:eastAsia="zh-CN"/>
        </w:rPr>
        <w:t>S3、S4、及占地范围</w:t>
      </w:r>
      <w:r>
        <w:rPr>
          <w:rFonts w:hint="default" w:ascii="Times New Roman" w:hAnsi="Times New Roman" w:cs="Times New Roman"/>
          <w:color w:val="auto"/>
          <w:highlight w:val="none"/>
        </w:rPr>
        <w:t>外的</w:t>
      </w:r>
      <w:r>
        <w:rPr>
          <w:rFonts w:hint="default" w:ascii="Times New Roman" w:hAnsi="Times New Roman" w:cs="Times New Roman"/>
          <w:color w:val="auto"/>
          <w:highlight w:val="none"/>
          <w:lang w:val="en-US" w:eastAsia="zh-CN"/>
        </w:rPr>
        <w:t>S5、S6</w:t>
      </w:r>
      <w:r>
        <w:rPr>
          <w:rFonts w:hint="default" w:ascii="Times New Roman" w:hAnsi="Times New Roman" w:cs="Times New Roman"/>
          <w:color w:val="auto"/>
          <w:highlight w:val="none"/>
        </w:rPr>
        <w:t>土壤环境执行《土壤环境质量 农用地土壤污染风险管控标准（试行）》（GB15618-2018）表1农用地土壤污染风险筛选值（基本项目），本项目土壤环境质量标准执行情况见表2-5-5~表2-5-6。</w:t>
      </w:r>
    </w:p>
    <w:p w14:paraId="1CEE0E2F">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表2-5-5  建设用地土壤环境质量标准</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2038"/>
        <w:gridCol w:w="1567"/>
        <w:gridCol w:w="2132"/>
        <w:gridCol w:w="1973"/>
      </w:tblGrid>
      <w:tr w14:paraId="352BB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75" w:type="pct"/>
            <w:vMerge w:val="restart"/>
            <w:vAlign w:val="center"/>
          </w:tcPr>
          <w:p w14:paraId="73A2EAA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195" w:type="pct"/>
            <w:vMerge w:val="restart"/>
            <w:vAlign w:val="center"/>
          </w:tcPr>
          <w:p w14:paraId="4C10F0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919" w:type="pct"/>
            <w:vMerge w:val="restart"/>
            <w:vAlign w:val="center"/>
          </w:tcPr>
          <w:p w14:paraId="40F08E6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250" w:type="pct"/>
            <w:vAlign w:val="center"/>
          </w:tcPr>
          <w:p w14:paraId="6793D6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筛选值</w:t>
            </w:r>
          </w:p>
        </w:tc>
        <w:tc>
          <w:tcPr>
            <w:tcW w:w="1157" w:type="pct"/>
            <w:vMerge w:val="restart"/>
            <w:vAlign w:val="center"/>
          </w:tcPr>
          <w:p w14:paraId="2D8728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标准来源</w:t>
            </w:r>
          </w:p>
        </w:tc>
      </w:tr>
      <w:tr w14:paraId="3DB97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75" w:type="pct"/>
            <w:vMerge w:val="continue"/>
            <w:vAlign w:val="center"/>
          </w:tcPr>
          <w:p w14:paraId="68379EF2">
            <w:pPr>
              <w:pStyle w:val="46"/>
              <w:bidi w:val="0"/>
              <w:rPr>
                <w:rFonts w:hint="default" w:ascii="Times New Roman" w:hAnsi="Times New Roman" w:cs="Times New Roman"/>
                <w:color w:val="auto"/>
                <w:highlight w:val="none"/>
              </w:rPr>
            </w:pPr>
          </w:p>
        </w:tc>
        <w:tc>
          <w:tcPr>
            <w:tcW w:w="1195" w:type="pct"/>
            <w:vMerge w:val="continue"/>
            <w:vAlign w:val="center"/>
          </w:tcPr>
          <w:p w14:paraId="38D9A732">
            <w:pPr>
              <w:pStyle w:val="46"/>
              <w:bidi w:val="0"/>
              <w:rPr>
                <w:rFonts w:hint="default" w:ascii="Times New Roman" w:hAnsi="Times New Roman" w:cs="Times New Roman"/>
                <w:color w:val="auto"/>
                <w:highlight w:val="none"/>
              </w:rPr>
            </w:pPr>
          </w:p>
        </w:tc>
        <w:tc>
          <w:tcPr>
            <w:tcW w:w="919" w:type="pct"/>
            <w:vMerge w:val="continue"/>
            <w:vAlign w:val="center"/>
          </w:tcPr>
          <w:p w14:paraId="10EFF79E">
            <w:pPr>
              <w:pStyle w:val="46"/>
              <w:bidi w:val="0"/>
              <w:rPr>
                <w:rFonts w:hint="default" w:ascii="Times New Roman" w:hAnsi="Times New Roman" w:cs="Times New Roman"/>
                <w:color w:val="auto"/>
                <w:highlight w:val="none"/>
              </w:rPr>
            </w:pPr>
          </w:p>
        </w:tc>
        <w:tc>
          <w:tcPr>
            <w:tcW w:w="1250" w:type="pct"/>
            <w:vAlign w:val="center"/>
          </w:tcPr>
          <w:p w14:paraId="60FB22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第二类用地</w:t>
            </w:r>
          </w:p>
        </w:tc>
        <w:tc>
          <w:tcPr>
            <w:tcW w:w="1157" w:type="pct"/>
            <w:vMerge w:val="continue"/>
            <w:vAlign w:val="center"/>
          </w:tcPr>
          <w:p w14:paraId="1D6EC648">
            <w:pPr>
              <w:pStyle w:val="46"/>
              <w:bidi w:val="0"/>
              <w:rPr>
                <w:rFonts w:hint="default" w:ascii="Times New Roman" w:hAnsi="Times New Roman" w:cs="Times New Roman"/>
                <w:color w:val="auto"/>
                <w:highlight w:val="none"/>
              </w:rPr>
            </w:pPr>
          </w:p>
        </w:tc>
      </w:tr>
      <w:tr w14:paraId="4561F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E9C49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195" w:type="pct"/>
            <w:vAlign w:val="center"/>
          </w:tcPr>
          <w:p w14:paraId="1CB9BF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919" w:type="pct"/>
            <w:vAlign w:val="center"/>
          </w:tcPr>
          <w:p w14:paraId="1CE70B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6BF0F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157" w:type="pct"/>
            <w:vMerge w:val="restart"/>
            <w:vAlign w:val="center"/>
          </w:tcPr>
          <w:p w14:paraId="4AB60E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 建设用地土壤污染风险管控标准（试行）》（GB36600-2018）第二类用地筛选值标准限值</w:t>
            </w:r>
          </w:p>
        </w:tc>
      </w:tr>
      <w:tr w14:paraId="03435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09A0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195" w:type="pct"/>
            <w:vAlign w:val="center"/>
          </w:tcPr>
          <w:p w14:paraId="1B57FD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919" w:type="pct"/>
            <w:vAlign w:val="center"/>
          </w:tcPr>
          <w:p w14:paraId="199C22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5E81B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1157" w:type="pct"/>
            <w:vMerge w:val="continue"/>
            <w:vAlign w:val="center"/>
          </w:tcPr>
          <w:p w14:paraId="0485275A">
            <w:pPr>
              <w:pStyle w:val="46"/>
              <w:bidi w:val="0"/>
              <w:rPr>
                <w:rFonts w:hint="default" w:ascii="Times New Roman" w:hAnsi="Times New Roman" w:cs="Times New Roman"/>
                <w:color w:val="auto"/>
                <w:highlight w:val="none"/>
              </w:rPr>
            </w:pPr>
          </w:p>
        </w:tc>
      </w:tr>
      <w:tr w14:paraId="45CD9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91363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195" w:type="pct"/>
            <w:vAlign w:val="center"/>
          </w:tcPr>
          <w:p w14:paraId="07ECA1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六价铬</w:t>
            </w:r>
          </w:p>
        </w:tc>
        <w:tc>
          <w:tcPr>
            <w:tcW w:w="919" w:type="pct"/>
            <w:vAlign w:val="center"/>
          </w:tcPr>
          <w:p w14:paraId="1C0D38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249B8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w:t>
            </w:r>
          </w:p>
        </w:tc>
        <w:tc>
          <w:tcPr>
            <w:tcW w:w="1157" w:type="pct"/>
            <w:vMerge w:val="continue"/>
            <w:vAlign w:val="center"/>
          </w:tcPr>
          <w:p w14:paraId="2143EC50">
            <w:pPr>
              <w:pStyle w:val="46"/>
              <w:bidi w:val="0"/>
              <w:rPr>
                <w:rFonts w:hint="default" w:ascii="Times New Roman" w:hAnsi="Times New Roman" w:cs="Times New Roman"/>
                <w:color w:val="auto"/>
                <w:highlight w:val="none"/>
              </w:rPr>
            </w:pPr>
          </w:p>
        </w:tc>
      </w:tr>
      <w:tr w14:paraId="14CFD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A27BD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195" w:type="pct"/>
            <w:vAlign w:val="center"/>
          </w:tcPr>
          <w:p w14:paraId="61B05EF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919" w:type="pct"/>
            <w:vAlign w:val="center"/>
          </w:tcPr>
          <w:p w14:paraId="4637EB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A4A73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18000</w:t>
            </w:r>
          </w:p>
        </w:tc>
        <w:tc>
          <w:tcPr>
            <w:tcW w:w="1157" w:type="pct"/>
            <w:vMerge w:val="continue"/>
            <w:vAlign w:val="center"/>
          </w:tcPr>
          <w:p w14:paraId="45421FEF">
            <w:pPr>
              <w:pStyle w:val="46"/>
              <w:bidi w:val="0"/>
              <w:rPr>
                <w:rFonts w:hint="default" w:ascii="Times New Roman" w:hAnsi="Times New Roman" w:cs="Times New Roman"/>
                <w:color w:val="auto"/>
                <w:highlight w:val="none"/>
              </w:rPr>
            </w:pPr>
          </w:p>
        </w:tc>
      </w:tr>
      <w:tr w14:paraId="2E2DF8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52E63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95" w:type="pct"/>
            <w:vAlign w:val="center"/>
          </w:tcPr>
          <w:p w14:paraId="5FA5CD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919" w:type="pct"/>
            <w:vAlign w:val="center"/>
          </w:tcPr>
          <w:p w14:paraId="76C8CF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0CBAB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1157" w:type="pct"/>
            <w:vMerge w:val="continue"/>
            <w:vAlign w:val="center"/>
          </w:tcPr>
          <w:p w14:paraId="70775CBF">
            <w:pPr>
              <w:pStyle w:val="46"/>
              <w:bidi w:val="0"/>
              <w:rPr>
                <w:rFonts w:hint="default" w:ascii="Times New Roman" w:hAnsi="Times New Roman" w:cs="Times New Roman"/>
                <w:color w:val="auto"/>
                <w:highlight w:val="none"/>
              </w:rPr>
            </w:pPr>
          </w:p>
        </w:tc>
      </w:tr>
      <w:tr w14:paraId="3916C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4B3B1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195" w:type="pct"/>
            <w:vAlign w:val="center"/>
          </w:tcPr>
          <w:p w14:paraId="6CBBE2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919" w:type="pct"/>
            <w:vAlign w:val="center"/>
          </w:tcPr>
          <w:p w14:paraId="7EE93E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51CAB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1157" w:type="pct"/>
            <w:vMerge w:val="continue"/>
            <w:vAlign w:val="center"/>
          </w:tcPr>
          <w:p w14:paraId="47EF0EC7">
            <w:pPr>
              <w:pStyle w:val="46"/>
              <w:bidi w:val="0"/>
              <w:rPr>
                <w:rFonts w:hint="default" w:ascii="Times New Roman" w:hAnsi="Times New Roman" w:cs="Times New Roman"/>
                <w:color w:val="auto"/>
                <w:highlight w:val="none"/>
              </w:rPr>
            </w:pPr>
          </w:p>
        </w:tc>
      </w:tr>
      <w:tr w14:paraId="707F6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947C2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195" w:type="pct"/>
            <w:vAlign w:val="center"/>
          </w:tcPr>
          <w:p w14:paraId="10F774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镍</w:t>
            </w:r>
          </w:p>
        </w:tc>
        <w:tc>
          <w:tcPr>
            <w:tcW w:w="919" w:type="pct"/>
            <w:vAlign w:val="center"/>
          </w:tcPr>
          <w:p w14:paraId="002FA8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F6F6A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900</w:t>
            </w:r>
          </w:p>
        </w:tc>
        <w:tc>
          <w:tcPr>
            <w:tcW w:w="1157" w:type="pct"/>
            <w:vMerge w:val="continue"/>
            <w:vAlign w:val="center"/>
          </w:tcPr>
          <w:p w14:paraId="304C0C45">
            <w:pPr>
              <w:pStyle w:val="46"/>
              <w:bidi w:val="0"/>
              <w:rPr>
                <w:rFonts w:hint="default" w:ascii="Times New Roman" w:hAnsi="Times New Roman" w:cs="Times New Roman"/>
                <w:color w:val="auto"/>
                <w:highlight w:val="none"/>
              </w:rPr>
            </w:pPr>
          </w:p>
        </w:tc>
      </w:tr>
      <w:tr w14:paraId="55732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3AA47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195" w:type="pct"/>
            <w:vAlign w:val="center"/>
          </w:tcPr>
          <w:p w14:paraId="1680A2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四氯化碳</w:t>
            </w:r>
          </w:p>
        </w:tc>
        <w:tc>
          <w:tcPr>
            <w:tcW w:w="919" w:type="pct"/>
            <w:vAlign w:val="center"/>
          </w:tcPr>
          <w:p w14:paraId="5FDDB8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7F2A6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12EE27A2">
            <w:pPr>
              <w:pStyle w:val="46"/>
              <w:bidi w:val="0"/>
              <w:rPr>
                <w:rFonts w:hint="default" w:ascii="Times New Roman" w:hAnsi="Times New Roman" w:cs="Times New Roman"/>
                <w:color w:val="auto"/>
                <w:highlight w:val="none"/>
              </w:rPr>
            </w:pPr>
          </w:p>
        </w:tc>
      </w:tr>
      <w:tr w14:paraId="21F56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CFE9E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195" w:type="pct"/>
            <w:vAlign w:val="center"/>
          </w:tcPr>
          <w:p w14:paraId="0F0427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氯仿</w:t>
            </w:r>
          </w:p>
        </w:tc>
        <w:tc>
          <w:tcPr>
            <w:tcW w:w="919" w:type="pct"/>
            <w:vAlign w:val="center"/>
          </w:tcPr>
          <w:p w14:paraId="2D7EAE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FFA9C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0.9</w:t>
            </w:r>
          </w:p>
        </w:tc>
        <w:tc>
          <w:tcPr>
            <w:tcW w:w="1157" w:type="pct"/>
            <w:vMerge w:val="continue"/>
            <w:vAlign w:val="center"/>
          </w:tcPr>
          <w:p w14:paraId="7C494552">
            <w:pPr>
              <w:pStyle w:val="46"/>
              <w:bidi w:val="0"/>
              <w:rPr>
                <w:rFonts w:hint="default" w:ascii="Times New Roman" w:hAnsi="Times New Roman" w:cs="Times New Roman"/>
                <w:color w:val="auto"/>
                <w:highlight w:val="none"/>
              </w:rPr>
            </w:pPr>
          </w:p>
        </w:tc>
      </w:tr>
      <w:tr w14:paraId="12B1A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E937E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195" w:type="pct"/>
            <w:vAlign w:val="center"/>
          </w:tcPr>
          <w:p w14:paraId="5B60E1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氯甲烷</w:t>
            </w:r>
          </w:p>
        </w:tc>
        <w:tc>
          <w:tcPr>
            <w:tcW w:w="919" w:type="pct"/>
            <w:vAlign w:val="center"/>
          </w:tcPr>
          <w:p w14:paraId="2EC37E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CD970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1157" w:type="pct"/>
            <w:vMerge w:val="continue"/>
            <w:vAlign w:val="center"/>
          </w:tcPr>
          <w:p w14:paraId="5CB479CD">
            <w:pPr>
              <w:pStyle w:val="46"/>
              <w:bidi w:val="0"/>
              <w:rPr>
                <w:rFonts w:hint="default" w:ascii="Times New Roman" w:hAnsi="Times New Roman" w:cs="Times New Roman"/>
                <w:color w:val="auto"/>
                <w:highlight w:val="none"/>
              </w:rPr>
            </w:pPr>
          </w:p>
        </w:tc>
      </w:tr>
      <w:tr w14:paraId="5C332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48341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195" w:type="pct"/>
            <w:vAlign w:val="center"/>
          </w:tcPr>
          <w:p w14:paraId="7A73C9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1,1-二氯乙烷</w:t>
            </w:r>
          </w:p>
        </w:tc>
        <w:tc>
          <w:tcPr>
            <w:tcW w:w="919" w:type="pct"/>
            <w:vAlign w:val="center"/>
          </w:tcPr>
          <w:p w14:paraId="46F7A8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602EC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157" w:type="pct"/>
            <w:vMerge w:val="continue"/>
            <w:vAlign w:val="center"/>
          </w:tcPr>
          <w:p w14:paraId="593B8A3D">
            <w:pPr>
              <w:pStyle w:val="46"/>
              <w:bidi w:val="0"/>
              <w:rPr>
                <w:rFonts w:hint="default" w:ascii="Times New Roman" w:hAnsi="Times New Roman" w:cs="Times New Roman"/>
                <w:color w:val="auto"/>
                <w:highlight w:val="none"/>
              </w:rPr>
            </w:pPr>
          </w:p>
        </w:tc>
      </w:tr>
      <w:tr w14:paraId="39F2C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2311C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195" w:type="pct"/>
            <w:vAlign w:val="center"/>
          </w:tcPr>
          <w:p w14:paraId="2127AF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1,2-二氯乙烷</w:t>
            </w:r>
          </w:p>
        </w:tc>
        <w:tc>
          <w:tcPr>
            <w:tcW w:w="919" w:type="pct"/>
            <w:vAlign w:val="center"/>
          </w:tcPr>
          <w:p w14:paraId="0A779C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9B9B8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57" w:type="pct"/>
            <w:vMerge w:val="continue"/>
            <w:vAlign w:val="center"/>
          </w:tcPr>
          <w:p w14:paraId="54E6EBD9">
            <w:pPr>
              <w:pStyle w:val="46"/>
              <w:bidi w:val="0"/>
              <w:rPr>
                <w:rFonts w:hint="default" w:ascii="Times New Roman" w:hAnsi="Times New Roman" w:cs="Times New Roman"/>
                <w:color w:val="auto"/>
                <w:highlight w:val="none"/>
              </w:rPr>
            </w:pPr>
          </w:p>
        </w:tc>
      </w:tr>
      <w:tr w14:paraId="3CE35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0ED3AF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195" w:type="pct"/>
            <w:vAlign w:val="center"/>
          </w:tcPr>
          <w:p w14:paraId="17FB4F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1,1-二氯乙烯</w:t>
            </w:r>
          </w:p>
        </w:tc>
        <w:tc>
          <w:tcPr>
            <w:tcW w:w="919" w:type="pct"/>
            <w:vAlign w:val="center"/>
          </w:tcPr>
          <w:p w14:paraId="1F2C59B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379BD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1157" w:type="pct"/>
            <w:vMerge w:val="continue"/>
            <w:vAlign w:val="center"/>
          </w:tcPr>
          <w:p w14:paraId="707468BF">
            <w:pPr>
              <w:pStyle w:val="46"/>
              <w:bidi w:val="0"/>
              <w:rPr>
                <w:rFonts w:hint="default" w:ascii="Times New Roman" w:hAnsi="Times New Roman" w:cs="Times New Roman"/>
                <w:color w:val="auto"/>
                <w:highlight w:val="none"/>
              </w:rPr>
            </w:pPr>
          </w:p>
        </w:tc>
      </w:tr>
      <w:tr w14:paraId="76743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8523C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1195" w:type="pct"/>
            <w:vAlign w:val="center"/>
          </w:tcPr>
          <w:p w14:paraId="05F723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顺-1,2-二氯乙烯</w:t>
            </w:r>
          </w:p>
        </w:tc>
        <w:tc>
          <w:tcPr>
            <w:tcW w:w="919" w:type="pct"/>
            <w:vAlign w:val="center"/>
          </w:tcPr>
          <w:p w14:paraId="7523D2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A4A5A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596</w:t>
            </w:r>
          </w:p>
        </w:tc>
        <w:tc>
          <w:tcPr>
            <w:tcW w:w="1157" w:type="pct"/>
            <w:vMerge w:val="continue"/>
            <w:vAlign w:val="center"/>
          </w:tcPr>
          <w:p w14:paraId="118D57F6">
            <w:pPr>
              <w:pStyle w:val="46"/>
              <w:bidi w:val="0"/>
              <w:rPr>
                <w:rFonts w:hint="default" w:ascii="Times New Roman" w:hAnsi="Times New Roman" w:cs="Times New Roman"/>
                <w:color w:val="auto"/>
                <w:highlight w:val="none"/>
              </w:rPr>
            </w:pPr>
          </w:p>
        </w:tc>
      </w:tr>
      <w:tr w14:paraId="29626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2E242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95" w:type="pct"/>
            <w:vAlign w:val="center"/>
          </w:tcPr>
          <w:p w14:paraId="1D12CE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反-1,2-二氯乙烯</w:t>
            </w:r>
          </w:p>
        </w:tc>
        <w:tc>
          <w:tcPr>
            <w:tcW w:w="919" w:type="pct"/>
            <w:vAlign w:val="center"/>
          </w:tcPr>
          <w:p w14:paraId="758FEA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D30F6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1157" w:type="pct"/>
            <w:vMerge w:val="continue"/>
            <w:vAlign w:val="center"/>
          </w:tcPr>
          <w:p w14:paraId="4A75EF19">
            <w:pPr>
              <w:pStyle w:val="46"/>
              <w:bidi w:val="0"/>
              <w:rPr>
                <w:rFonts w:hint="default" w:ascii="Times New Roman" w:hAnsi="Times New Roman" w:cs="Times New Roman"/>
                <w:color w:val="auto"/>
                <w:highlight w:val="none"/>
              </w:rPr>
            </w:pPr>
          </w:p>
        </w:tc>
      </w:tr>
      <w:tr w14:paraId="2D681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031EA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1195" w:type="pct"/>
            <w:vAlign w:val="center"/>
          </w:tcPr>
          <w:p w14:paraId="55F02B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二氯甲烷</w:t>
            </w:r>
          </w:p>
        </w:tc>
        <w:tc>
          <w:tcPr>
            <w:tcW w:w="919" w:type="pct"/>
            <w:vAlign w:val="center"/>
          </w:tcPr>
          <w:p w14:paraId="79C40D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15621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616</w:t>
            </w:r>
          </w:p>
        </w:tc>
        <w:tc>
          <w:tcPr>
            <w:tcW w:w="1157" w:type="pct"/>
            <w:vMerge w:val="continue"/>
            <w:vAlign w:val="center"/>
          </w:tcPr>
          <w:p w14:paraId="1051CE68">
            <w:pPr>
              <w:pStyle w:val="46"/>
              <w:bidi w:val="0"/>
              <w:rPr>
                <w:rFonts w:hint="default" w:ascii="Times New Roman" w:hAnsi="Times New Roman" w:cs="Times New Roman"/>
                <w:color w:val="auto"/>
                <w:highlight w:val="none"/>
              </w:rPr>
            </w:pPr>
          </w:p>
        </w:tc>
      </w:tr>
      <w:tr w14:paraId="093FA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D5906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1195" w:type="pct"/>
            <w:vAlign w:val="center"/>
          </w:tcPr>
          <w:p w14:paraId="2B4BCD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1,1-二氯丙烷</w:t>
            </w:r>
          </w:p>
        </w:tc>
        <w:tc>
          <w:tcPr>
            <w:tcW w:w="919" w:type="pct"/>
            <w:vAlign w:val="center"/>
          </w:tcPr>
          <w:p w14:paraId="1606D2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ED1E3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57" w:type="pct"/>
            <w:vMerge w:val="continue"/>
            <w:vAlign w:val="center"/>
          </w:tcPr>
          <w:p w14:paraId="75062ED5">
            <w:pPr>
              <w:pStyle w:val="46"/>
              <w:bidi w:val="0"/>
              <w:rPr>
                <w:rFonts w:hint="default" w:ascii="Times New Roman" w:hAnsi="Times New Roman" w:cs="Times New Roman"/>
                <w:color w:val="auto"/>
                <w:highlight w:val="none"/>
              </w:rPr>
            </w:pPr>
          </w:p>
        </w:tc>
      </w:tr>
      <w:tr w14:paraId="3382A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9C1DB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w:t>
            </w:r>
          </w:p>
        </w:tc>
        <w:tc>
          <w:tcPr>
            <w:tcW w:w="1195" w:type="pct"/>
            <w:vAlign w:val="center"/>
          </w:tcPr>
          <w:p w14:paraId="4D1DA1D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1,1,1,2-四氯乙烷</w:t>
            </w:r>
          </w:p>
        </w:tc>
        <w:tc>
          <w:tcPr>
            <w:tcW w:w="919" w:type="pct"/>
            <w:vAlign w:val="center"/>
          </w:tcPr>
          <w:p w14:paraId="04D620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5A3EA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157" w:type="pct"/>
            <w:vMerge w:val="continue"/>
            <w:vAlign w:val="center"/>
          </w:tcPr>
          <w:p w14:paraId="1C66EC44">
            <w:pPr>
              <w:pStyle w:val="46"/>
              <w:bidi w:val="0"/>
              <w:rPr>
                <w:rFonts w:hint="default" w:ascii="Times New Roman" w:hAnsi="Times New Roman" w:cs="Times New Roman"/>
                <w:color w:val="auto"/>
                <w:highlight w:val="none"/>
              </w:rPr>
            </w:pPr>
          </w:p>
        </w:tc>
      </w:tr>
      <w:tr w14:paraId="6C60E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6E8A3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1195" w:type="pct"/>
            <w:vAlign w:val="center"/>
          </w:tcPr>
          <w:p w14:paraId="15DA41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1,1,2,2-四氯乙烷</w:t>
            </w:r>
          </w:p>
        </w:tc>
        <w:tc>
          <w:tcPr>
            <w:tcW w:w="919" w:type="pct"/>
            <w:vAlign w:val="center"/>
          </w:tcPr>
          <w:p w14:paraId="7101B9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A4592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1157" w:type="pct"/>
            <w:vMerge w:val="continue"/>
            <w:vAlign w:val="center"/>
          </w:tcPr>
          <w:p w14:paraId="0A1BED07">
            <w:pPr>
              <w:pStyle w:val="46"/>
              <w:bidi w:val="0"/>
              <w:rPr>
                <w:rFonts w:hint="default" w:ascii="Times New Roman" w:hAnsi="Times New Roman" w:cs="Times New Roman"/>
                <w:color w:val="auto"/>
                <w:highlight w:val="none"/>
              </w:rPr>
            </w:pPr>
          </w:p>
        </w:tc>
      </w:tr>
      <w:tr w14:paraId="1BCA5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F675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95" w:type="pct"/>
            <w:vAlign w:val="center"/>
          </w:tcPr>
          <w:p w14:paraId="18F47A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四氯乙烯</w:t>
            </w:r>
          </w:p>
        </w:tc>
        <w:tc>
          <w:tcPr>
            <w:tcW w:w="919" w:type="pct"/>
            <w:vAlign w:val="center"/>
          </w:tcPr>
          <w:p w14:paraId="75FD8B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AEE7B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1157" w:type="pct"/>
            <w:vMerge w:val="continue"/>
            <w:vAlign w:val="center"/>
          </w:tcPr>
          <w:p w14:paraId="4A042348">
            <w:pPr>
              <w:pStyle w:val="46"/>
              <w:bidi w:val="0"/>
              <w:rPr>
                <w:rFonts w:hint="default" w:ascii="Times New Roman" w:hAnsi="Times New Roman" w:cs="Times New Roman"/>
                <w:color w:val="auto"/>
                <w:highlight w:val="none"/>
              </w:rPr>
            </w:pPr>
          </w:p>
        </w:tc>
      </w:tr>
      <w:tr w14:paraId="1A685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C4B63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1195" w:type="pct"/>
            <w:vAlign w:val="center"/>
          </w:tcPr>
          <w:p w14:paraId="332AB7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1,1,1-三氯乙烷</w:t>
            </w:r>
          </w:p>
        </w:tc>
        <w:tc>
          <w:tcPr>
            <w:tcW w:w="919" w:type="pct"/>
            <w:vAlign w:val="center"/>
          </w:tcPr>
          <w:p w14:paraId="08D39C9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92B25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840</w:t>
            </w:r>
          </w:p>
        </w:tc>
        <w:tc>
          <w:tcPr>
            <w:tcW w:w="1157" w:type="pct"/>
            <w:vMerge w:val="continue"/>
            <w:vAlign w:val="center"/>
          </w:tcPr>
          <w:p w14:paraId="47476E89">
            <w:pPr>
              <w:pStyle w:val="46"/>
              <w:bidi w:val="0"/>
              <w:rPr>
                <w:rFonts w:hint="default" w:ascii="Times New Roman" w:hAnsi="Times New Roman" w:cs="Times New Roman"/>
                <w:color w:val="auto"/>
                <w:highlight w:val="none"/>
              </w:rPr>
            </w:pPr>
          </w:p>
        </w:tc>
      </w:tr>
      <w:tr w14:paraId="2E8B0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EE4B9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w:t>
            </w:r>
          </w:p>
        </w:tc>
        <w:tc>
          <w:tcPr>
            <w:tcW w:w="1195" w:type="pct"/>
            <w:vAlign w:val="center"/>
          </w:tcPr>
          <w:p w14:paraId="17B236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1,1,2-三氯乙烷</w:t>
            </w:r>
          </w:p>
        </w:tc>
        <w:tc>
          <w:tcPr>
            <w:tcW w:w="919" w:type="pct"/>
            <w:vAlign w:val="center"/>
          </w:tcPr>
          <w:p w14:paraId="2AEB0E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693AD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3A60CC51">
            <w:pPr>
              <w:pStyle w:val="46"/>
              <w:bidi w:val="0"/>
              <w:rPr>
                <w:rFonts w:hint="default" w:ascii="Times New Roman" w:hAnsi="Times New Roman" w:cs="Times New Roman"/>
                <w:color w:val="auto"/>
                <w:highlight w:val="none"/>
              </w:rPr>
            </w:pPr>
          </w:p>
        </w:tc>
      </w:tr>
      <w:tr w14:paraId="06669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6B755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23</w:t>
            </w:r>
          </w:p>
        </w:tc>
        <w:tc>
          <w:tcPr>
            <w:tcW w:w="1195" w:type="pct"/>
            <w:vAlign w:val="center"/>
          </w:tcPr>
          <w:p w14:paraId="625836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三氯乙烯</w:t>
            </w:r>
          </w:p>
        </w:tc>
        <w:tc>
          <w:tcPr>
            <w:tcW w:w="919" w:type="pct"/>
            <w:vAlign w:val="center"/>
          </w:tcPr>
          <w:p w14:paraId="6D38DA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92A46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25D563E9">
            <w:pPr>
              <w:pStyle w:val="46"/>
              <w:bidi w:val="0"/>
              <w:rPr>
                <w:rFonts w:hint="default" w:ascii="Times New Roman" w:hAnsi="Times New Roman" w:cs="Times New Roman"/>
                <w:color w:val="auto"/>
                <w:highlight w:val="none"/>
              </w:rPr>
            </w:pPr>
          </w:p>
        </w:tc>
      </w:tr>
      <w:tr w14:paraId="146F7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96DAC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c>
          <w:tcPr>
            <w:tcW w:w="1195" w:type="pct"/>
            <w:vAlign w:val="center"/>
          </w:tcPr>
          <w:p w14:paraId="6F8681B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919" w:type="pct"/>
            <w:vAlign w:val="center"/>
          </w:tcPr>
          <w:p w14:paraId="162A9E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C1CB7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1157" w:type="pct"/>
            <w:vMerge w:val="continue"/>
            <w:vAlign w:val="center"/>
          </w:tcPr>
          <w:p w14:paraId="74AC636F">
            <w:pPr>
              <w:pStyle w:val="46"/>
              <w:bidi w:val="0"/>
              <w:rPr>
                <w:rFonts w:hint="default" w:ascii="Times New Roman" w:hAnsi="Times New Roman" w:cs="Times New Roman"/>
                <w:color w:val="auto"/>
                <w:highlight w:val="none"/>
              </w:rPr>
            </w:pPr>
          </w:p>
        </w:tc>
      </w:tr>
      <w:tr w14:paraId="131DC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484CE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1195" w:type="pct"/>
            <w:vAlign w:val="center"/>
          </w:tcPr>
          <w:p w14:paraId="45EA58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氯乙烯</w:t>
            </w:r>
          </w:p>
        </w:tc>
        <w:tc>
          <w:tcPr>
            <w:tcW w:w="919" w:type="pct"/>
            <w:vAlign w:val="center"/>
          </w:tcPr>
          <w:p w14:paraId="4A4C57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DC0E0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0.43</w:t>
            </w:r>
          </w:p>
        </w:tc>
        <w:tc>
          <w:tcPr>
            <w:tcW w:w="1157" w:type="pct"/>
            <w:vMerge w:val="continue"/>
            <w:vAlign w:val="center"/>
          </w:tcPr>
          <w:p w14:paraId="1B652A8B">
            <w:pPr>
              <w:pStyle w:val="46"/>
              <w:bidi w:val="0"/>
              <w:rPr>
                <w:rFonts w:hint="default" w:ascii="Times New Roman" w:hAnsi="Times New Roman" w:cs="Times New Roman"/>
                <w:color w:val="auto"/>
                <w:highlight w:val="none"/>
              </w:rPr>
            </w:pPr>
          </w:p>
        </w:tc>
      </w:tr>
      <w:tr w14:paraId="115656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7FFB0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w:t>
            </w:r>
          </w:p>
        </w:tc>
        <w:tc>
          <w:tcPr>
            <w:tcW w:w="1195" w:type="pct"/>
            <w:vAlign w:val="center"/>
          </w:tcPr>
          <w:p w14:paraId="273486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w:t>
            </w:r>
          </w:p>
        </w:tc>
        <w:tc>
          <w:tcPr>
            <w:tcW w:w="919" w:type="pct"/>
            <w:vAlign w:val="center"/>
          </w:tcPr>
          <w:p w14:paraId="251FE62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3CC51C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157" w:type="pct"/>
            <w:vMerge w:val="continue"/>
            <w:vAlign w:val="center"/>
          </w:tcPr>
          <w:p w14:paraId="606B5986">
            <w:pPr>
              <w:pStyle w:val="46"/>
              <w:bidi w:val="0"/>
              <w:rPr>
                <w:rFonts w:hint="default" w:ascii="Times New Roman" w:hAnsi="Times New Roman" w:cs="Times New Roman"/>
                <w:color w:val="auto"/>
                <w:highlight w:val="none"/>
              </w:rPr>
            </w:pPr>
          </w:p>
        </w:tc>
      </w:tr>
      <w:tr w14:paraId="46F35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82F17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w:t>
            </w:r>
          </w:p>
        </w:tc>
        <w:tc>
          <w:tcPr>
            <w:tcW w:w="1195" w:type="pct"/>
            <w:vAlign w:val="center"/>
          </w:tcPr>
          <w:p w14:paraId="0193EC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氯苯</w:t>
            </w:r>
          </w:p>
        </w:tc>
        <w:tc>
          <w:tcPr>
            <w:tcW w:w="919" w:type="pct"/>
            <w:vAlign w:val="center"/>
          </w:tcPr>
          <w:p w14:paraId="22DCD7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D3BBD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270</w:t>
            </w:r>
          </w:p>
        </w:tc>
        <w:tc>
          <w:tcPr>
            <w:tcW w:w="1157" w:type="pct"/>
            <w:vMerge w:val="continue"/>
            <w:vAlign w:val="center"/>
          </w:tcPr>
          <w:p w14:paraId="47DEBC87">
            <w:pPr>
              <w:pStyle w:val="46"/>
              <w:bidi w:val="0"/>
              <w:rPr>
                <w:rFonts w:hint="default" w:ascii="Times New Roman" w:hAnsi="Times New Roman" w:cs="Times New Roman"/>
                <w:color w:val="auto"/>
                <w:highlight w:val="none"/>
              </w:rPr>
            </w:pPr>
          </w:p>
        </w:tc>
      </w:tr>
      <w:tr w14:paraId="0112F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FB218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95" w:type="pct"/>
            <w:vAlign w:val="center"/>
          </w:tcPr>
          <w:p w14:paraId="6E62D2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1,2-二氯苯</w:t>
            </w:r>
          </w:p>
        </w:tc>
        <w:tc>
          <w:tcPr>
            <w:tcW w:w="919" w:type="pct"/>
            <w:vAlign w:val="center"/>
          </w:tcPr>
          <w:p w14:paraId="602B7C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F4CF1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560</w:t>
            </w:r>
          </w:p>
        </w:tc>
        <w:tc>
          <w:tcPr>
            <w:tcW w:w="1157" w:type="pct"/>
            <w:vMerge w:val="continue"/>
            <w:vAlign w:val="center"/>
          </w:tcPr>
          <w:p w14:paraId="45E86FBA">
            <w:pPr>
              <w:pStyle w:val="46"/>
              <w:bidi w:val="0"/>
              <w:rPr>
                <w:rFonts w:hint="default" w:ascii="Times New Roman" w:hAnsi="Times New Roman" w:cs="Times New Roman"/>
                <w:color w:val="auto"/>
                <w:highlight w:val="none"/>
              </w:rPr>
            </w:pPr>
          </w:p>
        </w:tc>
      </w:tr>
      <w:tr w14:paraId="1DC6C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FFB8A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29</w:t>
            </w:r>
          </w:p>
        </w:tc>
        <w:tc>
          <w:tcPr>
            <w:tcW w:w="1195" w:type="pct"/>
            <w:vAlign w:val="center"/>
          </w:tcPr>
          <w:p w14:paraId="7FF993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1,4-二氯苯</w:t>
            </w:r>
          </w:p>
        </w:tc>
        <w:tc>
          <w:tcPr>
            <w:tcW w:w="919" w:type="pct"/>
            <w:vAlign w:val="center"/>
          </w:tcPr>
          <w:p w14:paraId="24AA9A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FE37A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57" w:type="pct"/>
            <w:vMerge w:val="continue"/>
            <w:vAlign w:val="center"/>
          </w:tcPr>
          <w:p w14:paraId="14E7DAEF">
            <w:pPr>
              <w:pStyle w:val="46"/>
              <w:bidi w:val="0"/>
              <w:rPr>
                <w:rFonts w:hint="default" w:ascii="Times New Roman" w:hAnsi="Times New Roman" w:cs="Times New Roman"/>
                <w:color w:val="auto"/>
                <w:highlight w:val="none"/>
              </w:rPr>
            </w:pPr>
          </w:p>
        </w:tc>
      </w:tr>
      <w:tr w14:paraId="00ACC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CD368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195" w:type="pct"/>
            <w:vAlign w:val="center"/>
          </w:tcPr>
          <w:p w14:paraId="054BC9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乙苯</w:t>
            </w:r>
          </w:p>
        </w:tc>
        <w:tc>
          <w:tcPr>
            <w:tcW w:w="919" w:type="pct"/>
            <w:vAlign w:val="center"/>
          </w:tcPr>
          <w:p w14:paraId="477C8E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07D68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36233B75">
            <w:pPr>
              <w:pStyle w:val="46"/>
              <w:bidi w:val="0"/>
              <w:rPr>
                <w:rFonts w:hint="default" w:ascii="Times New Roman" w:hAnsi="Times New Roman" w:cs="Times New Roman"/>
                <w:color w:val="auto"/>
                <w:highlight w:val="none"/>
              </w:rPr>
            </w:pPr>
          </w:p>
        </w:tc>
      </w:tr>
      <w:tr w14:paraId="27876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FF399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195" w:type="pct"/>
            <w:vAlign w:val="center"/>
          </w:tcPr>
          <w:p w14:paraId="3F59BA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苯乙烯</w:t>
            </w:r>
          </w:p>
        </w:tc>
        <w:tc>
          <w:tcPr>
            <w:tcW w:w="919" w:type="pct"/>
            <w:vAlign w:val="center"/>
          </w:tcPr>
          <w:p w14:paraId="704B7C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AF8C9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1290</w:t>
            </w:r>
          </w:p>
        </w:tc>
        <w:tc>
          <w:tcPr>
            <w:tcW w:w="1157" w:type="pct"/>
            <w:vMerge w:val="continue"/>
            <w:vAlign w:val="center"/>
          </w:tcPr>
          <w:p w14:paraId="554DDF96">
            <w:pPr>
              <w:pStyle w:val="46"/>
              <w:bidi w:val="0"/>
              <w:rPr>
                <w:rFonts w:hint="default" w:ascii="Times New Roman" w:hAnsi="Times New Roman" w:cs="Times New Roman"/>
                <w:color w:val="auto"/>
                <w:highlight w:val="none"/>
              </w:rPr>
            </w:pPr>
          </w:p>
        </w:tc>
      </w:tr>
      <w:tr w14:paraId="51730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144A5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32</w:t>
            </w:r>
          </w:p>
        </w:tc>
        <w:tc>
          <w:tcPr>
            <w:tcW w:w="1195" w:type="pct"/>
            <w:vAlign w:val="center"/>
          </w:tcPr>
          <w:p w14:paraId="11A09F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甲苯</w:t>
            </w:r>
          </w:p>
        </w:tc>
        <w:tc>
          <w:tcPr>
            <w:tcW w:w="919" w:type="pct"/>
            <w:vAlign w:val="center"/>
          </w:tcPr>
          <w:p w14:paraId="5A1580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5DD28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1157" w:type="pct"/>
            <w:vMerge w:val="continue"/>
            <w:vAlign w:val="center"/>
          </w:tcPr>
          <w:p w14:paraId="106A19F8">
            <w:pPr>
              <w:pStyle w:val="46"/>
              <w:bidi w:val="0"/>
              <w:rPr>
                <w:rFonts w:hint="default" w:ascii="Times New Roman" w:hAnsi="Times New Roman" w:cs="Times New Roman"/>
                <w:color w:val="auto"/>
                <w:highlight w:val="none"/>
              </w:rPr>
            </w:pPr>
          </w:p>
        </w:tc>
      </w:tr>
      <w:tr w14:paraId="5F5C4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554543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c>
          <w:tcPr>
            <w:tcW w:w="1195" w:type="pct"/>
            <w:vAlign w:val="center"/>
          </w:tcPr>
          <w:p w14:paraId="4F3043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间二甲苯+对二甲苯</w:t>
            </w:r>
          </w:p>
        </w:tc>
        <w:tc>
          <w:tcPr>
            <w:tcW w:w="919" w:type="pct"/>
            <w:vAlign w:val="center"/>
          </w:tcPr>
          <w:p w14:paraId="099217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4AC68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570</w:t>
            </w:r>
          </w:p>
        </w:tc>
        <w:tc>
          <w:tcPr>
            <w:tcW w:w="1157" w:type="pct"/>
            <w:vMerge w:val="continue"/>
            <w:vAlign w:val="center"/>
          </w:tcPr>
          <w:p w14:paraId="252D8BE3">
            <w:pPr>
              <w:pStyle w:val="46"/>
              <w:bidi w:val="0"/>
              <w:rPr>
                <w:rFonts w:hint="default" w:ascii="Times New Roman" w:hAnsi="Times New Roman" w:cs="Times New Roman"/>
                <w:color w:val="auto"/>
                <w:highlight w:val="none"/>
              </w:rPr>
            </w:pPr>
          </w:p>
        </w:tc>
      </w:tr>
      <w:tr w14:paraId="56530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2638E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34</w:t>
            </w:r>
          </w:p>
        </w:tc>
        <w:tc>
          <w:tcPr>
            <w:tcW w:w="1195" w:type="pct"/>
            <w:vAlign w:val="center"/>
          </w:tcPr>
          <w:p w14:paraId="705778F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邻二甲苯</w:t>
            </w:r>
          </w:p>
        </w:tc>
        <w:tc>
          <w:tcPr>
            <w:tcW w:w="919" w:type="pct"/>
            <w:vAlign w:val="center"/>
          </w:tcPr>
          <w:p w14:paraId="66C876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38131B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1157" w:type="pct"/>
            <w:vMerge w:val="continue"/>
            <w:vAlign w:val="center"/>
          </w:tcPr>
          <w:p w14:paraId="7E5D24A0">
            <w:pPr>
              <w:pStyle w:val="46"/>
              <w:bidi w:val="0"/>
              <w:rPr>
                <w:rFonts w:hint="default" w:ascii="Times New Roman" w:hAnsi="Times New Roman" w:cs="Times New Roman"/>
                <w:color w:val="auto"/>
                <w:highlight w:val="none"/>
              </w:rPr>
            </w:pPr>
          </w:p>
        </w:tc>
      </w:tr>
      <w:tr w14:paraId="3F145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9E3CF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1195" w:type="pct"/>
            <w:vAlign w:val="center"/>
          </w:tcPr>
          <w:p w14:paraId="438BEA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硝基苯</w:t>
            </w:r>
          </w:p>
        </w:tc>
        <w:tc>
          <w:tcPr>
            <w:tcW w:w="919" w:type="pct"/>
            <w:vAlign w:val="center"/>
          </w:tcPr>
          <w:p w14:paraId="69BFD2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F05BF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1157" w:type="pct"/>
            <w:vMerge w:val="continue"/>
            <w:vAlign w:val="center"/>
          </w:tcPr>
          <w:p w14:paraId="1A90C64E">
            <w:pPr>
              <w:pStyle w:val="46"/>
              <w:bidi w:val="0"/>
              <w:rPr>
                <w:rFonts w:hint="default" w:ascii="Times New Roman" w:hAnsi="Times New Roman" w:cs="Times New Roman"/>
                <w:color w:val="auto"/>
                <w:highlight w:val="none"/>
              </w:rPr>
            </w:pPr>
          </w:p>
        </w:tc>
      </w:tr>
      <w:tr w14:paraId="22D39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B4E16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36</w:t>
            </w:r>
          </w:p>
        </w:tc>
        <w:tc>
          <w:tcPr>
            <w:tcW w:w="1195" w:type="pct"/>
            <w:vAlign w:val="center"/>
          </w:tcPr>
          <w:p w14:paraId="4DBB0C5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苯胺</w:t>
            </w:r>
          </w:p>
        </w:tc>
        <w:tc>
          <w:tcPr>
            <w:tcW w:w="919" w:type="pct"/>
            <w:vAlign w:val="center"/>
          </w:tcPr>
          <w:p w14:paraId="1BD593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B9758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260</w:t>
            </w:r>
          </w:p>
        </w:tc>
        <w:tc>
          <w:tcPr>
            <w:tcW w:w="1157" w:type="pct"/>
            <w:vMerge w:val="continue"/>
            <w:vAlign w:val="center"/>
          </w:tcPr>
          <w:p w14:paraId="2824B229">
            <w:pPr>
              <w:pStyle w:val="46"/>
              <w:bidi w:val="0"/>
              <w:rPr>
                <w:rFonts w:hint="default" w:ascii="Times New Roman" w:hAnsi="Times New Roman" w:cs="Times New Roman"/>
                <w:color w:val="auto"/>
                <w:highlight w:val="none"/>
              </w:rPr>
            </w:pPr>
          </w:p>
        </w:tc>
      </w:tr>
      <w:tr w14:paraId="70F12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B4819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1195" w:type="pct"/>
            <w:vAlign w:val="center"/>
          </w:tcPr>
          <w:p w14:paraId="080BF51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2-氯酚</w:t>
            </w:r>
          </w:p>
        </w:tc>
        <w:tc>
          <w:tcPr>
            <w:tcW w:w="919" w:type="pct"/>
            <w:vAlign w:val="center"/>
          </w:tcPr>
          <w:p w14:paraId="4DC6C8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E04D4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2256</w:t>
            </w:r>
          </w:p>
        </w:tc>
        <w:tc>
          <w:tcPr>
            <w:tcW w:w="1157" w:type="pct"/>
            <w:vMerge w:val="continue"/>
            <w:vAlign w:val="center"/>
          </w:tcPr>
          <w:p w14:paraId="7A498145">
            <w:pPr>
              <w:pStyle w:val="46"/>
              <w:bidi w:val="0"/>
              <w:rPr>
                <w:rFonts w:hint="default" w:ascii="Times New Roman" w:hAnsi="Times New Roman" w:cs="Times New Roman"/>
                <w:color w:val="auto"/>
                <w:highlight w:val="none"/>
              </w:rPr>
            </w:pPr>
          </w:p>
        </w:tc>
      </w:tr>
      <w:tr w14:paraId="7C220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F105C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1195" w:type="pct"/>
            <w:vAlign w:val="center"/>
          </w:tcPr>
          <w:p w14:paraId="61BCF1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苯并[a]蒽</w:t>
            </w:r>
          </w:p>
        </w:tc>
        <w:tc>
          <w:tcPr>
            <w:tcW w:w="919" w:type="pct"/>
            <w:vAlign w:val="center"/>
          </w:tcPr>
          <w:p w14:paraId="28833A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D56B4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1269B3C3">
            <w:pPr>
              <w:pStyle w:val="46"/>
              <w:bidi w:val="0"/>
              <w:rPr>
                <w:rFonts w:hint="default" w:ascii="Times New Roman" w:hAnsi="Times New Roman" w:cs="Times New Roman"/>
                <w:color w:val="auto"/>
                <w:highlight w:val="none"/>
              </w:rPr>
            </w:pPr>
          </w:p>
        </w:tc>
      </w:tr>
      <w:tr w14:paraId="62C0E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0FE33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39</w:t>
            </w:r>
          </w:p>
        </w:tc>
        <w:tc>
          <w:tcPr>
            <w:tcW w:w="1195" w:type="pct"/>
            <w:vAlign w:val="center"/>
          </w:tcPr>
          <w:p w14:paraId="731908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苯并[a]芘</w:t>
            </w:r>
          </w:p>
        </w:tc>
        <w:tc>
          <w:tcPr>
            <w:tcW w:w="919" w:type="pct"/>
            <w:vAlign w:val="center"/>
          </w:tcPr>
          <w:p w14:paraId="226993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73D98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210F4B1A">
            <w:pPr>
              <w:pStyle w:val="46"/>
              <w:bidi w:val="0"/>
              <w:rPr>
                <w:rFonts w:hint="default" w:ascii="Times New Roman" w:hAnsi="Times New Roman" w:cs="Times New Roman"/>
                <w:color w:val="auto"/>
                <w:highlight w:val="none"/>
              </w:rPr>
            </w:pPr>
          </w:p>
        </w:tc>
      </w:tr>
      <w:tr w14:paraId="03367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CC078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195" w:type="pct"/>
            <w:vAlign w:val="center"/>
          </w:tcPr>
          <w:p w14:paraId="1ECA0D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苯并[b]荧蒽</w:t>
            </w:r>
          </w:p>
        </w:tc>
        <w:tc>
          <w:tcPr>
            <w:tcW w:w="919" w:type="pct"/>
            <w:vAlign w:val="center"/>
          </w:tcPr>
          <w:p w14:paraId="487A50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75C00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3F964734">
            <w:pPr>
              <w:pStyle w:val="46"/>
              <w:bidi w:val="0"/>
              <w:rPr>
                <w:rFonts w:hint="default" w:ascii="Times New Roman" w:hAnsi="Times New Roman" w:cs="Times New Roman"/>
                <w:color w:val="auto"/>
                <w:highlight w:val="none"/>
              </w:rPr>
            </w:pPr>
          </w:p>
        </w:tc>
      </w:tr>
      <w:tr w14:paraId="14741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15A2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p>
        </w:tc>
        <w:tc>
          <w:tcPr>
            <w:tcW w:w="1195" w:type="pct"/>
            <w:vAlign w:val="center"/>
          </w:tcPr>
          <w:p w14:paraId="681527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苯并[k]荧蒽</w:t>
            </w:r>
          </w:p>
        </w:tc>
        <w:tc>
          <w:tcPr>
            <w:tcW w:w="919" w:type="pct"/>
            <w:vAlign w:val="center"/>
          </w:tcPr>
          <w:p w14:paraId="0E8B65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4BEB5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151</w:t>
            </w:r>
          </w:p>
        </w:tc>
        <w:tc>
          <w:tcPr>
            <w:tcW w:w="1157" w:type="pct"/>
            <w:vMerge w:val="continue"/>
            <w:vAlign w:val="center"/>
          </w:tcPr>
          <w:p w14:paraId="735163F1">
            <w:pPr>
              <w:pStyle w:val="46"/>
              <w:bidi w:val="0"/>
              <w:rPr>
                <w:rFonts w:hint="default" w:ascii="Times New Roman" w:hAnsi="Times New Roman" w:cs="Times New Roman"/>
                <w:color w:val="auto"/>
                <w:highlight w:val="none"/>
              </w:rPr>
            </w:pPr>
          </w:p>
        </w:tc>
      </w:tr>
      <w:tr w14:paraId="77E9A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4F0DA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w:t>
            </w:r>
          </w:p>
        </w:tc>
        <w:tc>
          <w:tcPr>
            <w:tcW w:w="1195" w:type="pct"/>
            <w:vAlign w:val="center"/>
          </w:tcPr>
          <w:p w14:paraId="66F7E9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䓛</w:t>
            </w:r>
          </w:p>
        </w:tc>
        <w:tc>
          <w:tcPr>
            <w:tcW w:w="919" w:type="pct"/>
            <w:vAlign w:val="center"/>
          </w:tcPr>
          <w:p w14:paraId="4FB946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1E2DB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1293</w:t>
            </w:r>
          </w:p>
        </w:tc>
        <w:tc>
          <w:tcPr>
            <w:tcW w:w="1157" w:type="pct"/>
            <w:vMerge w:val="continue"/>
            <w:vAlign w:val="center"/>
          </w:tcPr>
          <w:p w14:paraId="4703CD59">
            <w:pPr>
              <w:pStyle w:val="46"/>
              <w:bidi w:val="0"/>
              <w:rPr>
                <w:rFonts w:hint="default" w:ascii="Times New Roman" w:hAnsi="Times New Roman" w:cs="Times New Roman"/>
                <w:color w:val="auto"/>
                <w:highlight w:val="none"/>
              </w:rPr>
            </w:pPr>
          </w:p>
        </w:tc>
      </w:tr>
      <w:tr w14:paraId="09346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9DAF0D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43</w:t>
            </w:r>
          </w:p>
        </w:tc>
        <w:tc>
          <w:tcPr>
            <w:tcW w:w="1195" w:type="pct"/>
            <w:vAlign w:val="center"/>
          </w:tcPr>
          <w:p w14:paraId="3F56D4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二苯并[a,h]蒽</w:t>
            </w:r>
          </w:p>
        </w:tc>
        <w:tc>
          <w:tcPr>
            <w:tcW w:w="919" w:type="pct"/>
            <w:vAlign w:val="center"/>
          </w:tcPr>
          <w:p w14:paraId="011D75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2403C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5553C188">
            <w:pPr>
              <w:pStyle w:val="46"/>
              <w:bidi w:val="0"/>
              <w:rPr>
                <w:rFonts w:hint="default" w:ascii="Times New Roman" w:hAnsi="Times New Roman" w:cs="Times New Roman"/>
                <w:color w:val="auto"/>
                <w:highlight w:val="none"/>
              </w:rPr>
            </w:pPr>
          </w:p>
        </w:tc>
      </w:tr>
      <w:tr w14:paraId="22A14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B6335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44</w:t>
            </w:r>
          </w:p>
        </w:tc>
        <w:tc>
          <w:tcPr>
            <w:tcW w:w="1195" w:type="pct"/>
            <w:vAlign w:val="center"/>
          </w:tcPr>
          <w:p w14:paraId="68060F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茚并[1,2,3-cd]芘</w:t>
            </w:r>
          </w:p>
        </w:tc>
        <w:tc>
          <w:tcPr>
            <w:tcW w:w="919" w:type="pct"/>
            <w:vAlign w:val="center"/>
          </w:tcPr>
          <w:p w14:paraId="4B9F17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143260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7816ED79">
            <w:pPr>
              <w:pStyle w:val="46"/>
              <w:bidi w:val="0"/>
              <w:rPr>
                <w:rFonts w:hint="default" w:ascii="Times New Roman" w:hAnsi="Times New Roman" w:cs="Times New Roman"/>
                <w:color w:val="auto"/>
                <w:highlight w:val="none"/>
              </w:rPr>
            </w:pPr>
          </w:p>
        </w:tc>
      </w:tr>
      <w:tr w14:paraId="06DA9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F89B8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c>
          <w:tcPr>
            <w:tcW w:w="1195" w:type="pct"/>
            <w:vAlign w:val="center"/>
          </w:tcPr>
          <w:p w14:paraId="01780C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萘</w:t>
            </w:r>
          </w:p>
        </w:tc>
        <w:tc>
          <w:tcPr>
            <w:tcW w:w="919" w:type="pct"/>
            <w:vAlign w:val="center"/>
          </w:tcPr>
          <w:p w14:paraId="75720F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3D812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157" w:type="pct"/>
            <w:vMerge w:val="continue"/>
            <w:vAlign w:val="center"/>
          </w:tcPr>
          <w:p w14:paraId="0348470E">
            <w:pPr>
              <w:pStyle w:val="46"/>
              <w:bidi w:val="0"/>
              <w:rPr>
                <w:rFonts w:hint="default" w:ascii="Times New Roman" w:hAnsi="Times New Roman" w:cs="Times New Roman"/>
                <w:color w:val="auto"/>
                <w:highlight w:val="none"/>
              </w:rPr>
            </w:pPr>
          </w:p>
        </w:tc>
      </w:tr>
    </w:tbl>
    <w:p w14:paraId="0B769B2C">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表2-5-6  农用地土壤污染风险筛选值（基本项目），单位：mg/kg</w:t>
      </w:r>
    </w:p>
    <w:tbl>
      <w:tblPr>
        <w:tblStyle w:val="24"/>
        <w:tblW w:w="5000" w:type="pct"/>
        <w:tblInd w:w="0" w:type="dxa"/>
        <w:tblLayout w:type="autofit"/>
        <w:tblCellMar>
          <w:top w:w="0" w:type="dxa"/>
          <w:left w:w="108" w:type="dxa"/>
          <w:bottom w:w="0" w:type="dxa"/>
          <w:right w:w="108" w:type="dxa"/>
        </w:tblCellMar>
      </w:tblPr>
      <w:tblGrid>
        <w:gridCol w:w="841"/>
        <w:gridCol w:w="789"/>
        <w:gridCol w:w="1180"/>
        <w:gridCol w:w="1127"/>
        <w:gridCol w:w="1753"/>
        <w:gridCol w:w="1700"/>
        <w:gridCol w:w="1132"/>
      </w:tblGrid>
      <w:tr w14:paraId="2EFCC852">
        <w:tblPrEx>
          <w:tblCellMar>
            <w:top w:w="0" w:type="dxa"/>
            <w:left w:w="108" w:type="dxa"/>
            <w:bottom w:w="0" w:type="dxa"/>
            <w:right w:w="108" w:type="dxa"/>
          </w:tblCellMar>
        </w:tblPrEx>
        <w:tc>
          <w:tcPr>
            <w:tcW w:w="494" w:type="pct"/>
            <w:vMerge w:val="restart"/>
            <w:tcBorders>
              <w:top w:val="single" w:color="auto" w:sz="12" w:space="0"/>
              <w:left w:val="nil"/>
              <w:bottom w:val="single" w:color="auto" w:sz="4" w:space="0"/>
              <w:right w:val="single" w:color="auto" w:sz="4" w:space="0"/>
            </w:tcBorders>
          </w:tcPr>
          <w:p w14:paraId="602B910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序号</w:t>
            </w:r>
          </w:p>
        </w:tc>
        <w:tc>
          <w:tcPr>
            <w:tcW w:w="1155" w:type="pct"/>
            <w:gridSpan w:val="2"/>
            <w:vMerge w:val="restart"/>
            <w:tcBorders>
              <w:top w:val="single" w:color="auto" w:sz="12" w:space="0"/>
              <w:left w:val="single" w:color="auto" w:sz="4" w:space="0"/>
              <w:bottom w:val="single" w:color="auto" w:sz="4" w:space="0"/>
              <w:right w:val="single" w:color="auto" w:sz="4" w:space="0"/>
            </w:tcBorders>
          </w:tcPr>
          <w:p w14:paraId="0266E6D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污染物项目①②</w:t>
            </w:r>
          </w:p>
        </w:tc>
        <w:tc>
          <w:tcPr>
            <w:tcW w:w="3350" w:type="pct"/>
            <w:gridSpan w:val="4"/>
            <w:tcBorders>
              <w:top w:val="single" w:color="auto" w:sz="12" w:space="0"/>
              <w:left w:val="single" w:color="auto" w:sz="4" w:space="0"/>
              <w:bottom w:val="single" w:color="auto" w:sz="4" w:space="0"/>
              <w:right w:val="nil"/>
            </w:tcBorders>
          </w:tcPr>
          <w:p w14:paraId="40B3061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风险筛选值</w:t>
            </w:r>
          </w:p>
        </w:tc>
      </w:tr>
      <w:tr w14:paraId="10AE87A9">
        <w:tblPrEx>
          <w:tblCellMar>
            <w:top w:w="0" w:type="dxa"/>
            <w:left w:w="108" w:type="dxa"/>
            <w:bottom w:w="0" w:type="dxa"/>
            <w:right w:w="108" w:type="dxa"/>
          </w:tblCellMar>
        </w:tblPrEx>
        <w:tc>
          <w:tcPr>
            <w:tcW w:w="494" w:type="pct"/>
            <w:vMerge w:val="continue"/>
            <w:tcBorders>
              <w:top w:val="single" w:color="auto" w:sz="12" w:space="0"/>
              <w:left w:val="nil"/>
              <w:bottom w:val="single" w:color="auto" w:sz="4" w:space="0"/>
              <w:right w:val="single" w:color="auto" w:sz="4" w:space="0"/>
            </w:tcBorders>
          </w:tcPr>
          <w:p w14:paraId="329DABDC">
            <w:pPr>
              <w:pStyle w:val="46"/>
              <w:bidi w:val="0"/>
              <w:rPr>
                <w:rFonts w:hint="default" w:ascii="Times New Roman" w:hAnsi="Times New Roman" w:cs="Times New Roman"/>
                <w:color w:val="auto"/>
                <w:highlight w:val="none"/>
                <w:lang w:eastAsia="en-US"/>
              </w:rPr>
            </w:pPr>
          </w:p>
        </w:tc>
        <w:tc>
          <w:tcPr>
            <w:tcW w:w="1155" w:type="pct"/>
            <w:gridSpan w:val="2"/>
            <w:vMerge w:val="continue"/>
            <w:tcBorders>
              <w:top w:val="single" w:color="auto" w:sz="12" w:space="0"/>
              <w:left w:val="single" w:color="auto" w:sz="4" w:space="0"/>
              <w:bottom w:val="single" w:color="auto" w:sz="4" w:space="0"/>
              <w:right w:val="single" w:color="auto" w:sz="4" w:space="0"/>
            </w:tcBorders>
          </w:tcPr>
          <w:p w14:paraId="65D6E7FE">
            <w:pPr>
              <w:pStyle w:val="46"/>
              <w:bidi w:val="0"/>
              <w:rPr>
                <w:rFonts w:hint="default" w:ascii="Times New Roman" w:hAnsi="Times New Roman" w:cs="Times New Roman"/>
                <w:color w:val="auto"/>
                <w:highlight w:val="none"/>
                <w:lang w:eastAsia="en-US"/>
              </w:rPr>
            </w:pPr>
          </w:p>
        </w:tc>
        <w:tc>
          <w:tcPr>
            <w:tcW w:w="661" w:type="pct"/>
            <w:tcBorders>
              <w:top w:val="single" w:color="auto" w:sz="4" w:space="0"/>
              <w:left w:val="single" w:color="auto" w:sz="4" w:space="0"/>
              <w:bottom w:val="single" w:color="auto" w:sz="4" w:space="0"/>
              <w:right w:val="single" w:color="auto" w:sz="4" w:space="0"/>
            </w:tcBorders>
          </w:tcPr>
          <w:p w14:paraId="008EE9A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pH≤5.5</w:t>
            </w:r>
          </w:p>
        </w:tc>
        <w:tc>
          <w:tcPr>
            <w:tcW w:w="1028" w:type="pct"/>
            <w:tcBorders>
              <w:top w:val="single" w:color="auto" w:sz="4" w:space="0"/>
              <w:left w:val="single" w:color="auto" w:sz="4" w:space="0"/>
              <w:bottom w:val="single" w:color="auto" w:sz="4" w:space="0"/>
              <w:right w:val="single" w:color="auto" w:sz="4" w:space="0"/>
            </w:tcBorders>
          </w:tcPr>
          <w:p w14:paraId="05A627C7">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5.5＜pH≤6.5</w:t>
            </w:r>
          </w:p>
        </w:tc>
        <w:tc>
          <w:tcPr>
            <w:tcW w:w="997" w:type="pct"/>
            <w:tcBorders>
              <w:top w:val="single" w:color="auto" w:sz="4" w:space="0"/>
              <w:left w:val="single" w:color="auto" w:sz="4" w:space="0"/>
              <w:bottom w:val="single" w:color="auto" w:sz="4" w:space="0"/>
              <w:right w:val="single" w:color="auto" w:sz="4" w:space="0"/>
            </w:tcBorders>
          </w:tcPr>
          <w:p w14:paraId="52509FA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6.5&lt; pH≤7.5</w:t>
            </w:r>
          </w:p>
        </w:tc>
        <w:tc>
          <w:tcPr>
            <w:tcW w:w="663" w:type="pct"/>
            <w:tcBorders>
              <w:top w:val="single" w:color="auto" w:sz="4" w:space="0"/>
              <w:left w:val="single" w:color="auto" w:sz="4" w:space="0"/>
              <w:bottom w:val="single" w:color="auto" w:sz="4" w:space="0"/>
              <w:right w:val="nil"/>
            </w:tcBorders>
          </w:tcPr>
          <w:p w14:paraId="7A0AF038">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pH&gt;7.5</w:t>
            </w:r>
          </w:p>
        </w:tc>
      </w:tr>
      <w:tr w14:paraId="3E7D983E">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129726DA">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w:t>
            </w:r>
          </w:p>
        </w:tc>
        <w:tc>
          <w:tcPr>
            <w:tcW w:w="463" w:type="pct"/>
            <w:vMerge w:val="restart"/>
            <w:tcBorders>
              <w:top w:val="single" w:color="auto" w:sz="4" w:space="0"/>
              <w:left w:val="single" w:color="auto" w:sz="4" w:space="0"/>
              <w:bottom w:val="single" w:color="auto" w:sz="4" w:space="0"/>
              <w:right w:val="single" w:color="auto" w:sz="4" w:space="0"/>
            </w:tcBorders>
          </w:tcPr>
          <w:p w14:paraId="4BBA457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镉</w:t>
            </w:r>
          </w:p>
        </w:tc>
        <w:tc>
          <w:tcPr>
            <w:tcW w:w="691" w:type="pct"/>
            <w:tcBorders>
              <w:top w:val="single" w:color="auto" w:sz="4" w:space="0"/>
              <w:left w:val="single" w:color="auto" w:sz="4" w:space="0"/>
              <w:bottom w:val="single" w:color="auto" w:sz="4" w:space="0"/>
              <w:right w:val="single" w:color="auto" w:sz="4" w:space="0"/>
            </w:tcBorders>
          </w:tcPr>
          <w:p w14:paraId="4408095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035B85B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1028" w:type="pct"/>
            <w:tcBorders>
              <w:top w:val="single" w:color="auto" w:sz="4" w:space="0"/>
              <w:left w:val="single" w:color="auto" w:sz="4" w:space="0"/>
              <w:bottom w:val="single" w:color="auto" w:sz="4" w:space="0"/>
              <w:right w:val="single" w:color="auto" w:sz="4" w:space="0"/>
            </w:tcBorders>
          </w:tcPr>
          <w:p w14:paraId="69262E13">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0.4</w:t>
            </w:r>
          </w:p>
        </w:tc>
        <w:tc>
          <w:tcPr>
            <w:tcW w:w="997" w:type="pct"/>
            <w:tcBorders>
              <w:top w:val="single" w:color="auto" w:sz="4" w:space="0"/>
              <w:left w:val="single" w:color="auto" w:sz="4" w:space="0"/>
              <w:bottom w:val="single" w:color="auto" w:sz="4" w:space="0"/>
              <w:right w:val="single" w:color="auto" w:sz="4" w:space="0"/>
            </w:tcBorders>
          </w:tcPr>
          <w:p w14:paraId="78C2724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c>
          <w:tcPr>
            <w:tcW w:w="663" w:type="pct"/>
            <w:tcBorders>
              <w:top w:val="single" w:color="auto" w:sz="4" w:space="0"/>
              <w:left w:val="single" w:color="auto" w:sz="4" w:space="0"/>
              <w:bottom w:val="single" w:color="auto" w:sz="4" w:space="0"/>
              <w:right w:val="nil"/>
            </w:tcBorders>
          </w:tcPr>
          <w:p w14:paraId="56A62245">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0.8</w:t>
            </w:r>
          </w:p>
        </w:tc>
      </w:tr>
      <w:tr w14:paraId="4A79CE15">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34660EE">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6E018591">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4B6DF64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548EADB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1028" w:type="pct"/>
            <w:tcBorders>
              <w:top w:val="single" w:color="auto" w:sz="4" w:space="0"/>
              <w:left w:val="single" w:color="auto" w:sz="4" w:space="0"/>
              <w:bottom w:val="single" w:color="auto" w:sz="4" w:space="0"/>
              <w:right w:val="single" w:color="auto" w:sz="4" w:space="0"/>
            </w:tcBorders>
          </w:tcPr>
          <w:p w14:paraId="00ABBCE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997" w:type="pct"/>
            <w:tcBorders>
              <w:top w:val="single" w:color="auto" w:sz="4" w:space="0"/>
              <w:left w:val="single" w:color="auto" w:sz="4" w:space="0"/>
              <w:bottom w:val="single" w:color="auto" w:sz="4" w:space="0"/>
              <w:right w:val="single" w:color="auto" w:sz="4" w:space="0"/>
            </w:tcBorders>
          </w:tcPr>
          <w:p w14:paraId="577A6E7D">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663" w:type="pct"/>
            <w:tcBorders>
              <w:top w:val="single" w:color="auto" w:sz="4" w:space="0"/>
              <w:left w:val="single" w:color="auto" w:sz="4" w:space="0"/>
              <w:bottom w:val="single" w:color="auto" w:sz="4" w:space="0"/>
              <w:right w:val="nil"/>
            </w:tcBorders>
          </w:tcPr>
          <w:p w14:paraId="0EED8E53">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r>
      <w:tr w14:paraId="7C482939">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3DE3E3D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w:t>
            </w:r>
          </w:p>
        </w:tc>
        <w:tc>
          <w:tcPr>
            <w:tcW w:w="463" w:type="pct"/>
            <w:vMerge w:val="restart"/>
            <w:tcBorders>
              <w:top w:val="single" w:color="auto" w:sz="4" w:space="0"/>
              <w:left w:val="single" w:color="auto" w:sz="4" w:space="0"/>
              <w:bottom w:val="single" w:color="auto" w:sz="4" w:space="0"/>
              <w:right w:val="single" w:color="auto" w:sz="4" w:space="0"/>
            </w:tcBorders>
          </w:tcPr>
          <w:p w14:paraId="6AA9156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汞</w:t>
            </w:r>
          </w:p>
        </w:tc>
        <w:tc>
          <w:tcPr>
            <w:tcW w:w="691" w:type="pct"/>
            <w:tcBorders>
              <w:top w:val="single" w:color="auto" w:sz="4" w:space="0"/>
              <w:left w:val="single" w:color="auto" w:sz="4" w:space="0"/>
              <w:bottom w:val="single" w:color="auto" w:sz="4" w:space="0"/>
              <w:right w:val="single" w:color="auto" w:sz="4" w:space="0"/>
            </w:tcBorders>
          </w:tcPr>
          <w:p w14:paraId="73A82B1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158A4DE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0.5</w:t>
            </w:r>
          </w:p>
        </w:tc>
        <w:tc>
          <w:tcPr>
            <w:tcW w:w="1028" w:type="pct"/>
            <w:tcBorders>
              <w:top w:val="single" w:color="auto" w:sz="4" w:space="0"/>
              <w:left w:val="single" w:color="auto" w:sz="4" w:space="0"/>
              <w:bottom w:val="single" w:color="auto" w:sz="4" w:space="0"/>
              <w:right w:val="single" w:color="auto" w:sz="4" w:space="0"/>
            </w:tcBorders>
          </w:tcPr>
          <w:p w14:paraId="75DA6483">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0.5</w:t>
            </w:r>
          </w:p>
        </w:tc>
        <w:tc>
          <w:tcPr>
            <w:tcW w:w="997" w:type="pct"/>
            <w:tcBorders>
              <w:top w:val="single" w:color="auto" w:sz="4" w:space="0"/>
              <w:left w:val="single" w:color="auto" w:sz="4" w:space="0"/>
              <w:bottom w:val="single" w:color="auto" w:sz="4" w:space="0"/>
              <w:right w:val="single" w:color="auto" w:sz="4" w:space="0"/>
            </w:tcBorders>
          </w:tcPr>
          <w:p w14:paraId="564EE32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c>
          <w:tcPr>
            <w:tcW w:w="663" w:type="pct"/>
            <w:tcBorders>
              <w:top w:val="single" w:color="auto" w:sz="4" w:space="0"/>
              <w:left w:val="single" w:color="auto" w:sz="4" w:space="0"/>
              <w:bottom w:val="single" w:color="auto" w:sz="4" w:space="0"/>
              <w:right w:val="nil"/>
            </w:tcBorders>
          </w:tcPr>
          <w:p w14:paraId="2B6C7EC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w:t>
            </w:r>
          </w:p>
        </w:tc>
      </w:tr>
      <w:tr w14:paraId="1C653F79">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76271DB">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16B6CC08">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7DBE10EA">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7F9BE22E">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1.3</w:t>
            </w:r>
          </w:p>
        </w:tc>
        <w:tc>
          <w:tcPr>
            <w:tcW w:w="1028" w:type="pct"/>
            <w:tcBorders>
              <w:top w:val="single" w:color="auto" w:sz="4" w:space="0"/>
              <w:left w:val="single" w:color="auto" w:sz="4" w:space="0"/>
              <w:bottom w:val="single" w:color="auto" w:sz="4" w:space="0"/>
              <w:right w:val="single" w:color="auto" w:sz="4" w:space="0"/>
            </w:tcBorders>
          </w:tcPr>
          <w:p w14:paraId="1A41049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1.8</w:t>
            </w:r>
          </w:p>
        </w:tc>
        <w:tc>
          <w:tcPr>
            <w:tcW w:w="997" w:type="pct"/>
            <w:tcBorders>
              <w:top w:val="single" w:color="auto" w:sz="4" w:space="0"/>
              <w:left w:val="single" w:color="auto" w:sz="4" w:space="0"/>
              <w:bottom w:val="single" w:color="auto" w:sz="4" w:space="0"/>
              <w:right w:val="single" w:color="auto" w:sz="4" w:space="0"/>
            </w:tcBorders>
          </w:tcPr>
          <w:p w14:paraId="4B5A9EED">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2.4</w:t>
            </w:r>
          </w:p>
        </w:tc>
        <w:tc>
          <w:tcPr>
            <w:tcW w:w="663" w:type="pct"/>
            <w:tcBorders>
              <w:top w:val="single" w:color="auto" w:sz="4" w:space="0"/>
              <w:left w:val="single" w:color="auto" w:sz="4" w:space="0"/>
              <w:bottom w:val="single" w:color="auto" w:sz="4" w:space="0"/>
              <w:right w:val="nil"/>
            </w:tcBorders>
          </w:tcPr>
          <w:p w14:paraId="6E8FC42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3.4</w:t>
            </w:r>
          </w:p>
        </w:tc>
      </w:tr>
      <w:tr w14:paraId="0C9A9337">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7340D20E">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w:t>
            </w:r>
          </w:p>
        </w:tc>
        <w:tc>
          <w:tcPr>
            <w:tcW w:w="463" w:type="pct"/>
            <w:vMerge w:val="restart"/>
            <w:tcBorders>
              <w:top w:val="single" w:color="auto" w:sz="4" w:space="0"/>
              <w:left w:val="single" w:color="auto" w:sz="4" w:space="0"/>
              <w:bottom w:val="single" w:color="auto" w:sz="4" w:space="0"/>
              <w:right w:val="single" w:color="auto" w:sz="4" w:space="0"/>
            </w:tcBorders>
          </w:tcPr>
          <w:p w14:paraId="18C75FC5">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砷</w:t>
            </w:r>
          </w:p>
        </w:tc>
        <w:tc>
          <w:tcPr>
            <w:tcW w:w="691" w:type="pct"/>
            <w:tcBorders>
              <w:top w:val="single" w:color="auto" w:sz="4" w:space="0"/>
              <w:left w:val="single" w:color="auto" w:sz="4" w:space="0"/>
              <w:bottom w:val="single" w:color="auto" w:sz="4" w:space="0"/>
              <w:right w:val="single" w:color="auto" w:sz="4" w:space="0"/>
            </w:tcBorders>
          </w:tcPr>
          <w:p w14:paraId="33B1C5A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45F7B31D">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1028" w:type="pct"/>
            <w:tcBorders>
              <w:top w:val="single" w:color="auto" w:sz="4" w:space="0"/>
              <w:left w:val="single" w:color="auto" w:sz="4" w:space="0"/>
              <w:bottom w:val="single" w:color="auto" w:sz="4" w:space="0"/>
              <w:right w:val="single" w:color="auto" w:sz="4" w:space="0"/>
            </w:tcBorders>
          </w:tcPr>
          <w:p w14:paraId="4A9F4284">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997" w:type="pct"/>
            <w:tcBorders>
              <w:top w:val="single" w:color="auto" w:sz="4" w:space="0"/>
              <w:left w:val="single" w:color="auto" w:sz="4" w:space="0"/>
              <w:bottom w:val="single" w:color="auto" w:sz="4" w:space="0"/>
              <w:right w:val="single" w:color="auto" w:sz="4" w:space="0"/>
            </w:tcBorders>
          </w:tcPr>
          <w:p w14:paraId="5AC799C5">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w:t>
            </w:r>
          </w:p>
        </w:tc>
        <w:tc>
          <w:tcPr>
            <w:tcW w:w="663" w:type="pct"/>
            <w:tcBorders>
              <w:top w:val="single" w:color="auto" w:sz="4" w:space="0"/>
              <w:left w:val="single" w:color="auto" w:sz="4" w:space="0"/>
              <w:bottom w:val="single" w:color="auto" w:sz="4" w:space="0"/>
              <w:right w:val="nil"/>
            </w:tcBorders>
          </w:tcPr>
          <w:p w14:paraId="3662EFE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w:t>
            </w:r>
          </w:p>
        </w:tc>
      </w:tr>
      <w:tr w14:paraId="7AC7E8D2">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210E6918">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40E27577">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4AC13577">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712CEAE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40</w:t>
            </w:r>
          </w:p>
        </w:tc>
        <w:tc>
          <w:tcPr>
            <w:tcW w:w="1028" w:type="pct"/>
            <w:tcBorders>
              <w:top w:val="single" w:color="auto" w:sz="4" w:space="0"/>
              <w:left w:val="single" w:color="auto" w:sz="4" w:space="0"/>
              <w:bottom w:val="single" w:color="auto" w:sz="4" w:space="0"/>
              <w:right w:val="single" w:color="auto" w:sz="4" w:space="0"/>
            </w:tcBorders>
          </w:tcPr>
          <w:p w14:paraId="633C5D2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40</w:t>
            </w:r>
          </w:p>
        </w:tc>
        <w:tc>
          <w:tcPr>
            <w:tcW w:w="997" w:type="pct"/>
            <w:tcBorders>
              <w:top w:val="single" w:color="auto" w:sz="4" w:space="0"/>
              <w:left w:val="single" w:color="auto" w:sz="4" w:space="0"/>
              <w:bottom w:val="single" w:color="auto" w:sz="4" w:space="0"/>
              <w:right w:val="single" w:color="auto" w:sz="4" w:space="0"/>
            </w:tcBorders>
          </w:tcPr>
          <w:p w14:paraId="1DCDCAA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663" w:type="pct"/>
            <w:tcBorders>
              <w:top w:val="single" w:color="auto" w:sz="4" w:space="0"/>
              <w:left w:val="single" w:color="auto" w:sz="4" w:space="0"/>
              <w:bottom w:val="single" w:color="auto" w:sz="4" w:space="0"/>
              <w:right w:val="nil"/>
            </w:tcBorders>
          </w:tcPr>
          <w:p w14:paraId="7AE33DD4">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w:t>
            </w:r>
          </w:p>
        </w:tc>
      </w:tr>
      <w:tr w14:paraId="5C42A147">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623BB56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w:t>
            </w:r>
          </w:p>
        </w:tc>
        <w:tc>
          <w:tcPr>
            <w:tcW w:w="463" w:type="pct"/>
            <w:vMerge w:val="restart"/>
            <w:tcBorders>
              <w:top w:val="single" w:color="auto" w:sz="4" w:space="0"/>
              <w:left w:val="single" w:color="auto" w:sz="4" w:space="0"/>
              <w:bottom w:val="single" w:color="auto" w:sz="4" w:space="0"/>
              <w:right w:val="single" w:color="auto" w:sz="4" w:space="0"/>
            </w:tcBorders>
          </w:tcPr>
          <w:p w14:paraId="27AB06AA">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铅</w:t>
            </w:r>
          </w:p>
        </w:tc>
        <w:tc>
          <w:tcPr>
            <w:tcW w:w="691" w:type="pct"/>
            <w:tcBorders>
              <w:top w:val="single" w:color="auto" w:sz="4" w:space="0"/>
              <w:left w:val="single" w:color="auto" w:sz="4" w:space="0"/>
              <w:bottom w:val="single" w:color="auto" w:sz="4" w:space="0"/>
              <w:right w:val="single" w:color="auto" w:sz="4" w:space="0"/>
            </w:tcBorders>
          </w:tcPr>
          <w:p w14:paraId="672B5DD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05BC79F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80</w:t>
            </w:r>
          </w:p>
        </w:tc>
        <w:tc>
          <w:tcPr>
            <w:tcW w:w="1028" w:type="pct"/>
            <w:tcBorders>
              <w:top w:val="single" w:color="auto" w:sz="4" w:space="0"/>
              <w:left w:val="single" w:color="auto" w:sz="4" w:space="0"/>
              <w:bottom w:val="single" w:color="auto" w:sz="4" w:space="0"/>
              <w:right w:val="single" w:color="auto" w:sz="4" w:space="0"/>
            </w:tcBorders>
          </w:tcPr>
          <w:p w14:paraId="2A9EF528">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997" w:type="pct"/>
            <w:tcBorders>
              <w:top w:val="single" w:color="auto" w:sz="4" w:space="0"/>
              <w:left w:val="single" w:color="auto" w:sz="4" w:space="0"/>
              <w:bottom w:val="single" w:color="auto" w:sz="4" w:space="0"/>
              <w:right w:val="single" w:color="auto" w:sz="4" w:space="0"/>
            </w:tcBorders>
          </w:tcPr>
          <w:p w14:paraId="2F2FDAD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140</w:t>
            </w:r>
          </w:p>
        </w:tc>
        <w:tc>
          <w:tcPr>
            <w:tcW w:w="663" w:type="pct"/>
            <w:tcBorders>
              <w:top w:val="single" w:color="auto" w:sz="4" w:space="0"/>
              <w:left w:val="single" w:color="auto" w:sz="4" w:space="0"/>
              <w:bottom w:val="single" w:color="auto" w:sz="4" w:space="0"/>
              <w:right w:val="nil"/>
            </w:tcBorders>
          </w:tcPr>
          <w:p w14:paraId="59EC609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240</w:t>
            </w:r>
          </w:p>
        </w:tc>
      </w:tr>
      <w:tr w14:paraId="1EE5DA35">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0331F684">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2ECAD1A3">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35D9301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68168C9D">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70</w:t>
            </w:r>
          </w:p>
        </w:tc>
        <w:tc>
          <w:tcPr>
            <w:tcW w:w="1028" w:type="pct"/>
            <w:tcBorders>
              <w:top w:val="single" w:color="auto" w:sz="4" w:space="0"/>
              <w:left w:val="single" w:color="auto" w:sz="4" w:space="0"/>
              <w:bottom w:val="single" w:color="auto" w:sz="4" w:space="0"/>
              <w:right w:val="single" w:color="auto" w:sz="4" w:space="0"/>
            </w:tcBorders>
          </w:tcPr>
          <w:p w14:paraId="441D4DF5">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90</w:t>
            </w:r>
          </w:p>
        </w:tc>
        <w:tc>
          <w:tcPr>
            <w:tcW w:w="997" w:type="pct"/>
            <w:tcBorders>
              <w:top w:val="single" w:color="auto" w:sz="4" w:space="0"/>
              <w:left w:val="single" w:color="auto" w:sz="4" w:space="0"/>
              <w:bottom w:val="single" w:color="auto" w:sz="4" w:space="0"/>
              <w:right w:val="single" w:color="auto" w:sz="4" w:space="0"/>
            </w:tcBorders>
          </w:tcPr>
          <w:p w14:paraId="33449190">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120</w:t>
            </w:r>
          </w:p>
        </w:tc>
        <w:tc>
          <w:tcPr>
            <w:tcW w:w="663" w:type="pct"/>
            <w:tcBorders>
              <w:top w:val="single" w:color="auto" w:sz="4" w:space="0"/>
              <w:left w:val="single" w:color="auto" w:sz="4" w:space="0"/>
              <w:bottom w:val="single" w:color="auto" w:sz="4" w:space="0"/>
              <w:right w:val="nil"/>
            </w:tcBorders>
          </w:tcPr>
          <w:p w14:paraId="689107D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170</w:t>
            </w:r>
          </w:p>
        </w:tc>
      </w:tr>
      <w:tr w14:paraId="094D31E1">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72F0F1B3">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w:t>
            </w:r>
          </w:p>
        </w:tc>
        <w:tc>
          <w:tcPr>
            <w:tcW w:w="463" w:type="pct"/>
            <w:vMerge w:val="restart"/>
            <w:tcBorders>
              <w:top w:val="single" w:color="auto" w:sz="4" w:space="0"/>
              <w:left w:val="single" w:color="auto" w:sz="4" w:space="0"/>
              <w:bottom w:val="single" w:color="auto" w:sz="4" w:space="0"/>
              <w:right w:val="single" w:color="auto" w:sz="4" w:space="0"/>
            </w:tcBorders>
          </w:tcPr>
          <w:p w14:paraId="2075670D">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铬</w:t>
            </w:r>
          </w:p>
        </w:tc>
        <w:tc>
          <w:tcPr>
            <w:tcW w:w="691" w:type="pct"/>
            <w:tcBorders>
              <w:top w:val="single" w:color="auto" w:sz="4" w:space="0"/>
              <w:left w:val="single" w:color="auto" w:sz="4" w:space="0"/>
              <w:bottom w:val="single" w:color="auto" w:sz="4" w:space="0"/>
              <w:right w:val="single" w:color="auto" w:sz="4" w:space="0"/>
            </w:tcBorders>
          </w:tcPr>
          <w:p w14:paraId="52FF1D7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201B0DFE">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1028" w:type="pct"/>
            <w:tcBorders>
              <w:top w:val="single" w:color="auto" w:sz="4" w:space="0"/>
              <w:left w:val="single" w:color="auto" w:sz="4" w:space="0"/>
              <w:bottom w:val="single" w:color="auto" w:sz="4" w:space="0"/>
              <w:right w:val="single" w:color="auto" w:sz="4" w:space="0"/>
            </w:tcBorders>
          </w:tcPr>
          <w:p w14:paraId="48F48AF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997" w:type="pct"/>
            <w:tcBorders>
              <w:top w:val="single" w:color="auto" w:sz="4" w:space="0"/>
              <w:left w:val="single" w:color="auto" w:sz="4" w:space="0"/>
              <w:bottom w:val="single" w:color="auto" w:sz="4" w:space="0"/>
              <w:right w:val="single" w:color="auto" w:sz="4" w:space="0"/>
            </w:tcBorders>
          </w:tcPr>
          <w:p w14:paraId="6884CAD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300</w:t>
            </w:r>
          </w:p>
        </w:tc>
        <w:tc>
          <w:tcPr>
            <w:tcW w:w="663" w:type="pct"/>
            <w:tcBorders>
              <w:top w:val="single" w:color="auto" w:sz="4" w:space="0"/>
              <w:left w:val="single" w:color="auto" w:sz="4" w:space="0"/>
              <w:bottom w:val="single" w:color="auto" w:sz="4" w:space="0"/>
              <w:right w:val="nil"/>
            </w:tcBorders>
          </w:tcPr>
          <w:p w14:paraId="4966D6D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350</w:t>
            </w:r>
          </w:p>
        </w:tc>
      </w:tr>
      <w:tr w14:paraId="1238F563">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17F3F8E">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39B61AFB">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1A35D458">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1E20008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1028" w:type="pct"/>
            <w:tcBorders>
              <w:top w:val="single" w:color="auto" w:sz="4" w:space="0"/>
              <w:left w:val="single" w:color="auto" w:sz="4" w:space="0"/>
              <w:bottom w:val="single" w:color="auto" w:sz="4" w:space="0"/>
              <w:right w:val="single" w:color="auto" w:sz="4" w:space="0"/>
            </w:tcBorders>
          </w:tcPr>
          <w:p w14:paraId="4CC1C6C3">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997" w:type="pct"/>
            <w:tcBorders>
              <w:top w:val="single" w:color="auto" w:sz="4" w:space="0"/>
              <w:left w:val="single" w:color="auto" w:sz="4" w:space="0"/>
              <w:bottom w:val="single" w:color="auto" w:sz="4" w:space="0"/>
              <w:right w:val="single" w:color="auto" w:sz="4" w:space="0"/>
            </w:tcBorders>
          </w:tcPr>
          <w:p w14:paraId="40F300C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663" w:type="pct"/>
            <w:tcBorders>
              <w:top w:val="single" w:color="auto" w:sz="4" w:space="0"/>
              <w:left w:val="single" w:color="auto" w:sz="4" w:space="0"/>
              <w:bottom w:val="single" w:color="auto" w:sz="4" w:space="0"/>
              <w:right w:val="nil"/>
            </w:tcBorders>
          </w:tcPr>
          <w:p w14:paraId="4570C4C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r>
      <w:tr w14:paraId="08BD7F1B">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2E2A7F34">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w:t>
            </w:r>
          </w:p>
        </w:tc>
        <w:tc>
          <w:tcPr>
            <w:tcW w:w="463" w:type="pct"/>
            <w:vMerge w:val="restart"/>
            <w:tcBorders>
              <w:top w:val="single" w:color="auto" w:sz="4" w:space="0"/>
              <w:left w:val="single" w:color="auto" w:sz="4" w:space="0"/>
              <w:bottom w:val="single" w:color="auto" w:sz="4" w:space="0"/>
              <w:right w:val="single" w:color="auto" w:sz="4" w:space="0"/>
            </w:tcBorders>
          </w:tcPr>
          <w:p w14:paraId="2F5EB61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铜</w:t>
            </w:r>
          </w:p>
        </w:tc>
        <w:tc>
          <w:tcPr>
            <w:tcW w:w="691" w:type="pct"/>
            <w:tcBorders>
              <w:top w:val="single" w:color="auto" w:sz="4" w:space="0"/>
              <w:left w:val="single" w:color="auto" w:sz="4" w:space="0"/>
              <w:bottom w:val="single" w:color="auto" w:sz="4" w:space="0"/>
              <w:right w:val="single" w:color="auto" w:sz="4" w:space="0"/>
            </w:tcBorders>
          </w:tcPr>
          <w:p w14:paraId="5F7DA0F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果园</w:t>
            </w:r>
          </w:p>
        </w:tc>
        <w:tc>
          <w:tcPr>
            <w:tcW w:w="661" w:type="pct"/>
            <w:tcBorders>
              <w:top w:val="single" w:color="auto" w:sz="4" w:space="0"/>
              <w:left w:val="single" w:color="auto" w:sz="4" w:space="0"/>
              <w:bottom w:val="single" w:color="auto" w:sz="4" w:space="0"/>
              <w:right w:val="single" w:color="auto" w:sz="4" w:space="0"/>
            </w:tcBorders>
          </w:tcPr>
          <w:p w14:paraId="71963964">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1028" w:type="pct"/>
            <w:tcBorders>
              <w:top w:val="single" w:color="auto" w:sz="4" w:space="0"/>
              <w:left w:val="single" w:color="auto" w:sz="4" w:space="0"/>
              <w:bottom w:val="single" w:color="auto" w:sz="4" w:space="0"/>
              <w:right w:val="single" w:color="auto" w:sz="4" w:space="0"/>
            </w:tcBorders>
          </w:tcPr>
          <w:p w14:paraId="2B249A9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997" w:type="pct"/>
            <w:tcBorders>
              <w:top w:val="single" w:color="auto" w:sz="4" w:space="0"/>
              <w:left w:val="single" w:color="auto" w:sz="4" w:space="0"/>
              <w:bottom w:val="single" w:color="auto" w:sz="4" w:space="0"/>
              <w:right w:val="single" w:color="auto" w:sz="4" w:space="0"/>
            </w:tcBorders>
          </w:tcPr>
          <w:p w14:paraId="364BE7BA">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663" w:type="pct"/>
            <w:tcBorders>
              <w:top w:val="single" w:color="auto" w:sz="4" w:space="0"/>
              <w:left w:val="single" w:color="auto" w:sz="4" w:space="0"/>
              <w:bottom w:val="single" w:color="auto" w:sz="4" w:space="0"/>
              <w:right w:val="nil"/>
            </w:tcBorders>
          </w:tcPr>
          <w:p w14:paraId="1905A5F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r>
      <w:tr w14:paraId="74150A21">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68C1D804">
            <w:pPr>
              <w:pStyle w:val="46"/>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6F890DE8">
            <w:pPr>
              <w:pStyle w:val="46"/>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77E7722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0513C340">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50</w:t>
            </w:r>
          </w:p>
        </w:tc>
        <w:tc>
          <w:tcPr>
            <w:tcW w:w="1028" w:type="pct"/>
            <w:tcBorders>
              <w:top w:val="single" w:color="auto" w:sz="4" w:space="0"/>
              <w:left w:val="single" w:color="auto" w:sz="4" w:space="0"/>
              <w:bottom w:val="single" w:color="auto" w:sz="4" w:space="0"/>
              <w:right w:val="single" w:color="auto" w:sz="4" w:space="0"/>
            </w:tcBorders>
          </w:tcPr>
          <w:p w14:paraId="623629D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50</w:t>
            </w:r>
          </w:p>
        </w:tc>
        <w:tc>
          <w:tcPr>
            <w:tcW w:w="997" w:type="pct"/>
            <w:tcBorders>
              <w:top w:val="single" w:color="auto" w:sz="4" w:space="0"/>
              <w:left w:val="single" w:color="auto" w:sz="4" w:space="0"/>
              <w:bottom w:val="single" w:color="auto" w:sz="4" w:space="0"/>
              <w:right w:val="single" w:color="auto" w:sz="4" w:space="0"/>
            </w:tcBorders>
          </w:tcPr>
          <w:p w14:paraId="52EF204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663" w:type="pct"/>
            <w:tcBorders>
              <w:top w:val="single" w:color="auto" w:sz="4" w:space="0"/>
              <w:left w:val="single" w:color="auto" w:sz="4" w:space="0"/>
              <w:bottom w:val="single" w:color="auto" w:sz="4" w:space="0"/>
              <w:right w:val="nil"/>
            </w:tcBorders>
          </w:tcPr>
          <w:p w14:paraId="3AB6061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r>
      <w:tr w14:paraId="555A7DB2">
        <w:tblPrEx>
          <w:tblCellMar>
            <w:top w:w="0" w:type="dxa"/>
            <w:left w:w="108" w:type="dxa"/>
            <w:bottom w:w="0" w:type="dxa"/>
            <w:right w:w="108" w:type="dxa"/>
          </w:tblCellMar>
        </w:tblPrEx>
        <w:tc>
          <w:tcPr>
            <w:tcW w:w="494" w:type="pct"/>
            <w:tcBorders>
              <w:top w:val="single" w:color="auto" w:sz="4" w:space="0"/>
              <w:left w:val="nil"/>
              <w:bottom w:val="single" w:color="auto" w:sz="4" w:space="0"/>
              <w:right w:val="single" w:color="auto" w:sz="4" w:space="0"/>
            </w:tcBorders>
          </w:tcPr>
          <w:p w14:paraId="6632896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w:t>
            </w:r>
          </w:p>
        </w:tc>
        <w:tc>
          <w:tcPr>
            <w:tcW w:w="1155" w:type="pct"/>
            <w:gridSpan w:val="2"/>
            <w:tcBorders>
              <w:top w:val="single" w:color="auto" w:sz="4" w:space="0"/>
              <w:left w:val="single" w:color="auto" w:sz="4" w:space="0"/>
              <w:bottom w:val="single" w:color="auto" w:sz="4" w:space="0"/>
              <w:right w:val="single" w:color="auto" w:sz="4" w:space="0"/>
            </w:tcBorders>
          </w:tcPr>
          <w:p w14:paraId="3BCE002C">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镍</w:t>
            </w:r>
          </w:p>
        </w:tc>
        <w:tc>
          <w:tcPr>
            <w:tcW w:w="661" w:type="pct"/>
            <w:tcBorders>
              <w:top w:val="single" w:color="auto" w:sz="4" w:space="0"/>
              <w:left w:val="single" w:color="auto" w:sz="4" w:space="0"/>
              <w:bottom w:val="single" w:color="auto" w:sz="4" w:space="0"/>
              <w:right w:val="single" w:color="auto" w:sz="4" w:space="0"/>
            </w:tcBorders>
          </w:tcPr>
          <w:p w14:paraId="68E963F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60</w:t>
            </w:r>
          </w:p>
        </w:tc>
        <w:tc>
          <w:tcPr>
            <w:tcW w:w="1028" w:type="pct"/>
            <w:tcBorders>
              <w:top w:val="single" w:color="auto" w:sz="4" w:space="0"/>
              <w:left w:val="single" w:color="auto" w:sz="4" w:space="0"/>
              <w:bottom w:val="single" w:color="auto" w:sz="4" w:space="0"/>
              <w:right w:val="single" w:color="auto" w:sz="4" w:space="0"/>
            </w:tcBorders>
          </w:tcPr>
          <w:p w14:paraId="5CACB53F">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70</w:t>
            </w:r>
          </w:p>
        </w:tc>
        <w:tc>
          <w:tcPr>
            <w:tcW w:w="997" w:type="pct"/>
            <w:tcBorders>
              <w:top w:val="single" w:color="auto" w:sz="4" w:space="0"/>
              <w:left w:val="single" w:color="auto" w:sz="4" w:space="0"/>
              <w:bottom w:val="single" w:color="auto" w:sz="4" w:space="0"/>
              <w:right w:val="single" w:color="auto" w:sz="4" w:space="0"/>
            </w:tcBorders>
          </w:tcPr>
          <w:p w14:paraId="68B22CC4">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663" w:type="pct"/>
            <w:tcBorders>
              <w:top w:val="single" w:color="auto" w:sz="4" w:space="0"/>
              <w:left w:val="single" w:color="auto" w:sz="4" w:space="0"/>
              <w:bottom w:val="single" w:color="auto" w:sz="4" w:space="0"/>
              <w:right w:val="nil"/>
            </w:tcBorders>
          </w:tcPr>
          <w:p w14:paraId="166C573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190</w:t>
            </w:r>
          </w:p>
        </w:tc>
      </w:tr>
      <w:tr w14:paraId="71B8763E">
        <w:tblPrEx>
          <w:tblCellMar>
            <w:top w:w="0" w:type="dxa"/>
            <w:left w:w="108" w:type="dxa"/>
            <w:bottom w:w="0" w:type="dxa"/>
            <w:right w:w="108" w:type="dxa"/>
          </w:tblCellMar>
        </w:tblPrEx>
        <w:tc>
          <w:tcPr>
            <w:tcW w:w="494" w:type="pct"/>
            <w:tcBorders>
              <w:top w:val="single" w:color="auto" w:sz="4" w:space="0"/>
              <w:left w:val="nil"/>
              <w:bottom w:val="single" w:color="auto" w:sz="12" w:space="0"/>
              <w:right w:val="single" w:color="auto" w:sz="4" w:space="0"/>
            </w:tcBorders>
          </w:tcPr>
          <w:p w14:paraId="0B94EFA8">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8</w:t>
            </w:r>
          </w:p>
        </w:tc>
        <w:tc>
          <w:tcPr>
            <w:tcW w:w="1155" w:type="pct"/>
            <w:gridSpan w:val="2"/>
            <w:tcBorders>
              <w:top w:val="single" w:color="auto" w:sz="4" w:space="0"/>
              <w:left w:val="single" w:color="auto" w:sz="4" w:space="0"/>
              <w:bottom w:val="single" w:color="auto" w:sz="12" w:space="0"/>
              <w:right w:val="single" w:color="auto" w:sz="4" w:space="0"/>
            </w:tcBorders>
          </w:tcPr>
          <w:p w14:paraId="6BBAB946">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锌</w:t>
            </w:r>
          </w:p>
        </w:tc>
        <w:tc>
          <w:tcPr>
            <w:tcW w:w="661" w:type="pct"/>
            <w:tcBorders>
              <w:top w:val="single" w:color="auto" w:sz="4" w:space="0"/>
              <w:left w:val="single" w:color="auto" w:sz="4" w:space="0"/>
              <w:bottom w:val="single" w:color="auto" w:sz="12" w:space="0"/>
              <w:right w:val="single" w:color="auto" w:sz="4" w:space="0"/>
            </w:tcBorders>
          </w:tcPr>
          <w:p w14:paraId="7562A9F0">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1028" w:type="pct"/>
            <w:tcBorders>
              <w:top w:val="single" w:color="auto" w:sz="4" w:space="0"/>
              <w:left w:val="single" w:color="auto" w:sz="4" w:space="0"/>
              <w:bottom w:val="single" w:color="auto" w:sz="12" w:space="0"/>
              <w:right w:val="single" w:color="auto" w:sz="4" w:space="0"/>
            </w:tcBorders>
          </w:tcPr>
          <w:p w14:paraId="651E519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997" w:type="pct"/>
            <w:tcBorders>
              <w:top w:val="single" w:color="auto" w:sz="4" w:space="0"/>
              <w:left w:val="single" w:color="auto" w:sz="4" w:space="0"/>
              <w:bottom w:val="single" w:color="auto" w:sz="12" w:space="0"/>
              <w:right w:val="single" w:color="auto" w:sz="4" w:space="0"/>
            </w:tcBorders>
          </w:tcPr>
          <w:p w14:paraId="572D4CB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663" w:type="pct"/>
            <w:tcBorders>
              <w:top w:val="single" w:color="auto" w:sz="4" w:space="0"/>
              <w:left w:val="single" w:color="auto" w:sz="4" w:space="0"/>
              <w:bottom w:val="single" w:color="auto" w:sz="12" w:space="0"/>
              <w:right w:val="nil"/>
            </w:tcBorders>
          </w:tcPr>
          <w:p w14:paraId="7FE43B00">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300</w:t>
            </w:r>
          </w:p>
        </w:tc>
      </w:tr>
    </w:tbl>
    <w:p w14:paraId="4C9D237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注：①重金属和类金属砷均按元素总量计。</w:t>
      </w:r>
    </w:p>
    <w:p w14:paraId="4367025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②对于水旱轮作地，采用其中较严格的风险筛选值。</w:t>
      </w:r>
    </w:p>
    <w:p w14:paraId="6DC6D2ED">
      <w:pPr>
        <w:pStyle w:val="41"/>
        <w:rPr>
          <w:rFonts w:hint="default" w:ascii="Times New Roman" w:hAnsi="Times New Roman" w:cs="Times New Roman"/>
          <w:color w:val="auto"/>
          <w:highlight w:val="none"/>
        </w:rPr>
      </w:pPr>
      <w:bookmarkStart w:id="97" w:name="_Toc20641"/>
      <w:r>
        <w:rPr>
          <w:rFonts w:hint="default" w:ascii="Times New Roman" w:hAnsi="Times New Roman" w:cs="Times New Roman"/>
          <w:color w:val="auto"/>
          <w:highlight w:val="none"/>
        </w:rPr>
        <w:t>2.5.2.污染物排放标准</w:t>
      </w:r>
      <w:bookmarkEnd w:id="97"/>
    </w:p>
    <w:p w14:paraId="7F96D0E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1、废气</w:t>
      </w:r>
    </w:p>
    <w:p w14:paraId="57D9CD4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施工期施工场地扬尘及施工过程项目无组织排放颗粒物排放执行《大气污染物综合排放标准》（GB16297-1996）表2无组织排放监控浓度限值要求。</w:t>
      </w:r>
    </w:p>
    <w:p w14:paraId="59A49A52">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表2-5-7《大气污染物综合排放标准》（GB16297-1996）表2要求</w:t>
      </w:r>
    </w:p>
    <w:tbl>
      <w:tblPr>
        <w:tblStyle w:val="24"/>
        <w:tblW w:w="83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3978"/>
        <w:gridCol w:w="2324"/>
      </w:tblGrid>
      <w:tr w14:paraId="7758A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8" w:type="dxa"/>
            <w:vMerge w:val="restart"/>
            <w:vAlign w:val="center"/>
          </w:tcPr>
          <w:p w14:paraId="1AC115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6302" w:type="dxa"/>
            <w:gridSpan w:val="2"/>
            <w:vAlign w:val="center"/>
          </w:tcPr>
          <w:p w14:paraId="7C7032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无组织排放监控浓度限值（mg/m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r>
      <w:tr w14:paraId="126A9F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8" w:type="dxa"/>
            <w:vMerge w:val="continue"/>
            <w:vAlign w:val="center"/>
          </w:tcPr>
          <w:p w14:paraId="1E70605B">
            <w:pPr>
              <w:pStyle w:val="46"/>
              <w:bidi w:val="0"/>
              <w:rPr>
                <w:rFonts w:hint="default" w:ascii="Times New Roman" w:hAnsi="Times New Roman" w:cs="Times New Roman"/>
                <w:color w:val="auto"/>
                <w:highlight w:val="none"/>
              </w:rPr>
            </w:pPr>
          </w:p>
        </w:tc>
        <w:tc>
          <w:tcPr>
            <w:tcW w:w="3978" w:type="dxa"/>
            <w:vAlign w:val="center"/>
          </w:tcPr>
          <w:p w14:paraId="582D44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监控点</w:t>
            </w:r>
          </w:p>
        </w:tc>
        <w:tc>
          <w:tcPr>
            <w:tcW w:w="2324" w:type="dxa"/>
            <w:vAlign w:val="center"/>
          </w:tcPr>
          <w:p w14:paraId="5BA2DFA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tc>
      </w:tr>
      <w:tr w14:paraId="7CA3C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8" w:type="dxa"/>
            <w:vAlign w:val="center"/>
          </w:tcPr>
          <w:p w14:paraId="1F6EF9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3978" w:type="dxa"/>
            <w:vAlign w:val="center"/>
          </w:tcPr>
          <w:p w14:paraId="7F69BF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周围外浓度最高点</w:t>
            </w:r>
          </w:p>
        </w:tc>
        <w:tc>
          <w:tcPr>
            <w:tcW w:w="2324" w:type="dxa"/>
            <w:vAlign w:val="center"/>
          </w:tcPr>
          <w:p w14:paraId="16E224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bl>
    <w:p w14:paraId="3243F73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2、水污染物排放标准</w:t>
      </w:r>
    </w:p>
    <w:p w14:paraId="20CFA53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r>
        <w:rPr>
          <w:rFonts w:hint="default" w:ascii="Times New Roman" w:hAnsi="Times New Roman" w:cs="Times New Roman"/>
          <w:color w:val="auto"/>
          <w:highlight w:val="none"/>
          <w:lang w:val="en-US" w:eastAsia="zh-CN"/>
        </w:rPr>
        <w:t>本项目无生活区，无生活污水产生。</w:t>
      </w:r>
      <w:r>
        <w:rPr>
          <w:rFonts w:hint="default" w:ascii="Times New Roman" w:hAnsi="Times New Roman" w:cs="Times New Roman"/>
          <w:color w:val="auto"/>
          <w:highlight w:val="none"/>
        </w:rPr>
        <w:t>本项目不设预制场和拌合场，施工废水用于厂区内洒水降尘，不外排。</w:t>
      </w:r>
    </w:p>
    <w:p w14:paraId="59012FD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3、噪声排放标准</w:t>
      </w:r>
    </w:p>
    <w:p w14:paraId="1D94A87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本项目施工期噪声执行《建筑施工场界环境噪声排放标准》（GB12523-2011）。</w:t>
      </w:r>
    </w:p>
    <w:p w14:paraId="6B10A065">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表2-5-8《建筑施工场界环境噪声排放标准》（GB12523-2011）单位：dB(A)</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0E9F7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500" w:type="pct"/>
            <w:vAlign w:val="center"/>
          </w:tcPr>
          <w:p w14:paraId="77E62C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2500" w:type="pct"/>
            <w:vAlign w:val="center"/>
          </w:tcPr>
          <w:p w14:paraId="5445A38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072A3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2500" w:type="pct"/>
            <w:vAlign w:val="center"/>
          </w:tcPr>
          <w:p w14:paraId="168FA5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2500" w:type="pct"/>
            <w:vAlign w:val="center"/>
          </w:tcPr>
          <w:p w14:paraId="1FC5ED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7A0709C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4、固体废物</w:t>
      </w:r>
    </w:p>
    <w:p w14:paraId="7B0FA01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本项目一般固体废物执行《一般工业固体废物贮存和填埋污染控制标准》（GB18599-2020）。</w:t>
      </w:r>
    </w:p>
    <w:p w14:paraId="217D6933">
      <w:pPr>
        <w:pStyle w:val="43"/>
        <w:rPr>
          <w:rFonts w:hint="default" w:ascii="Times New Roman" w:hAnsi="Times New Roman" w:cs="Times New Roman"/>
          <w:color w:val="auto"/>
          <w:highlight w:val="none"/>
        </w:rPr>
      </w:pPr>
      <w:bookmarkStart w:id="98" w:name="_Toc31201"/>
      <w:bookmarkStart w:id="99" w:name="_Toc119316792"/>
      <w:bookmarkStart w:id="100" w:name="_Toc4571"/>
      <w:bookmarkStart w:id="101" w:name="_Toc152926811"/>
      <w:r>
        <w:rPr>
          <w:rFonts w:hint="default" w:ascii="Times New Roman" w:hAnsi="Times New Roman" w:cs="Times New Roman"/>
          <w:color w:val="auto"/>
          <w:highlight w:val="none"/>
        </w:rPr>
        <w:t>2.6评价工作等级</w:t>
      </w:r>
      <w:bookmarkEnd w:id="98"/>
      <w:bookmarkEnd w:id="99"/>
      <w:bookmarkEnd w:id="100"/>
      <w:bookmarkEnd w:id="101"/>
    </w:p>
    <w:p w14:paraId="327FBE60">
      <w:pPr>
        <w:pStyle w:val="41"/>
        <w:rPr>
          <w:rFonts w:hint="default" w:ascii="Times New Roman" w:hAnsi="Times New Roman" w:cs="Times New Roman"/>
          <w:color w:val="auto"/>
          <w:highlight w:val="none"/>
        </w:rPr>
      </w:pPr>
      <w:bookmarkStart w:id="102" w:name="_Toc27484"/>
      <w:bookmarkStart w:id="103" w:name="_Toc88900493"/>
      <w:bookmarkStart w:id="104" w:name="_Toc88969053"/>
      <w:bookmarkStart w:id="105" w:name="_Toc88968910"/>
      <w:bookmarkStart w:id="106" w:name="_Toc89231863"/>
      <w:r>
        <w:rPr>
          <w:rFonts w:hint="default" w:ascii="Times New Roman" w:hAnsi="Times New Roman" w:cs="Times New Roman"/>
          <w:color w:val="auto"/>
          <w:highlight w:val="none"/>
        </w:rPr>
        <w:t>2.6.1环境空气</w:t>
      </w:r>
      <w:bookmarkEnd w:id="102"/>
    </w:p>
    <w:bookmarkEnd w:id="103"/>
    <w:bookmarkEnd w:id="104"/>
    <w:bookmarkEnd w:id="105"/>
    <w:bookmarkEnd w:id="106"/>
    <w:p w14:paraId="69B74A5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37AC6AF6">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表2-6-1大气评价等级确定表</w:t>
      </w:r>
    </w:p>
    <w:tbl>
      <w:tblPr>
        <w:tblStyle w:val="24"/>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962"/>
        <w:gridCol w:w="3344"/>
      </w:tblGrid>
      <w:tr w14:paraId="293F36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6C903A6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评价工作等级判据</w:t>
            </w:r>
          </w:p>
        </w:tc>
        <w:tc>
          <w:tcPr>
            <w:tcW w:w="3344" w:type="dxa"/>
            <w:vAlign w:val="center"/>
          </w:tcPr>
          <w:p w14:paraId="741D75D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评价工作等级</w:t>
            </w:r>
          </w:p>
        </w:tc>
      </w:tr>
      <w:tr w14:paraId="1B2D10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792984B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Pmax≥10%</w:t>
            </w:r>
          </w:p>
        </w:tc>
        <w:tc>
          <w:tcPr>
            <w:tcW w:w="3344" w:type="dxa"/>
            <w:vAlign w:val="center"/>
          </w:tcPr>
          <w:p w14:paraId="48D47F8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r>
      <w:tr w14:paraId="7E6737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2ACC6F9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1%≤Pmax＜10%</w:t>
            </w:r>
          </w:p>
        </w:tc>
        <w:tc>
          <w:tcPr>
            <w:tcW w:w="3344" w:type="dxa"/>
            <w:vAlign w:val="center"/>
          </w:tcPr>
          <w:p w14:paraId="7FE1397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r>
      <w:tr w14:paraId="69F2AB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58BB4BE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Pmax＜1%</w:t>
            </w:r>
          </w:p>
        </w:tc>
        <w:tc>
          <w:tcPr>
            <w:tcW w:w="3344" w:type="dxa"/>
            <w:vAlign w:val="center"/>
          </w:tcPr>
          <w:p w14:paraId="245B9F1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r>
    </w:tbl>
    <w:p w14:paraId="1D978FBF">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依据《环境影响评价技术导则 大气环境》(HJ2.2-2018）中最大地面浓度占标率P</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定义如下：</w:t>
      </w:r>
    </w:p>
    <w:p w14:paraId="5A725D5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Pi =Ci/C0i×100%</w:t>
      </w:r>
    </w:p>
    <w:p w14:paraId="7072B87A">
      <w:pPr>
        <w:pStyle w:val="27"/>
        <w:ind w:firstLine="480"/>
        <w:rPr>
          <w:rFonts w:hint="default" w:ascii="Times New Roman" w:hAnsi="Times New Roman" w:cs="Times New Roman"/>
          <w:color w:val="auto"/>
          <w:highlight w:val="none"/>
        </w:rPr>
      </w:pPr>
      <m:oMath>
        <m:sSub>
          <m:sSubPr>
            <m:ctrlPr>
              <w:rPr>
                <w:rFonts w:hint="default" w:ascii="Cambria Math" w:hAnsi="Cambria Math" w:cs="Times New Roman"/>
                <w:color w:val="auto"/>
                <w:highlight w:val="none"/>
              </w:rPr>
            </m:ctrlPr>
          </m:sSubPr>
          <m:e>
            <m:r>
              <m:rPr/>
              <w:rPr>
                <w:rFonts w:hint="default" w:ascii="Cambria Math" w:hAnsi="Cambria Math" w:cs="Times New Roman"/>
                <w:color w:val="auto"/>
                <w:highlight w:val="none"/>
              </w:rPr>
              <m:t>P</m:t>
            </m:r>
            <m:ctrlPr>
              <w:rPr>
                <w:rFonts w:hint="default" w:ascii="Cambria Math" w:hAnsi="Cambria Math" w:cs="Times New Roman"/>
                <w:color w:val="auto"/>
                <w:highlight w:val="none"/>
              </w:rPr>
            </m:ctrlPr>
          </m:e>
          <m:sub>
            <m:r>
              <m:rPr/>
              <w:rPr>
                <w:rFonts w:hint="default" w:ascii="Cambria Math" w:hAnsi="Cambria Math" w:cs="Times New Roman"/>
                <w:color w:val="auto"/>
                <w:highlight w:val="none"/>
              </w:rPr>
              <m:t>i</m:t>
            </m:r>
            <m:ctrlPr>
              <w:rPr>
                <w:rFonts w:hint="default" w:ascii="Cambria Math" w:hAnsi="Cambria Math" w:cs="Times New Roman"/>
                <w:color w:val="auto"/>
                <w:highlight w:val="none"/>
              </w:rPr>
            </m:ctrlPr>
          </m:sub>
        </m:sSub>
      </m:oMath>
      <w:r>
        <w:rPr>
          <w:rFonts w:hint="default" w:ascii="Times New Roman" w:hAnsi="Times New Roman" w:cs="Times New Roman"/>
          <w:color w:val="auto"/>
          <w:highlight w:val="none"/>
        </w:rPr>
        <w:t xml:space="preserve"> ——第i个污染物的最大地面空气质量浓度 占标率，%；</w:t>
      </w:r>
    </w:p>
    <w:p w14:paraId="7C1C082B">
      <w:pPr>
        <w:pStyle w:val="27"/>
        <w:ind w:firstLine="480"/>
        <w:rPr>
          <w:rFonts w:hint="default" w:ascii="Times New Roman" w:hAnsi="Times New Roman" w:cs="Times New Roman"/>
          <w:color w:val="auto"/>
          <w:highlight w:val="none"/>
        </w:rPr>
      </w:pPr>
      <m:oMath>
        <m:sSub>
          <m:sSubPr>
            <m:ctrlPr>
              <w:rPr>
                <w:rFonts w:hint="default" w:ascii="Cambria Math" w:hAnsi="Cambria Math" w:cs="Times New Roman"/>
                <w:i/>
                <w:color w:val="auto"/>
                <w:highlight w:val="none"/>
              </w:rPr>
            </m:ctrlPr>
          </m:sSubPr>
          <m:e>
            <m:r>
              <m:rPr/>
              <w:rPr>
                <w:rFonts w:hint="default" w:ascii="Cambria Math" w:hAnsi="Cambria Math" w:cs="Times New Roman"/>
                <w:color w:val="auto"/>
                <w:highlight w:val="none"/>
              </w:rPr>
              <m:t>C</m:t>
            </m:r>
            <m:ctrlPr>
              <w:rPr>
                <w:rFonts w:hint="default" w:ascii="Cambria Math" w:hAnsi="Cambria Math" w:cs="Times New Roman"/>
                <w:i/>
                <w:color w:val="auto"/>
                <w:highlight w:val="none"/>
              </w:rPr>
            </m:ctrlPr>
          </m:e>
          <m:sub>
            <m:r>
              <m:rPr/>
              <w:rPr>
                <w:rFonts w:hint="default" w:ascii="Cambria Math" w:hAnsi="Cambria Math" w:cs="Times New Roman"/>
                <w:color w:val="auto"/>
                <w:highlight w:val="none"/>
              </w:rPr>
              <m:t>i</m:t>
            </m:r>
            <m:ctrlPr>
              <w:rPr>
                <w:rFonts w:hint="default" w:ascii="Cambria Math" w:hAnsi="Cambria Math" w:cs="Times New Roman"/>
                <w:i/>
                <w:color w:val="auto"/>
                <w:highlight w:val="none"/>
              </w:rPr>
            </m:ctrlPr>
          </m:sub>
        </m:sSub>
      </m:oMath>
      <w:r>
        <w:rPr>
          <w:rFonts w:hint="default" w:ascii="Times New Roman" w:hAnsi="Times New Roman" w:cs="Times New Roman"/>
          <w:color w:val="auto"/>
          <w:highlight w:val="none"/>
        </w:rPr>
        <w:t>——采用估算模型计算出的第i个污染物的最大1h地面空气质量浓度，μg/m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5A725088">
      <w:pPr>
        <w:pStyle w:val="27"/>
        <w:ind w:firstLine="480"/>
        <w:rPr>
          <w:rFonts w:hint="default" w:ascii="Times New Roman" w:hAnsi="Times New Roman" w:cs="Times New Roman"/>
          <w:color w:val="auto"/>
          <w:highlight w:val="none"/>
        </w:rPr>
      </w:pPr>
      <m:oMath>
        <m:sSub>
          <m:sSubPr>
            <m:ctrlPr>
              <w:rPr>
                <w:rFonts w:hint="default" w:ascii="Cambria Math" w:hAnsi="Cambria Math" w:cs="Times New Roman"/>
                <w:i/>
                <w:color w:val="auto"/>
                <w:highlight w:val="none"/>
              </w:rPr>
            </m:ctrlPr>
          </m:sSubPr>
          <m:e>
            <m:r>
              <m:rPr/>
              <w:rPr>
                <w:rFonts w:hint="default" w:ascii="Cambria Math" w:hAnsi="Cambria Math" w:cs="Times New Roman"/>
                <w:color w:val="auto"/>
                <w:highlight w:val="none"/>
              </w:rPr>
              <m:t>C</m:t>
            </m:r>
            <m:ctrlPr>
              <w:rPr>
                <w:rFonts w:hint="default" w:ascii="Cambria Math" w:hAnsi="Cambria Math" w:cs="Times New Roman"/>
                <w:i/>
                <w:color w:val="auto"/>
                <w:highlight w:val="none"/>
              </w:rPr>
            </m:ctrlPr>
          </m:e>
          <m:sub>
            <m:r>
              <m:rPr/>
              <w:rPr>
                <w:rFonts w:hint="default" w:ascii="Cambria Math" w:hAnsi="Cambria Math" w:cs="Times New Roman"/>
                <w:color w:val="auto"/>
                <w:highlight w:val="none"/>
              </w:rPr>
              <m:t>0i</m:t>
            </m:r>
            <m:ctrlPr>
              <w:rPr>
                <w:rFonts w:hint="default" w:ascii="Cambria Math" w:hAnsi="Cambria Math" w:cs="Times New Roman"/>
                <w:i/>
                <w:color w:val="auto"/>
                <w:highlight w:val="none"/>
              </w:rPr>
            </m:ctrlPr>
          </m:sub>
        </m:sSub>
      </m:oMath>
      <w:r>
        <w:rPr>
          <w:rFonts w:hint="default" w:ascii="Times New Roman" w:hAnsi="Times New Roman" w:cs="Times New Roman"/>
          <w:color w:val="auto"/>
          <w:highlight w:val="none"/>
        </w:rPr>
        <w:t>——第i个污染物的环境空气质量浓度标准，μg/m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6E88556F">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根据工程分析，废气为作业机械尾气和作业扬尘。机械尾气中主要污染物为CO、HC、NO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等，可通过自然通风稀释扩散，且污染物排放量较小，故本评价不进行机械尾气污染物的最大地面浓度占标率计算。因此，本次选取</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的回填作业时产生的TSP作为主要污染物进行评价工作等级的确定。</w:t>
      </w:r>
    </w:p>
    <w:p w14:paraId="7F426FF7">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表2-6-2估算模式参数表</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97"/>
        <w:gridCol w:w="2654"/>
        <w:gridCol w:w="3569"/>
      </w:tblGrid>
      <w:tr w14:paraId="054233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32CE65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2094" w:type="pct"/>
            <w:vAlign w:val="center"/>
          </w:tcPr>
          <w:p w14:paraId="331D47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取值</w:t>
            </w:r>
          </w:p>
        </w:tc>
      </w:tr>
      <w:tr w14:paraId="6B1016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57D077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城市农村/选项</w:t>
            </w:r>
          </w:p>
        </w:tc>
        <w:tc>
          <w:tcPr>
            <w:tcW w:w="1557" w:type="pct"/>
            <w:vAlign w:val="center"/>
          </w:tcPr>
          <w:p w14:paraId="7394A5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w:t>
            </w:r>
          </w:p>
        </w:tc>
        <w:tc>
          <w:tcPr>
            <w:tcW w:w="2094" w:type="pct"/>
            <w:vAlign w:val="center"/>
          </w:tcPr>
          <w:p w14:paraId="289805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农村</w:t>
            </w:r>
          </w:p>
        </w:tc>
      </w:tr>
      <w:tr w14:paraId="110B6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634914F6">
            <w:pPr>
              <w:pStyle w:val="46"/>
              <w:bidi w:val="0"/>
              <w:rPr>
                <w:rFonts w:hint="default" w:ascii="Times New Roman" w:hAnsi="Times New Roman" w:cs="Times New Roman"/>
                <w:color w:val="auto"/>
                <w:highlight w:val="none"/>
              </w:rPr>
            </w:pPr>
          </w:p>
        </w:tc>
        <w:tc>
          <w:tcPr>
            <w:tcW w:w="1557" w:type="pct"/>
            <w:vAlign w:val="center"/>
          </w:tcPr>
          <w:p w14:paraId="05B620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人口数（城市人口数）</w:t>
            </w:r>
          </w:p>
        </w:tc>
        <w:tc>
          <w:tcPr>
            <w:tcW w:w="2094" w:type="pct"/>
            <w:vAlign w:val="center"/>
          </w:tcPr>
          <w:p w14:paraId="36F932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2DF07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7E55AF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最高环境温度</w:t>
            </w:r>
          </w:p>
        </w:tc>
        <w:tc>
          <w:tcPr>
            <w:tcW w:w="3569" w:type="dxa"/>
            <w:vAlign w:val="center"/>
          </w:tcPr>
          <w:p w14:paraId="3836A184">
            <w:pPr>
              <w:pStyle w:val="46"/>
              <w:bidi w:val="0"/>
              <w:rPr>
                <w:rFonts w:hint="default" w:ascii="Times New Roman" w:hAnsi="Times New Roman" w:cs="Times New Roman"/>
                <w:color w:val="auto"/>
                <w:highlight w:val="none"/>
                <w:lang w:eastAsia="ja-JP"/>
              </w:rPr>
            </w:pPr>
            <w:r>
              <w:rPr>
                <w:rFonts w:hint="default" w:ascii="Times New Roman" w:hAnsi="Times New Roman" w:cs="Times New Roman"/>
                <w:color w:val="auto"/>
                <w:highlight w:val="none"/>
                <w:lang w:val="en-US" w:eastAsia="zh-CN"/>
              </w:rPr>
              <w:t>37.4</w:t>
            </w:r>
          </w:p>
        </w:tc>
      </w:tr>
      <w:tr w14:paraId="27B56D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6120CC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最低环境温度</w:t>
            </w:r>
          </w:p>
        </w:tc>
        <w:tc>
          <w:tcPr>
            <w:tcW w:w="3569" w:type="dxa"/>
            <w:vAlign w:val="center"/>
          </w:tcPr>
          <w:p w14:paraId="4249E3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-29.8</w:t>
            </w:r>
          </w:p>
        </w:tc>
      </w:tr>
      <w:tr w14:paraId="327BC9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763646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土地利用类型</w:t>
            </w:r>
          </w:p>
        </w:tc>
        <w:tc>
          <w:tcPr>
            <w:tcW w:w="3569" w:type="dxa"/>
            <w:vAlign w:val="center"/>
          </w:tcPr>
          <w:p w14:paraId="1B47F481">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落叶林</w:t>
            </w:r>
          </w:p>
        </w:tc>
      </w:tr>
      <w:tr w14:paraId="109A1F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51EAA51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区域湿度条件</w:t>
            </w:r>
          </w:p>
        </w:tc>
        <w:tc>
          <w:tcPr>
            <w:tcW w:w="2094" w:type="pct"/>
            <w:vAlign w:val="center"/>
          </w:tcPr>
          <w:p w14:paraId="31CC95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潮湿</w:t>
            </w:r>
          </w:p>
        </w:tc>
      </w:tr>
      <w:tr w14:paraId="06863F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03C96D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是否考虑地形</w:t>
            </w:r>
          </w:p>
        </w:tc>
        <w:tc>
          <w:tcPr>
            <w:tcW w:w="1557" w:type="pct"/>
            <w:vAlign w:val="center"/>
          </w:tcPr>
          <w:p w14:paraId="6189CD3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考虑地形</w:t>
            </w:r>
          </w:p>
        </w:tc>
        <w:tc>
          <w:tcPr>
            <w:tcW w:w="2094" w:type="pct"/>
            <w:vAlign w:val="center"/>
          </w:tcPr>
          <w:p w14:paraId="7E93C8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14:paraId="7CAE00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6746D8B2">
            <w:pPr>
              <w:pStyle w:val="46"/>
              <w:bidi w:val="0"/>
              <w:rPr>
                <w:rFonts w:hint="default" w:ascii="Times New Roman" w:hAnsi="Times New Roman" w:cs="Times New Roman"/>
                <w:color w:val="auto"/>
                <w:highlight w:val="none"/>
              </w:rPr>
            </w:pPr>
          </w:p>
        </w:tc>
        <w:tc>
          <w:tcPr>
            <w:tcW w:w="1557" w:type="pct"/>
            <w:vAlign w:val="center"/>
          </w:tcPr>
          <w:p w14:paraId="23F40B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地形数据分辨率（m)</w:t>
            </w:r>
          </w:p>
        </w:tc>
        <w:tc>
          <w:tcPr>
            <w:tcW w:w="2094" w:type="pct"/>
            <w:vAlign w:val="center"/>
          </w:tcPr>
          <w:p w14:paraId="646E75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14:paraId="03EA77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3A43CF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是否考虑海岸线熏烟</w:t>
            </w:r>
          </w:p>
        </w:tc>
        <w:tc>
          <w:tcPr>
            <w:tcW w:w="1557" w:type="pct"/>
            <w:vAlign w:val="center"/>
          </w:tcPr>
          <w:p w14:paraId="568036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考虑海岸线熏烟</w:t>
            </w:r>
          </w:p>
        </w:tc>
        <w:tc>
          <w:tcPr>
            <w:tcW w:w="2094" w:type="pct"/>
            <w:vAlign w:val="center"/>
          </w:tcPr>
          <w:p w14:paraId="0FBDEA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5111B8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550162BC">
            <w:pPr>
              <w:pStyle w:val="46"/>
              <w:bidi w:val="0"/>
              <w:rPr>
                <w:rFonts w:hint="default" w:ascii="Times New Roman" w:hAnsi="Times New Roman" w:cs="Times New Roman"/>
                <w:color w:val="auto"/>
                <w:highlight w:val="none"/>
              </w:rPr>
            </w:pPr>
          </w:p>
        </w:tc>
        <w:tc>
          <w:tcPr>
            <w:tcW w:w="1557" w:type="pct"/>
            <w:vAlign w:val="center"/>
          </w:tcPr>
          <w:p w14:paraId="313599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海岸线距离/km</w:t>
            </w:r>
          </w:p>
        </w:tc>
        <w:tc>
          <w:tcPr>
            <w:tcW w:w="2094" w:type="pct"/>
            <w:vAlign w:val="center"/>
          </w:tcPr>
          <w:p w14:paraId="70503B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6855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2FF22284">
            <w:pPr>
              <w:pStyle w:val="46"/>
              <w:bidi w:val="0"/>
              <w:rPr>
                <w:rFonts w:hint="default" w:ascii="Times New Roman" w:hAnsi="Times New Roman" w:cs="Times New Roman"/>
                <w:color w:val="auto"/>
                <w:highlight w:val="none"/>
              </w:rPr>
            </w:pPr>
          </w:p>
        </w:tc>
        <w:tc>
          <w:tcPr>
            <w:tcW w:w="1557" w:type="pct"/>
            <w:vAlign w:val="center"/>
          </w:tcPr>
          <w:p w14:paraId="7722F7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海岸线方向/o</w:t>
            </w:r>
          </w:p>
        </w:tc>
        <w:tc>
          <w:tcPr>
            <w:tcW w:w="2094" w:type="pct"/>
            <w:vAlign w:val="center"/>
          </w:tcPr>
          <w:p w14:paraId="138453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5581634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估算模型参数选取如下：</w:t>
      </w:r>
    </w:p>
    <w:p w14:paraId="5FCAB10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①根据《环境影响评价技术导则 大气环境》(HJ2.2-2018）附录B的B.6.1城市/农村选项，“当项目周边3km半径范围内一半以上属于城市建成区或者规划区时选择城市，否则选择农村”。根据本次评价对厂址周边3km半径范围内的用地性质调查结果可知，本次评价选取农村选项。</w:t>
      </w:r>
    </w:p>
    <w:p w14:paraId="7DF6144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②环境温度取值来源于鸡西市气象站近二十年气象数据统计。</w:t>
      </w:r>
    </w:p>
    <w:p w14:paraId="64751DF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③根据《环境影响评价技术导则 大气环境》(HJ2.2-2018）附录B的B.5地表参数，AERMOD地表参数一般根据项目周边3km范围内的土地利用类型进行合理划分，本项目周边3km范围内的土地利用类型为林地，本次评价的土地利用类型选取落叶林。</w:t>
      </w:r>
    </w:p>
    <w:p w14:paraId="7C0A964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④区域湿度条件根据中国干湿度分布图判断，鸡</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rPr>
        <w:t>属于潮湿气候。</w:t>
      </w:r>
    </w:p>
    <w:p w14:paraId="3D33A83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⑤根据《环境影响评价技术导则 大气环境》(HJ2.2-2018）附录B的B.4地形数据可知，原始地形数据分辨率不得小于90m，根据EIA2018大气预测软件的DEM地形文件，本项目地形数据分辨率为90m。</w:t>
      </w:r>
    </w:p>
    <w:p w14:paraId="01C9F79E">
      <w:pPr>
        <w:pStyle w:val="27"/>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2130425</wp:posOffset>
                </wp:positionH>
                <wp:positionV relativeFrom="paragraph">
                  <wp:posOffset>720090</wp:posOffset>
                </wp:positionV>
                <wp:extent cx="1141095" cy="476885"/>
                <wp:effectExtent l="4445" t="157480" r="16510" b="13335"/>
                <wp:wrapNone/>
                <wp:docPr id="1320843171" name="对话气泡: 矩形 2"/>
                <wp:cNvGraphicFramePr/>
                <a:graphic xmlns:a="http://schemas.openxmlformats.org/drawingml/2006/main">
                  <a:graphicData uri="http://schemas.microsoft.com/office/word/2010/wordprocessingShape">
                    <wps:wsp>
                      <wps:cNvSpPr/>
                      <wps:spPr>
                        <a:xfrm>
                          <a:off x="0" y="0"/>
                          <a:ext cx="1141095" cy="476885"/>
                        </a:xfrm>
                        <a:prstGeom prst="wedgeRectCallout">
                          <a:avLst>
                            <a:gd name="adj1" fmla="val -47885"/>
                            <a:gd name="adj2" fmla="val -81982"/>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B7F958">
                            <w:pPr>
                              <w:ind w:left="0" w:leftChars="0" w:firstLine="0" w:firstLineChars="0"/>
                              <w:rPr>
                                <w:rFonts w:hint="eastAsia" w:eastAsia="宋体"/>
                                <w:b/>
                                <w:bCs/>
                                <w:color w:val="000000" w:themeColor="text1"/>
                                <w:lang w:val="en-US" w:eastAsia="zh-CN"/>
                                <w14:textFill>
                                  <w14:solidFill>
                                    <w14:schemeClr w14:val="tx1"/>
                                  </w14:solidFill>
                                </w14:textFill>
                              </w:rPr>
                            </w:pPr>
                            <w:r>
                              <w:rPr>
                                <w:rFonts w:hint="eastAsia"/>
                                <w:b/>
                                <w:bCs/>
                                <w:color w:val="000000" w:themeColor="text1"/>
                                <w14:textFill>
                                  <w14:solidFill>
                                    <w14:schemeClr w14:val="tx1"/>
                                  </w14:solidFill>
                                </w14:textFill>
                              </w:rPr>
                              <w:t>本项目</w:t>
                            </w:r>
                            <w:r>
                              <w:rPr>
                                <w:rFonts w:hint="eastAsia"/>
                                <w:b/>
                                <w:bCs/>
                                <w:color w:val="000000" w:themeColor="text1"/>
                                <w:lang w:val="en-US" w:eastAsia="zh-CN"/>
                                <w14:textFill>
                                  <w14:solidFill>
                                    <w14:schemeClr w14:val="tx1"/>
                                  </w14:solidFill>
                                </w14:textFill>
                              </w:rPr>
                              <w:t>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 o:spid="_x0000_s1026" o:spt="61" type="#_x0000_t61" style="position:absolute;left:0pt;margin-left:167.75pt;margin-top:56.7pt;height:37.55pt;width:89.85pt;z-index:251665408;v-text-anchor:middle;mso-width-relative:page;mso-height-relative:page;" filled="f" stroked="t" coordsize="21600,21600" o:gfxdata="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a2l69kAAAALAQAADwAAAAAAAAABACAAAAAiAAAAZHJz&#10;L2Rvd25yZXYueG1sUEsBAhQAFAAAAAgAh07iQBfv98OuAgAANAUAAA4AAAAAAAAAAQAgAAAAKAEA&#10;AGRycy9lMm9Eb2MueG1sUEsFBgAAAAAGAAYAWQEAAEgGAAAAAA==&#10;" adj="457,-6908">
                <v:fill on="f" focussize="0,0"/>
                <v:stroke weight="0.5pt" color="#000000 [3213]" joinstyle="round"/>
                <v:imagedata o:title=""/>
                <o:lock v:ext="edit" aspectratio="f"/>
                <v:textbox>
                  <w:txbxContent>
                    <w:p w14:paraId="12B7F958">
                      <w:pPr>
                        <w:ind w:left="0" w:leftChars="0" w:firstLine="0" w:firstLineChars="0"/>
                        <w:rPr>
                          <w:rFonts w:hint="eastAsia" w:eastAsia="宋体"/>
                          <w:b/>
                          <w:bCs/>
                          <w:color w:val="000000" w:themeColor="text1"/>
                          <w:lang w:val="en-US" w:eastAsia="zh-CN"/>
                          <w14:textFill>
                            <w14:solidFill>
                              <w14:schemeClr w14:val="tx1"/>
                            </w14:solidFill>
                          </w14:textFill>
                        </w:rPr>
                      </w:pPr>
                      <w:r>
                        <w:rPr>
                          <w:rFonts w:hint="eastAsia"/>
                          <w:b/>
                          <w:bCs/>
                          <w:color w:val="000000" w:themeColor="text1"/>
                          <w14:textFill>
                            <w14:solidFill>
                              <w14:schemeClr w14:val="tx1"/>
                            </w14:solidFill>
                          </w14:textFill>
                        </w:rPr>
                        <w:t>本项目</w:t>
                      </w:r>
                      <w:r>
                        <w:rPr>
                          <w:rFonts w:hint="eastAsia"/>
                          <w:b/>
                          <w:bCs/>
                          <w:color w:val="000000" w:themeColor="text1"/>
                          <w:lang w:val="en-US" w:eastAsia="zh-CN"/>
                          <w14:textFill>
                            <w14:solidFill>
                              <w14:schemeClr w14:val="tx1"/>
                            </w14:solidFill>
                          </w14:textFill>
                        </w:rPr>
                        <w:t>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5271135" cy="2527935"/>
            <wp:effectExtent l="0" t="0" r="5715" b="571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9"/>
                    <a:stretch>
                      <a:fillRect/>
                    </a:stretch>
                  </pic:blipFill>
                  <pic:spPr>
                    <a:xfrm>
                      <a:off x="0" y="0"/>
                      <a:ext cx="5271135" cy="2527935"/>
                    </a:xfrm>
                    <a:prstGeom prst="rect">
                      <a:avLst/>
                    </a:prstGeom>
                    <a:noFill/>
                    <a:ln>
                      <a:noFill/>
                    </a:ln>
                  </pic:spPr>
                </pic:pic>
              </a:graphicData>
            </a:graphic>
          </wp:inline>
        </w:drawing>
      </w:r>
    </w:p>
    <w:p w14:paraId="3C2D1881">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图2-6-1评价区等高线示意图</w:t>
      </w:r>
    </w:p>
    <w:p w14:paraId="2911D7DF">
      <w:pPr>
        <w:pStyle w:val="29"/>
        <w:bidi w:val="0"/>
        <w:rPr>
          <w:rFonts w:hint="default" w:ascii="Times New Roman" w:hAnsi="Times New Roman" w:cs="Times New Roman"/>
          <w:color w:val="auto"/>
          <w:highlight w:val="none"/>
        </w:rPr>
      </w:pPr>
      <w:bookmarkStart w:id="107" w:name="OLE_LINK21"/>
      <w:r>
        <w:rPr>
          <w:rFonts w:hint="default" w:ascii="Times New Roman" w:hAnsi="Times New Roman" w:cs="Times New Roman"/>
          <w:color w:val="auto"/>
          <w:highlight w:val="none"/>
        </w:rPr>
        <w:t>表2-6-3面源参数一览表</w:t>
      </w:r>
    </w:p>
    <w:bookmarkEnd w:id="107"/>
    <w:tbl>
      <w:tblPr>
        <w:tblStyle w:val="24"/>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175"/>
        <w:gridCol w:w="1178"/>
        <w:gridCol w:w="879"/>
        <w:gridCol w:w="947"/>
        <w:gridCol w:w="974"/>
        <w:gridCol w:w="761"/>
        <w:gridCol w:w="1852"/>
      </w:tblGrid>
      <w:tr w14:paraId="26202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38" w:type="pct"/>
            <w:vMerge w:val="restart"/>
            <w:noWrap w:val="0"/>
            <w:vAlign w:val="center"/>
          </w:tcPr>
          <w:p w14:paraId="66FE82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面源名称</w:t>
            </w:r>
          </w:p>
        </w:tc>
        <w:tc>
          <w:tcPr>
            <w:tcW w:w="1382" w:type="pct"/>
            <w:gridSpan w:val="2"/>
            <w:noWrap w:val="0"/>
            <w:vAlign w:val="center"/>
          </w:tcPr>
          <w:p w14:paraId="273D61F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各顶点坐标</w:t>
            </w:r>
            <w:r>
              <w:rPr>
                <w:rFonts w:hint="default" w:ascii="Times New Roman" w:hAnsi="Times New Roman" w:cs="Times New Roman"/>
                <w:color w:val="auto"/>
                <w:highlight w:val="none"/>
                <w:lang w:val="en-US" w:eastAsia="zh-CN"/>
              </w:rPr>
              <w:t>/m</w:t>
            </w:r>
          </w:p>
        </w:tc>
        <w:tc>
          <w:tcPr>
            <w:tcW w:w="516" w:type="pct"/>
            <w:vMerge w:val="restart"/>
            <w:noWrap w:val="0"/>
            <w:vAlign w:val="center"/>
          </w:tcPr>
          <w:p w14:paraId="14D467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面源海拔高度/m</w:t>
            </w:r>
          </w:p>
        </w:tc>
        <w:tc>
          <w:tcPr>
            <w:tcW w:w="556" w:type="pct"/>
            <w:vMerge w:val="restart"/>
            <w:noWrap w:val="0"/>
            <w:vAlign w:val="center"/>
          </w:tcPr>
          <w:p w14:paraId="02B4BE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面源排放高度/m</w:t>
            </w:r>
          </w:p>
        </w:tc>
        <w:tc>
          <w:tcPr>
            <w:tcW w:w="572" w:type="pct"/>
            <w:vMerge w:val="restart"/>
            <w:noWrap w:val="0"/>
            <w:vAlign w:val="center"/>
          </w:tcPr>
          <w:p w14:paraId="2D7CEB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年排放小时数/h</w:t>
            </w:r>
          </w:p>
        </w:tc>
        <w:tc>
          <w:tcPr>
            <w:tcW w:w="447" w:type="pct"/>
            <w:vMerge w:val="restart"/>
            <w:noWrap w:val="0"/>
            <w:vAlign w:val="center"/>
          </w:tcPr>
          <w:p w14:paraId="6AB6E0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w:t>
            </w:r>
          </w:p>
          <w:p w14:paraId="61BAE1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工况</w:t>
            </w:r>
          </w:p>
        </w:tc>
        <w:tc>
          <w:tcPr>
            <w:tcW w:w="1087" w:type="pct"/>
            <w:noWrap w:val="0"/>
            <w:vAlign w:val="center"/>
          </w:tcPr>
          <w:p w14:paraId="14434C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污染物排放速率/（kg/h）</w:t>
            </w:r>
          </w:p>
        </w:tc>
      </w:tr>
      <w:tr w14:paraId="2E563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38" w:type="pct"/>
            <w:vMerge w:val="continue"/>
            <w:noWrap w:val="0"/>
            <w:vAlign w:val="center"/>
          </w:tcPr>
          <w:p w14:paraId="6C935629">
            <w:pPr>
              <w:pStyle w:val="46"/>
              <w:bidi w:val="0"/>
              <w:rPr>
                <w:rFonts w:hint="default" w:ascii="Times New Roman" w:hAnsi="Times New Roman" w:cs="Times New Roman"/>
                <w:color w:val="auto"/>
                <w:highlight w:val="none"/>
              </w:rPr>
            </w:pPr>
          </w:p>
        </w:tc>
        <w:tc>
          <w:tcPr>
            <w:tcW w:w="690" w:type="pct"/>
            <w:noWrap w:val="0"/>
            <w:vAlign w:val="center"/>
          </w:tcPr>
          <w:p w14:paraId="671886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X</w:t>
            </w:r>
          </w:p>
        </w:tc>
        <w:tc>
          <w:tcPr>
            <w:tcW w:w="691" w:type="pct"/>
            <w:noWrap w:val="0"/>
            <w:vAlign w:val="center"/>
          </w:tcPr>
          <w:p w14:paraId="10A0C65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t>
            </w:r>
          </w:p>
        </w:tc>
        <w:tc>
          <w:tcPr>
            <w:tcW w:w="516" w:type="pct"/>
            <w:vMerge w:val="continue"/>
            <w:noWrap w:val="0"/>
            <w:vAlign w:val="center"/>
          </w:tcPr>
          <w:p w14:paraId="0F9A2609">
            <w:pPr>
              <w:pStyle w:val="46"/>
              <w:bidi w:val="0"/>
              <w:rPr>
                <w:rFonts w:hint="default" w:ascii="Times New Roman" w:hAnsi="Times New Roman" w:cs="Times New Roman"/>
                <w:color w:val="auto"/>
                <w:highlight w:val="none"/>
              </w:rPr>
            </w:pPr>
          </w:p>
        </w:tc>
        <w:tc>
          <w:tcPr>
            <w:tcW w:w="556" w:type="pct"/>
            <w:vMerge w:val="continue"/>
            <w:noWrap w:val="0"/>
            <w:vAlign w:val="center"/>
          </w:tcPr>
          <w:p w14:paraId="1063FFF5">
            <w:pPr>
              <w:pStyle w:val="46"/>
              <w:bidi w:val="0"/>
              <w:rPr>
                <w:rFonts w:hint="default" w:ascii="Times New Roman" w:hAnsi="Times New Roman" w:cs="Times New Roman"/>
                <w:color w:val="auto"/>
                <w:highlight w:val="none"/>
              </w:rPr>
            </w:pPr>
          </w:p>
        </w:tc>
        <w:tc>
          <w:tcPr>
            <w:tcW w:w="572" w:type="pct"/>
            <w:vMerge w:val="continue"/>
            <w:noWrap w:val="0"/>
            <w:vAlign w:val="center"/>
          </w:tcPr>
          <w:p w14:paraId="016AE28D">
            <w:pPr>
              <w:pStyle w:val="46"/>
              <w:bidi w:val="0"/>
              <w:rPr>
                <w:rFonts w:hint="default" w:ascii="Times New Roman" w:hAnsi="Times New Roman" w:cs="Times New Roman"/>
                <w:color w:val="auto"/>
                <w:highlight w:val="none"/>
              </w:rPr>
            </w:pPr>
          </w:p>
        </w:tc>
        <w:tc>
          <w:tcPr>
            <w:tcW w:w="447" w:type="pct"/>
            <w:vMerge w:val="continue"/>
            <w:noWrap w:val="0"/>
            <w:vAlign w:val="center"/>
          </w:tcPr>
          <w:p w14:paraId="43DA616C">
            <w:pPr>
              <w:pStyle w:val="46"/>
              <w:bidi w:val="0"/>
              <w:rPr>
                <w:rFonts w:hint="default" w:ascii="Times New Roman" w:hAnsi="Times New Roman" w:cs="Times New Roman"/>
                <w:color w:val="auto"/>
                <w:highlight w:val="none"/>
              </w:rPr>
            </w:pPr>
          </w:p>
        </w:tc>
        <w:tc>
          <w:tcPr>
            <w:tcW w:w="1087" w:type="pct"/>
            <w:noWrap w:val="0"/>
            <w:vAlign w:val="center"/>
          </w:tcPr>
          <w:p w14:paraId="5181C3E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TSP</w:t>
            </w:r>
          </w:p>
        </w:tc>
      </w:tr>
      <w:tr w14:paraId="547B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restart"/>
            <w:noWrap w:val="0"/>
            <w:vAlign w:val="center"/>
          </w:tcPr>
          <w:p w14:paraId="244F44C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回填区</w:t>
            </w:r>
          </w:p>
        </w:tc>
        <w:tc>
          <w:tcPr>
            <w:tcW w:w="690" w:type="pct"/>
            <w:noWrap w:val="0"/>
            <w:vAlign w:val="center"/>
          </w:tcPr>
          <w:p w14:paraId="2008F85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2658</w:t>
            </w:r>
          </w:p>
        </w:tc>
        <w:tc>
          <w:tcPr>
            <w:tcW w:w="691" w:type="pct"/>
            <w:noWrap w:val="0"/>
            <w:vAlign w:val="center"/>
          </w:tcPr>
          <w:p w14:paraId="2981986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2458</w:t>
            </w:r>
          </w:p>
        </w:tc>
        <w:tc>
          <w:tcPr>
            <w:tcW w:w="516" w:type="pct"/>
            <w:vMerge w:val="restart"/>
            <w:noWrap w:val="0"/>
            <w:vAlign w:val="center"/>
          </w:tcPr>
          <w:p w14:paraId="7CC64D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300</w:t>
            </w:r>
          </w:p>
        </w:tc>
        <w:tc>
          <w:tcPr>
            <w:tcW w:w="556" w:type="pct"/>
            <w:vMerge w:val="restart"/>
            <w:noWrap w:val="0"/>
            <w:vAlign w:val="center"/>
          </w:tcPr>
          <w:p w14:paraId="4C064CA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572" w:type="pct"/>
            <w:vMerge w:val="restart"/>
            <w:noWrap w:val="0"/>
            <w:vAlign w:val="center"/>
          </w:tcPr>
          <w:p w14:paraId="77C24EB8">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2640</w:t>
            </w:r>
          </w:p>
        </w:tc>
        <w:tc>
          <w:tcPr>
            <w:tcW w:w="447" w:type="pct"/>
            <w:vMerge w:val="restart"/>
            <w:noWrap w:val="0"/>
            <w:vAlign w:val="center"/>
          </w:tcPr>
          <w:p w14:paraId="2067013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正常</w:t>
            </w:r>
          </w:p>
          <w:p w14:paraId="021E5AA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工况</w:t>
            </w:r>
          </w:p>
        </w:tc>
        <w:tc>
          <w:tcPr>
            <w:tcW w:w="1087" w:type="pct"/>
            <w:vMerge w:val="restart"/>
            <w:noWrap w:val="0"/>
            <w:vAlign w:val="center"/>
          </w:tcPr>
          <w:p w14:paraId="73BBFC5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w:t>
            </w:r>
          </w:p>
        </w:tc>
      </w:tr>
      <w:tr w14:paraId="7D7CE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284A6EAA">
            <w:pPr>
              <w:pStyle w:val="46"/>
              <w:bidi w:val="0"/>
              <w:rPr>
                <w:rFonts w:hint="default" w:ascii="Times New Roman" w:hAnsi="Times New Roman" w:cs="Times New Roman"/>
                <w:color w:val="auto"/>
                <w:highlight w:val="none"/>
                <w:lang w:eastAsia="zh-CN"/>
              </w:rPr>
            </w:pPr>
          </w:p>
        </w:tc>
        <w:tc>
          <w:tcPr>
            <w:tcW w:w="690" w:type="pct"/>
            <w:noWrap w:val="0"/>
            <w:vAlign w:val="center"/>
          </w:tcPr>
          <w:p w14:paraId="08C123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2516</w:t>
            </w:r>
          </w:p>
        </w:tc>
        <w:tc>
          <w:tcPr>
            <w:tcW w:w="691" w:type="pct"/>
            <w:noWrap w:val="0"/>
            <w:vAlign w:val="center"/>
          </w:tcPr>
          <w:p w14:paraId="014EA8E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2568</w:t>
            </w:r>
          </w:p>
        </w:tc>
        <w:tc>
          <w:tcPr>
            <w:tcW w:w="516" w:type="pct"/>
            <w:vMerge w:val="continue"/>
            <w:noWrap w:val="0"/>
            <w:vAlign w:val="center"/>
          </w:tcPr>
          <w:p w14:paraId="39D7A9CB">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29C41E7E">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2ECD85D0">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08FF7195">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1D2D69E8">
            <w:pPr>
              <w:pStyle w:val="46"/>
              <w:bidi w:val="0"/>
              <w:rPr>
                <w:rFonts w:hint="default" w:ascii="Times New Roman" w:hAnsi="Times New Roman" w:cs="Times New Roman"/>
                <w:color w:val="auto"/>
                <w:highlight w:val="none"/>
                <w:lang w:val="en-US" w:eastAsia="zh-CN"/>
              </w:rPr>
            </w:pPr>
          </w:p>
        </w:tc>
      </w:tr>
      <w:tr w14:paraId="18B70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7DC36CF6">
            <w:pPr>
              <w:pStyle w:val="46"/>
              <w:bidi w:val="0"/>
              <w:rPr>
                <w:rFonts w:hint="default" w:ascii="Times New Roman" w:hAnsi="Times New Roman" w:cs="Times New Roman"/>
                <w:color w:val="auto"/>
                <w:highlight w:val="none"/>
                <w:lang w:eastAsia="zh-CN"/>
              </w:rPr>
            </w:pPr>
          </w:p>
        </w:tc>
        <w:tc>
          <w:tcPr>
            <w:tcW w:w="690" w:type="pct"/>
            <w:noWrap w:val="0"/>
            <w:vAlign w:val="center"/>
          </w:tcPr>
          <w:p w14:paraId="3450A5A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2490</w:t>
            </w:r>
          </w:p>
        </w:tc>
        <w:tc>
          <w:tcPr>
            <w:tcW w:w="691" w:type="pct"/>
            <w:noWrap w:val="0"/>
            <w:vAlign w:val="center"/>
          </w:tcPr>
          <w:p w14:paraId="09E2C26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2522</w:t>
            </w:r>
          </w:p>
        </w:tc>
        <w:tc>
          <w:tcPr>
            <w:tcW w:w="516" w:type="pct"/>
            <w:vMerge w:val="continue"/>
            <w:noWrap w:val="0"/>
            <w:vAlign w:val="center"/>
          </w:tcPr>
          <w:p w14:paraId="5390CC81">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6A7654D3">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3256CC82">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14F25727">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41B89CCB">
            <w:pPr>
              <w:pStyle w:val="46"/>
              <w:bidi w:val="0"/>
              <w:rPr>
                <w:rFonts w:hint="default" w:ascii="Times New Roman" w:hAnsi="Times New Roman" w:cs="Times New Roman"/>
                <w:color w:val="auto"/>
                <w:highlight w:val="none"/>
                <w:lang w:val="en-US" w:eastAsia="zh-CN"/>
              </w:rPr>
            </w:pPr>
          </w:p>
        </w:tc>
      </w:tr>
      <w:tr w14:paraId="35631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626A41D7">
            <w:pPr>
              <w:pStyle w:val="46"/>
              <w:bidi w:val="0"/>
              <w:rPr>
                <w:rFonts w:hint="default" w:ascii="Times New Roman" w:hAnsi="Times New Roman" w:cs="Times New Roman"/>
                <w:color w:val="auto"/>
                <w:highlight w:val="none"/>
                <w:lang w:eastAsia="zh-CN"/>
              </w:rPr>
            </w:pPr>
          </w:p>
        </w:tc>
        <w:tc>
          <w:tcPr>
            <w:tcW w:w="690" w:type="pct"/>
            <w:noWrap w:val="0"/>
            <w:vAlign w:val="center"/>
          </w:tcPr>
          <w:p w14:paraId="697333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2432</w:t>
            </w:r>
          </w:p>
        </w:tc>
        <w:tc>
          <w:tcPr>
            <w:tcW w:w="691" w:type="pct"/>
            <w:noWrap w:val="0"/>
            <w:vAlign w:val="center"/>
          </w:tcPr>
          <w:p w14:paraId="1A30D03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2361</w:t>
            </w:r>
          </w:p>
        </w:tc>
        <w:tc>
          <w:tcPr>
            <w:tcW w:w="516" w:type="pct"/>
            <w:vMerge w:val="continue"/>
            <w:noWrap w:val="0"/>
            <w:vAlign w:val="center"/>
          </w:tcPr>
          <w:p w14:paraId="7ED0A420">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33971C59">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046A9220">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22F04B5C">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7AD7AC5E">
            <w:pPr>
              <w:pStyle w:val="46"/>
              <w:bidi w:val="0"/>
              <w:rPr>
                <w:rFonts w:hint="default" w:ascii="Times New Roman" w:hAnsi="Times New Roman" w:cs="Times New Roman"/>
                <w:color w:val="auto"/>
                <w:highlight w:val="none"/>
                <w:lang w:val="en-US" w:eastAsia="zh-CN"/>
              </w:rPr>
            </w:pPr>
          </w:p>
        </w:tc>
      </w:tr>
      <w:tr w14:paraId="7F68D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20BC0B7A">
            <w:pPr>
              <w:pStyle w:val="46"/>
              <w:bidi w:val="0"/>
              <w:rPr>
                <w:rFonts w:hint="default" w:ascii="Times New Roman" w:hAnsi="Times New Roman" w:cs="Times New Roman"/>
                <w:color w:val="auto"/>
                <w:highlight w:val="none"/>
                <w:lang w:eastAsia="zh-CN"/>
              </w:rPr>
            </w:pPr>
          </w:p>
        </w:tc>
        <w:tc>
          <w:tcPr>
            <w:tcW w:w="690" w:type="pct"/>
            <w:noWrap w:val="0"/>
            <w:vAlign w:val="center"/>
          </w:tcPr>
          <w:p w14:paraId="06B375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2458</w:t>
            </w:r>
          </w:p>
        </w:tc>
        <w:tc>
          <w:tcPr>
            <w:tcW w:w="691" w:type="pct"/>
            <w:noWrap w:val="0"/>
            <w:vAlign w:val="center"/>
          </w:tcPr>
          <w:p w14:paraId="361FBAF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2329</w:t>
            </w:r>
          </w:p>
        </w:tc>
        <w:tc>
          <w:tcPr>
            <w:tcW w:w="516" w:type="pct"/>
            <w:vMerge w:val="continue"/>
            <w:noWrap w:val="0"/>
            <w:vAlign w:val="center"/>
          </w:tcPr>
          <w:p w14:paraId="63AA98F4">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08906142">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2FFDED44">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5AB7EA71">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63DA3D9F">
            <w:pPr>
              <w:pStyle w:val="46"/>
              <w:bidi w:val="0"/>
              <w:rPr>
                <w:rFonts w:hint="default" w:ascii="Times New Roman" w:hAnsi="Times New Roman" w:cs="Times New Roman"/>
                <w:color w:val="auto"/>
                <w:highlight w:val="none"/>
                <w:lang w:val="en-US" w:eastAsia="zh-CN"/>
              </w:rPr>
            </w:pPr>
          </w:p>
        </w:tc>
      </w:tr>
      <w:tr w14:paraId="730A4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16633FD3">
            <w:pPr>
              <w:pStyle w:val="46"/>
              <w:bidi w:val="0"/>
              <w:rPr>
                <w:rFonts w:hint="default" w:ascii="Times New Roman" w:hAnsi="Times New Roman" w:cs="Times New Roman"/>
                <w:color w:val="auto"/>
                <w:highlight w:val="none"/>
                <w:lang w:eastAsia="zh-CN"/>
              </w:rPr>
            </w:pPr>
          </w:p>
        </w:tc>
        <w:tc>
          <w:tcPr>
            <w:tcW w:w="690" w:type="pct"/>
            <w:noWrap w:val="0"/>
            <w:vAlign w:val="center"/>
          </w:tcPr>
          <w:p w14:paraId="2A7F983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2497</w:t>
            </w:r>
          </w:p>
        </w:tc>
        <w:tc>
          <w:tcPr>
            <w:tcW w:w="691" w:type="pct"/>
            <w:noWrap w:val="0"/>
            <w:vAlign w:val="center"/>
          </w:tcPr>
          <w:p w14:paraId="2EEC4BB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2284</w:t>
            </w:r>
          </w:p>
        </w:tc>
        <w:tc>
          <w:tcPr>
            <w:tcW w:w="516" w:type="pct"/>
            <w:vMerge w:val="continue"/>
            <w:noWrap w:val="0"/>
            <w:vAlign w:val="center"/>
          </w:tcPr>
          <w:p w14:paraId="234E1FCF">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2338E0DC">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75FF02EF">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4013FBB8">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066F9711">
            <w:pPr>
              <w:pStyle w:val="46"/>
              <w:bidi w:val="0"/>
              <w:rPr>
                <w:rFonts w:hint="default" w:ascii="Times New Roman" w:hAnsi="Times New Roman" w:cs="Times New Roman"/>
                <w:color w:val="auto"/>
                <w:highlight w:val="none"/>
                <w:lang w:val="en-US" w:eastAsia="zh-CN"/>
              </w:rPr>
            </w:pPr>
          </w:p>
        </w:tc>
      </w:tr>
      <w:tr w14:paraId="6C28A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3EA9CE0">
            <w:pPr>
              <w:pStyle w:val="46"/>
              <w:bidi w:val="0"/>
              <w:rPr>
                <w:rFonts w:hint="default" w:ascii="Times New Roman" w:hAnsi="Times New Roman" w:cs="Times New Roman"/>
                <w:color w:val="auto"/>
                <w:highlight w:val="none"/>
                <w:lang w:eastAsia="zh-CN"/>
              </w:rPr>
            </w:pPr>
          </w:p>
        </w:tc>
        <w:tc>
          <w:tcPr>
            <w:tcW w:w="690" w:type="pct"/>
            <w:noWrap w:val="0"/>
            <w:vAlign w:val="center"/>
          </w:tcPr>
          <w:p w14:paraId="52E207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2497</w:t>
            </w:r>
          </w:p>
        </w:tc>
        <w:tc>
          <w:tcPr>
            <w:tcW w:w="691" w:type="pct"/>
            <w:noWrap w:val="0"/>
            <w:vAlign w:val="center"/>
          </w:tcPr>
          <w:p w14:paraId="16F2CC8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2206</w:t>
            </w:r>
          </w:p>
        </w:tc>
        <w:tc>
          <w:tcPr>
            <w:tcW w:w="516" w:type="pct"/>
            <w:vMerge w:val="continue"/>
            <w:noWrap w:val="0"/>
            <w:vAlign w:val="center"/>
          </w:tcPr>
          <w:p w14:paraId="34101C90">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725E96FC">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1FB6E544">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0E044125">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7D048D4A">
            <w:pPr>
              <w:pStyle w:val="46"/>
              <w:bidi w:val="0"/>
              <w:rPr>
                <w:rFonts w:hint="default" w:ascii="Times New Roman" w:hAnsi="Times New Roman" w:cs="Times New Roman"/>
                <w:color w:val="auto"/>
                <w:highlight w:val="none"/>
                <w:lang w:val="en-US" w:eastAsia="zh-CN"/>
              </w:rPr>
            </w:pPr>
          </w:p>
        </w:tc>
      </w:tr>
      <w:tr w14:paraId="5B732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69CD2AAD">
            <w:pPr>
              <w:pStyle w:val="46"/>
              <w:bidi w:val="0"/>
              <w:rPr>
                <w:rFonts w:hint="default" w:ascii="Times New Roman" w:hAnsi="Times New Roman" w:cs="Times New Roman"/>
                <w:color w:val="auto"/>
                <w:highlight w:val="none"/>
                <w:lang w:eastAsia="zh-CN"/>
              </w:rPr>
            </w:pPr>
          </w:p>
        </w:tc>
        <w:tc>
          <w:tcPr>
            <w:tcW w:w="690" w:type="pct"/>
            <w:noWrap w:val="0"/>
            <w:vAlign w:val="center"/>
          </w:tcPr>
          <w:p w14:paraId="4FB4063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2587</w:t>
            </w:r>
          </w:p>
        </w:tc>
        <w:tc>
          <w:tcPr>
            <w:tcW w:w="691" w:type="pct"/>
            <w:noWrap w:val="0"/>
            <w:vAlign w:val="center"/>
          </w:tcPr>
          <w:p w14:paraId="638231C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2155</w:t>
            </w:r>
          </w:p>
        </w:tc>
        <w:tc>
          <w:tcPr>
            <w:tcW w:w="516" w:type="pct"/>
            <w:vMerge w:val="continue"/>
            <w:noWrap w:val="0"/>
            <w:vAlign w:val="center"/>
          </w:tcPr>
          <w:p w14:paraId="4DDF66F0">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28561DA5">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6B680098">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45A109B5">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7170FFC2">
            <w:pPr>
              <w:pStyle w:val="46"/>
              <w:bidi w:val="0"/>
              <w:rPr>
                <w:rFonts w:hint="default" w:ascii="Times New Roman" w:hAnsi="Times New Roman" w:cs="Times New Roman"/>
                <w:color w:val="auto"/>
                <w:highlight w:val="none"/>
                <w:lang w:val="en-US" w:eastAsia="zh-CN"/>
              </w:rPr>
            </w:pPr>
          </w:p>
        </w:tc>
      </w:tr>
      <w:tr w14:paraId="5B4A7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E4718A4">
            <w:pPr>
              <w:pStyle w:val="46"/>
              <w:bidi w:val="0"/>
              <w:rPr>
                <w:rFonts w:hint="default" w:ascii="Times New Roman" w:hAnsi="Times New Roman" w:cs="Times New Roman"/>
                <w:color w:val="auto"/>
                <w:highlight w:val="none"/>
                <w:lang w:eastAsia="zh-CN"/>
              </w:rPr>
            </w:pPr>
          </w:p>
        </w:tc>
        <w:tc>
          <w:tcPr>
            <w:tcW w:w="690" w:type="pct"/>
            <w:noWrap w:val="0"/>
            <w:vAlign w:val="center"/>
          </w:tcPr>
          <w:p w14:paraId="35530B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2684</w:t>
            </w:r>
          </w:p>
        </w:tc>
        <w:tc>
          <w:tcPr>
            <w:tcW w:w="691" w:type="pct"/>
            <w:noWrap w:val="0"/>
            <w:vAlign w:val="center"/>
          </w:tcPr>
          <w:p w14:paraId="772255B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2252</w:t>
            </w:r>
          </w:p>
        </w:tc>
        <w:tc>
          <w:tcPr>
            <w:tcW w:w="516" w:type="pct"/>
            <w:vMerge w:val="continue"/>
            <w:noWrap w:val="0"/>
            <w:vAlign w:val="center"/>
          </w:tcPr>
          <w:p w14:paraId="4CFDAD0C">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16C2A3B2">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0F40075D">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365CF3D7">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502D8799">
            <w:pPr>
              <w:pStyle w:val="46"/>
              <w:bidi w:val="0"/>
              <w:rPr>
                <w:rFonts w:hint="default" w:ascii="Times New Roman" w:hAnsi="Times New Roman" w:cs="Times New Roman"/>
                <w:color w:val="auto"/>
                <w:highlight w:val="none"/>
                <w:lang w:val="en-US" w:eastAsia="zh-CN"/>
              </w:rPr>
            </w:pPr>
          </w:p>
        </w:tc>
      </w:tr>
      <w:tr w14:paraId="188BF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3EDCF7C4">
            <w:pPr>
              <w:pStyle w:val="46"/>
              <w:bidi w:val="0"/>
              <w:rPr>
                <w:rFonts w:hint="default" w:ascii="Times New Roman" w:hAnsi="Times New Roman" w:cs="Times New Roman"/>
                <w:color w:val="auto"/>
                <w:highlight w:val="none"/>
                <w:lang w:eastAsia="zh-CN"/>
              </w:rPr>
            </w:pPr>
          </w:p>
        </w:tc>
        <w:tc>
          <w:tcPr>
            <w:tcW w:w="690" w:type="pct"/>
            <w:noWrap w:val="0"/>
            <w:vAlign w:val="center"/>
          </w:tcPr>
          <w:p w14:paraId="693E9D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2710</w:t>
            </w:r>
          </w:p>
        </w:tc>
        <w:tc>
          <w:tcPr>
            <w:tcW w:w="691" w:type="pct"/>
            <w:noWrap w:val="0"/>
            <w:vAlign w:val="center"/>
          </w:tcPr>
          <w:p w14:paraId="7D71C49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2368</w:t>
            </w:r>
          </w:p>
        </w:tc>
        <w:tc>
          <w:tcPr>
            <w:tcW w:w="516" w:type="pct"/>
            <w:vMerge w:val="continue"/>
            <w:noWrap w:val="0"/>
            <w:vAlign w:val="center"/>
          </w:tcPr>
          <w:p w14:paraId="6E23C1BD">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22D72475">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2E87F53C">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175E052D">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0DFA8646">
            <w:pPr>
              <w:pStyle w:val="46"/>
              <w:bidi w:val="0"/>
              <w:rPr>
                <w:rFonts w:hint="default" w:ascii="Times New Roman" w:hAnsi="Times New Roman" w:cs="Times New Roman"/>
                <w:color w:val="auto"/>
                <w:highlight w:val="none"/>
                <w:lang w:val="en-US" w:eastAsia="zh-CN"/>
              </w:rPr>
            </w:pPr>
          </w:p>
        </w:tc>
      </w:tr>
      <w:tr w14:paraId="3B29B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5D344A5C">
            <w:pPr>
              <w:pStyle w:val="46"/>
              <w:bidi w:val="0"/>
              <w:rPr>
                <w:rFonts w:hint="default" w:ascii="Times New Roman" w:hAnsi="Times New Roman" w:cs="Times New Roman"/>
                <w:color w:val="auto"/>
                <w:highlight w:val="none"/>
                <w:lang w:eastAsia="zh-CN"/>
              </w:rPr>
            </w:pPr>
          </w:p>
        </w:tc>
        <w:tc>
          <w:tcPr>
            <w:tcW w:w="690" w:type="pct"/>
            <w:noWrap w:val="0"/>
            <w:vAlign w:val="center"/>
          </w:tcPr>
          <w:p w14:paraId="56FBF2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2729</w:t>
            </w:r>
          </w:p>
        </w:tc>
        <w:tc>
          <w:tcPr>
            <w:tcW w:w="691" w:type="pct"/>
            <w:noWrap w:val="0"/>
            <w:vAlign w:val="center"/>
          </w:tcPr>
          <w:p w14:paraId="46E5BB6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2439</w:t>
            </w:r>
          </w:p>
        </w:tc>
        <w:tc>
          <w:tcPr>
            <w:tcW w:w="516" w:type="pct"/>
            <w:vMerge w:val="continue"/>
            <w:noWrap w:val="0"/>
            <w:vAlign w:val="center"/>
          </w:tcPr>
          <w:p w14:paraId="05366DDB">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3FFD4099">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03F3D305">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3B5BEEDD">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4517F382">
            <w:pPr>
              <w:pStyle w:val="46"/>
              <w:bidi w:val="0"/>
              <w:rPr>
                <w:rFonts w:hint="default" w:ascii="Times New Roman" w:hAnsi="Times New Roman" w:cs="Times New Roman"/>
                <w:color w:val="auto"/>
                <w:highlight w:val="none"/>
                <w:lang w:val="en-US" w:eastAsia="zh-CN"/>
              </w:rPr>
            </w:pPr>
          </w:p>
        </w:tc>
      </w:tr>
      <w:tr w14:paraId="712C4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1B66097">
            <w:pPr>
              <w:pStyle w:val="46"/>
              <w:bidi w:val="0"/>
              <w:rPr>
                <w:rFonts w:hint="default" w:ascii="Times New Roman" w:hAnsi="Times New Roman" w:cs="Times New Roman"/>
                <w:color w:val="auto"/>
                <w:highlight w:val="none"/>
                <w:lang w:eastAsia="zh-CN"/>
              </w:rPr>
            </w:pPr>
          </w:p>
        </w:tc>
        <w:tc>
          <w:tcPr>
            <w:tcW w:w="690" w:type="pct"/>
            <w:noWrap w:val="0"/>
            <w:vAlign w:val="center"/>
          </w:tcPr>
          <w:p w14:paraId="3FFE8A9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2652</w:t>
            </w:r>
          </w:p>
        </w:tc>
        <w:tc>
          <w:tcPr>
            <w:tcW w:w="691" w:type="pct"/>
            <w:noWrap w:val="0"/>
            <w:vAlign w:val="center"/>
          </w:tcPr>
          <w:p w14:paraId="6ECA06B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2452</w:t>
            </w:r>
          </w:p>
        </w:tc>
        <w:tc>
          <w:tcPr>
            <w:tcW w:w="516" w:type="pct"/>
            <w:vMerge w:val="continue"/>
            <w:noWrap w:val="0"/>
            <w:vAlign w:val="center"/>
          </w:tcPr>
          <w:p w14:paraId="611B614A">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0B27415B">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5CE4C881">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70B6662A">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0F6B0198">
            <w:pPr>
              <w:pStyle w:val="46"/>
              <w:bidi w:val="0"/>
              <w:rPr>
                <w:rFonts w:hint="default" w:ascii="Times New Roman" w:hAnsi="Times New Roman" w:cs="Times New Roman"/>
                <w:color w:val="auto"/>
                <w:highlight w:val="none"/>
                <w:lang w:val="en-US" w:eastAsia="zh-CN"/>
              </w:rPr>
            </w:pPr>
          </w:p>
        </w:tc>
      </w:tr>
      <w:tr w14:paraId="4312A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16396FE8">
            <w:pPr>
              <w:pStyle w:val="46"/>
              <w:bidi w:val="0"/>
              <w:rPr>
                <w:rFonts w:hint="default" w:ascii="Times New Roman" w:hAnsi="Times New Roman" w:cs="Times New Roman"/>
                <w:color w:val="auto"/>
                <w:highlight w:val="none"/>
                <w:lang w:eastAsia="zh-CN"/>
              </w:rPr>
            </w:pPr>
          </w:p>
        </w:tc>
        <w:tc>
          <w:tcPr>
            <w:tcW w:w="690" w:type="pct"/>
            <w:noWrap w:val="0"/>
            <w:vAlign w:val="center"/>
          </w:tcPr>
          <w:p w14:paraId="00706C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2658</w:t>
            </w:r>
          </w:p>
        </w:tc>
        <w:tc>
          <w:tcPr>
            <w:tcW w:w="691" w:type="pct"/>
            <w:noWrap w:val="0"/>
            <w:vAlign w:val="center"/>
          </w:tcPr>
          <w:p w14:paraId="64C76F1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2458</w:t>
            </w:r>
          </w:p>
        </w:tc>
        <w:tc>
          <w:tcPr>
            <w:tcW w:w="516" w:type="pct"/>
            <w:vMerge w:val="continue"/>
            <w:noWrap w:val="0"/>
            <w:vAlign w:val="center"/>
          </w:tcPr>
          <w:p w14:paraId="55B78B4C">
            <w:pPr>
              <w:pStyle w:val="46"/>
              <w:bidi w:val="0"/>
              <w:rPr>
                <w:rFonts w:hint="default" w:ascii="Times New Roman" w:hAnsi="Times New Roman" w:cs="Times New Roman"/>
                <w:color w:val="auto"/>
                <w:highlight w:val="none"/>
                <w:lang w:val="en-US" w:eastAsia="zh-CN"/>
              </w:rPr>
            </w:pPr>
          </w:p>
        </w:tc>
        <w:tc>
          <w:tcPr>
            <w:tcW w:w="556" w:type="pct"/>
            <w:vMerge w:val="continue"/>
            <w:noWrap w:val="0"/>
            <w:vAlign w:val="center"/>
          </w:tcPr>
          <w:p w14:paraId="5E4EEE16">
            <w:pPr>
              <w:pStyle w:val="46"/>
              <w:bidi w:val="0"/>
              <w:rPr>
                <w:rFonts w:hint="default" w:ascii="Times New Roman" w:hAnsi="Times New Roman" w:cs="Times New Roman"/>
                <w:color w:val="auto"/>
                <w:highlight w:val="none"/>
                <w:lang w:val="en-US" w:eastAsia="zh-CN"/>
              </w:rPr>
            </w:pPr>
          </w:p>
        </w:tc>
        <w:tc>
          <w:tcPr>
            <w:tcW w:w="572" w:type="pct"/>
            <w:vMerge w:val="continue"/>
            <w:noWrap w:val="0"/>
            <w:vAlign w:val="center"/>
          </w:tcPr>
          <w:p w14:paraId="06099E54">
            <w:pPr>
              <w:pStyle w:val="46"/>
              <w:bidi w:val="0"/>
              <w:rPr>
                <w:rFonts w:hint="default" w:ascii="Times New Roman" w:hAnsi="Times New Roman" w:cs="Times New Roman"/>
                <w:color w:val="auto"/>
                <w:highlight w:val="none"/>
                <w:lang w:val="en-US" w:eastAsia="zh-CN"/>
              </w:rPr>
            </w:pPr>
          </w:p>
        </w:tc>
        <w:tc>
          <w:tcPr>
            <w:tcW w:w="447" w:type="pct"/>
            <w:vMerge w:val="continue"/>
            <w:noWrap w:val="0"/>
            <w:vAlign w:val="center"/>
          </w:tcPr>
          <w:p w14:paraId="35ACFA47">
            <w:pPr>
              <w:pStyle w:val="46"/>
              <w:bidi w:val="0"/>
              <w:rPr>
                <w:rFonts w:hint="default" w:ascii="Times New Roman" w:hAnsi="Times New Roman" w:cs="Times New Roman"/>
                <w:color w:val="auto"/>
                <w:highlight w:val="none"/>
                <w:lang w:eastAsia="zh-CN"/>
              </w:rPr>
            </w:pPr>
          </w:p>
        </w:tc>
        <w:tc>
          <w:tcPr>
            <w:tcW w:w="1087" w:type="pct"/>
            <w:vMerge w:val="continue"/>
            <w:noWrap w:val="0"/>
            <w:vAlign w:val="center"/>
          </w:tcPr>
          <w:p w14:paraId="5541F680">
            <w:pPr>
              <w:pStyle w:val="46"/>
              <w:bidi w:val="0"/>
              <w:rPr>
                <w:rFonts w:hint="default" w:ascii="Times New Roman" w:hAnsi="Times New Roman" w:cs="Times New Roman"/>
                <w:color w:val="auto"/>
                <w:highlight w:val="none"/>
                <w:lang w:val="en-US" w:eastAsia="zh-CN"/>
              </w:rPr>
            </w:pPr>
          </w:p>
        </w:tc>
      </w:tr>
    </w:tbl>
    <w:p w14:paraId="55959A3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注：以项目区</w:t>
      </w:r>
      <w:r>
        <w:rPr>
          <w:rFonts w:hint="default" w:ascii="Times New Roman" w:hAnsi="Times New Roman" w:cs="Times New Roman"/>
          <w:color w:val="auto"/>
          <w:highlight w:val="none"/>
          <w:lang w:val="en-US" w:eastAsia="zh-CN"/>
        </w:rPr>
        <w:t>西南点</w:t>
      </w:r>
      <w:r>
        <w:rPr>
          <w:rFonts w:hint="default" w:ascii="Times New Roman" w:hAnsi="Times New Roman" w:cs="Times New Roman"/>
          <w:color w:val="auto"/>
          <w:highlight w:val="none"/>
        </w:rPr>
        <w:t>侧为0,0点，由于非作业面及时苫盖，不会产生扬尘，因此面源按排放小时数按每天</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小时，年工作</w:t>
      </w:r>
      <w:r>
        <w:rPr>
          <w:rFonts w:hint="default" w:ascii="Times New Roman" w:hAnsi="Times New Roman" w:cs="Times New Roman"/>
          <w:color w:val="auto"/>
          <w:highlight w:val="none"/>
          <w:lang w:val="en-US" w:eastAsia="zh-CN"/>
        </w:rPr>
        <w:t>330</w:t>
      </w:r>
      <w:r>
        <w:rPr>
          <w:rFonts w:hint="default" w:ascii="Times New Roman" w:hAnsi="Times New Roman" w:cs="Times New Roman"/>
          <w:color w:val="auto"/>
          <w:highlight w:val="none"/>
        </w:rPr>
        <w:t>d计算。</w:t>
      </w:r>
    </w:p>
    <w:p w14:paraId="674A0E9D">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表2-6-4估算结果表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983"/>
        <w:gridCol w:w="1196"/>
        <w:gridCol w:w="1496"/>
        <w:gridCol w:w="1178"/>
        <w:gridCol w:w="982"/>
        <w:gridCol w:w="1317"/>
      </w:tblGrid>
      <w:tr w14:paraId="693C6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81" w:type="pct"/>
            <w:gridSpan w:val="2"/>
            <w:vAlign w:val="center"/>
          </w:tcPr>
          <w:p w14:paraId="1F1F86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702" w:type="pct"/>
            <w:vAlign w:val="center"/>
          </w:tcPr>
          <w:p w14:paraId="177EC5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环境质量标准</w:t>
            </w:r>
            <w:r>
              <w:rPr>
                <w:rFonts w:hint="default" w:ascii="Times New Roman" w:hAnsi="Times New Roman" w:cs="Times New Roman"/>
                <w:color w:val="auto"/>
                <w:highlight w:val="none"/>
                <w:lang w:val="en-GB"/>
              </w:rPr>
              <w:t>（</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val="en-GB"/>
              </w:rPr>
              <w:t>）</w:t>
            </w:r>
          </w:p>
        </w:tc>
        <w:tc>
          <w:tcPr>
            <w:tcW w:w="878" w:type="pct"/>
            <w:vAlign w:val="center"/>
          </w:tcPr>
          <w:p w14:paraId="757589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预测下风向最大质量浓度</w:t>
            </w:r>
            <w:r>
              <w:rPr>
                <w:rFonts w:hint="default" w:ascii="Times New Roman" w:hAnsi="Times New Roman" w:cs="Times New Roman"/>
                <w:color w:val="auto"/>
                <w:highlight w:val="none"/>
                <w:lang w:val="en-GB"/>
              </w:rPr>
              <w:t>（</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val="en-GB"/>
              </w:rPr>
              <w:t>）</w:t>
            </w:r>
          </w:p>
        </w:tc>
        <w:tc>
          <w:tcPr>
            <w:tcW w:w="691" w:type="pct"/>
            <w:vAlign w:val="center"/>
          </w:tcPr>
          <w:p w14:paraId="392FA8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D10%最远距离（m)</w:t>
            </w:r>
          </w:p>
        </w:tc>
        <w:tc>
          <w:tcPr>
            <w:tcW w:w="576" w:type="pct"/>
            <w:vAlign w:val="center"/>
          </w:tcPr>
          <w:p w14:paraId="7469FE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72" w:type="pct"/>
            <w:vAlign w:val="center"/>
          </w:tcPr>
          <w:p w14:paraId="2155878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最大浓度出现距离（m）</w:t>
            </w:r>
          </w:p>
        </w:tc>
      </w:tr>
      <w:tr w14:paraId="2A1A7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04" w:type="pct"/>
            <w:vAlign w:val="center"/>
          </w:tcPr>
          <w:p w14:paraId="4E71A480">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回填</w:t>
            </w:r>
            <w:r>
              <w:rPr>
                <w:rFonts w:hint="default" w:ascii="Times New Roman" w:hAnsi="Times New Roman" w:cs="Times New Roman"/>
                <w:color w:val="auto"/>
                <w:highlight w:val="none"/>
                <w:lang w:val="en-US" w:eastAsia="zh-CN"/>
              </w:rPr>
              <w:t>区</w:t>
            </w:r>
          </w:p>
        </w:tc>
        <w:tc>
          <w:tcPr>
            <w:tcW w:w="577" w:type="pct"/>
            <w:vAlign w:val="center"/>
          </w:tcPr>
          <w:p w14:paraId="78C099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702" w:type="pct"/>
            <w:vAlign w:val="center"/>
          </w:tcPr>
          <w:p w14:paraId="0FD8CB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878" w:type="pct"/>
            <w:vAlign w:val="center"/>
          </w:tcPr>
          <w:p w14:paraId="0B0A77E7">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691" w:type="pct"/>
            <w:vAlign w:val="center"/>
          </w:tcPr>
          <w:p w14:paraId="2BA69A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76" w:type="pct"/>
            <w:vAlign w:val="center"/>
          </w:tcPr>
          <w:p w14:paraId="317E582E">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772" w:type="pct"/>
            <w:vAlign w:val="center"/>
          </w:tcPr>
          <w:p w14:paraId="5709B2BA">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200</w:t>
            </w:r>
          </w:p>
        </w:tc>
      </w:tr>
    </w:tbl>
    <w:p w14:paraId="5466E228">
      <w:pPr>
        <w:pStyle w:val="27"/>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由上表可知，本项目产生的大气污染物TSP预测最大地面质量浓度占标率最大值为</w:t>
      </w:r>
      <w:r>
        <w:rPr>
          <w:rFonts w:hint="default" w:ascii="Times New Roman" w:hAnsi="Times New Roman" w:cs="Times New Roman"/>
          <w:color w:val="auto"/>
          <w:highlight w:val="none"/>
          <w:lang w:val="en-US" w:eastAsia="zh-CN"/>
        </w:rPr>
        <w:t>0.28</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小于1%</w:t>
      </w:r>
      <w:r>
        <w:rPr>
          <w:rFonts w:hint="default" w:ascii="Times New Roman" w:hAnsi="Times New Roman" w:cs="Times New Roman"/>
          <w:color w:val="auto"/>
          <w:highlight w:val="none"/>
        </w:rPr>
        <w:t>，因此，确定本项目大气环境影响评价等级为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p>
    <w:p w14:paraId="09FEFA04">
      <w:pPr>
        <w:pStyle w:val="41"/>
        <w:rPr>
          <w:rFonts w:hint="default" w:ascii="Times New Roman" w:hAnsi="Times New Roman" w:cs="Times New Roman"/>
          <w:color w:val="auto"/>
          <w:highlight w:val="none"/>
        </w:rPr>
      </w:pPr>
      <w:bookmarkStart w:id="108" w:name="_Toc17512"/>
      <w:r>
        <w:rPr>
          <w:rFonts w:hint="default" w:ascii="Times New Roman" w:hAnsi="Times New Roman" w:cs="Times New Roman"/>
          <w:color w:val="auto"/>
          <w:highlight w:val="none"/>
        </w:rPr>
        <w:t>2.6.2地表水环境</w:t>
      </w:r>
      <w:bookmarkEnd w:id="108"/>
    </w:p>
    <w:p w14:paraId="15CA2AFF">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地表水环境》（HJ2.3-2018）中的有关规定，将地表水环境影响评价工作等级分为一级、二级、三级A、三级B，划分依据见下表。</w:t>
      </w:r>
    </w:p>
    <w:p w14:paraId="07E02D51">
      <w:pPr>
        <w:pStyle w:val="29"/>
        <w:bidi w:val="0"/>
        <w:rPr>
          <w:rFonts w:hint="default" w:ascii="Times New Roman" w:hAnsi="Times New Roman" w:cs="Times New Roman"/>
          <w:color w:val="auto"/>
          <w:highlight w:val="none"/>
        </w:rPr>
      </w:pPr>
      <w:bookmarkStart w:id="109" w:name="_Hlk10134411"/>
      <w:r>
        <w:rPr>
          <w:rFonts w:hint="default" w:ascii="Times New Roman" w:hAnsi="Times New Roman" w:cs="Times New Roman"/>
          <w:color w:val="auto"/>
          <w:highlight w:val="none"/>
        </w:rPr>
        <w:t>表2-6-5地表水评价等级确定表</w:t>
      </w:r>
    </w:p>
    <w:bookmarkEnd w:id="109"/>
    <w:tbl>
      <w:tblPr>
        <w:tblStyle w:val="24"/>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42"/>
        <w:gridCol w:w="2268"/>
        <w:gridCol w:w="4196"/>
      </w:tblGrid>
      <w:tr w14:paraId="0CB0C3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restart"/>
            <w:vAlign w:val="center"/>
          </w:tcPr>
          <w:p w14:paraId="3E37242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评价等级</w:t>
            </w:r>
          </w:p>
        </w:tc>
        <w:tc>
          <w:tcPr>
            <w:tcW w:w="6464" w:type="dxa"/>
            <w:gridSpan w:val="2"/>
          </w:tcPr>
          <w:p w14:paraId="647236E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判定依据</w:t>
            </w:r>
          </w:p>
        </w:tc>
      </w:tr>
      <w:tr w14:paraId="42AF2B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continue"/>
            <w:vAlign w:val="center"/>
          </w:tcPr>
          <w:p w14:paraId="74457346">
            <w:pPr>
              <w:pStyle w:val="46"/>
              <w:bidi w:val="0"/>
              <w:rPr>
                <w:rFonts w:hint="default" w:ascii="Times New Roman" w:hAnsi="Times New Roman" w:cs="Times New Roman"/>
                <w:color w:val="auto"/>
                <w:highlight w:val="none"/>
                <w:lang w:val="zh-CN"/>
              </w:rPr>
            </w:pPr>
          </w:p>
        </w:tc>
        <w:tc>
          <w:tcPr>
            <w:tcW w:w="2268" w:type="dxa"/>
            <w:vAlign w:val="center"/>
          </w:tcPr>
          <w:p w14:paraId="2764465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排放方式</w:t>
            </w:r>
          </w:p>
        </w:tc>
        <w:tc>
          <w:tcPr>
            <w:tcW w:w="4196" w:type="dxa"/>
            <w:vAlign w:val="center"/>
          </w:tcPr>
          <w:p w14:paraId="4CEBE9B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废水排放量Q/（m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/d）；</w:t>
            </w:r>
          </w:p>
          <w:p w14:paraId="11714D4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水污染物当量数W/（无量纲）</w:t>
            </w:r>
          </w:p>
        </w:tc>
      </w:tr>
      <w:tr w14:paraId="7DE9D6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1842" w:type="dxa"/>
            <w:vAlign w:val="center"/>
          </w:tcPr>
          <w:p w14:paraId="55197ED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2268" w:type="dxa"/>
            <w:vAlign w:val="center"/>
          </w:tcPr>
          <w:p w14:paraId="4E24289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5C35256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Q≥20000或W≥600000</w:t>
            </w:r>
          </w:p>
        </w:tc>
      </w:tr>
      <w:tr w14:paraId="48B96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0ECC9D8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2268" w:type="dxa"/>
            <w:vAlign w:val="center"/>
          </w:tcPr>
          <w:p w14:paraId="5AC3324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0D6DCF6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其他</w:t>
            </w:r>
          </w:p>
        </w:tc>
      </w:tr>
      <w:tr w14:paraId="68D3A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0B67638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三级A</w:t>
            </w:r>
          </w:p>
        </w:tc>
        <w:tc>
          <w:tcPr>
            <w:tcW w:w="2268" w:type="dxa"/>
            <w:vAlign w:val="center"/>
          </w:tcPr>
          <w:p w14:paraId="1861A21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7493E56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Q＜200或W＜6000</w:t>
            </w:r>
          </w:p>
        </w:tc>
      </w:tr>
      <w:tr w14:paraId="205047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1BBBA8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三级B</w:t>
            </w:r>
          </w:p>
        </w:tc>
        <w:tc>
          <w:tcPr>
            <w:tcW w:w="2268" w:type="dxa"/>
            <w:vAlign w:val="center"/>
          </w:tcPr>
          <w:p w14:paraId="0946EB0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间接排放</w:t>
            </w:r>
          </w:p>
        </w:tc>
        <w:tc>
          <w:tcPr>
            <w:tcW w:w="4196" w:type="dxa"/>
            <w:vAlign w:val="center"/>
          </w:tcPr>
          <w:p w14:paraId="00B44F3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33CE4C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14" w:hRule="atLeast"/>
          <w:jc w:val="center"/>
        </w:trPr>
        <w:tc>
          <w:tcPr>
            <w:tcW w:w="8306" w:type="dxa"/>
            <w:gridSpan w:val="3"/>
            <w:vAlign w:val="center"/>
          </w:tcPr>
          <w:p w14:paraId="42D0F4E5">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654FC16E">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 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3FBC7F03">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注3：厂区存在堆积物（露天堆放的原料、燃料、废渣等以及垃圾堆放场）、降尘污染的，应将初期雨污水纳入废水排放量，相应的主要污染物纳入水污染当量计算。</w:t>
            </w:r>
          </w:p>
          <w:p w14:paraId="3D617F11">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注4：建设项目直接排放第一类污染物的，其评价等级为一级；建设项目直接排放的污染物为受纳水体超标因子的，评价等级不低于二级。</w:t>
            </w:r>
          </w:p>
          <w:p w14:paraId="60547502">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注5：直接排放受纳水体影响范围涉及饮用水水源保护区、饮用水取水口、重点保护与珍稀水生生物的栖息地、重要水生生物的自然产卵场等保护目标时，评价等级不低于二级。</w:t>
            </w:r>
          </w:p>
          <w:p w14:paraId="2BE7A435">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注6：建设项目向河流、湖库排放温排水引起受纳水体水温变化超过水环境质量标准要求，且评价范围有水温敏感目标 时，评价等级为一级。</w:t>
            </w:r>
          </w:p>
          <w:p w14:paraId="70936289">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注7：建设项目利用海水作为调节温度介质，排水量≥500万m3/d，评价等级为一级；排水量＜500万m3/d，评价等级为二级。</w:t>
            </w:r>
          </w:p>
          <w:p w14:paraId="61382771">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注8：仅涉及清净下水排放的，如其排放水质满足受纳水体水环境质量标准要求的，评价等级为三级 A。</w:t>
            </w:r>
          </w:p>
          <w:p w14:paraId="424DF5B0">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注9：依托现有排放口，且对外环境未新增排放污染物的直接排放建设项目，评价等级参照间接排放，定为三级B。</w:t>
            </w:r>
          </w:p>
          <w:p w14:paraId="43D74065">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注10：建设项目生产工艺中有废水产生，但作为回水利用，不排放到外环境的，按三级B评价。</w:t>
            </w:r>
          </w:p>
        </w:tc>
      </w:tr>
    </w:tbl>
    <w:p w14:paraId="0C50A3EC">
      <w:pPr>
        <w:pStyle w:val="27"/>
        <w:keepNext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snapToGrid w:val="0"/>
          <w:color w:val="auto"/>
          <w:kern w:val="0"/>
          <w:szCs w:val="22"/>
          <w:highlight w:val="none"/>
          <w:lang w:val="en-US" w:eastAsia="zh-CN"/>
        </w:rPr>
      </w:pPr>
      <w:r>
        <w:rPr>
          <w:rFonts w:hint="default" w:ascii="Times New Roman" w:hAnsi="Times New Roman" w:cs="Times New Roman"/>
          <w:color w:val="auto"/>
          <w:highlight w:val="none"/>
          <w:lang w:val="en-US" w:eastAsia="zh-CN"/>
        </w:rPr>
        <w:t>本项目复垦期</w:t>
      </w:r>
      <w:r>
        <w:rPr>
          <w:rFonts w:hint="default" w:ascii="Times New Roman" w:hAnsi="Times New Roman" w:cs="Times New Roman"/>
          <w:color w:val="auto"/>
          <w:highlight w:val="none"/>
        </w:rPr>
        <w:t>生活污水</w:t>
      </w:r>
      <w:r>
        <w:rPr>
          <w:rFonts w:hint="default" w:ascii="Times New Roman" w:hAnsi="Times New Roman" w:cs="Times New Roman"/>
          <w:color w:val="auto"/>
          <w:highlight w:val="none"/>
          <w:lang w:val="en-US" w:eastAsia="zh-CN"/>
        </w:rPr>
        <w:t>排入南甸子碎石场</w:t>
      </w:r>
      <w:r>
        <w:rPr>
          <w:rFonts w:hint="default" w:ascii="Times New Roman" w:hAnsi="Times New Roman" w:cs="Times New Roman"/>
          <w:color w:val="auto"/>
          <w:highlight w:val="none"/>
        </w:rPr>
        <w:t>的防渗旱厕，定期清掏，外运堆肥。</w:t>
      </w:r>
      <w:r>
        <w:rPr>
          <w:rFonts w:hint="default" w:ascii="Times New Roman" w:hAnsi="Times New Roman" w:cs="Times New Roman"/>
          <w:color w:val="auto"/>
          <w:highlight w:val="none"/>
          <w:lang w:val="en-US" w:eastAsia="zh-CN"/>
        </w:rPr>
        <w:t>复垦恢复期无生活污水、生产废水排放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本项目进行定性分析。</w:t>
      </w:r>
    </w:p>
    <w:p w14:paraId="0CAD58B3">
      <w:pPr>
        <w:pStyle w:val="41"/>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bookmarkStart w:id="110" w:name="_Toc4412"/>
      <w:r>
        <w:rPr>
          <w:rFonts w:hint="default" w:ascii="Times New Roman" w:hAnsi="Times New Roman" w:cs="Times New Roman"/>
          <w:color w:val="auto"/>
          <w:highlight w:val="none"/>
        </w:rPr>
        <w:t>2.6.3地下水环境</w:t>
      </w:r>
      <w:bookmarkEnd w:id="110"/>
    </w:p>
    <w:p w14:paraId="713074D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地下水环境》（HJ610-2016），评价工作等级的划分应依据建设项目行业分类和地下水环境敏感程度分级进行判定。</w:t>
      </w:r>
    </w:p>
    <w:p w14:paraId="6AFF1D3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（1）根据《环境影响评价技术导则 地下水环境》附录A，本项目属于U城镇基础设施及房地产 152、工业固体废物（含污泥）集中处置，本项目所回填</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类固废，因此，本项目所属的地下水环境影响评价项目类别为</w:t>
      </w: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rPr>
        <w:t>类。</w:t>
      </w:r>
    </w:p>
    <w:p w14:paraId="5810C15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（2）建设项目场地的地下水环境敏感程度可分为敏感、较敏感、不敏感三级，分级原则见表2-6-6。</w:t>
      </w:r>
    </w:p>
    <w:p w14:paraId="15D5F1E9">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表2-6-6地下水环境敏感程度分级</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7654"/>
      </w:tblGrid>
      <w:tr w14:paraId="29D58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9" w:type="pct"/>
            <w:tcBorders>
              <w:top w:val="single" w:color="auto" w:sz="12" w:space="0"/>
              <w:left w:val="nil"/>
              <w:bottom w:val="single" w:color="auto" w:sz="4" w:space="0"/>
              <w:right w:val="single" w:color="auto" w:sz="4" w:space="0"/>
            </w:tcBorders>
            <w:vAlign w:val="center"/>
          </w:tcPr>
          <w:p w14:paraId="4BAE40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分级</w:t>
            </w:r>
          </w:p>
        </w:tc>
        <w:tc>
          <w:tcPr>
            <w:tcW w:w="4491" w:type="pct"/>
            <w:tcBorders>
              <w:top w:val="single" w:color="auto" w:sz="12" w:space="0"/>
              <w:left w:val="single" w:color="auto" w:sz="4" w:space="0"/>
              <w:bottom w:val="single" w:color="auto" w:sz="4" w:space="0"/>
              <w:right w:val="nil"/>
            </w:tcBorders>
            <w:vAlign w:val="center"/>
          </w:tcPr>
          <w:p w14:paraId="76E0D1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地下水环境敏感特征</w:t>
            </w:r>
          </w:p>
        </w:tc>
      </w:tr>
      <w:tr w14:paraId="5822E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8" w:hRule="exact"/>
          <w:jc w:val="center"/>
        </w:trPr>
        <w:tc>
          <w:tcPr>
            <w:tcW w:w="509" w:type="pct"/>
            <w:tcBorders>
              <w:top w:val="single" w:color="auto" w:sz="4" w:space="0"/>
              <w:left w:val="nil"/>
              <w:bottom w:val="single" w:color="auto" w:sz="4" w:space="0"/>
              <w:right w:val="single" w:color="auto" w:sz="4" w:space="0"/>
            </w:tcBorders>
            <w:vAlign w:val="center"/>
          </w:tcPr>
          <w:p w14:paraId="7F9554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w:t>
            </w:r>
          </w:p>
        </w:tc>
        <w:tc>
          <w:tcPr>
            <w:tcW w:w="4491" w:type="pct"/>
            <w:tcBorders>
              <w:top w:val="single" w:color="auto" w:sz="4" w:space="0"/>
              <w:left w:val="single" w:color="auto" w:sz="4" w:space="0"/>
              <w:bottom w:val="single" w:color="auto" w:sz="4" w:space="0"/>
              <w:right w:val="nil"/>
            </w:tcBorders>
            <w:vAlign w:val="center"/>
          </w:tcPr>
          <w:p w14:paraId="1ED122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0F1A6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3" w:hRule="exact"/>
          <w:jc w:val="center"/>
        </w:trPr>
        <w:tc>
          <w:tcPr>
            <w:tcW w:w="509" w:type="pct"/>
            <w:tcBorders>
              <w:top w:val="single" w:color="auto" w:sz="4" w:space="0"/>
              <w:left w:val="nil"/>
              <w:bottom w:val="single" w:color="auto" w:sz="4" w:space="0"/>
              <w:right w:val="single" w:color="auto" w:sz="4" w:space="0"/>
            </w:tcBorders>
            <w:vAlign w:val="center"/>
          </w:tcPr>
          <w:p w14:paraId="4E5EB9D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较敏感</w:t>
            </w:r>
          </w:p>
        </w:tc>
        <w:tc>
          <w:tcPr>
            <w:tcW w:w="4491" w:type="pct"/>
            <w:tcBorders>
              <w:top w:val="single" w:color="auto" w:sz="4" w:space="0"/>
              <w:left w:val="single" w:color="auto" w:sz="4" w:space="0"/>
              <w:bottom w:val="single" w:color="auto" w:sz="4" w:space="0"/>
              <w:right w:val="nil"/>
            </w:tcBorders>
            <w:vAlign w:val="center"/>
          </w:tcPr>
          <w:p w14:paraId="230B99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65CE3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9" w:type="pct"/>
            <w:tcBorders>
              <w:top w:val="single" w:color="auto" w:sz="4" w:space="0"/>
              <w:left w:val="nil"/>
              <w:bottom w:val="single" w:color="auto" w:sz="4" w:space="0"/>
              <w:right w:val="single" w:color="auto" w:sz="4" w:space="0"/>
            </w:tcBorders>
            <w:vAlign w:val="center"/>
          </w:tcPr>
          <w:p w14:paraId="04076B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不敏感</w:t>
            </w:r>
          </w:p>
        </w:tc>
        <w:tc>
          <w:tcPr>
            <w:tcW w:w="4491" w:type="pct"/>
            <w:tcBorders>
              <w:top w:val="single" w:color="auto" w:sz="4" w:space="0"/>
              <w:left w:val="single" w:color="auto" w:sz="4" w:space="0"/>
              <w:bottom w:val="single" w:color="auto" w:sz="4" w:space="0"/>
              <w:right w:val="nil"/>
            </w:tcBorders>
            <w:vAlign w:val="center"/>
          </w:tcPr>
          <w:p w14:paraId="2BB1F9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上述地区之外的其他地区。</w:t>
            </w:r>
          </w:p>
        </w:tc>
      </w:tr>
      <w:tr w14:paraId="2826B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5000" w:type="pct"/>
            <w:gridSpan w:val="2"/>
            <w:tcBorders>
              <w:top w:val="single" w:color="auto" w:sz="4" w:space="0"/>
              <w:left w:val="nil"/>
              <w:bottom w:val="single" w:color="auto" w:sz="12" w:space="0"/>
              <w:right w:val="nil"/>
            </w:tcBorders>
            <w:vAlign w:val="center"/>
          </w:tcPr>
          <w:p w14:paraId="338FA1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注：a“环境敏感区”是指《建设项目环境影响评价分类管理名录》中所界定的涉及地下水的环境敏感区。 </w:t>
            </w:r>
          </w:p>
        </w:tc>
      </w:tr>
    </w:tbl>
    <w:p w14:paraId="310BF86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根据现场调查结果，本项目周边不存在集中饮用水水源，南甸子四队、南甸四队存在部分分散水源。</w:t>
      </w:r>
    </w:p>
    <w:p w14:paraId="27729F1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本项目厂界东南侧160m处为碎石厂饮用水井，</w:t>
      </w:r>
      <w:r>
        <w:rPr>
          <w:rFonts w:hint="default" w:ascii="Times New Roman" w:hAnsi="Times New Roman" w:cs="Times New Roman"/>
          <w:color w:val="auto"/>
          <w:highlight w:val="none"/>
        </w:rPr>
        <w:t>结合《饮用水水源保护区划分技术规范》</w:t>
      </w:r>
      <w:r>
        <w:rPr>
          <w:rFonts w:hint="default" w:ascii="Times New Roman" w:hAnsi="Times New Roman" w:cs="Times New Roman"/>
          <w:color w:val="auto"/>
          <w:highlight w:val="none"/>
          <w:lang w:eastAsia="zh-CN"/>
        </w:rPr>
        <w:t>（HJ/T 338-2007）</w:t>
      </w:r>
      <w:r>
        <w:rPr>
          <w:rFonts w:hint="default" w:ascii="Times New Roman" w:hAnsi="Times New Roman" w:cs="Times New Roman"/>
          <w:color w:val="auto"/>
          <w:highlight w:val="none"/>
        </w:rPr>
        <w:t>，地下水敏感性判定依据如下：</w:t>
      </w:r>
    </w:p>
    <w:p w14:paraId="3C59AD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437380" cy="2745740"/>
            <wp:effectExtent l="0" t="0" r="1270" b="16510"/>
            <wp:docPr id="3" name="图片 20" descr="0648ac79880cb6e754c4e5c35cfa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descr="0648ac79880cb6e754c4e5c35cfa62d"/>
                    <pic:cNvPicPr>
                      <a:picLocks noChangeAspect="1"/>
                    </pic:cNvPicPr>
                  </pic:nvPicPr>
                  <pic:blipFill>
                    <a:blip r:embed="rId20"/>
                    <a:stretch>
                      <a:fillRect/>
                    </a:stretch>
                  </pic:blipFill>
                  <pic:spPr>
                    <a:xfrm>
                      <a:off x="0" y="0"/>
                      <a:ext cx="4437380" cy="2745740"/>
                    </a:xfrm>
                    <a:prstGeom prst="rect">
                      <a:avLst/>
                    </a:prstGeom>
                    <a:noFill/>
                    <a:ln>
                      <a:noFill/>
                    </a:ln>
                  </pic:spPr>
                </pic:pic>
              </a:graphicData>
            </a:graphic>
          </wp:inline>
        </w:drawing>
      </w:r>
    </w:p>
    <w:p w14:paraId="18526DDA">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评价范围内存在南甸子碎石厂饮用水井、及南甸子村饮用水井、南甸子六队饮用水井，</w:t>
      </w:r>
      <w:r>
        <w:rPr>
          <w:rFonts w:hint="default" w:ascii="Times New Roman" w:hAnsi="Times New Roman" w:cs="Times New Roman"/>
          <w:color w:val="auto"/>
          <w:highlight w:val="none"/>
        </w:rPr>
        <w:t>对于未划定保护区的</w:t>
      </w:r>
      <w:r>
        <w:rPr>
          <w:rFonts w:hint="default" w:ascii="Times New Roman" w:hAnsi="Times New Roman" w:cs="Times New Roman"/>
          <w:color w:val="auto"/>
          <w:highlight w:val="none"/>
          <w:lang w:val="en-US" w:eastAsia="zh-CN"/>
        </w:rPr>
        <w:t>分散</w:t>
      </w:r>
      <w:r>
        <w:rPr>
          <w:rFonts w:hint="default" w:ascii="Times New Roman" w:hAnsi="Times New Roman" w:cs="Times New Roman"/>
          <w:color w:val="auto"/>
          <w:highlight w:val="none"/>
        </w:rPr>
        <w:t>式地下饮用水水源地，可参照地下水</w:t>
      </w:r>
      <w:r>
        <w:rPr>
          <w:rFonts w:hint="default" w:ascii="Times New Roman" w:hAnsi="Times New Roman" w:cs="Times New Roman"/>
          <w:color w:val="auto"/>
          <w:highlight w:val="none"/>
          <w:lang w:val="en-US" w:eastAsia="zh-CN"/>
        </w:rPr>
        <w:t>50m</w:t>
      </w:r>
      <w:r>
        <w:rPr>
          <w:rFonts w:hint="default" w:ascii="Times New Roman" w:hAnsi="Times New Roman" w:cs="Times New Roman"/>
          <w:color w:val="auto"/>
          <w:highlight w:val="none"/>
        </w:rPr>
        <w:t>距离划定为一级保护区，二级保护区外地下水质点运移2000天对应距离划定为</w:t>
      </w:r>
      <w:r>
        <w:rPr>
          <w:rFonts w:hint="default" w:ascii="Times New Roman" w:hAnsi="Times New Roman" w:cs="Times New Roman"/>
          <w:color w:val="auto"/>
          <w:highlight w:val="none"/>
          <w:lang w:val="en-US" w:eastAsia="zh-CN"/>
        </w:rPr>
        <w:t>较</w:t>
      </w:r>
      <w:r>
        <w:rPr>
          <w:rFonts w:hint="default" w:ascii="Times New Roman" w:hAnsi="Times New Roman" w:cs="Times New Roman"/>
          <w:color w:val="auto"/>
          <w:highlight w:val="none"/>
        </w:rPr>
        <w:t>敏感区，并将较敏感区外界定为不敏感区。</w:t>
      </w:r>
    </w:p>
    <w:p w14:paraId="20F926E5">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根据地下水质点运移距离计算公式：</w:t>
      </w:r>
    </w:p>
    <w:p w14:paraId="4D8A7AC7">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L＝α×K×I×T/ne</w:t>
      </w:r>
    </w:p>
    <w:p w14:paraId="40F9EF4D">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14:paraId="5AEFCC7E">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L：下游迁移距离，m；</w:t>
      </w:r>
    </w:p>
    <w:p w14:paraId="6378DD6A">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α：变化系数，α≥1，一般取2；</w:t>
      </w:r>
    </w:p>
    <w:p w14:paraId="3F4BFA6F">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K：渗透系数，m/d，根据区域含水层特点，本次取K=</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w:t>
      </w:r>
    </w:p>
    <w:p w14:paraId="7B8BA7E3">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I：水力坡度，无量纲；根据区域等水位线与距离确定本次取I=0.2‰；</w:t>
      </w:r>
    </w:p>
    <w:p w14:paraId="78A2E6B0">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T：质点迁移天数，本次取T=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000；</w:t>
      </w:r>
    </w:p>
    <w:p w14:paraId="5A2911CB">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ne：有效孔隙度，无量纲；本次取ne=</w:t>
      </w:r>
      <w:r>
        <w:rPr>
          <w:rFonts w:hint="default" w:ascii="Times New Roman" w:hAnsi="Times New Roman" w:cs="Times New Roman"/>
          <w:color w:val="auto"/>
          <w:highlight w:val="none"/>
          <w:lang w:val="en-US" w:eastAsia="zh-CN"/>
        </w:rPr>
        <w:t>0.3</w:t>
      </w:r>
    </w:p>
    <w:p w14:paraId="56CB82EA">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本项目所在</w:t>
      </w:r>
      <w:r>
        <w:rPr>
          <w:rFonts w:hint="default" w:ascii="Times New Roman" w:hAnsi="Times New Roman" w:cs="Times New Roman"/>
          <w:color w:val="auto"/>
          <w:highlight w:val="none"/>
        </w:rPr>
        <w:t>含水层主要由透水性很强的中粗砂组成，水力坡度为0.1～0.3‰，根据《环境影响评价技术导则 地下水环境》（HJ 610-2016）附录B，项目所在区域地质、水文地质条件，中粗砂渗透系数取平均值25m/d；水力坡度取平均值I=0.2‰；有效孔隙度（n）取中粗砂、砂砾石的有效孔隙度0.3。因此，下游迁徙距离为</w:t>
      </w:r>
      <w:r>
        <w:rPr>
          <w:rFonts w:hint="default" w:ascii="Times New Roman" w:hAnsi="Times New Roman" w:cs="Times New Roman"/>
          <w:color w:val="auto"/>
          <w:highlight w:val="none"/>
          <w:lang w:eastAsia="zh-CN"/>
        </w:rPr>
        <w:t>：</w:t>
      </w:r>
    </w:p>
    <w:p w14:paraId="562B4A15">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000天：L=α×K×I×T/ne</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×0.00</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66.67</w:t>
      </w:r>
      <w:r>
        <w:rPr>
          <w:rFonts w:hint="default" w:ascii="Times New Roman" w:hAnsi="Times New Roman" w:cs="Times New Roman"/>
          <w:color w:val="auto"/>
          <w:highlight w:val="none"/>
        </w:rPr>
        <w:t>m</w:t>
      </w:r>
    </w:p>
    <w:p w14:paraId="473402C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即：饮用水水源井</w:t>
      </w:r>
      <w:r>
        <w:rPr>
          <w:rFonts w:hint="default" w:ascii="Times New Roman" w:hAnsi="Times New Roman" w:cs="Times New Roman"/>
          <w:color w:val="auto"/>
          <w:highlight w:val="none"/>
          <w:lang w:val="en-US" w:eastAsia="zh-CN"/>
        </w:rPr>
        <w:t>66.7</w:t>
      </w:r>
      <w:r>
        <w:rPr>
          <w:rFonts w:hint="default" w:ascii="Times New Roman" w:hAnsi="Times New Roman" w:cs="Times New Roman"/>
          <w:color w:val="auto"/>
          <w:highlight w:val="none"/>
        </w:rPr>
        <w:t>m以外区域属于“不敏感”区域。</w:t>
      </w:r>
    </w:p>
    <w:p w14:paraId="1ABD03C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本项目厂界东南侧160m处为碎石厂饮用水井，距离均大于66.7m，</w:t>
      </w:r>
      <w:r>
        <w:rPr>
          <w:rFonts w:hint="default" w:ascii="Times New Roman" w:hAnsi="Times New Roman" w:cs="Times New Roman"/>
          <w:color w:val="auto"/>
          <w:highlight w:val="none"/>
        </w:rPr>
        <w:t>因此，敏感性判定为</w:t>
      </w:r>
      <w:r>
        <w:rPr>
          <w:rFonts w:hint="default"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敏感。</w:t>
      </w:r>
    </w:p>
    <w:p w14:paraId="1548715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综上，本项目敏感程度为不敏感。</w:t>
      </w:r>
    </w:p>
    <w:p w14:paraId="6A747E5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（3）建设项目评价工作等级</w:t>
      </w:r>
    </w:p>
    <w:p w14:paraId="61401F58">
      <w:pPr>
        <w:pStyle w:val="27"/>
        <w:bidi w:val="0"/>
        <w:rPr>
          <w:rFonts w:hint="default" w:ascii="Times New Roman" w:hAnsi="Times New Roman" w:cs="Times New Roman"/>
          <w:color w:val="auto"/>
          <w:szCs w:val="22"/>
          <w:highlight w:val="none"/>
        </w:rPr>
      </w:pPr>
      <w:r>
        <w:rPr>
          <w:rFonts w:hint="default" w:ascii="Times New Roman" w:hAnsi="Times New Roman" w:cs="Times New Roman"/>
          <w:color w:val="auto"/>
          <w:highlight w:val="none"/>
        </w:rPr>
        <w:t>建设项目地下水环境影响评价工作等级的划</w:t>
      </w:r>
      <w:r>
        <w:rPr>
          <w:rFonts w:hint="default" w:ascii="Times New Roman" w:hAnsi="Times New Roman" w:cs="Times New Roman"/>
          <w:color w:val="auto"/>
          <w:szCs w:val="22"/>
          <w:highlight w:val="none"/>
        </w:rPr>
        <w:t>分见下表。</w:t>
      </w:r>
    </w:p>
    <w:p w14:paraId="27CB96B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（3）建设项目评价工作等级</w:t>
      </w:r>
    </w:p>
    <w:p w14:paraId="788B54BF">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建设项目地下水环境影响评价工作等级的划分见下表。</w:t>
      </w:r>
    </w:p>
    <w:p w14:paraId="6C55F132">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表2-6-7地下水评价工作等级分级表</w:t>
      </w:r>
    </w:p>
    <w:tbl>
      <w:tblPr>
        <w:tblStyle w:val="24"/>
        <w:tblW w:w="5000" w:type="pct"/>
        <w:tblInd w:w="0" w:type="dxa"/>
        <w:tblLayout w:type="autofit"/>
        <w:tblCellMar>
          <w:top w:w="0" w:type="dxa"/>
          <w:left w:w="108" w:type="dxa"/>
          <w:bottom w:w="0" w:type="dxa"/>
          <w:right w:w="108" w:type="dxa"/>
        </w:tblCellMar>
      </w:tblPr>
      <w:tblGrid>
        <w:gridCol w:w="2476"/>
        <w:gridCol w:w="1813"/>
        <w:gridCol w:w="2117"/>
        <w:gridCol w:w="2116"/>
      </w:tblGrid>
      <w:tr w14:paraId="637F8902">
        <w:tblPrEx>
          <w:tblCellMar>
            <w:top w:w="0" w:type="dxa"/>
            <w:left w:w="108" w:type="dxa"/>
            <w:bottom w:w="0" w:type="dxa"/>
            <w:right w:w="108" w:type="dxa"/>
          </w:tblCellMar>
        </w:tblPrEx>
        <w:trPr>
          <w:trHeight w:val="652" w:hRule="atLeast"/>
        </w:trPr>
        <w:tc>
          <w:tcPr>
            <w:tcW w:w="1453" w:type="pct"/>
            <w:tcBorders>
              <w:top w:val="single" w:color="auto" w:sz="12" w:space="0"/>
              <w:left w:val="nil"/>
              <w:bottom w:val="single" w:color="auto" w:sz="4" w:space="0"/>
              <w:right w:val="single" w:color="auto" w:sz="4" w:space="0"/>
            </w:tcBorders>
          </w:tcPr>
          <w:p w14:paraId="381305A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-49530</wp:posOffset>
                      </wp:positionH>
                      <wp:positionV relativeFrom="paragraph">
                        <wp:posOffset>-10160</wp:posOffset>
                      </wp:positionV>
                      <wp:extent cx="1566545" cy="436880"/>
                      <wp:effectExtent l="1270" t="4445" r="13335" b="15875"/>
                      <wp:wrapNone/>
                      <wp:docPr id="1252353780" name="直接箭头连接符 2"/>
                      <wp:cNvGraphicFramePr/>
                      <a:graphic xmlns:a="http://schemas.openxmlformats.org/drawingml/2006/main">
                        <a:graphicData uri="http://schemas.microsoft.com/office/word/2010/wordprocessingShape">
                          <wps:wsp>
                            <wps:cNvCnPr>
                              <a:cxnSpLocks noChangeShapeType="1"/>
                            </wps:cNvCnPr>
                            <wps:spPr bwMode="auto">
                              <a:xfrm>
                                <a:off x="0" y="0"/>
                                <a:ext cx="1566545" cy="436880"/>
                              </a:xfrm>
                              <a:prstGeom prst="straightConnector1">
                                <a:avLst/>
                              </a:prstGeom>
                              <a:noFill/>
                              <a:ln w="3175">
                                <a:solidFill>
                                  <a:srgbClr val="000000"/>
                                </a:solidFill>
                                <a:round/>
                              </a:ln>
                            </wps:spPr>
                            <wps:bodyPr/>
                          </wps:wsp>
                        </a:graphicData>
                      </a:graphic>
                    </wp:anchor>
                  </w:drawing>
                </mc:Choice>
                <mc:Fallback>
                  <w:pict>
                    <v:shape id="直接箭头连接符 2" o:spid="_x0000_s1026" o:spt="32" type="#_x0000_t32" style="position:absolute;left:0pt;margin-left:-3.9pt;margin-top:-0.8pt;height:34.4pt;width:123.35pt;z-index:251661312;mso-width-relative:page;mso-height-relative:page;" filled="f" stroked="t" coordsize="21600,21600" o:gfxdata="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7qR22AAAAAgBAAAPAAAAAAAAAAEAIAAAACIAAABkcnMv&#10;ZG93bnJldi54bWxQSwECFAAUAAAACACHTuJAtE5uYAMCAADMAwAADgAAAAAAAAABACAAAAAnAQAA&#10;ZHJzL2Uyb0RvYy54bWxQSwUGAAAAAAYABgBZAQAAnAUAAAAA&#10;">
                      <v:fill on="f" focussize="0,0"/>
                      <v:stroke weight="0.25pt" color="#000000" joinstyle="round"/>
                      <v:imagedata o:title=""/>
                      <o:lock v:ext="edit" aspectratio="f"/>
                    </v:shape>
                  </w:pict>
                </mc:Fallback>
              </mc:AlternateConten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zh-CN"/>
              </w:rPr>
              <w:t>项目类别</w:t>
            </w:r>
          </w:p>
          <w:p w14:paraId="4CCD70B9">
            <w:pPr>
              <w:pStyle w:val="46"/>
              <w:bidi w:val="0"/>
              <w:jc w:val="both"/>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环境敏感程度</w:t>
            </w:r>
          </w:p>
        </w:tc>
        <w:tc>
          <w:tcPr>
            <w:tcW w:w="1064" w:type="pct"/>
            <w:tcBorders>
              <w:top w:val="single" w:color="auto" w:sz="12" w:space="0"/>
              <w:left w:val="single" w:color="auto" w:sz="4" w:space="0"/>
              <w:bottom w:val="single" w:color="auto" w:sz="4" w:space="0"/>
              <w:right w:val="single" w:color="auto" w:sz="4" w:space="0"/>
            </w:tcBorders>
            <w:vAlign w:val="center"/>
          </w:tcPr>
          <w:p w14:paraId="006A4FD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类项目</w:t>
            </w:r>
          </w:p>
        </w:tc>
        <w:tc>
          <w:tcPr>
            <w:tcW w:w="1242" w:type="pct"/>
            <w:tcBorders>
              <w:top w:val="single" w:color="auto" w:sz="12" w:space="0"/>
              <w:left w:val="single" w:color="auto" w:sz="4" w:space="0"/>
              <w:bottom w:val="single" w:color="auto" w:sz="4" w:space="0"/>
              <w:right w:val="single" w:color="auto" w:sz="4" w:space="0"/>
            </w:tcBorders>
            <w:vAlign w:val="center"/>
          </w:tcPr>
          <w:p w14:paraId="09867EE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类项目</w:t>
            </w:r>
          </w:p>
        </w:tc>
        <w:tc>
          <w:tcPr>
            <w:tcW w:w="1242" w:type="pct"/>
            <w:tcBorders>
              <w:top w:val="single" w:color="auto" w:sz="12" w:space="0"/>
              <w:left w:val="single" w:color="auto" w:sz="4" w:space="0"/>
              <w:bottom w:val="single" w:color="auto" w:sz="4" w:space="0"/>
              <w:right w:val="nil"/>
            </w:tcBorders>
            <w:vAlign w:val="center"/>
          </w:tcPr>
          <w:p w14:paraId="07BFC89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类项目</w:t>
            </w:r>
          </w:p>
        </w:tc>
      </w:tr>
      <w:tr w14:paraId="0A558471">
        <w:tblPrEx>
          <w:tblCellMar>
            <w:top w:w="0" w:type="dxa"/>
            <w:left w:w="108" w:type="dxa"/>
            <w:bottom w:w="0" w:type="dxa"/>
            <w:right w:w="108" w:type="dxa"/>
          </w:tblCellMar>
        </w:tblPrEx>
        <w:trPr>
          <w:trHeight w:val="350" w:hRule="atLeast"/>
        </w:trPr>
        <w:tc>
          <w:tcPr>
            <w:tcW w:w="1453" w:type="pct"/>
            <w:tcBorders>
              <w:top w:val="single" w:color="auto" w:sz="4" w:space="0"/>
              <w:left w:val="nil"/>
              <w:bottom w:val="single" w:color="auto" w:sz="4" w:space="0"/>
              <w:right w:val="single" w:color="auto" w:sz="4" w:space="0"/>
            </w:tcBorders>
            <w:vAlign w:val="center"/>
          </w:tcPr>
          <w:p w14:paraId="2EB7F7B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敏感</w:t>
            </w:r>
          </w:p>
        </w:tc>
        <w:tc>
          <w:tcPr>
            <w:tcW w:w="1064" w:type="pct"/>
            <w:tcBorders>
              <w:top w:val="single" w:color="auto" w:sz="4" w:space="0"/>
              <w:left w:val="single" w:color="auto" w:sz="4" w:space="0"/>
              <w:bottom w:val="single" w:color="auto" w:sz="4" w:space="0"/>
              <w:right w:val="single" w:color="auto" w:sz="4" w:space="0"/>
            </w:tcBorders>
            <w:vAlign w:val="center"/>
          </w:tcPr>
          <w:p w14:paraId="62A8064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single" w:color="auto" w:sz="4" w:space="0"/>
            </w:tcBorders>
            <w:vAlign w:val="center"/>
          </w:tcPr>
          <w:p w14:paraId="6306560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nil"/>
            </w:tcBorders>
            <w:vAlign w:val="center"/>
          </w:tcPr>
          <w:p w14:paraId="051ED17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r>
      <w:tr w14:paraId="3D9C4AD5">
        <w:tblPrEx>
          <w:tblCellMar>
            <w:top w:w="0" w:type="dxa"/>
            <w:left w:w="108" w:type="dxa"/>
            <w:bottom w:w="0" w:type="dxa"/>
            <w:right w:w="108" w:type="dxa"/>
          </w:tblCellMar>
        </w:tblPrEx>
        <w:trPr>
          <w:trHeight w:val="349" w:hRule="atLeast"/>
        </w:trPr>
        <w:tc>
          <w:tcPr>
            <w:tcW w:w="1453" w:type="pct"/>
            <w:tcBorders>
              <w:top w:val="single" w:color="auto" w:sz="4" w:space="0"/>
              <w:left w:val="nil"/>
              <w:bottom w:val="single" w:color="auto" w:sz="4" w:space="0"/>
              <w:right w:val="single" w:color="auto" w:sz="4" w:space="0"/>
            </w:tcBorders>
            <w:vAlign w:val="center"/>
          </w:tcPr>
          <w:p w14:paraId="0DC692D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较敏感</w:t>
            </w:r>
          </w:p>
        </w:tc>
        <w:tc>
          <w:tcPr>
            <w:tcW w:w="1064" w:type="pct"/>
            <w:tcBorders>
              <w:top w:val="single" w:color="auto" w:sz="4" w:space="0"/>
              <w:left w:val="single" w:color="auto" w:sz="4" w:space="0"/>
              <w:bottom w:val="single" w:color="auto" w:sz="4" w:space="0"/>
              <w:right w:val="single" w:color="auto" w:sz="4" w:space="0"/>
            </w:tcBorders>
            <w:vAlign w:val="center"/>
          </w:tcPr>
          <w:p w14:paraId="15FCB10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single" w:color="auto" w:sz="4" w:space="0"/>
            </w:tcBorders>
            <w:vAlign w:val="center"/>
          </w:tcPr>
          <w:p w14:paraId="1A21233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c>
          <w:tcPr>
            <w:tcW w:w="1242" w:type="pct"/>
            <w:tcBorders>
              <w:top w:val="single" w:color="auto" w:sz="4" w:space="0"/>
              <w:left w:val="single" w:color="auto" w:sz="4" w:space="0"/>
              <w:bottom w:val="single" w:color="auto" w:sz="4" w:space="0"/>
              <w:right w:val="nil"/>
            </w:tcBorders>
            <w:vAlign w:val="center"/>
          </w:tcPr>
          <w:p w14:paraId="04514A4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shd w:val="clear" w:color="auto" w:fill="auto"/>
                <w:lang w:val="zh-CN"/>
              </w:rPr>
              <w:t>三</w:t>
            </w:r>
          </w:p>
        </w:tc>
      </w:tr>
      <w:tr w14:paraId="6070D94C">
        <w:tblPrEx>
          <w:tblCellMar>
            <w:top w:w="0" w:type="dxa"/>
            <w:left w:w="108" w:type="dxa"/>
            <w:bottom w:w="0" w:type="dxa"/>
            <w:right w:w="108" w:type="dxa"/>
          </w:tblCellMar>
        </w:tblPrEx>
        <w:trPr>
          <w:trHeight w:val="385" w:hRule="atLeast"/>
        </w:trPr>
        <w:tc>
          <w:tcPr>
            <w:tcW w:w="1453" w:type="pct"/>
            <w:tcBorders>
              <w:top w:val="single" w:color="auto" w:sz="4" w:space="0"/>
              <w:left w:val="nil"/>
              <w:bottom w:val="single" w:color="auto" w:sz="12" w:space="0"/>
              <w:right w:val="single" w:color="auto" w:sz="4" w:space="0"/>
            </w:tcBorders>
            <w:vAlign w:val="center"/>
          </w:tcPr>
          <w:p w14:paraId="2FEFA59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不敏感</w:t>
            </w:r>
          </w:p>
        </w:tc>
        <w:tc>
          <w:tcPr>
            <w:tcW w:w="1064" w:type="pct"/>
            <w:tcBorders>
              <w:top w:val="single" w:color="auto" w:sz="4" w:space="0"/>
              <w:left w:val="single" w:color="auto" w:sz="4" w:space="0"/>
              <w:bottom w:val="single" w:color="auto" w:sz="12" w:space="0"/>
              <w:right w:val="single" w:color="auto" w:sz="4" w:space="0"/>
            </w:tcBorders>
            <w:vAlign w:val="center"/>
          </w:tcPr>
          <w:p w14:paraId="17AFA3D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c>
          <w:tcPr>
            <w:tcW w:w="1242" w:type="pct"/>
            <w:tcBorders>
              <w:top w:val="single" w:color="auto" w:sz="4" w:space="0"/>
              <w:left w:val="single" w:color="auto" w:sz="4" w:space="0"/>
              <w:bottom w:val="single" w:color="auto" w:sz="12" w:space="0"/>
              <w:right w:val="single" w:color="auto" w:sz="4" w:space="0"/>
            </w:tcBorders>
            <w:vAlign w:val="center"/>
          </w:tcPr>
          <w:p w14:paraId="482E163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w:t>
            </w:r>
          </w:p>
        </w:tc>
        <w:tc>
          <w:tcPr>
            <w:tcW w:w="1242" w:type="pct"/>
            <w:tcBorders>
              <w:top w:val="single" w:color="auto" w:sz="4" w:space="0"/>
              <w:left w:val="single" w:color="auto" w:sz="4" w:space="0"/>
              <w:bottom w:val="single" w:color="auto" w:sz="12" w:space="0"/>
              <w:right w:val="nil"/>
            </w:tcBorders>
            <w:vAlign w:val="center"/>
          </w:tcPr>
          <w:p w14:paraId="2B185B3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shd w:val="clear" w:color="FFFFFF" w:fill="D9D9D9"/>
                <w:lang w:val="zh-CN"/>
              </w:rPr>
              <w:t>三</w:t>
            </w:r>
          </w:p>
        </w:tc>
      </w:tr>
    </w:tbl>
    <w:p w14:paraId="644D23E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综上分析，</w:t>
      </w:r>
      <w:bookmarkStart w:id="111" w:name="_Hlk21536356"/>
      <w:r>
        <w:rPr>
          <w:rFonts w:hint="default" w:ascii="Times New Roman" w:hAnsi="Times New Roman" w:cs="Times New Roman"/>
          <w:color w:val="auto"/>
          <w:highlight w:val="none"/>
        </w:rPr>
        <w:t>拟建项目属于地下水环境影响评价分类的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类项目，地下水环境敏感程度为</w:t>
      </w:r>
      <w:r>
        <w:rPr>
          <w:rFonts w:hint="default" w:ascii="Times New Roman" w:hAnsi="Times New Roman" w:cs="Times New Roman"/>
          <w:color w:val="auto"/>
          <w:highlight w:val="none"/>
          <w:lang w:val="en-US" w:eastAsia="zh-CN"/>
        </w:rPr>
        <w:t>较</w:t>
      </w:r>
      <w:r>
        <w:rPr>
          <w:rFonts w:hint="default" w:ascii="Times New Roman" w:hAnsi="Times New Roman" w:cs="Times New Roman"/>
          <w:color w:val="auto"/>
          <w:highlight w:val="none"/>
        </w:rPr>
        <w:t>敏感，因此评价工作等级确定为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bookmarkEnd w:id="111"/>
    </w:p>
    <w:p w14:paraId="7E675950">
      <w:pPr>
        <w:pStyle w:val="41"/>
        <w:rPr>
          <w:rFonts w:hint="default" w:ascii="Times New Roman" w:hAnsi="Times New Roman" w:cs="Times New Roman"/>
          <w:color w:val="auto"/>
          <w:highlight w:val="none"/>
        </w:rPr>
      </w:pPr>
      <w:bookmarkStart w:id="112" w:name="_Toc16776"/>
      <w:r>
        <w:rPr>
          <w:rFonts w:hint="default" w:ascii="Times New Roman" w:hAnsi="Times New Roman" w:cs="Times New Roman"/>
          <w:color w:val="auto"/>
          <w:highlight w:val="none"/>
        </w:rPr>
        <w:t>2.6</w:t>
      </w:r>
      <w:bookmarkStart w:id="113" w:name="_Toc88968913"/>
      <w:bookmarkStart w:id="114" w:name="_Toc88900496"/>
      <w:bookmarkStart w:id="115" w:name="_Toc88969056"/>
      <w:bookmarkStart w:id="116" w:name="_Toc89231866"/>
      <w:r>
        <w:rPr>
          <w:rFonts w:hint="default" w:ascii="Times New Roman" w:hAnsi="Times New Roman" w:cs="Times New Roman"/>
          <w:color w:val="auto"/>
          <w:highlight w:val="none"/>
        </w:rPr>
        <w:t>.4声环境</w:t>
      </w:r>
      <w:bookmarkEnd w:id="113"/>
      <w:bookmarkEnd w:id="114"/>
      <w:bookmarkEnd w:id="115"/>
      <w:bookmarkEnd w:id="116"/>
      <w:r>
        <w:rPr>
          <w:rFonts w:hint="default" w:ascii="Times New Roman" w:hAnsi="Times New Roman" w:cs="Times New Roman"/>
          <w:color w:val="auto"/>
          <w:highlight w:val="none"/>
        </w:rPr>
        <w:t>评价工作等级</w:t>
      </w:r>
      <w:bookmarkEnd w:id="112"/>
    </w:p>
    <w:p w14:paraId="5DDA50B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声环境》（HJ2.4-2021）中规定的声环境影响评价工作等级划分5.1.3：建设项目所处的声环境功能区为GB3096规定的1类、2类地区，或建设项目建设前后评价范围内声环境保护目标噪声级增量达3dB(A)～5dB(A)，或受噪声影响人口数量增加较多时，按二级评价。</w:t>
      </w:r>
    </w:p>
    <w:p w14:paraId="1B566F3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本项目位于农村地区，所在功能区属于噪声功能区划的1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类区，项目建设前后评价范围内声环境保护目标噪声级增加量未达到3dB（A）～5dB（A），受噪声影响的人口数量变化不大，根据《环境影响评价技术导则 声环境》（HJ2.4-2021），确定本项目声环境评价判定为二级。</w:t>
      </w:r>
    </w:p>
    <w:p w14:paraId="62AB6FAA">
      <w:pPr>
        <w:pStyle w:val="29"/>
        <w:bidi w:val="0"/>
        <w:rPr>
          <w:rFonts w:hint="default" w:ascii="Times New Roman" w:hAnsi="Times New Roman" w:cs="Times New Roman"/>
          <w:color w:val="auto"/>
          <w:highlight w:val="none"/>
          <w:lang w:val="zh-CN"/>
        </w:rPr>
      </w:pPr>
    </w:p>
    <w:p w14:paraId="5DF6684D">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表2-6-8声环境评价工作等级判断表</w:t>
      </w:r>
    </w:p>
    <w:tbl>
      <w:tblPr>
        <w:tblStyle w:val="24"/>
        <w:tblW w:w="5000" w:type="pct"/>
        <w:tblInd w:w="0" w:type="dxa"/>
        <w:tblLayout w:type="autofit"/>
        <w:tblCellMar>
          <w:top w:w="0" w:type="dxa"/>
          <w:left w:w="108" w:type="dxa"/>
          <w:bottom w:w="0" w:type="dxa"/>
          <w:right w:w="108" w:type="dxa"/>
        </w:tblCellMar>
      </w:tblPr>
      <w:tblGrid>
        <w:gridCol w:w="1104"/>
        <w:gridCol w:w="3295"/>
        <w:gridCol w:w="2747"/>
        <w:gridCol w:w="1376"/>
      </w:tblGrid>
      <w:tr w14:paraId="401C39E8">
        <w:tblPrEx>
          <w:tblCellMar>
            <w:top w:w="0" w:type="dxa"/>
            <w:left w:w="108" w:type="dxa"/>
            <w:bottom w:w="0" w:type="dxa"/>
            <w:right w:w="108" w:type="dxa"/>
          </w:tblCellMar>
        </w:tblPrEx>
        <w:trPr>
          <w:trHeight w:val="413" w:hRule="exact"/>
        </w:trPr>
        <w:tc>
          <w:tcPr>
            <w:tcW w:w="648" w:type="pct"/>
            <w:tcBorders>
              <w:top w:val="single" w:color="auto" w:sz="12" w:space="0"/>
              <w:left w:val="nil"/>
              <w:bottom w:val="single" w:color="auto" w:sz="4" w:space="0"/>
              <w:right w:val="single" w:color="auto" w:sz="4" w:space="0"/>
            </w:tcBorders>
            <w:vAlign w:val="center"/>
          </w:tcPr>
          <w:p w14:paraId="510C367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功能区</w:t>
            </w:r>
          </w:p>
        </w:tc>
        <w:tc>
          <w:tcPr>
            <w:tcW w:w="1933" w:type="pct"/>
            <w:tcBorders>
              <w:top w:val="single" w:color="auto" w:sz="12" w:space="0"/>
              <w:left w:val="single" w:color="auto" w:sz="4" w:space="0"/>
              <w:bottom w:val="single" w:color="auto" w:sz="4" w:space="0"/>
              <w:right w:val="single" w:color="auto" w:sz="4" w:space="0"/>
            </w:tcBorders>
            <w:vAlign w:val="center"/>
          </w:tcPr>
          <w:p w14:paraId="5C91C9D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建设前后噪声级的增加量</w:t>
            </w:r>
          </w:p>
        </w:tc>
        <w:tc>
          <w:tcPr>
            <w:tcW w:w="1612" w:type="pct"/>
            <w:tcBorders>
              <w:top w:val="single" w:color="auto" w:sz="12" w:space="0"/>
              <w:left w:val="single" w:color="auto" w:sz="4" w:space="0"/>
              <w:bottom w:val="single" w:color="auto" w:sz="4" w:space="0"/>
              <w:right w:val="single" w:color="auto" w:sz="4" w:space="0"/>
            </w:tcBorders>
            <w:vAlign w:val="center"/>
          </w:tcPr>
          <w:p w14:paraId="5FFA3FA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受影响人口变化情况</w:t>
            </w:r>
          </w:p>
        </w:tc>
        <w:tc>
          <w:tcPr>
            <w:tcW w:w="807" w:type="pct"/>
            <w:tcBorders>
              <w:top w:val="single" w:color="auto" w:sz="12" w:space="0"/>
              <w:left w:val="single" w:color="auto" w:sz="4" w:space="0"/>
              <w:bottom w:val="single" w:color="auto" w:sz="4" w:space="0"/>
              <w:right w:val="nil"/>
            </w:tcBorders>
            <w:vAlign w:val="center"/>
          </w:tcPr>
          <w:p w14:paraId="1E69137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判定等级</w:t>
            </w:r>
          </w:p>
        </w:tc>
      </w:tr>
      <w:tr w14:paraId="6CEEA4BF">
        <w:tblPrEx>
          <w:tblCellMar>
            <w:top w:w="0" w:type="dxa"/>
            <w:left w:w="108" w:type="dxa"/>
            <w:bottom w:w="0" w:type="dxa"/>
            <w:right w:w="108" w:type="dxa"/>
          </w:tblCellMar>
        </w:tblPrEx>
        <w:trPr>
          <w:trHeight w:val="455" w:hRule="exact"/>
        </w:trPr>
        <w:tc>
          <w:tcPr>
            <w:tcW w:w="648" w:type="pct"/>
            <w:tcBorders>
              <w:top w:val="single" w:color="auto" w:sz="4" w:space="0"/>
              <w:left w:val="nil"/>
              <w:bottom w:val="single" w:color="auto" w:sz="12" w:space="0"/>
              <w:right w:val="single" w:color="auto" w:sz="4" w:space="0"/>
            </w:tcBorders>
            <w:vAlign w:val="center"/>
          </w:tcPr>
          <w:p w14:paraId="15E66149">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2类</w:t>
            </w:r>
          </w:p>
        </w:tc>
        <w:tc>
          <w:tcPr>
            <w:tcW w:w="1933" w:type="pct"/>
            <w:tcBorders>
              <w:top w:val="single" w:color="auto" w:sz="4" w:space="0"/>
              <w:left w:val="single" w:color="auto" w:sz="4" w:space="0"/>
              <w:bottom w:val="single" w:color="auto" w:sz="12" w:space="0"/>
              <w:right w:val="single" w:color="auto" w:sz="4" w:space="0"/>
            </w:tcBorders>
            <w:vAlign w:val="center"/>
          </w:tcPr>
          <w:p w14:paraId="422EE57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＜3dB（A）</w:t>
            </w:r>
          </w:p>
        </w:tc>
        <w:tc>
          <w:tcPr>
            <w:tcW w:w="1612" w:type="pct"/>
            <w:tcBorders>
              <w:top w:val="single" w:color="auto" w:sz="4" w:space="0"/>
              <w:left w:val="single" w:color="auto" w:sz="4" w:space="0"/>
              <w:bottom w:val="single" w:color="auto" w:sz="12" w:space="0"/>
              <w:right w:val="single" w:color="auto" w:sz="4" w:space="0"/>
            </w:tcBorders>
            <w:vAlign w:val="center"/>
          </w:tcPr>
          <w:p w14:paraId="1C26E08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不明显</w:t>
            </w:r>
          </w:p>
        </w:tc>
        <w:tc>
          <w:tcPr>
            <w:tcW w:w="807" w:type="pct"/>
            <w:tcBorders>
              <w:top w:val="single" w:color="auto" w:sz="4" w:space="0"/>
              <w:left w:val="single" w:color="auto" w:sz="4" w:space="0"/>
              <w:bottom w:val="single" w:color="auto" w:sz="12" w:space="0"/>
              <w:right w:val="nil"/>
            </w:tcBorders>
            <w:vAlign w:val="center"/>
          </w:tcPr>
          <w:p w14:paraId="1A81498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r>
    </w:tbl>
    <w:p w14:paraId="1A331206">
      <w:pPr>
        <w:pStyle w:val="41"/>
        <w:rPr>
          <w:rFonts w:hint="default" w:ascii="Times New Roman" w:hAnsi="Times New Roman" w:cs="Times New Roman"/>
          <w:color w:val="auto"/>
          <w:highlight w:val="none"/>
        </w:rPr>
      </w:pPr>
      <w:bookmarkStart w:id="117" w:name="_Toc20540"/>
      <w:r>
        <w:rPr>
          <w:rFonts w:hint="default" w:ascii="Times New Roman" w:hAnsi="Times New Roman" w:cs="Times New Roman"/>
          <w:color w:val="auto"/>
          <w:highlight w:val="none"/>
        </w:rPr>
        <w:t>2.6.5生态环境评价工作等级</w:t>
      </w:r>
      <w:bookmarkEnd w:id="117"/>
    </w:p>
    <w:p w14:paraId="3447338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生态影响》（HJ19-2022）规定，按以下原则确定评价等级：</w:t>
      </w:r>
    </w:p>
    <w:p w14:paraId="2A911A4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a）涉及国家公园、自然保护区、世界自然遗产、重要生境时，评价等级为一级；</w:t>
      </w:r>
    </w:p>
    <w:p w14:paraId="1BAA44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b）涉及自然公园时，评价等级为二级；</w:t>
      </w:r>
    </w:p>
    <w:p w14:paraId="6E1698D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c）涉及生态保护红线时，评价等级不低于二级；</w:t>
      </w:r>
    </w:p>
    <w:p w14:paraId="73F35D1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d）根据HJ2.3判断属于水文要素影响型且地表水评价等级不低于二级的建设项目，生态影响评价等级不低于二级；</w:t>
      </w:r>
    </w:p>
    <w:p w14:paraId="5A46BFC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e）根据HJ610、HJ964判断地下水水位或土壤影响范围内分布有天然林、公益林、湿地等生态保护目标的建设项目，生态影响评价等级不低于二级；</w:t>
      </w:r>
    </w:p>
    <w:p w14:paraId="6738045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f）当工程占地规模大于20km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时（包括永久和临时占用陆域和水域），评价等级不低于二级；改扩建项目的占地范围以新增占地（包括陆域和水域）确定；</w:t>
      </w:r>
    </w:p>
    <w:p w14:paraId="6B0B6FA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g）除本条a）、b）、c）、d）、e）、f）以外的情况，评价等级为三级；</w:t>
      </w:r>
    </w:p>
    <w:p w14:paraId="30C6F8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h）当评价等级判定同时符合上述多种情况时，应采用其中最高的评价等级。</w:t>
      </w:r>
    </w:p>
    <w:p w14:paraId="5C30FA2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5DF91230">
      <w:pPr>
        <w:pStyle w:val="27"/>
        <w:ind w:firstLine="48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rPr>
        <w:t>本项目区周边</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国家公园、自然保护区、世界自然遗产、重要生境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自然公</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生态保护红线</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，本项目为新建项目，项目总占地面积为</w:t>
      </w:r>
      <w:r>
        <w:rPr>
          <w:rFonts w:hint="default" w:ascii="Times New Roman" w:hAnsi="Times New Roman" w:cs="Times New Roman"/>
          <w:color w:val="auto"/>
          <w:highlight w:val="none"/>
          <w:lang w:val="en-US" w:eastAsia="zh-CN"/>
        </w:rPr>
        <w:t>0.0853</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＜20km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因此确定本项目生态影响评价等级为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r>
        <w:rPr>
          <w:rFonts w:hint="default" w:ascii="Times New Roman" w:hAnsi="Times New Roman" w:cs="Times New Roman"/>
          <w:snapToGrid w:val="0"/>
          <w:color w:val="auto"/>
          <w:kern w:val="0"/>
          <w:highlight w:val="none"/>
        </w:rPr>
        <w:t>。</w:t>
      </w:r>
    </w:p>
    <w:p w14:paraId="058BC1EF">
      <w:pPr>
        <w:pStyle w:val="29"/>
        <w:bidi w:val="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lang w:val="zh-CN"/>
        </w:rPr>
        <w:t>表2-6-</w:t>
      </w:r>
      <w:r>
        <w:rPr>
          <w:rFonts w:hint="default" w:ascii="Times New Roman" w:hAnsi="Times New Roman" w:cs="Times New Roman"/>
          <w:color w:val="auto"/>
          <w:highlight w:val="none"/>
          <w:lang w:val="en-US" w:eastAsia="zh-CN"/>
        </w:rPr>
        <w:t>9生态</w:t>
      </w:r>
      <w:r>
        <w:rPr>
          <w:rFonts w:hint="default" w:ascii="Times New Roman" w:hAnsi="Times New Roman" w:cs="Times New Roman"/>
          <w:color w:val="auto"/>
          <w:highlight w:val="none"/>
          <w:lang w:val="zh-CN"/>
        </w:rPr>
        <w:t>环境评价工作等级判断表</w:t>
      </w:r>
    </w:p>
    <w:tbl>
      <w:tblPr>
        <w:tblStyle w:val="24"/>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4058"/>
        <w:gridCol w:w="3796"/>
      </w:tblGrid>
      <w:tr w14:paraId="2D17A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7F32C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383" w:type="pct"/>
            <w:tcBorders>
              <w:tl2br w:val="nil"/>
              <w:tr2bl w:val="nil"/>
            </w:tcBorders>
            <w:vAlign w:val="center"/>
          </w:tcPr>
          <w:p w14:paraId="2801D3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评价等级判定要求</w:t>
            </w:r>
          </w:p>
        </w:tc>
        <w:tc>
          <w:tcPr>
            <w:tcW w:w="2229" w:type="pct"/>
            <w:tcBorders>
              <w:tl2br w:val="nil"/>
              <w:tr2bl w:val="nil"/>
            </w:tcBorders>
            <w:vAlign w:val="center"/>
          </w:tcPr>
          <w:p w14:paraId="0C6753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本项目情况</w:t>
            </w:r>
          </w:p>
        </w:tc>
      </w:tr>
      <w:tr w14:paraId="5A0D5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7536C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p>
        </w:tc>
        <w:tc>
          <w:tcPr>
            <w:tcW w:w="2383" w:type="pct"/>
            <w:tcBorders>
              <w:tl2br w:val="nil"/>
              <w:tr2bl w:val="nil"/>
            </w:tcBorders>
            <w:vAlign w:val="center"/>
          </w:tcPr>
          <w:p w14:paraId="308FE5C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涉及国家公园、自然保护区、世界自然遗产、重要生境时，评价等级为一级；</w:t>
            </w:r>
          </w:p>
        </w:tc>
        <w:tc>
          <w:tcPr>
            <w:tcW w:w="2229" w:type="pct"/>
            <w:tcBorders>
              <w:tl2br w:val="nil"/>
              <w:tr2bl w:val="nil"/>
            </w:tcBorders>
            <w:vAlign w:val="center"/>
          </w:tcPr>
          <w:p w14:paraId="17D35E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本项目不涉及国家公园、自然保护区、世界自然遗产、重要生境</w:t>
            </w:r>
          </w:p>
        </w:tc>
      </w:tr>
      <w:tr w14:paraId="63EFF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87" w:type="pct"/>
            <w:tcBorders>
              <w:tl2br w:val="nil"/>
              <w:tr2bl w:val="nil"/>
            </w:tcBorders>
            <w:vAlign w:val="center"/>
          </w:tcPr>
          <w:p w14:paraId="7EBD53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b</w:t>
            </w:r>
          </w:p>
        </w:tc>
        <w:tc>
          <w:tcPr>
            <w:tcW w:w="2383" w:type="pct"/>
            <w:tcBorders>
              <w:tl2br w:val="nil"/>
              <w:tr2bl w:val="nil"/>
            </w:tcBorders>
            <w:vAlign w:val="center"/>
          </w:tcPr>
          <w:p w14:paraId="45AE01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涉及自然公园时，评价等级为二级；</w:t>
            </w:r>
          </w:p>
        </w:tc>
        <w:tc>
          <w:tcPr>
            <w:tcW w:w="2229" w:type="pct"/>
            <w:tcBorders>
              <w:tl2br w:val="nil"/>
              <w:tr2bl w:val="nil"/>
            </w:tcBorders>
            <w:vAlign w:val="center"/>
          </w:tcPr>
          <w:p w14:paraId="499A65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本项目不涉及自然公园</w:t>
            </w:r>
          </w:p>
        </w:tc>
      </w:tr>
      <w:tr w14:paraId="0737C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287DD2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p>
        </w:tc>
        <w:tc>
          <w:tcPr>
            <w:tcW w:w="2383" w:type="pct"/>
            <w:tcBorders>
              <w:tl2br w:val="nil"/>
              <w:tr2bl w:val="nil"/>
            </w:tcBorders>
            <w:vAlign w:val="center"/>
          </w:tcPr>
          <w:p w14:paraId="6178CA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涉及生态保护红线时，评价等级不低于二级；</w:t>
            </w:r>
          </w:p>
        </w:tc>
        <w:tc>
          <w:tcPr>
            <w:tcW w:w="2229" w:type="pct"/>
            <w:tcBorders>
              <w:tl2br w:val="nil"/>
              <w:tr2bl w:val="nil"/>
            </w:tcBorders>
            <w:vAlign w:val="center"/>
          </w:tcPr>
          <w:p w14:paraId="3C24490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涉及生态保护红线</w:t>
            </w:r>
            <w:r>
              <w:rPr>
                <w:rFonts w:hint="default" w:ascii="Times New Roman" w:hAnsi="Times New Roman" w:cs="Times New Roman"/>
                <w:color w:val="auto"/>
                <w:highlight w:val="none"/>
                <w:lang w:eastAsia="zh-CN"/>
              </w:rPr>
              <w:t>。</w:t>
            </w:r>
          </w:p>
        </w:tc>
      </w:tr>
      <w:tr w14:paraId="130E5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387" w:type="pct"/>
            <w:tcBorders>
              <w:tl2br w:val="nil"/>
              <w:tr2bl w:val="nil"/>
            </w:tcBorders>
            <w:vAlign w:val="center"/>
          </w:tcPr>
          <w:p w14:paraId="5A3EBA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w:t>
            </w:r>
          </w:p>
        </w:tc>
        <w:tc>
          <w:tcPr>
            <w:tcW w:w="2383" w:type="pct"/>
            <w:tcBorders>
              <w:tl2br w:val="nil"/>
              <w:tr2bl w:val="nil"/>
            </w:tcBorders>
            <w:vAlign w:val="center"/>
          </w:tcPr>
          <w:p w14:paraId="506305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根据HJ 2.3判断属于水文要素影响型且地表水评价等级不低于二级的建设项目，生态影响评价等级不低于二级；</w:t>
            </w:r>
          </w:p>
        </w:tc>
        <w:tc>
          <w:tcPr>
            <w:tcW w:w="2229" w:type="pct"/>
            <w:tcBorders>
              <w:tl2br w:val="nil"/>
              <w:tr2bl w:val="nil"/>
            </w:tcBorders>
            <w:vAlign w:val="center"/>
          </w:tcPr>
          <w:p w14:paraId="15217A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本项目不属于水文要素影响型项目，地表水评价等级为三级B</w:t>
            </w:r>
          </w:p>
        </w:tc>
      </w:tr>
      <w:tr w14:paraId="402AC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42105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w:t>
            </w:r>
          </w:p>
        </w:tc>
        <w:tc>
          <w:tcPr>
            <w:tcW w:w="2383" w:type="pct"/>
            <w:tcBorders>
              <w:tl2br w:val="nil"/>
              <w:tr2bl w:val="nil"/>
            </w:tcBorders>
            <w:vAlign w:val="center"/>
          </w:tcPr>
          <w:p w14:paraId="34027F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根据HJ 610、HJ 964判断地下水水位或土壤影响范围内分布有天然林、公益林、湿地等生态保护目标的建设项目，生态影响评价等级不低于二级；</w:t>
            </w:r>
          </w:p>
        </w:tc>
        <w:tc>
          <w:tcPr>
            <w:tcW w:w="2229" w:type="pct"/>
            <w:tcBorders>
              <w:tl2br w:val="nil"/>
              <w:tr2bl w:val="nil"/>
            </w:tcBorders>
            <w:vAlign w:val="center"/>
          </w:tcPr>
          <w:p w14:paraId="4F330D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评价区域内无自然保护区、风景名胜区、地下水饮用水源保护区等生态敏感区。项目区域内主要为林地，林地性质不属于国家级公益林和天然林，项目不占用一般湿地和重要湿地，本项目土壤影响范围内不涉及天然林、公益林、湿地等生态保护目标</w:t>
            </w:r>
          </w:p>
        </w:tc>
      </w:tr>
      <w:tr w14:paraId="0E848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762F746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f</w:t>
            </w:r>
          </w:p>
        </w:tc>
        <w:tc>
          <w:tcPr>
            <w:tcW w:w="2383" w:type="pct"/>
            <w:tcBorders>
              <w:tl2br w:val="nil"/>
              <w:tr2bl w:val="nil"/>
            </w:tcBorders>
            <w:vAlign w:val="center"/>
          </w:tcPr>
          <w:p w14:paraId="4D9192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当工程占地规模大于20km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时（包括永久和临时占用陆域和水域），评价等级不低于二级；改扩建项目的占地范围以新增占地（包括陆域和水域）确定；</w:t>
            </w:r>
          </w:p>
        </w:tc>
        <w:tc>
          <w:tcPr>
            <w:tcW w:w="2229" w:type="pct"/>
            <w:tcBorders>
              <w:tl2br w:val="nil"/>
              <w:tr2bl w:val="nil"/>
            </w:tcBorders>
            <w:vAlign w:val="center"/>
          </w:tcPr>
          <w:p w14:paraId="1D6E4A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本项目为新建项目，项目总占地面积为</w:t>
            </w:r>
            <w:r>
              <w:rPr>
                <w:rFonts w:hint="default" w:ascii="Times New Roman" w:hAnsi="Times New Roman" w:cs="Times New Roman"/>
                <w:color w:val="auto"/>
                <w:highlight w:val="none"/>
                <w:lang w:val="en-US" w:eastAsia="zh-CN"/>
              </w:rPr>
              <w:t>0.085303</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＜20km</w:t>
            </w:r>
            <w:r>
              <w:rPr>
                <w:rFonts w:hint="default" w:ascii="Times New Roman" w:hAnsi="Times New Roman" w:cs="Times New Roman"/>
                <w:color w:val="auto"/>
                <w:highlight w:val="none"/>
                <w:vertAlign w:val="superscript"/>
              </w:rPr>
              <w:t>2</w:t>
            </w:r>
          </w:p>
        </w:tc>
      </w:tr>
      <w:tr w14:paraId="26942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6EDE89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w:t>
            </w:r>
          </w:p>
        </w:tc>
        <w:tc>
          <w:tcPr>
            <w:tcW w:w="2383" w:type="pct"/>
            <w:tcBorders>
              <w:tl2br w:val="nil"/>
              <w:tr2bl w:val="nil"/>
            </w:tcBorders>
            <w:vAlign w:val="center"/>
          </w:tcPr>
          <w:p w14:paraId="2525B3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除本条a）、b）、c）、d）、e）、f）以外的情况，评价等级为三级；</w:t>
            </w:r>
          </w:p>
        </w:tc>
        <w:tc>
          <w:tcPr>
            <w:tcW w:w="2229" w:type="pct"/>
            <w:tcBorders>
              <w:tl2br w:val="nil"/>
              <w:tr2bl w:val="nil"/>
            </w:tcBorders>
            <w:vAlign w:val="center"/>
          </w:tcPr>
          <w:p w14:paraId="2CF495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属于</w:t>
            </w:r>
            <w:r>
              <w:rPr>
                <w:rFonts w:hint="default" w:ascii="Times New Roman" w:hAnsi="Times New Roman" w:cs="Times New Roman"/>
                <w:color w:val="auto"/>
                <w:highlight w:val="none"/>
                <w:lang w:val="en-US" w:eastAsia="zh-CN"/>
              </w:rPr>
              <w:t>以上</w:t>
            </w:r>
            <w:r>
              <w:rPr>
                <w:rFonts w:hint="default" w:ascii="Times New Roman" w:hAnsi="Times New Roman" w:cs="Times New Roman"/>
                <w:color w:val="auto"/>
                <w:highlight w:val="none"/>
              </w:rPr>
              <w:t>情况，故项目评价等级为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p>
        </w:tc>
      </w:tr>
      <w:tr w14:paraId="44382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4CD7750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w:t>
            </w:r>
          </w:p>
        </w:tc>
        <w:tc>
          <w:tcPr>
            <w:tcW w:w="2383" w:type="pct"/>
            <w:tcBorders>
              <w:tl2br w:val="nil"/>
              <w:tr2bl w:val="nil"/>
            </w:tcBorders>
            <w:vAlign w:val="center"/>
          </w:tcPr>
          <w:p w14:paraId="40ECE6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当评价等级判定同时符合上述多种情况时，应采用其中最高的评价等</w:t>
            </w:r>
          </w:p>
        </w:tc>
        <w:tc>
          <w:tcPr>
            <w:tcW w:w="2229" w:type="pct"/>
            <w:tcBorders>
              <w:tl2br w:val="nil"/>
              <w:tr2bl w:val="nil"/>
            </w:tcBorders>
            <w:vAlign w:val="center"/>
          </w:tcPr>
          <w:p w14:paraId="4497FD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本项目废水不外排，不涉及水生生态影响，只涉及陆生生态影响，项目评价等级判定不同时符合上述多种情况</w:t>
            </w:r>
          </w:p>
        </w:tc>
      </w:tr>
    </w:tbl>
    <w:p w14:paraId="13F1F180">
      <w:pPr>
        <w:pStyle w:val="41"/>
        <w:rPr>
          <w:rFonts w:hint="default" w:ascii="Times New Roman" w:hAnsi="Times New Roman" w:cs="Times New Roman"/>
          <w:color w:val="auto"/>
          <w:highlight w:val="none"/>
        </w:rPr>
      </w:pPr>
      <w:bookmarkStart w:id="118" w:name="_Toc22920"/>
      <w:r>
        <w:rPr>
          <w:rFonts w:hint="default" w:ascii="Times New Roman" w:hAnsi="Times New Roman" w:cs="Times New Roman"/>
          <w:color w:val="auto"/>
          <w:highlight w:val="none"/>
        </w:rPr>
        <w:t>2.6.6风险评价工作等级</w:t>
      </w:r>
      <w:bookmarkEnd w:id="118"/>
    </w:p>
    <w:p w14:paraId="43CA710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（1）Q值的确定</w:t>
      </w:r>
    </w:p>
    <w:p w14:paraId="485DDB0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 169-2018）附录C，Q按下式进行计算：</w:t>
      </w:r>
    </w:p>
    <w:p w14:paraId="53A76C3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400175" cy="390525"/>
            <wp:effectExtent l="0" t="0" r="9525" b="9525"/>
            <wp:docPr id="20218948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94829" name="图片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400175" cy="390525"/>
                    </a:xfrm>
                    <a:prstGeom prst="rect">
                      <a:avLst/>
                    </a:prstGeom>
                    <a:noFill/>
                    <a:ln>
                      <a:noFill/>
                    </a:ln>
                  </pic:spPr>
                </pic:pic>
              </a:graphicData>
            </a:graphic>
          </wp:inline>
        </w:drawing>
      </w:r>
    </w:p>
    <w:p w14:paraId="58EF2BF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式中：q1，q2……qn－每种危险物质的最大存在量，t；</w:t>
      </w:r>
    </w:p>
    <w:p w14:paraId="6A7635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Q1，Q2……Qn－每种危险物质的临界量，t。</w:t>
      </w:r>
    </w:p>
    <w:p w14:paraId="53F958E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当Q＜1时，该项目环境风险潜势为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1FD542D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当Q≥1时，将Q值划分为：（1）1≤Q＜10；（2）10≤Q＜100；（3）Q≥100。</w:t>
      </w:r>
    </w:p>
    <w:p w14:paraId="5371AAD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本项目利用</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对废弃采坑进行回填复垦，</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不属于《建设项目环境风险评价技术导则》（HJ169-2018）中规定的环境风险物质，本次项目</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回填过程不涉及危险化学品及危险物质，所以本项目可直接判定项目环境风险潜势为Ⅰ级。</w:t>
      </w:r>
    </w:p>
    <w:p w14:paraId="4AB3BC3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（2）环境风险潜势判断结果</w:t>
      </w:r>
    </w:p>
    <w:p w14:paraId="6C47859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环境风险潜势划分为：Ⅰ、Ⅱ、Ⅲ、Ⅳ/Ⅳ+级。根据建设项目涉及的物质和工艺系统的危险性及其所在地的环境敏感程度，结合事故情形下环境影响途径，对建设项目潜在环境危害程度进行概化分析，按照下表确定环境风险潜势。</w:t>
      </w:r>
    </w:p>
    <w:p w14:paraId="0EDC808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表2-6-10建设项目环境风险潜势划分</w:t>
      </w:r>
    </w:p>
    <w:tbl>
      <w:tblPr>
        <w:tblStyle w:val="24"/>
        <w:tblW w:w="5000" w:type="pct"/>
        <w:tblInd w:w="0" w:type="dxa"/>
        <w:tblLayout w:type="autofit"/>
        <w:tblCellMar>
          <w:top w:w="0" w:type="dxa"/>
          <w:left w:w="108" w:type="dxa"/>
          <w:bottom w:w="0" w:type="dxa"/>
          <w:right w:w="108" w:type="dxa"/>
        </w:tblCellMar>
      </w:tblPr>
      <w:tblGrid>
        <w:gridCol w:w="1704"/>
        <w:gridCol w:w="1704"/>
        <w:gridCol w:w="1704"/>
        <w:gridCol w:w="1705"/>
        <w:gridCol w:w="1705"/>
      </w:tblGrid>
      <w:tr w14:paraId="6F580AB3">
        <w:tblPrEx>
          <w:tblCellMar>
            <w:top w:w="0" w:type="dxa"/>
            <w:left w:w="108" w:type="dxa"/>
            <w:bottom w:w="0" w:type="dxa"/>
            <w:right w:w="108" w:type="dxa"/>
          </w:tblCellMar>
        </w:tblPrEx>
        <w:trPr>
          <w:trHeight w:val="385" w:hRule="atLeast"/>
        </w:trPr>
        <w:tc>
          <w:tcPr>
            <w:tcW w:w="1000" w:type="pct"/>
            <w:vMerge w:val="restart"/>
            <w:tcBorders>
              <w:top w:val="single" w:color="auto" w:sz="12" w:space="0"/>
              <w:left w:val="nil"/>
              <w:bottom w:val="single" w:color="auto" w:sz="4" w:space="0"/>
              <w:right w:val="single" w:color="auto" w:sz="4" w:space="0"/>
            </w:tcBorders>
            <w:vAlign w:val="center"/>
          </w:tcPr>
          <w:p w14:paraId="3C3C1F0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环境敏感程度（E）</w:t>
            </w:r>
          </w:p>
        </w:tc>
        <w:tc>
          <w:tcPr>
            <w:tcW w:w="4000" w:type="pct"/>
            <w:gridSpan w:val="4"/>
            <w:tcBorders>
              <w:top w:val="single" w:color="auto" w:sz="12" w:space="0"/>
              <w:left w:val="single" w:color="auto" w:sz="4" w:space="0"/>
              <w:bottom w:val="single" w:color="auto" w:sz="4" w:space="0"/>
              <w:right w:val="nil"/>
            </w:tcBorders>
            <w:vAlign w:val="center"/>
          </w:tcPr>
          <w:p w14:paraId="6980054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危险物质及工艺系统危险性（P）</w:t>
            </w:r>
          </w:p>
        </w:tc>
      </w:tr>
      <w:tr w14:paraId="32DE39B3">
        <w:tblPrEx>
          <w:tblCellMar>
            <w:top w:w="0" w:type="dxa"/>
            <w:left w:w="108" w:type="dxa"/>
            <w:bottom w:w="0" w:type="dxa"/>
            <w:right w:w="108" w:type="dxa"/>
          </w:tblCellMar>
        </w:tblPrEx>
        <w:trPr>
          <w:trHeight w:val="459" w:hRule="atLeast"/>
        </w:trPr>
        <w:tc>
          <w:tcPr>
            <w:tcW w:w="0" w:type="auto"/>
            <w:vMerge w:val="continue"/>
            <w:tcBorders>
              <w:top w:val="single" w:color="auto" w:sz="12" w:space="0"/>
              <w:left w:val="nil"/>
              <w:bottom w:val="single" w:color="auto" w:sz="4" w:space="0"/>
              <w:right w:val="single" w:color="auto" w:sz="4" w:space="0"/>
            </w:tcBorders>
            <w:vAlign w:val="center"/>
          </w:tcPr>
          <w:p w14:paraId="1F9F69EB">
            <w:pPr>
              <w:pStyle w:val="46"/>
              <w:bidi w:val="0"/>
              <w:jc w:val="center"/>
              <w:rPr>
                <w:rFonts w:hint="default" w:ascii="Times New Roman" w:hAnsi="Times New Roman" w:cs="Times New Roman"/>
                <w:color w:val="auto"/>
                <w:highlight w:val="none"/>
                <w:lang w:val="zh-CN"/>
              </w:rPr>
            </w:pPr>
          </w:p>
        </w:tc>
        <w:tc>
          <w:tcPr>
            <w:tcW w:w="1000" w:type="pct"/>
            <w:tcBorders>
              <w:top w:val="single" w:color="auto" w:sz="4" w:space="0"/>
              <w:left w:val="single" w:color="auto" w:sz="4" w:space="0"/>
              <w:bottom w:val="single" w:color="auto" w:sz="4" w:space="0"/>
              <w:right w:val="single" w:color="auto" w:sz="4" w:space="0"/>
            </w:tcBorders>
            <w:vAlign w:val="center"/>
          </w:tcPr>
          <w:p w14:paraId="41AF1DA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极高危害（P1）</w:t>
            </w:r>
          </w:p>
        </w:tc>
        <w:tc>
          <w:tcPr>
            <w:tcW w:w="1000" w:type="pct"/>
            <w:tcBorders>
              <w:top w:val="single" w:color="auto" w:sz="4" w:space="0"/>
              <w:left w:val="single" w:color="auto" w:sz="4" w:space="0"/>
              <w:bottom w:val="single" w:color="auto" w:sz="4" w:space="0"/>
              <w:right w:val="single" w:color="auto" w:sz="4" w:space="0"/>
            </w:tcBorders>
            <w:vAlign w:val="center"/>
          </w:tcPr>
          <w:p w14:paraId="7610B1B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高度危害（P2）</w:t>
            </w:r>
          </w:p>
        </w:tc>
        <w:tc>
          <w:tcPr>
            <w:tcW w:w="1000" w:type="pct"/>
            <w:tcBorders>
              <w:top w:val="single" w:color="auto" w:sz="4" w:space="0"/>
              <w:left w:val="single" w:color="auto" w:sz="4" w:space="0"/>
              <w:bottom w:val="single" w:color="auto" w:sz="4" w:space="0"/>
              <w:right w:val="single" w:color="auto" w:sz="4" w:space="0"/>
            </w:tcBorders>
            <w:vAlign w:val="center"/>
          </w:tcPr>
          <w:p w14:paraId="797E4F2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中度危害（P3）</w:t>
            </w:r>
          </w:p>
        </w:tc>
        <w:tc>
          <w:tcPr>
            <w:tcW w:w="1001" w:type="pct"/>
            <w:tcBorders>
              <w:top w:val="single" w:color="auto" w:sz="4" w:space="0"/>
              <w:left w:val="single" w:color="auto" w:sz="4" w:space="0"/>
              <w:bottom w:val="single" w:color="auto" w:sz="4" w:space="0"/>
              <w:right w:val="nil"/>
            </w:tcBorders>
            <w:vAlign w:val="center"/>
          </w:tcPr>
          <w:p w14:paraId="7DAEB83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轻度危害（P4）</w:t>
            </w:r>
          </w:p>
        </w:tc>
      </w:tr>
      <w:tr w14:paraId="3CC66EF4">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vAlign w:val="center"/>
          </w:tcPr>
          <w:p w14:paraId="12585D8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环境高度敏感区（E1）</w:t>
            </w:r>
          </w:p>
        </w:tc>
        <w:tc>
          <w:tcPr>
            <w:tcW w:w="1000" w:type="pct"/>
            <w:tcBorders>
              <w:top w:val="single" w:color="auto" w:sz="4" w:space="0"/>
              <w:left w:val="single" w:color="auto" w:sz="4" w:space="0"/>
              <w:bottom w:val="single" w:color="auto" w:sz="4" w:space="0"/>
              <w:right w:val="single" w:color="auto" w:sz="4" w:space="0"/>
            </w:tcBorders>
            <w:vAlign w:val="center"/>
          </w:tcPr>
          <w:p w14:paraId="63089AD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vAlign w:val="center"/>
          </w:tcPr>
          <w:p w14:paraId="5C284C8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vAlign w:val="center"/>
          </w:tcPr>
          <w:p w14:paraId="110C692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1" w:type="pct"/>
            <w:tcBorders>
              <w:top w:val="single" w:color="auto" w:sz="4" w:space="0"/>
              <w:left w:val="single" w:color="auto" w:sz="4" w:space="0"/>
              <w:bottom w:val="single" w:color="auto" w:sz="4" w:space="0"/>
              <w:right w:val="nil"/>
            </w:tcBorders>
            <w:vAlign w:val="center"/>
          </w:tcPr>
          <w:p w14:paraId="242BBB8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r>
      <w:tr w14:paraId="258FA609">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vAlign w:val="center"/>
          </w:tcPr>
          <w:p w14:paraId="239B6DF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环境中度敏感区（E2）</w:t>
            </w:r>
          </w:p>
        </w:tc>
        <w:tc>
          <w:tcPr>
            <w:tcW w:w="1000" w:type="pct"/>
            <w:tcBorders>
              <w:top w:val="single" w:color="auto" w:sz="4" w:space="0"/>
              <w:left w:val="single" w:color="auto" w:sz="4" w:space="0"/>
              <w:bottom w:val="single" w:color="auto" w:sz="4" w:space="0"/>
              <w:right w:val="single" w:color="auto" w:sz="4" w:space="0"/>
            </w:tcBorders>
            <w:vAlign w:val="center"/>
          </w:tcPr>
          <w:p w14:paraId="1CD6891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vAlign w:val="center"/>
          </w:tcPr>
          <w:p w14:paraId="6D5590C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vAlign w:val="center"/>
          </w:tcPr>
          <w:p w14:paraId="069F9A8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1" w:type="pct"/>
            <w:tcBorders>
              <w:top w:val="single" w:color="auto" w:sz="4" w:space="0"/>
              <w:left w:val="single" w:color="auto" w:sz="4" w:space="0"/>
              <w:bottom w:val="single" w:color="auto" w:sz="4" w:space="0"/>
              <w:right w:val="nil"/>
            </w:tcBorders>
            <w:vAlign w:val="center"/>
          </w:tcPr>
          <w:p w14:paraId="33F6FE8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r>
      <w:tr w14:paraId="48AAAD13">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vAlign w:val="center"/>
          </w:tcPr>
          <w:p w14:paraId="12E1801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环境低度敏感区（E3）</w:t>
            </w:r>
          </w:p>
        </w:tc>
        <w:tc>
          <w:tcPr>
            <w:tcW w:w="1000" w:type="pct"/>
            <w:tcBorders>
              <w:top w:val="single" w:color="auto" w:sz="4" w:space="0"/>
              <w:left w:val="single" w:color="auto" w:sz="4" w:space="0"/>
              <w:bottom w:val="single" w:color="auto" w:sz="4" w:space="0"/>
              <w:right w:val="single" w:color="auto" w:sz="4" w:space="0"/>
            </w:tcBorders>
            <w:vAlign w:val="center"/>
          </w:tcPr>
          <w:p w14:paraId="6FFAA2A7">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vAlign w:val="center"/>
          </w:tcPr>
          <w:p w14:paraId="7D3ECD6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vAlign w:val="center"/>
          </w:tcPr>
          <w:p w14:paraId="6D5A3E6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001" w:type="pct"/>
            <w:tcBorders>
              <w:top w:val="single" w:color="auto" w:sz="4" w:space="0"/>
              <w:left w:val="single" w:color="auto" w:sz="4" w:space="0"/>
              <w:bottom w:val="single" w:color="auto" w:sz="4" w:space="0"/>
              <w:right w:val="nil"/>
            </w:tcBorders>
            <w:vAlign w:val="center"/>
          </w:tcPr>
          <w:p w14:paraId="3A18135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14:paraId="649F853D">
        <w:tblPrEx>
          <w:tblCellMar>
            <w:top w:w="0" w:type="dxa"/>
            <w:left w:w="108" w:type="dxa"/>
            <w:bottom w:w="0" w:type="dxa"/>
            <w:right w:w="108" w:type="dxa"/>
          </w:tblCellMar>
        </w:tblPrEx>
        <w:trPr>
          <w:trHeight w:val="503" w:hRule="atLeast"/>
        </w:trPr>
        <w:tc>
          <w:tcPr>
            <w:tcW w:w="5000" w:type="pct"/>
            <w:gridSpan w:val="5"/>
            <w:tcBorders>
              <w:top w:val="single" w:color="auto" w:sz="4" w:space="0"/>
              <w:left w:val="nil"/>
              <w:bottom w:val="single" w:color="auto" w:sz="12" w:space="0"/>
              <w:right w:val="nil"/>
            </w:tcBorders>
            <w:vAlign w:val="center"/>
          </w:tcPr>
          <w:p w14:paraId="56BE7BC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IV</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+为极高环境风险；危险物质数量与临界量比值Q＜1，项目环境风险潜势为I。</w:t>
            </w:r>
          </w:p>
        </w:tc>
      </w:tr>
    </w:tbl>
    <w:p w14:paraId="56C7705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本项目Q＜1，根据《建设项目环境风险评价技术导则》（HJ169-2018）附录C，本项目危险物质数量与临界量比值Q＜1，最终确定本项目环境风险潜势为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3C2DAB1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（3）风险评价等级</w:t>
      </w:r>
    </w:p>
    <w:p w14:paraId="3F0AA53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据《建设项目环境风险评价技术导则》（HJ169-2018）的有关规定，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Ⅰ，可开展简单分析。</w:t>
      </w:r>
    </w:p>
    <w:p w14:paraId="167130D6">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表2-6-11风险评价工作等级划分表</w:t>
      </w:r>
    </w:p>
    <w:tbl>
      <w:tblPr>
        <w:tblStyle w:val="24"/>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704"/>
        <w:gridCol w:w="1704"/>
        <w:gridCol w:w="1704"/>
        <w:gridCol w:w="1705"/>
        <w:gridCol w:w="1705"/>
      </w:tblGrid>
      <w:tr w14:paraId="5E6A573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00" w:type="pct"/>
            <w:tcBorders>
              <w:top w:val="single" w:color="auto" w:sz="12" w:space="0"/>
              <w:left w:val="nil"/>
              <w:bottom w:val="single" w:color="auto" w:sz="8" w:space="0"/>
              <w:right w:val="single" w:color="auto" w:sz="8" w:space="0"/>
            </w:tcBorders>
            <w:vAlign w:val="center"/>
          </w:tcPr>
          <w:p w14:paraId="0F6B2C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环境风险潜势</w:t>
            </w:r>
          </w:p>
        </w:tc>
        <w:tc>
          <w:tcPr>
            <w:tcW w:w="1000" w:type="pct"/>
            <w:tcBorders>
              <w:top w:val="single" w:color="auto" w:sz="12" w:space="0"/>
              <w:left w:val="single" w:color="auto" w:sz="8" w:space="0"/>
              <w:bottom w:val="single" w:color="auto" w:sz="8" w:space="0"/>
              <w:right w:val="single" w:color="auto" w:sz="8" w:space="0"/>
            </w:tcBorders>
            <w:vAlign w:val="center"/>
          </w:tcPr>
          <w:p w14:paraId="1DA665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Ⅳ、Ⅳ+</w:t>
            </w:r>
          </w:p>
        </w:tc>
        <w:tc>
          <w:tcPr>
            <w:tcW w:w="1000" w:type="pct"/>
            <w:tcBorders>
              <w:top w:val="single" w:color="auto" w:sz="12" w:space="0"/>
              <w:left w:val="single" w:color="auto" w:sz="8" w:space="0"/>
              <w:bottom w:val="single" w:color="auto" w:sz="8" w:space="0"/>
              <w:right w:val="single" w:color="auto" w:sz="8" w:space="0"/>
            </w:tcBorders>
            <w:vAlign w:val="center"/>
          </w:tcPr>
          <w:p w14:paraId="138BC3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12" w:space="0"/>
              <w:left w:val="single" w:color="auto" w:sz="8" w:space="0"/>
              <w:bottom w:val="single" w:color="auto" w:sz="8" w:space="0"/>
              <w:right w:val="single" w:color="auto" w:sz="8" w:space="0"/>
            </w:tcBorders>
            <w:vAlign w:val="center"/>
          </w:tcPr>
          <w:p w14:paraId="73EA3F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000" w:type="pct"/>
            <w:tcBorders>
              <w:top w:val="single" w:color="auto" w:sz="12" w:space="0"/>
              <w:left w:val="single" w:color="auto" w:sz="8" w:space="0"/>
              <w:bottom w:val="single" w:color="auto" w:sz="8" w:space="0"/>
              <w:right w:val="nil"/>
            </w:tcBorders>
            <w:vAlign w:val="center"/>
          </w:tcPr>
          <w:p w14:paraId="7C86E7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14:paraId="50DD6D3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00" w:type="pct"/>
            <w:tcBorders>
              <w:top w:val="single" w:color="auto" w:sz="8" w:space="0"/>
              <w:left w:val="nil"/>
              <w:bottom w:val="single" w:color="auto" w:sz="8" w:space="0"/>
              <w:right w:val="single" w:color="auto" w:sz="8" w:space="0"/>
            </w:tcBorders>
            <w:vAlign w:val="center"/>
          </w:tcPr>
          <w:p w14:paraId="30A169A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1000" w:type="pct"/>
            <w:tcBorders>
              <w:top w:val="single" w:color="auto" w:sz="8" w:space="0"/>
              <w:left w:val="single" w:color="auto" w:sz="8" w:space="0"/>
              <w:bottom w:val="single" w:color="auto" w:sz="8" w:space="0"/>
              <w:right w:val="single" w:color="auto" w:sz="8" w:space="0"/>
            </w:tcBorders>
            <w:vAlign w:val="center"/>
          </w:tcPr>
          <w:p w14:paraId="3B5EB8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000" w:type="pct"/>
            <w:tcBorders>
              <w:top w:val="single" w:color="auto" w:sz="8" w:space="0"/>
              <w:left w:val="single" w:color="auto" w:sz="8" w:space="0"/>
              <w:bottom w:val="single" w:color="auto" w:sz="8" w:space="0"/>
              <w:right w:val="single" w:color="auto" w:sz="8" w:space="0"/>
            </w:tcBorders>
            <w:vAlign w:val="center"/>
          </w:tcPr>
          <w:p w14:paraId="3BD542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1000" w:type="pct"/>
            <w:tcBorders>
              <w:top w:val="single" w:color="auto" w:sz="8" w:space="0"/>
              <w:left w:val="single" w:color="auto" w:sz="8" w:space="0"/>
              <w:bottom w:val="single" w:color="auto" w:sz="8" w:space="0"/>
              <w:right w:val="single" w:color="auto" w:sz="8" w:space="0"/>
            </w:tcBorders>
            <w:vAlign w:val="center"/>
          </w:tcPr>
          <w:p w14:paraId="7F7738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c>
          <w:tcPr>
            <w:tcW w:w="1000" w:type="pct"/>
            <w:tcBorders>
              <w:top w:val="single" w:color="auto" w:sz="8" w:space="0"/>
              <w:left w:val="single" w:color="auto" w:sz="8" w:space="0"/>
              <w:bottom w:val="single" w:color="auto" w:sz="8" w:space="0"/>
              <w:right w:val="nil"/>
            </w:tcBorders>
            <w:vAlign w:val="center"/>
          </w:tcPr>
          <w:p w14:paraId="1BBD86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shd w:val="clear" w:color="FFFFFF" w:fill="D9D9D9"/>
              </w:rPr>
              <w:t>简单分析a</w:t>
            </w:r>
          </w:p>
        </w:tc>
      </w:tr>
      <w:tr w14:paraId="54FC3CE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000" w:type="pct"/>
            <w:gridSpan w:val="5"/>
            <w:tcBorders>
              <w:top w:val="single" w:color="auto" w:sz="8" w:space="0"/>
              <w:left w:val="nil"/>
              <w:bottom w:val="single" w:color="auto" w:sz="12" w:space="0"/>
              <w:right w:val="nil"/>
            </w:tcBorders>
            <w:vAlign w:val="center"/>
          </w:tcPr>
          <w:p w14:paraId="59B377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a：是相对于详细评价工作内容而言，在描述危险物质、环境影响途径、环境危害后果、风险防范措施等方面给出定性的说明。</w:t>
            </w:r>
          </w:p>
        </w:tc>
      </w:tr>
    </w:tbl>
    <w:p w14:paraId="6BB8FD6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本项目环境风险潜势为Ⅰ，根据《建设项目环境风险评价技术导则》（HJ169-2018），本报告进行简单风险分析。</w:t>
      </w:r>
    </w:p>
    <w:p w14:paraId="32DE1496">
      <w:pPr>
        <w:pStyle w:val="41"/>
        <w:rPr>
          <w:rFonts w:hint="default" w:ascii="Times New Roman" w:hAnsi="Times New Roman" w:cs="Times New Roman"/>
          <w:color w:val="auto"/>
          <w:highlight w:val="none"/>
        </w:rPr>
      </w:pPr>
      <w:bookmarkStart w:id="119" w:name="_Toc8406"/>
      <w:r>
        <w:rPr>
          <w:rFonts w:hint="default" w:ascii="Times New Roman" w:hAnsi="Times New Roman" w:cs="Times New Roman"/>
          <w:color w:val="auto"/>
          <w:highlight w:val="none"/>
        </w:rPr>
        <w:t>2.6.7土壤评价工作等级</w:t>
      </w:r>
      <w:bookmarkEnd w:id="119"/>
    </w:p>
    <w:p w14:paraId="0CC892F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（1）项目类别</w:t>
      </w:r>
    </w:p>
    <w:p w14:paraId="05B9CFD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根据固体废物鉴别标准鉴别为一般工业固体废物，其影响类似于</w:t>
      </w:r>
      <w:bookmarkStart w:id="120" w:name="_Hlk69720803"/>
      <w:r>
        <w:rPr>
          <w:rFonts w:hint="default" w:ascii="Times New Roman" w:hAnsi="Times New Roman" w:cs="Times New Roman"/>
          <w:color w:val="auto"/>
          <w:highlight w:val="none"/>
        </w:rPr>
        <w:t>《环境影响评价技术导则 土壤环境》（HJ964-2018）</w:t>
      </w:r>
      <w:bookmarkEnd w:id="120"/>
      <w:r>
        <w:rPr>
          <w:rFonts w:hint="default" w:ascii="Times New Roman" w:hAnsi="Times New Roman" w:cs="Times New Roman"/>
          <w:color w:val="auto"/>
          <w:highlight w:val="none"/>
        </w:rPr>
        <w:t>附录A中“环境和公共设施管理业 采取填埋和焚烧方式的一般工业固体废物处置及综合利用”，项目类别为Ⅱ类。</w:t>
      </w:r>
    </w:p>
    <w:p w14:paraId="4468207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（2）环境影响类型</w:t>
      </w:r>
    </w:p>
    <w:p w14:paraId="69B30EA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鉴于</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回填有可能对土壤环境带来污染影响，故项目属于污染影响型。</w:t>
      </w:r>
    </w:p>
    <w:p w14:paraId="15464C8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（3）项目规模及敏感程度</w:t>
      </w:r>
    </w:p>
    <w:p w14:paraId="44F2966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本项目占地</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大于</w:t>
      </w:r>
      <w:r>
        <w:rPr>
          <w:rFonts w:hint="default" w:ascii="Times New Roman" w:hAnsi="Times New Roman" w:cs="Times New Roman"/>
          <w:color w:val="auto"/>
          <w:highlight w:val="none"/>
        </w:rPr>
        <w:t>5hm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），按占地规模分类判定为“</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型”。项目所在地及周边存在农田和林地，土壤环境敏感程度判别为“敏感”。</w:t>
      </w:r>
    </w:p>
    <w:p w14:paraId="2981ED6D">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表2-6-12污染影响型敏感程度分级表</w:t>
      </w:r>
    </w:p>
    <w:tbl>
      <w:tblPr>
        <w:tblStyle w:val="24"/>
        <w:tblW w:w="8250" w:type="dxa"/>
        <w:jc w:val="center"/>
        <w:tblLayout w:type="fixed"/>
        <w:tblCellMar>
          <w:top w:w="0" w:type="dxa"/>
          <w:left w:w="0" w:type="dxa"/>
          <w:bottom w:w="0" w:type="dxa"/>
          <w:right w:w="0" w:type="dxa"/>
        </w:tblCellMar>
      </w:tblPr>
      <w:tblGrid>
        <w:gridCol w:w="1626"/>
        <w:gridCol w:w="6624"/>
      </w:tblGrid>
      <w:tr w14:paraId="2918AC07">
        <w:tblPrEx>
          <w:tblCellMar>
            <w:top w:w="0" w:type="dxa"/>
            <w:left w:w="0" w:type="dxa"/>
            <w:bottom w:w="0" w:type="dxa"/>
            <w:right w:w="0" w:type="dxa"/>
          </w:tblCellMar>
        </w:tblPrEx>
        <w:trPr>
          <w:trHeight w:val="350" w:hRule="atLeast"/>
          <w:jc w:val="center"/>
        </w:trPr>
        <w:tc>
          <w:tcPr>
            <w:tcW w:w="1626" w:type="dxa"/>
            <w:tcBorders>
              <w:top w:val="single" w:color="000000" w:sz="12" w:space="0"/>
              <w:left w:val="nil"/>
              <w:bottom w:val="single" w:color="000000" w:sz="4" w:space="0"/>
              <w:right w:val="single" w:color="000000" w:sz="4" w:space="0"/>
            </w:tcBorders>
            <w:vAlign w:val="center"/>
          </w:tcPr>
          <w:p w14:paraId="787E44E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敏感程度</w:t>
            </w:r>
          </w:p>
        </w:tc>
        <w:tc>
          <w:tcPr>
            <w:tcW w:w="6624" w:type="dxa"/>
            <w:tcBorders>
              <w:top w:val="single" w:color="000000" w:sz="12" w:space="0"/>
              <w:left w:val="single" w:color="000000" w:sz="4" w:space="0"/>
              <w:bottom w:val="single" w:color="000000" w:sz="4" w:space="0"/>
              <w:right w:val="nil"/>
            </w:tcBorders>
            <w:vAlign w:val="center"/>
          </w:tcPr>
          <w:p w14:paraId="1F26A87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判别依据</w:t>
            </w:r>
          </w:p>
        </w:tc>
      </w:tr>
      <w:tr w14:paraId="0C1D4C4C">
        <w:tblPrEx>
          <w:tblCellMar>
            <w:top w:w="0" w:type="dxa"/>
            <w:left w:w="0" w:type="dxa"/>
            <w:bottom w:w="0" w:type="dxa"/>
            <w:right w:w="0" w:type="dxa"/>
          </w:tblCellMar>
        </w:tblPrEx>
        <w:trPr>
          <w:trHeight w:val="64" w:hRule="atLeast"/>
          <w:jc w:val="center"/>
        </w:trPr>
        <w:tc>
          <w:tcPr>
            <w:tcW w:w="1626" w:type="dxa"/>
            <w:tcBorders>
              <w:top w:val="single" w:color="000000" w:sz="4" w:space="0"/>
              <w:left w:val="nil"/>
              <w:bottom w:val="single" w:color="000000" w:sz="4" w:space="0"/>
              <w:right w:val="single" w:color="000000" w:sz="4" w:space="0"/>
            </w:tcBorders>
            <w:vAlign w:val="center"/>
          </w:tcPr>
          <w:p w14:paraId="328C4C21">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敏感</w:t>
            </w:r>
          </w:p>
        </w:tc>
        <w:tc>
          <w:tcPr>
            <w:tcW w:w="6624" w:type="dxa"/>
            <w:tcBorders>
              <w:top w:val="single" w:color="000000" w:sz="4" w:space="0"/>
              <w:left w:val="single" w:color="000000" w:sz="4" w:space="0"/>
              <w:bottom w:val="single" w:color="000000" w:sz="4" w:space="0"/>
              <w:right w:val="nil"/>
            </w:tcBorders>
            <w:vAlign w:val="center"/>
          </w:tcPr>
          <w:p w14:paraId="4B5161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建设项目周边存在耕地、园地、牧草地、饮用水水源地或居民区、学校、医院、疗养院、养老院等土壤环境敏感目标的</w:t>
            </w:r>
          </w:p>
        </w:tc>
      </w:tr>
      <w:tr w14:paraId="038B6286">
        <w:tblPrEx>
          <w:tblCellMar>
            <w:top w:w="0" w:type="dxa"/>
            <w:left w:w="0" w:type="dxa"/>
            <w:bottom w:w="0" w:type="dxa"/>
            <w:right w:w="0" w:type="dxa"/>
          </w:tblCellMar>
        </w:tblPrEx>
        <w:trPr>
          <w:trHeight w:val="400" w:hRule="atLeast"/>
          <w:jc w:val="center"/>
        </w:trPr>
        <w:tc>
          <w:tcPr>
            <w:tcW w:w="1626" w:type="dxa"/>
            <w:tcBorders>
              <w:top w:val="single" w:color="000000" w:sz="4" w:space="0"/>
              <w:left w:val="nil"/>
              <w:bottom w:val="single" w:color="000000" w:sz="4" w:space="0"/>
              <w:right w:val="single" w:color="000000" w:sz="4" w:space="0"/>
            </w:tcBorders>
            <w:vAlign w:val="center"/>
          </w:tcPr>
          <w:p w14:paraId="5B04AB4B">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较敏感</w:t>
            </w:r>
          </w:p>
        </w:tc>
        <w:tc>
          <w:tcPr>
            <w:tcW w:w="6624" w:type="dxa"/>
            <w:tcBorders>
              <w:top w:val="single" w:color="000000" w:sz="4" w:space="0"/>
              <w:left w:val="single" w:color="000000" w:sz="4" w:space="0"/>
              <w:bottom w:val="single" w:color="000000" w:sz="4" w:space="0"/>
              <w:right w:val="nil"/>
            </w:tcBorders>
            <w:vAlign w:val="center"/>
          </w:tcPr>
          <w:p w14:paraId="5D2C32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建设项目周边存在其他土壤环境敏感目标</w:t>
            </w:r>
          </w:p>
        </w:tc>
      </w:tr>
      <w:tr w14:paraId="79A2BA19">
        <w:tblPrEx>
          <w:tblCellMar>
            <w:top w:w="0" w:type="dxa"/>
            <w:left w:w="0" w:type="dxa"/>
            <w:bottom w:w="0" w:type="dxa"/>
            <w:right w:w="0" w:type="dxa"/>
          </w:tblCellMar>
        </w:tblPrEx>
        <w:trPr>
          <w:trHeight w:val="395" w:hRule="atLeast"/>
          <w:jc w:val="center"/>
        </w:trPr>
        <w:tc>
          <w:tcPr>
            <w:tcW w:w="1626" w:type="dxa"/>
            <w:tcBorders>
              <w:top w:val="single" w:color="000000" w:sz="4" w:space="0"/>
              <w:left w:val="nil"/>
              <w:bottom w:val="single" w:color="000000" w:sz="12" w:space="0"/>
              <w:right w:val="single" w:color="000000" w:sz="4" w:space="0"/>
            </w:tcBorders>
            <w:vAlign w:val="center"/>
          </w:tcPr>
          <w:p w14:paraId="154F55F2">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不敏感</w:t>
            </w:r>
          </w:p>
        </w:tc>
        <w:tc>
          <w:tcPr>
            <w:tcW w:w="6624" w:type="dxa"/>
            <w:tcBorders>
              <w:top w:val="single" w:color="000000" w:sz="4" w:space="0"/>
              <w:left w:val="single" w:color="000000" w:sz="4" w:space="0"/>
              <w:bottom w:val="single" w:color="000000" w:sz="12" w:space="0"/>
              <w:right w:val="nil"/>
            </w:tcBorders>
            <w:vAlign w:val="center"/>
          </w:tcPr>
          <w:p w14:paraId="1FA0DF49">
            <w:pPr>
              <w:pStyle w:val="46"/>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其他情况</w:t>
            </w:r>
          </w:p>
        </w:tc>
      </w:tr>
    </w:tbl>
    <w:p w14:paraId="72CA555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（4）评价等级</w:t>
      </w:r>
    </w:p>
    <w:p w14:paraId="5738684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土壤环境》（HJ964-2018）可知，本项目土壤环境影响评价工作等级为二级。</w:t>
      </w:r>
    </w:p>
    <w:p w14:paraId="2A057A3C">
      <w:pPr>
        <w:pStyle w:val="29"/>
        <w:bidi w:val="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mc:AlternateContent>
          <mc:Choice Requires="wps">
            <w:drawing>
              <wp:anchor distT="45720" distB="45720" distL="114300" distR="114300" simplePos="0" relativeHeight="251663360" behindDoc="0" locked="0" layoutInCell="1" allowOverlap="1">
                <wp:simplePos x="0" y="0"/>
                <wp:positionH relativeFrom="column">
                  <wp:posOffset>685800</wp:posOffset>
                </wp:positionH>
                <wp:positionV relativeFrom="paragraph">
                  <wp:posOffset>268605</wp:posOffset>
                </wp:positionV>
                <wp:extent cx="672465" cy="285750"/>
                <wp:effectExtent l="0" t="0" r="0" b="0"/>
                <wp:wrapNone/>
                <wp:docPr id="7935100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72465" cy="285750"/>
                        </a:xfrm>
                        <a:prstGeom prst="rect">
                          <a:avLst/>
                        </a:prstGeom>
                        <a:noFill/>
                        <a:ln w="9525">
                          <a:noFill/>
                          <a:miter lim="800000"/>
                        </a:ln>
                      </wps:spPr>
                      <wps:txbx>
                        <w:txbxContent>
                          <w:p w14:paraId="19AC8600">
                            <w:pPr>
                              <w:rPr>
                                <w:sz w:val="15"/>
                                <w:szCs w:val="15"/>
                              </w:rPr>
                            </w:pPr>
                            <w:r>
                              <w:rPr>
                                <w:rFonts w:hint="eastAsia"/>
                                <w:sz w:val="15"/>
                                <w:szCs w:val="15"/>
                              </w:rPr>
                              <w:t>项目类别</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54pt;margin-top:21.15pt;height:22.5pt;width:52.95pt;z-index:251663360;mso-width-relative:page;mso-height-relative:page;" filled="f" stroked="f" coordsize="21600,21600" o:gfxdata="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JW34tcAAAAJAQAADwAAAAAAAAABACAAAAAiAAAAZHJzL2Rv&#10;d25yZXYueG1sUEsBAhQAFAAAAAgAh07iQIME0TU7AgAAWAQAAA4AAAAAAAAAAQAgAAAAJgEAAGRy&#10;cy9lMm9Eb2MueG1sUEsFBgAAAAAGAAYAWQEAANMFAAAAAA==&#10;">
                <v:fill on="f" focussize="0,0"/>
                <v:stroke on="f" miterlimit="8" joinstyle="miter"/>
                <v:imagedata o:title=""/>
                <o:lock v:ext="edit" aspectratio="f"/>
                <v:textbox>
                  <w:txbxContent>
                    <w:p w14:paraId="19AC8600">
                      <w:pPr>
                        <w:rPr>
                          <w:sz w:val="15"/>
                          <w:szCs w:val="15"/>
                        </w:rPr>
                      </w:pPr>
                      <w:r>
                        <w:rPr>
                          <w:rFonts w:hint="eastAsia"/>
                          <w:sz w:val="15"/>
                          <w:szCs w:val="15"/>
                        </w:rPr>
                        <w:t>项目类别</w:t>
                      </w:r>
                    </w:p>
                  </w:txbxContent>
                </v:textbox>
              </v:shape>
            </w:pict>
          </mc:Fallback>
        </mc:AlternateContent>
      </w:r>
      <w:r>
        <w:rPr>
          <w:rFonts w:hint="default" w:ascii="Times New Roman" w:hAnsi="Times New Roman" w:eastAsia="宋体" w:cs="Times New Roman"/>
          <w:color w:val="auto"/>
          <w:highlight w:val="none"/>
          <w:lang w:val="zh-CN"/>
        </w:rPr>
        <w:t>表2-6-13土壤环境评价工作等级划分表</w:t>
      </w:r>
    </w:p>
    <w:tbl>
      <w:tblPr>
        <w:tblStyle w:val="24"/>
        <w:tblW w:w="831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5"/>
        <w:gridCol w:w="689"/>
        <w:gridCol w:w="694"/>
        <w:gridCol w:w="689"/>
        <w:gridCol w:w="693"/>
        <w:gridCol w:w="691"/>
        <w:gridCol w:w="691"/>
        <w:gridCol w:w="829"/>
        <w:gridCol w:w="693"/>
        <w:gridCol w:w="736"/>
      </w:tblGrid>
      <w:tr w14:paraId="21E7D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vMerge w:val="restart"/>
            <w:tcBorders>
              <w:top w:val="single" w:color="auto" w:sz="12" w:space="0"/>
              <w:left w:val="nil"/>
              <w:bottom w:val="single" w:color="auto" w:sz="4" w:space="0"/>
              <w:right w:val="single" w:color="auto" w:sz="4" w:space="0"/>
            </w:tcBorders>
            <w:vAlign w:val="center"/>
          </w:tcPr>
          <w:p w14:paraId="2F2F0EB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mc:AlternateContent>
                <mc:Choice Requires="wps">
                  <w:drawing>
                    <wp:anchor distT="45720" distB="45720" distL="114300" distR="114300" simplePos="0" relativeHeight="251662336" behindDoc="0" locked="0" layoutInCell="1" allowOverlap="1">
                      <wp:simplePos x="0" y="0"/>
                      <wp:positionH relativeFrom="column">
                        <wp:posOffset>440690</wp:posOffset>
                      </wp:positionH>
                      <wp:positionV relativeFrom="paragraph">
                        <wp:posOffset>102235</wp:posOffset>
                      </wp:positionV>
                      <wp:extent cx="972820" cy="285115"/>
                      <wp:effectExtent l="0" t="0" r="0" b="635"/>
                      <wp:wrapNone/>
                      <wp:docPr id="6355779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538BCD2A">
                                  <w:pPr>
                                    <w:rPr>
                                      <w:sz w:val="15"/>
                                      <w:szCs w:val="15"/>
                                    </w:rPr>
                                  </w:pPr>
                                  <w:r>
                                    <w:rPr>
                                      <w:rFonts w:hint="eastAsia"/>
                                      <w:sz w:val="15"/>
                                      <w:szCs w:val="15"/>
                                    </w:rPr>
                                    <w:t>评价工作等级</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34.7pt;margin-top:8.05pt;height:22.45pt;width:76.6pt;z-index:251662336;mso-width-relative:page;mso-height-relative:page;" filled="f" stroked="f" coordsize="21600,21600" o:gfxdata="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KOvlvUAAAACAEAAA8AAAAAAAAAAQAgAAAAIgAAAGRycy9kb3ducmV2&#10;LnhtbFBLAQIUABQAAAAIAIdO4kD30ReDOQIAAFgEAAAOAAAAAAAAAAEAIAAAACMBAABkcnMvZTJv&#10;RG9jLnhtbFBLBQYAAAAABgAGAFkBAADOBQAAAAA=&#10;">
                      <v:fill on="f" focussize="0,0"/>
                      <v:stroke on="f" miterlimit="8" joinstyle="miter"/>
                      <v:imagedata o:title=""/>
                      <o:lock v:ext="edit" aspectratio="f"/>
                      <v:textbox>
                        <w:txbxContent>
                          <w:p w14:paraId="538BCD2A">
                            <w:pPr>
                              <w:rPr>
                                <w:sz w:val="15"/>
                                <w:szCs w:val="15"/>
                              </w:rPr>
                            </w:pPr>
                            <w:r>
                              <w:rPr>
                                <w:rFonts w:hint="eastAsia"/>
                                <w:sz w:val="15"/>
                                <w:szCs w:val="15"/>
                              </w:rPr>
                              <w:t>评价工作等级</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-33020</wp:posOffset>
                      </wp:positionH>
                      <wp:positionV relativeFrom="paragraph">
                        <wp:posOffset>12700</wp:posOffset>
                      </wp:positionV>
                      <wp:extent cx="1132205" cy="223520"/>
                      <wp:effectExtent l="635" t="4445" r="10160" b="19685"/>
                      <wp:wrapNone/>
                      <wp:docPr id="2" name="直接连接符 2"/>
                      <wp:cNvGraphicFramePr/>
                      <a:graphic xmlns:a="http://schemas.openxmlformats.org/drawingml/2006/main">
                        <a:graphicData uri="http://schemas.microsoft.com/office/word/2010/wordprocessingShape">
                          <wps:wsp>
                            <wps:cNvCnPr/>
                            <wps:spPr>
                              <a:xfrm>
                                <a:off x="1104900" y="3625215"/>
                                <a:ext cx="1132205" cy="22352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pt;margin-top:1pt;height:17.6pt;width:89.15pt;z-index:251666432;mso-width-relative:page;mso-height-relative:page;" filled="f" stroked="t" coordsize="21600,21600" o:gfxdata="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1EpfM1QAA&#10;AAcBAAAPAAAAAAAAAAEAIAAAACIAAABkcnMvZG93bnJldi54bWxQSwECFAAUAAAACACHTuJAM1ur&#10;wegBAACrAwAADgAAAAAAAAABACAAAAAkAQAAZHJzL2Uyb0RvYy54bWxQSwUGAAAAAAYABgBZAQAA&#10;fgUAAAAA&#10;">
                      <v:fill on="f" focussize="0,0"/>
                      <v:stroke color="#000000 [3213]" joinstyle="round"/>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-62865</wp:posOffset>
                      </wp:positionH>
                      <wp:positionV relativeFrom="paragraph">
                        <wp:posOffset>3810</wp:posOffset>
                      </wp:positionV>
                      <wp:extent cx="910590" cy="471170"/>
                      <wp:effectExtent l="3175" t="5715" r="19685" b="18415"/>
                      <wp:wrapNone/>
                      <wp:docPr id="4" name="直接连接符 4"/>
                      <wp:cNvGraphicFramePr/>
                      <a:graphic xmlns:a="http://schemas.openxmlformats.org/drawingml/2006/main">
                        <a:graphicData uri="http://schemas.microsoft.com/office/word/2010/wordprocessingShape">
                          <wps:wsp>
                            <wps:cNvCnPr/>
                            <wps:spPr>
                              <a:xfrm>
                                <a:off x="0" y="0"/>
                                <a:ext cx="910590" cy="47117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0.3pt;height:37.1pt;width:71.7pt;z-index:251667456;mso-width-relative:page;mso-height-relative:page;" filled="f" stroked="t" coordsize="21600,21600" o:gfxdata="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M/n2tYAAAAGAQAADwAAAAAA&#10;AAABACAAAAAiAAAAZHJzL2Rvd25yZXYueG1sUEsBAhQAFAAAAAgAh07iQDEhe7XcAQAAnwMAAA4A&#10;AAAAAAAAAQAgAAAAJQEAAGRycy9lMm9Eb2MueG1sUEsFBgAAAAAGAAYAWQEAAHMFAAAAAA==&#10;">
                      <v:fill on="f" focussize="0,0"/>
                      <v:stroke weight="1pt" color="#000000 [3213]" joinstyle="round"/>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45720" distB="45720" distL="114300" distR="114300" simplePos="0" relativeHeight="251664384" behindDoc="0" locked="0" layoutInCell="1" allowOverlap="1">
                      <wp:simplePos x="0" y="0"/>
                      <wp:positionH relativeFrom="column">
                        <wp:posOffset>-135255</wp:posOffset>
                      </wp:positionH>
                      <wp:positionV relativeFrom="paragraph">
                        <wp:posOffset>222885</wp:posOffset>
                      </wp:positionV>
                      <wp:extent cx="933450" cy="285115"/>
                      <wp:effectExtent l="0" t="0" r="0" b="635"/>
                      <wp:wrapNone/>
                      <wp:docPr id="9478610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3450" cy="285115"/>
                              </a:xfrm>
                              <a:prstGeom prst="rect">
                                <a:avLst/>
                              </a:prstGeom>
                              <a:noFill/>
                              <a:ln w="9525">
                                <a:noFill/>
                                <a:miter lim="800000"/>
                              </a:ln>
                            </wps:spPr>
                            <wps:txbx>
                              <w:txbxContent>
                                <w:p w14:paraId="099D4266">
                                  <w:pPr>
                                    <w:rPr>
                                      <w:sz w:val="15"/>
                                      <w:szCs w:val="15"/>
                                    </w:rPr>
                                  </w:pPr>
                                  <w:r>
                                    <w:rPr>
                                      <w:rFonts w:hint="eastAsia"/>
                                      <w:sz w:val="15"/>
                                      <w:szCs w:val="15"/>
                                    </w:rPr>
                                    <w:t>环境敏感程度</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10.65pt;margin-top:17.55pt;height:22.45pt;width:73.5pt;z-index:251664384;mso-width-relative:page;mso-height-relative:page;" filled="f" stroked="f" coordsize="21600,21600" o:gfxdata="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CWkHXXAAAACQEAAA8AAAAAAAAAAQAgAAAAIgAAAGRycy9kb3du&#10;cmV2LnhtbFBLAQIUABQAAAAIAIdO4kA7DIB/OQIAAFgEAAAOAAAAAAAAAAEAIAAAACYBAABkcnMv&#10;ZTJvRG9jLnhtbFBLBQYAAAAABgAGAFkBAADRBQAAAAA=&#10;">
                      <v:fill on="f" focussize="0,0"/>
                      <v:stroke on="f" miterlimit="8" joinstyle="miter"/>
                      <v:imagedata o:title=""/>
                      <o:lock v:ext="edit" aspectratio="f"/>
                      <v:textbox>
                        <w:txbxContent>
                          <w:p w14:paraId="099D4266">
                            <w:pPr>
                              <w:rPr>
                                <w:sz w:val="15"/>
                                <w:szCs w:val="15"/>
                              </w:rPr>
                            </w:pPr>
                            <w:r>
                              <w:rPr>
                                <w:rFonts w:hint="eastAsia"/>
                                <w:sz w:val="15"/>
                                <w:szCs w:val="15"/>
                              </w:rPr>
                              <w:t>环境敏感程度</w:t>
                            </w:r>
                          </w:p>
                        </w:txbxContent>
                      </v:textbox>
                    </v:shape>
                  </w:pict>
                </mc:Fallback>
              </mc:AlternateContent>
            </w:r>
          </w:p>
        </w:tc>
        <w:tc>
          <w:tcPr>
            <w:tcW w:w="2072" w:type="dxa"/>
            <w:gridSpan w:val="3"/>
            <w:tcBorders>
              <w:top w:val="single" w:color="auto" w:sz="12" w:space="0"/>
              <w:left w:val="single" w:color="auto" w:sz="4" w:space="0"/>
              <w:bottom w:val="single" w:color="auto" w:sz="4" w:space="0"/>
              <w:right w:val="single" w:color="auto" w:sz="4" w:space="0"/>
            </w:tcBorders>
            <w:vAlign w:val="center"/>
          </w:tcPr>
          <w:p w14:paraId="3B55325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p>
        </w:tc>
        <w:tc>
          <w:tcPr>
            <w:tcW w:w="2075" w:type="dxa"/>
            <w:gridSpan w:val="3"/>
            <w:tcBorders>
              <w:top w:val="single" w:color="auto" w:sz="12" w:space="0"/>
              <w:left w:val="single" w:color="auto" w:sz="4" w:space="0"/>
              <w:bottom w:val="single" w:color="auto" w:sz="4" w:space="0"/>
              <w:right w:val="single" w:color="auto" w:sz="4" w:space="0"/>
            </w:tcBorders>
            <w:vAlign w:val="center"/>
          </w:tcPr>
          <w:p w14:paraId="4E78161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2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w:t>
            </w:r>
            <w:r>
              <w:rPr>
                <w:rFonts w:hint="default" w:ascii="Times New Roman" w:hAnsi="Times New Roman" w:cs="Times New Roman"/>
                <w:color w:val="auto"/>
                <w:highlight w:val="none"/>
                <w:lang w:val="zh-CN"/>
              </w:rPr>
              <w:fldChar w:fldCharType="end"/>
            </w:r>
          </w:p>
        </w:tc>
        <w:tc>
          <w:tcPr>
            <w:tcW w:w="2258" w:type="dxa"/>
            <w:gridSpan w:val="3"/>
            <w:tcBorders>
              <w:top w:val="single" w:color="auto" w:sz="12" w:space="0"/>
              <w:left w:val="single" w:color="auto" w:sz="4" w:space="0"/>
              <w:bottom w:val="single" w:color="auto" w:sz="4" w:space="0"/>
              <w:right w:val="nil"/>
            </w:tcBorders>
            <w:vAlign w:val="center"/>
          </w:tcPr>
          <w:p w14:paraId="6FF4EAF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lang w:val="zh-CN"/>
              </w:rPr>
              <w:fldChar w:fldCharType="end"/>
            </w:r>
          </w:p>
        </w:tc>
      </w:tr>
      <w:tr w14:paraId="15B5C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905" w:type="dxa"/>
            <w:vMerge w:val="continue"/>
            <w:tcBorders>
              <w:top w:val="single" w:color="auto" w:sz="12" w:space="0"/>
              <w:left w:val="nil"/>
              <w:bottom w:val="single" w:color="auto" w:sz="4" w:space="0"/>
              <w:right w:val="single" w:color="auto" w:sz="4" w:space="0"/>
            </w:tcBorders>
            <w:vAlign w:val="center"/>
          </w:tcPr>
          <w:p w14:paraId="56FB617E">
            <w:pPr>
              <w:pStyle w:val="46"/>
              <w:bidi w:val="0"/>
              <w:rPr>
                <w:rFonts w:hint="default" w:ascii="Times New Roman" w:hAnsi="Times New Roman" w:cs="Times New Roman"/>
                <w:color w:val="auto"/>
                <w:highlight w:val="none"/>
                <w:lang w:val="zh-CN"/>
              </w:rPr>
            </w:pPr>
          </w:p>
        </w:tc>
        <w:tc>
          <w:tcPr>
            <w:tcW w:w="689" w:type="dxa"/>
            <w:tcBorders>
              <w:top w:val="single" w:color="auto" w:sz="4" w:space="0"/>
              <w:left w:val="single" w:color="auto" w:sz="4" w:space="0"/>
              <w:bottom w:val="single" w:color="auto" w:sz="4" w:space="0"/>
              <w:right w:val="single" w:color="auto" w:sz="4" w:space="0"/>
            </w:tcBorders>
            <w:vAlign w:val="center"/>
          </w:tcPr>
          <w:p w14:paraId="04D811B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4" w:type="dxa"/>
            <w:tcBorders>
              <w:top w:val="single" w:color="auto" w:sz="4" w:space="0"/>
              <w:left w:val="single" w:color="auto" w:sz="4" w:space="0"/>
              <w:bottom w:val="single" w:color="auto" w:sz="4" w:space="0"/>
              <w:right w:val="single" w:color="auto" w:sz="4" w:space="0"/>
            </w:tcBorders>
            <w:vAlign w:val="center"/>
          </w:tcPr>
          <w:p w14:paraId="702C656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689" w:type="dxa"/>
            <w:tcBorders>
              <w:top w:val="single" w:color="auto" w:sz="4" w:space="0"/>
              <w:left w:val="single" w:color="auto" w:sz="4" w:space="0"/>
              <w:bottom w:val="single" w:color="auto" w:sz="4" w:space="0"/>
              <w:right w:val="single" w:color="auto" w:sz="4" w:space="0"/>
            </w:tcBorders>
            <w:vAlign w:val="center"/>
          </w:tcPr>
          <w:p w14:paraId="723A3A8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c>
          <w:tcPr>
            <w:tcW w:w="693" w:type="dxa"/>
            <w:tcBorders>
              <w:top w:val="single" w:color="auto" w:sz="4" w:space="0"/>
              <w:left w:val="single" w:color="auto" w:sz="4" w:space="0"/>
              <w:bottom w:val="single" w:color="auto" w:sz="4" w:space="0"/>
              <w:right w:val="single" w:color="auto" w:sz="4" w:space="0"/>
            </w:tcBorders>
            <w:vAlign w:val="center"/>
          </w:tcPr>
          <w:p w14:paraId="3EE3B29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1" w:type="dxa"/>
            <w:tcBorders>
              <w:top w:val="single" w:color="auto" w:sz="4" w:space="0"/>
              <w:left w:val="single" w:color="auto" w:sz="4" w:space="0"/>
              <w:bottom w:val="single" w:color="auto" w:sz="4" w:space="0"/>
              <w:right w:val="single" w:color="auto" w:sz="4" w:space="0"/>
            </w:tcBorders>
            <w:vAlign w:val="center"/>
          </w:tcPr>
          <w:p w14:paraId="4047469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691" w:type="dxa"/>
            <w:tcBorders>
              <w:top w:val="single" w:color="auto" w:sz="4" w:space="0"/>
              <w:left w:val="single" w:color="auto" w:sz="4" w:space="0"/>
              <w:bottom w:val="single" w:color="auto" w:sz="4" w:space="0"/>
              <w:right w:val="single" w:color="auto" w:sz="4" w:space="0"/>
            </w:tcBorders>
            <w:vAlign w:val="center"/>
          </w:tcPr>
          <w:p w14:paraId="096AD7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c>
          <w:tcPr>
            <w:tcW w:w="829" w:type="dxa"/>
            <w:tcBorders>
              <w:top w:val="single" w:color="auto" w:sz="4" w:space="0"/>
              <w:left w:val="single" w:color="auto" w:sz="4" w:space="0"/>
              <w:bottom w:val="single" w:color="auto" w:sz="4" w:space="0"/>
              <w:right w:val="single" w:color="auto" w:sz="4" w:space="0"/>
            </w:tcBorders>
            <w:vAlign w:val="center"/>
          </w:tcPr>
          <w:p w14:paraId="62E8BD3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3" w:type="dxa"/>
            <w:tcBorders>
              <w:top w:val="single" w:color="auto" w:sz="4" w:space="0"/>
              <w:left w:val="single" w:color="auto" w:sz="4" w:space="0"/>
              <w:bottom w:val="single" w:color="auto" w:sz="4" w:space="0"/>
              <w:right w:val="single" w:color="auto" w:sz="4" w:space="0"/>
            </w:tcBorders>
            <w:vAlign w:val="center"/>
          </w:tcPr>
          <w:p w14:paraId="15AF9EB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736" w:type="dxa"/>
            <w:tcBorders>
              <w:top w:val="single" w:color="auto" w:sz="4" w:space="0"/>
              <w:left w:val="single" w:color="auto" w:sz="4" w:space="0"/>
              <w:bottom w:val="single" w:color="auto" w:sz="4" w:space="0"/>
              <w:right w:val="nil"/>
            </w:tcBorders>
            <w:vAlign w:val="center"/>
          </w:tcPr>
          <w:p w14:paraId="0D6924C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r>
      <w:tr w14:paraId="2B3B3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4" w:space="0"/>
              <w:right w:val="single" w:color="auto" w:sz="4" w:space="0"/>
            </w:tcBorders>
            <w:vAlign w:val="center"/>
          </w:tcPr>
          <w:p w14:paraId="79B3837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敏感</w:t>
            </w:r>
          </w:p>
        </w:tc>
        <w:tc>
          <w:tcPr>
            <w:tcW w:w="689" w:type="dxa"/>
            <w:tcBorders>
              <w:top w:val="single" w:color="auto" w:sz="4" w:space="0"/>
              <w:left w:val="single" w:color="auto" w:sz="4" w:space="0"/>
              <w:bottom w:val="single" w:color="auto" w:sz="4" w:space="0"/>
              <w:right w:val="single" w:color="auto" w:sz="4" w:space="0"/>
            </w:tcBorders>
            <w:vAlign w:val="center"/>
          </w:tcPr>
          <w:p w14:paraId="76C66F3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94" w:type="dxa"/>
            <w:tcBorders>
              <w:top w:val="single" w:color="auto" w:sz="4" w:space="0"/>
              <w:left w:val="single" w:color="auto" w:sz="4" w:space="0"/>
              <w:bottom w:val="single" w:color="auto" w:sz="4" w:space="0"/>
              <w:right w:val="single" w:color="auto" w:sz="4" w:space="0"/>
            </w:tcBorders>
            <w:vAlign w:val="center"/>
          </w:tcPr>
          <w:p w14:paraId="35A6C4F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89" w:type="dxa"/>
            <w:tcBorders>
              <w:top w:val="single" w:color="auto" w:sz="4" w:space="0"/>
              <w:left w:val="single" w:color="auto" w:sz="4" w:space="0"/>
              <w:bottom w:val="single" w:color="auto" w:sz="4" w:space="0"/>
              <w:right w:val="single" w:color="auto" w:sz="4" w:space="0"/>
            </w:tcBorders>
            <w:vAlign w:val="center"/>
          </w:tcPr>
          <w:p w14:paraId="59DFF68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93" w:type="dxa"/>
            <w:tcBorders>
              <w:top w:val="single" w:color="auto" w:sz="4" w:space="0"/>
              <w:left w:val="single" w:color="auto" w:sz="4" w:space="0"/>
              <w:bottom w:val="single" w:color="auto" w:sz="4" w:space="0"/>
              <w:right w:val="single" w:color="auto" w:sz="4" w:space="0"/>
            </w:tcBorders>
          </w:tcPr>
          <w:p w14:paraId="0002547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tcPr>
          <w:p w14:paraId="4D9EC97B">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shd w:val="clear" w:color="FFFFFF" w:fill="D9D9D9"/>
                <w:lang w:val="en-US" w:eastAsia="zh-CN"/>
              </w:rPr>
              <w:t xml:space="preserve">二级  </w:t>
            </w:r>
            <w:r>
              <w:rPr>
                <w:rFonts w:hint="default" w:ascii="Times New Roman" w:hAnsi="Times New Roman" w:cs="Times New Roman"/>
                <w:color w:val="auto"/>
                <w:highlight w:val="none"/>
                <w:lang w:val="en-US" w:eastAsia="zh-CN"/>
              </w:rPr>
              <w:t xml:space="preserve">                                                                                                                                                                                                                                                                                                                                                                                                                                                                                                                                                                                                                                                                                                                                                                                                                                                                                                                                                                                                                                                                                                                                                                                                                                                                                                                                                                                                                                                                                                                                                                  </w:t>
            </w:r>
          </w:p>
        </w:tc>
        <w:tc>
          <w:tcPr>
            <w:tcW w:w="691" w:type="dxa"/>
            <w:tcBorders>
              <w:top w:val="single" w:color="auto" w:sz="4" w:space="0"/>
              <w:left w:val="single" w:color="auto" w:sz="4" w:space="0"/>
              <w:bottom w:val="single" w:color="auto" w:sz="4" w:space="0"/>
              <w:right w:val="single" w:color="auto" w:sz="4" w:space="0"/>
            </w:tcBorders>
          </w:tcPr>
          <w:p w14:paraId="0F960F1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shd w:val="clear" w:color="auto" w:fill="auto"/>
                <w:lang w:val="zh-CN"/>
              </w:rPr>
              <w:t>二级</w:t>
            </w:r>
          </w:p>
        </w:tc>
        <w:tc>
          <w:tcPr>
            <w:tcW w:w="829" w:type="dxa"/>
            <w:tcBorders>
              <w:top w:val="single" w:color="auto" w:sz="4" w:space="0"/>
              <w:left w:val="single" w:color="auto" w:sz="4" w:space="0"/>
              <w:bottom w:val="single" w:color="auto" w:sz="4" w:space="0"/>
              <w:right w:val="single" w:color="auto" w:sz="4" w:space="0"/>
            </w:tcBorders>
          </w:tcPr>
          <w:p w14:paraId="0ACE6A7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4" w:space="0"/>
              <w:right w:val="single" w:color="auto" w:sz="4" w:space="0"/>
            </w:tcBorders>
          </w:tcPr>
          <w:p w14:paraId="2BD7CB3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736" w:type="dxa"/>
            <w:tcBorders>
              <w:top w:val="single" w:color="auto" w:sz="4" w:space="0"/>
              <w:left w:val="single" w:color="auto" w:sz="4" w:space="0"/>
              <w:bottom w:val="single" w:color="auto" w:sz="4" w:space="0"/>
              <w:right w:val="nil"/>
            </w:tcBorders>
          </w:tcPr>
          <w:p w14:paraId="109B273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r>
      <w:tr w14:paraId="758FB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4" w:space="0"/>
              <w:right w:val="single" w:color="auto" w:sz="4" w:space="0"/>
            </w:tcBorders>
            <w:vAlign w:val="center"/>
          </w:tcPr>
          <w:p w14:paraId="19BDB20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较敏感</w:t>
            </w:r>
          </w:p>
        </w:tc>
        <w:tc>
          <w:tcPr>
            <w:tcW w:w="689" w:type="dxa"/>
            <w:tcBorders>
              <w:top w:val="single" w:color="auto" w:sz="4" w:space="0"/>
              <w:left w:val="single" w:color="auto" w:sz="4" w:space="0"/>
              <w:bottom w:val="single" w:color="auto" w:sz="4" w:space="0"/>
              <w:right w:val="single" w:color="auto" w:sz="4" w:space="0"/>
            </w:tcBorders>
            <w:vAlign w:val="center"/>
          </w:tcPr>
          <w:p w14:paraId="1D64226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4" w:type="dxa"/>
            <w:tcBorders>
              <w:top w:val="single" w:color="auto" w:sz="4" w:space="0"/>
              <w:left w:val="single" w:color="auto" w:sz="4" w:space="0"/>
              <w:bottom w:val="single" w:color="auto" w:sz="4" w:space="0"/>
              <w:right w:val="single" w:color="auto" w:sz="4" w:space="0"/>
            </w:tcBorders>
          </w:tcPr>
          <w:p w14:paraId="2589353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89" w:type="dxa"/>
            <w:tcBorders>
              <w:top w:val="single" w:color="auto" w:sz="4" w:space="0"/>
              <w:left w:val="single" w:color="auto" w:sz="4" w:space="0"/>
              <w:bottom w:val="single" w:color="auto" w:sz="4" w:space="0"/>
              <w:right w:val="single" w:color="auto" w:sz="4" w:space="0"/>
            </w:tcBorders>
          </w:tcPr>
          <w:p w14:paraId="1BCB70B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3" w:type="dxa"/>
            <w:tcBorders>
              <w:top w:val="single" w:color="auto" w:sz="4" w:space="0"/>
              <w:left w:val="single" w:color="auto" w:sz="4" w:space="0"/>
              <w:bottom w:val="single" w:color="auto" w:sz="4" w:space="0"/>
              <w:right w:val="single" w:color="auto" w:sz="4" w:space="0"/>
            </w:tcBorders>
          </w:tcPr>
          <w:p w14:paraId="66B038B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tcPr>
          <w:p w14:paraId="117C46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vAlign w:val="center"/>
          </w:tcPr>
          <w:p w14:paraId="67B7F86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829" w:type="dxa"/>
            <w:tcBorders>
              <w:top w:val="single" w:color="auto" w:sz="4" w:space="0"/>
              <w:left w:val="single" w:color="auto" w:sz="4" w:space="0"/>
              <w:bottom w:val="single" w:color="auto" w:sz="4" w:space="0"/>
              <w:right w:val="single" w:color="auto" w:sz="4" w:space="0"/>
            </w:tcBorders>
          </w:tcPr>
          <w:p w14:paraId="17C0AED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4" w:space="0"/>
              <w:right w:val="single" w:color="auto" w:sz="4" w:space="0"/>
            </w:tcBorders>
          </w:tcPr>
          <w:p w14:paraId="5600C69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736" w:type="dxa"/>
            <w:tcBorders>
              <w:top w:val="single" w:color="auto" w:sz="4" w:space="0"/>
              <w:left w:val="single" w:color="auto" w:sz="4" w:space="0"/>
              <w:bottom w:val="single" w:color="auto" w:sz="4" w:space="0"/>
              <w:right w:val="nil"/>
            </w:tcBorders>
            <w:vAlign w:val="center"/>
          </w:tcPr>
          <w:p w14:paraId="76CEC60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2A279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12" w:space="0"/>
              <w:right w:val="single" w:color="auto" w:sz="4" w:space="0"/>
            </w:tcBorders>
            <w:vAlign w:val="center"/>
          </w:tcPr>
          <w:p w14:paraId="26A32A1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不敏感</w:t>
            </w:r>
          </w:p>
        </w:tc>
        <w:tc>
          <w:tcPr>
            <w:tcW w:w="689" w:type="dxa"/>
            <w:tcBorders>
              <w:top w:val="single" w:color="auto" w:sz="4" w:space="0"/>
              <w:left w:val="single" w:color="auto" w:sz="4" w:space="0"/>
              <w:bottom w:val="single" w:color="auto" w:sz="12" w:space="0"/>
              <w:right w:val="single" w:color="auto" w:sz="4" w:space="0"/>
            </w:tcBorders>
          </w:tcPr>
          <w:p w14:paraId="5C920ED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4" w:type="dxa"/>
            <w:tcBorders>
              <w:top w:val="single" w:color="auto" w:sz="4" w:space="0"/>
              <w:left w:val="single" w:color="auto" w:sz="4" w:space="0"/>
              <w:bottom w:val="single" w:color="auto" w:sz="12" w:space="0"/>
              <w:right w:val="single" w:color="auto" w:sz="4" w:space="0"/>
            </w:tcBorders>
          </w:tcPr>
          <w:p w14:paraId="6A4F41B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89" w:type="dxa"/>
            <w:tcBorders>
              <w:top w:val="single" w:color="auto" w:sz="4" w:space="0"/>
              <w:left w:val="single" w:color="auto" w:sz="4" w:space="0"/>
              <w:bottom w:val="single" w:color="auto" w:sz="12" w:space="0"/>
              <w:right w:val="single" w:color="auto" w:sz="4" w:space="0"/>
            </w:tcBorders>
          </w:tcPr>
          <w:p w14:paraId="7D97EE0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3" w:type="dxa"/>
            <w:tcBorders>
              <w:top w:val="single" w:color="auto" w:sz="4" w:space="0"/>
              <w:left w:val="single" w:color="auto" w:sz="4" w:space="0"/>
              <w:bottom w:val="single" w:color="auto" w:sz="12" w:space="0"/>
              <w:right w:val="single" w:color="auto" w:sz="4" w:space="0"/>
            </w:tcBorders>
            <w:vAlign w:val="center"/>
          </w:tcPr>
          <w:p w14:paraId="489279E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12" w:space="0"/>
              <w:right w:val="single" w:color="auto" w:sz="4" w:space="0"/>
            </w:tcBorders>
          </w:tcPr>
          <w:p w14:paraId="365A543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1" w:type="dxa"/>
            <w:tcBorders>
              <w:top w:val="single" w:color="auto" w:sz="4" w:space="0"/>
              <w:left w:val="single" w:color="auto" w:sz="4" w:space="0"/>
              <w:bottom w:val="single" w:color="auto" w:sz="12" w:space="0"/>
              <w:right w:val="single" w:color="auto" w:sz="4" w:space="0"/>
            </w:tcBorders>
          </w:tcPr>
          <w:p w14:paraId="425E045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829" w:type="dxa"/>
            <w:tcBorders>
              <w:top w:val="single" w:color="auto" w:sz="4" w:space="0"/>
              <w:left w:val="single" w:color="auto" w:sz="4" w:space="0"/>
              <w:bottom w:val="single" w:color="auto" w:sz="12" w:space="0"/>
              <w:right w:val="single" w:color="auto" w:sz="4" w:space="0"/>
            </w:tcBorders>
          </w:tcPr>
          <w:p w14:paraId="2BD9848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12" w:space="0"/>
              <w:right w:val="single" w:color="auto" w:sz="4" w:space="0"/>
            </w:tcBorders>
          </w:tcPr>
          <w:p w14:paraId="52BEF43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36" w:type="dxa"/>
            <w:tcBorders>
              <w:top w:val="single" w:color="auto" w:sz="4" w:space="0"/>
              <w:left w:val="single" w:color="auto" w:sz="4" w:space="0"/>
              <w:bottom w:val="single" w:color="auto" w:sz="12" w:space="0"/>
              <w:right w:val="nil"/>
            </w:tcBorders>
            <w:vAlign w:val="center"/>
          </w:tcPr>
          <w:p w14:paraId="02AC619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bl>
    <w:p w14:paraId="4C6E04E8">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注2：“—”表示可不开展土壤环境影响评价工作。</w:t>
      </w:r>
    </w:p>
    <w:p w14:paraId="33BF0E3A">
      <w:pPr>
        <w:pStyle w:val="43"/>
        <w:rPr>
          <w:rFonts w:hint="default" w:ascii="Times New Roman" w:hAnsi="Times New Roman" w:cs="Times New Roman"/>
          <w:color w:val="auto"/>
          <w:highlight w:val="none"/>
        </w:rPr>
      </w:pPr>
      <w:bookmarkStart w:id="121" w:name="_Toc32273"/>
      <w:bookmarkStart w:id="122" w:name="_Toc119316793"/>
      <w:bookmarkStart w:id="123" w:name="_Toc22279"/>
      <w:bookmarkStart w:id="124" w:name="_Toc152926812"/>
      <w:r>
        <w:rPr>
          <w:rFonts w:hint="default" w:ascii="Times New Roman" w:hAnsi="Times New Roman" w:cs="Times New Roman"/>
          <w:color w:val="auto"/>
          <w:highlight w:val="none"/>
        </w:rPr>
        <w:t>2.7评价范围及评价时段</w:t>
      </w:r>
      <w:bookmarkEnd w:id="121"/>
      <w:bookmarkEnd w:id="122"/>
      <w:bookmarkEnd w:id="123"/>
      <w:bookmarkEnd w:id="124"/>
    </w:p>
    <w:p w14:paraId="439187A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由于施工期对周围环境影响程度因工序污染物排放不同而不同，而且为长期影响，因此本评价以</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为重点评价时段；生态恢复期主要为土地复垦，为有利影响，因此生态恢复期作简要影响分析。根据评价区域环境特点、建设项目工程污染特征及环境影响评价工作等级要求，确定各环境要素评价范围。</w:t>
      </w:r>
    </w:p>
    <w:p w14:paraId="410E27E6">
      <w:pPr>
        <w:pStyle w:val="41"/>
        <w:rPr>
          <w:rFonts w:hint="default" w:ascii="Times New Roman" w:hAnsi="Times New Roman" w:cs="Times New Roman"/>
          <w:color w:val="auto"/>
          <w:highlight w:val="none"/>
        </w:rPr>
      </w:pPr>
      <w:bookmarkStart w:id="125" w:name="_Toc12051"/>
      <w:bookmarkStart w:id="126" w:name="_Toc11758479"/>
      <w:r>
        <w:rPr>
          <w:rFonts w:hint="default" w:ascii="Times New Roman" w:hAnsi="Times New Roman" w:cs="Times New Roman"/>
          <w:color w:val="auto"/>
          <w:highlight w:val="none"/>
        </w:rPr>
        <w:t>2.7.1评价范围</w:t>
      </w:r>
      <w:bookmarkEnd w:id="125"/>
      <w:bookmarkEnd w:id="126"/>
    </w:p>
    <w:p w14:paraId="571D83A9">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（1）环境空气</w:t>
      </w:r>
    </w:p>
    <w:p w14:paraId="2250D3D2">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根据评价工作等级要求，考虑本项目所在区域的地形、地理特征，评价范围为边长为5km的矩形区域。</w:t>
      </w:r>
    </w:p>
    <w:p w14:paraId="11DAE892">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（2）地下水</w:t>
      </w:r>
    </w:p>
    <w:p w14:paraId="3F048D4C">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地下水环境》(HJ610-2016)中地下水环境现状“调查评价范围确定”中查表法：三级评价调查评价面积为6km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rPr>
        <w:t>。因此，确定本项目地下水评价范围为：项目所在区域</w:t>
      </w:r>
      <w:r>
        <w:rPr>
          <w:rFonts w:hint="default" w:ascii="Times New Roman" w:hAnsi="Times New Roman" w:cs="Times New Roman"/>
          <w:snapToGrid w:val="0"/>
          <w:color w:val="auto"/>
          <w:highlight w:val="none"/>
          <w:lang w:val="en-US" w:eastAsia="zh-CN"/>
        </w:rPr>
        <w:t>约</w:t>
      </w:r>
      <w:r>
        <w:rPr>
          <w:rFonts w:hint="default" w:ascii="Times New Roman" w:hAnsi="Times New Roman" w:cs="Times New Roman"/>
          <w:snapToGrid w:val="0"/>
          <w:color w:val="auto"/>
          <w:highlight w:val="none"/>
        </w:rPr>
        <w:t>6km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rPr>
        <w:t>范围，即场区上游1km、下游2km，北侧、南侧1km范围。</w:t>
      </w:r>
    </w:p>
    <w:p w14:paraId="56851AF2">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（3）声环境</w:t>
      </w:r>
    </w:p>
    <w:p w14:paraId="4B67A46F">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根据评价工作等级要求，该项目噪声评价范围为拟建项目厂界外200m范围。</w:t>
      </w:r>
    </w:p>
    <w:p w14:paraId="621C0D17">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（4）生态环境</w:t>
      </w:r>
    </w:p>
    <w:p w14:paraId="692F123B">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根据评价工作等级要求，该项目生态评价范围为拟建项目厂界外</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00m范围。</w:t>
      </w:r>
    </w:p>
    <w:p w14:paraId="4DDB4A55">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（5）土壤环境</w:t>
      </w:r>
    </w:p>
    <w:p w14:paraId="70BF841B">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根据评价工作等级要求，该项目土壤评价范围为拟建项目占地范围内及占地范围外200m范围内。</w:t>
      </w:r>
    </w:p>
    <w:p w14:paraId="7E3BE8DB">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（6）运输路线两侧评价范围</w:t>
      </w:r>
    </w:p>
    <w:p w14:paraId="5B610CDF">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本项目运输路线两侧大气及声环境影响评价范围为运输道路中心线两侧200m范围。</w:t>
      </w:r>
    </w:p>
    <w:p w14:paraId="3537B5D5">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表2-7-1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工程评价范围表</w:t>
      </w:r>
    </w:p>
    <w:tbl>
      <w:tblPr>
        <w:tblStyle w:val="24"/>
        <w:tblW w:w="486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3420"/>
        <w:gridCol w:w="3603"/>
      </w:tblGrid>
      <w:tr w14:paraId="171F3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829" w:type="pct"/>
            <w:gridSpan w:val="2"/>
            <w:tcBorders>
              <w:top w:val="single" w:color="auto" w:sz="12" w:space="0"/>
              <w:left w:val="nil"/>
              <w:bottom w:val="single" w:color="auto" w:sz="4" w:space="0"/>
              <w:right w:val="single" w:color="auto" w:sz="4" w:space="0"/>
            </w:tcBorders>
            <w:vAlign w:val="center"/>
          </w:tcPr>
          <w:p w14:paraId="354778A8">
            <w:pPr>
              <w:pStyle w:val="46"/>
              <w:bidi w:val="0"/>
              <w:rPr>
                <w:rFonts w:hint="default" w:ascii="Times New Roman" w:hAnsi="Times New Roman" w:cs="Times New Roman"/>
                <w:b/>
                <w:bCs/>
                <w:color w:val="auto"/>
                <w:highlight w:val="none"/>
                <w:lang w:val="zh-CN"/>
              </w:rPr>
            </w:pPr>
            <w:bookmarkStart w:id="127" w:name="_Toc524431294"/>
            <w:bookmarkStart w:id="128" w:name="_Toc15991636"/>
            <w:r>
              <w:rPr>
                <w:rFonts w:hint="default" w:ascii="Times New Roman" w:hAnsi="Times New Roman" w:cs="Times New Roman"/>
                <w:b/>
                <w:bCs/>
                <w:color w:val="auto"/>
                <w:highlight w:val="none"/>
                <w:lang w:val="zh-CN"/>
              </w:rPr>
              <w:t>项目</w:t>
            </w:r>
          </w:p>
        </w:tc>
        <w:tc>
          <w:tcPr>
            <w:tcW w:w="2170" w:type="pct"/>
            <w:tcBorders>
              <w:top w:val="single" w:color="auto" w:sz="12" w:space="0"/>
              <w:left w:val="single" w:color="auto" w:sz="4" w:space="0"/>
              <w:bottom w:val="single" w:color="auto" w:sz="4" w:space="0"/>
              <w:right w:val="nil"/>
            </w:tcBorders>
            <w:vAlign w:val="center"/>
          </w:tcPr>
          <w:p w14:paraId="3D1368A2">
            <w:pPr>
              <w:pStyle w:val="46"/>
              <w:bidi w:val="0"/>
              <w:rPr>
                <w:rFonts w:hint="default" w:ascii="Times New Roman" w:hAnsi="Times New Roman" w:cs="Times New Roman"/>
                <w:b/>
                <w:bCs/>
                <w:color w:val="auto"/>
                <w:highlight w:val="none"/>
                <w:lang w:val="zh-CN"/>
              </w:rPr>
            </w:pPr>
            <w:r>
              <w:rPr>
                <w:rFonts w:hint="default" w:ascii="Times New Roman" w:hAnsi="Times New Roman" w:cs="Times New Roman"/>
                <w:b/>
                <w:bCs/>
                <w:color w:val="auto"/>
                <w:highlight w:val="none"/>
                <w:lang w:val="zh-CN"/>
              </w:rPr>
              <w:t>评价范围</w:t>
            </w:r>
          </w:p>
        </w:tc>
      </w:tr>
      <w:tr w14:paraId="4FD5C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769" w:type="pct"/>
            <w:vMerge w:val="restart"/>
            <w:tcBorders>
              <w:top w:val="single" w:color="auto" w:sz="4" w:space="0"/>
              <w:left w:val="nil"/>
              <w:bottom w:val="single" w:color="auto" w:sz="4" w:space="0"/>
              <w:right w:val="single" w:color="auto" w:sz="4" w:space="0"/>
            </w:tcBorders>
            <w:vAlign w:val="center"/>
          </w:tcPr>
          <w:p w14:paraId="5A0124A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环境空气</w:t>
            </w:r>
          </w:p>
        </w:tc>
        <w:tc>
          <w:tcPr>
            <w:tcW w:w="2059" w:type="pct"/>
            <w:tcBorders>
              <w:top w:val="single" w:color="auto" w:sz="4" w:space="0"/>
              <w:left w:val="single" w:color="auto" w:sz="4" w:space="0"/>
              <w:bottom w:val="single" w:color="auto" w:sz="4" w:space="0"/>
              <w:right w:val="single" w:color="auto" w:sz="4" w:space="0"/>
            </w:tcBorders>
            <w:vAlign w:val="center"/>
          </w:tcPr>
          <w:p w14:paraId="78E708C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2170" w:type="pct"/>
            <w:vMerge w:val="restart"/>
            <w:tcBorders>
              <w:top w:val="single" w:color="auto" w:sz="4" w:space="0"/>
              <w:left w:val="single" w:color="auto" w:sz="4" w:space="0"/>
              <w:bottom w:val="single" w:color="auto" w:sz="4" w:space="0"/>
              <w:right w:val="nil"/>
            </w:tcBorders>
            <w:vAlign w:val="center"/>
          </w:tcPr>
          <w:p w14:paraId="4D2434E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为边长为5km的矩形区域。</w:t>
            </w:r>
          </w:p>
        </w:tc>
      </w:tr>
      <w:tr w14:paraId="24590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769" w:type="pct"/>
            <w:vMerge w:val="continue"/>
            <w:tcBorders>
              <w:top w:val="single" w:color="auto" w:sz="4" w:space="0"/>
              <w:left w:val="nil"/>
              <w:bottom w:val="single" w:color="auto" w:sz="4" w:space="0"/>
              <w:right w:val="single" w:color="auto" w:sz="4" w:space="0"/>
            </w:tcBorders>
            <w:vAlign w:val="center"/>
          </w:tcPr>
          <w:p w14:paraId="35BC8BF9">
            <w:pPr>
              <w:pStyle w:val="46"/>
              <w:bidi w:val="0"/>
              <w:rPr>
                <w:rFonts w:hint="default" w:ascii="Times New Roman" w:hAnsi="Times New Roman" w:cs="Times New Roman"/>
                <w:color w:val="auto"/>
                <w:highlight w:val="none"/>
                <w:lang w:val="zh-CN"/>
              </w:rPr>
            </w:pPr>
          </w:p>
        </w:tc>
        <w:tc>
          <w:tcPr>
            <w:tcW w:w="2059" w:type="pct"/>
            <w:tcBorders>
              <w:top w:val="single" w:color="auto" w:sz="4" w:space="0"/>
              <w:left w:val="single" w:color="auto" w:sz="4" w:space="0"/>
              <w:bottom w:val="single" w:color="auto" w:sz="4" w:space="0"/>
              <w:right w:val="single" w:color="auto" w:sz="4" w:space="0"/>
            </w:tcBorders>
            <w:vAlign w:val="center"/>
          </w:tcPr>
          <w:p w14:paraId="1D5291B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2170" w:type="pct"/>
            <w:vMerge w:val="continue"/>
            <w:tcBorders>
              <w:top w:val="single" w:color="auto" w:sz="4" w:space="0"/>
              <w:left w:val="single" w:color="auto" w:sz="4" w:space="0"/>
              <w:bottom w:val="single" w:color="auto" w:sz="4" w:space="0"/>
              <w:right w:val="nil"/>
            </w:tcBorders>
            <w:vAlign w:val="center"/>
          </w:tcPr>
          <w:p w14:paraId="7F801632">
            <w:pPr>
              <w:pStyle w:val="46"/>
              <w:bidi w:val="0"/>
              <w:rPr>
                <w:rFonts w:hint="default" w:ascii="Times New Roman" w:hAnsi="Times New Roman" w:cs="Times New Roman"/>
                <w:color w:val="auto"/>
                <w:highlight w:val="none"/>
                <w:lang w:val="zh-CN"/>
              </w:rPr>
            </w:pPr>
          </w:p>
        </w:tc>
      </w:tr>
      <w:tr w14:paraId="4B24B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769" w:type="pct"/>
            <w:vMerge w:val="restart"/>
            <w:tcBorders>
              <w:top w:val="single" w:color="auto" w:sz="4" w:space="0"/>
              <w:left w:val="nil"/>
              <w:bottom w:val="single" w:color="auto" w:sz="4" w:space="0"/>
              <w:right w:val="single" w:color="auto" w:sz="4" w:space="0"/>
            </w:tcBorders>
            <w:vAlign w:val="center"/>
          </w:tcPr>
          <w:p w14:paraId="132107B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声环境</w:t>
            </w:r>
          </w:p>
        </w:tc>
        <w:tc>
          <w:tcPr>
            <w:tcW w:w="2059" w:type="pct"/>
            <w:tcBorders>
              <w:top w:val="single" w:color="auto" w:sz="4" w:space="0"/>
              <w:left w:val="single" w:color="auto" w:sz="4" w:space="0"/>
              <w:bottom w:val="single" w:color="auto" w:sz="4" w:space="0"/>
              <w:right w:val="single" w:color="auto" w:sz="4" w:space="0"/>
            </w:tcBorders>
            <w:vAlign w:val="center"/>
          </w:tcPr>
          <w:p w14:paraId="7530A41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2170" w:type="pct"/>
            <w:vMerge w:val="restart"/>
            <w:tcBorders>
              <w:top w:val="single" w:color="auto" w:sz="4" w:space="0"/>
              <w:left w:val="single" w:color="auto" w:sz="4" w:space="0"/>
              <w:bottom w:val="single" w:color="auto" w:sz="4" w:space="0"/>
              <w:right w:val="nil"/>
            </w:tcBorders>
            <w:vAlign w:val="center"/>
          </w:tcPr>
          <w:p w14:paraId="3DF29FF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厂界200m范围</w:t>
            </w:r>
          </w:p>
        </w:tc>
      </w:tr>
      <w:tr w14:paraId="0500F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769" w:type="pct"/>
            <w:vMerge w:val="continue"/>
            <w:tcBorders>
              <w:top w:val="single" w:color="auto" w:sz="4" w:space="0"/>
              <w:left w:val="nil"/>
              <w:bottom w:val="single" w:color="auto" w:sz="4" w:space="0"/>
              <w:right w:val="single" w:color="auto" w:sz="4" w:space="0"/>
            </w:tcBorders>
            <w:vAlign w:val="center"/>
          </w:tcPr>
          <w:p w14:paraId="234F0D10">
            <w:pPr>
              <w:pStyle w:val="46"/>
              <w:bidi w:val="0"/>
              <w:rPr>
                <w:rFonts w:hint="default" w:ascii="Times New Roman" w:hAnsi="Times New Roman" w:cs="Times New Roman"/>
                <w:color w:val="auto"/>
                <w:highlight w:val="none"/>
                <w:lang w:val="zh-CN"/>
              </w:rPr>
            </w:pPr>
          </w:p>
        </w:tc>
        <w:tc>
          <w:tcPr>
            <w:tcW w:w="2059" w:type="pct"/>
            <w:tcBorders>
              <w:top w:val="single" w:color="auto" w:sz="4" w:space="0"/>
              <w:left w:val="single" w:color="auto" w:sz="4" w:space="0"/>
              <w:bottom w:val="single" w:color="auto" w:sz="4" w:space="0"/>
              <w:right w:val="single" w:color="auto" w:sz="4" w:space="0"/>
            </w:tcBorders>
            <w:vAlign w:val="center"/>
          </w:tcPr>
          <w:p w14:paraId="2AB4F26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2170" w:type="pct"/>
            <w:vMerge w:val="continue"/>
            <w:tcBorders>
              <w:top w:val="single" w:color="auto" w:sz="4" w:space="0"/>
              <w:left w:val="single" w:color="auto" w:sz="4" w:space="0"/>
              <w:bottom w:val="single" w:color="auto" w:sz="4" w:space="0"/>
              <w:right w:val="nil"/>
            </w:tcBorders>
            <w:vAlign w:val="center"/>
          </w:tcPr>
          <w:p w14:paraId="0043BE13">
            <w:pPr>
              <w:pStyle w:val="46"/>
              <w:bidi w:val="0"/>
              <w:rPr>
                <w:rFonts w:hint="default" w:ascii="Times New Roman" w:hAnsi="Times New Roman" w:cs="Times New Roman"/>
                <w:color w:val="auto"/>
                <w:highlight w:val="none"/>
                <w:lang w:val="zh-CN"/>
              </w:rPr>
            </w:pPr>
          </w:p>
        </w:tc>
      </w:tr>
      <w:tr w14:paraId="37A90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69" w:type="pct"/>
            <w:vMerge w:val="restart"/>
            <w:tcBorders>
              <w:top w:val="single" w:color="auto" w:sz="4" w:space="0"/>
              <w:left w:val="nil"/>
              <w:bottom w:val="single" w:color="auto" w:sz="4" w:space="0"/>
              <w:right w:val="single" w:color="auto" w:sz="4" w:space="0"/>
            </w:tcBorders>
            <w:vAlign w:val="center"/>
          </w:tcPr>
          <w:p w14:paraId="385E6C2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地下水环境</w:t>
            </w:r>
          </w:p>
        </w:tc>
        <w:tc>
          <w:tcPr>
            <w:tcW w:w="2059" w:type="pct"/>
            <w:tcBorders>
              <w:top w:val="single" w:color="auto" w:sz="4" w:space="0"/>
              <w:left w:val="single" w:color="auto" w:sz="4" w:space="0"/>
              <w:bottom w:val="single" w:color="auto" w:sz="4" w:space="0"/>
              <w:right w:val="single" w:color="auto" w:sz="4" w:space="0"/>
            </w:tcBorders>
            <w:vAlign w:val="center"/>
          </w:tcPr>
          <w:p w14:paraId="1967FC8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2170" w:type="pct"/>
            <w:vMerge w:val="restart"/>
            <w:tcBorders>
              <w:top w:val="single" w:color="auto" w:sz="4" w:space="0"/>
              <w:left w:val="single" w:color="auto" w:sz="4" w:space="0"/>
              <w:bottom w:val="single" w:color="auto" w:sz="4" w:space="0"/>
              <w:right w:val="nil"/>
            </w:tcBorders>
            <w:vAlign w:val="center"/>
          </w:tcPr>
          <w:p w14:paraId="3200253C">
            <w:pPr>
              <w:pStyle w:val="46"/>
              <w:bidi w:val="0"/>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项目所在区域</w:t>
            </w:r>
            <w:r>
              <w:rPr>
                <w:rFonts w:hint="default" w:ascii="Times New Roman" w:hAnsi="Times New Roman" w:cs="Times New Roman"/>
                <w:snapToGrid w:val="0"/>
                <w:color w:val="auto"/>
                <w:highlight w:val="none"/>
                <w:lang w:val="en-US" w:eastAsia="zh-CN"/>
              </w:rPr>
              <w:t>约</w:t>
            </w:r>
            <w:r>
              <w:rPr>
                <w:rFonts w:hint="default" w:ascii="Times New Roman" w:hAnsi="Times New Roman" w:cs="Times New Roman"/>
                <w:snapToGrid w:val="0"/>
                <w:color w:val="auto"/>
                <w:highlight w:val="none"/>
              </w:rPr>
              <w:t>6km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rPr>
              <w:t>范围，即场区上游1km、下游2km，北侧、南侧1km范围。</w:t>
            </w:r>
          </w:p>
        </w:tc>
      </w:tr>
      <w:tr w14:paraId="212B3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9" w:type="pct"/>
            <w:vMerge w:val="continue"/>
            <w:tcBorders>
              <w:top w:val="single" w:color="auto" w:sz="4" w:space="0"/>
              <w:left w:val="nil"/>
              <w:bottom w:val="single" w:color="auto" w:sz="4" w:space="0"/>
              <w:right w:val="single" w:color="auto" w:sz="4" w:space="0"/>
            </w:tcBorders>
            <w:vAlign w:val="center"/>
          </w:tcPr>
          <w:p w14:paraId="2613A1EB">
            <w:pPr>
              <w:pStyle w:val="46"/>
              <w:bidi w:val="0"/>
              <w:rPr>
                <w:rFonts w:hint="default" w:ascii="Times New Roman" w:hAnsi="Times New Roman" w:cs="Times New Roman"/>
                <w:color w:val="auto"/>
                <w:highlight w:val="none"/>
                <w:lang w:val="zh-CN"/>
              </w:rPr>
            </w:pPr>
          </w:p>
        </w:tc>
        <w:tc>
          <w:tcPr>
            <w:tcW w:w="2059" w:type="pct"/>
            <w:tcBorders>
              <w:top w:val="single" w:color="auto" w:sz="4" w:space="0"/>
              <w:left w:val="single" w:color="auto" w:sz="4" w:space="0"/>
              <w:bottom w:val="single" w:color="auto" w:sz="4" w:space="0"/>
              <w:right w:val="single" w:color="auto" w:sz="4" w:space="0"/>
            </w:tcBorders>
            <w:vAlign w:val="center"/>
          </w:tcPr>
          <w:p w14:paraId="5A3778B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2170" w:type="pct"/>
            <w:vMerge w:val="continue"/>
            <w:tcBorders>
              <w:top w:val="single" w:color="auto" w:sz="4" w:space="0"/>
              <w:left w:val="single" w:color="auto" w:sz="4" w:space="0"/>
              <w:bottom w:val="single" w:color="auto" w:sz="4" w:space="0"/>
              <w:right w:val="nil"/>
            </w:tcBorders>
            <w:vAlign w:val="center"/>
          </w:tcPr>
          <w:p w14:paraId="36CA5CA7">
            <w:pPr>
              <w:pStyle w:val="46"/>
              <w:bidi w:val="0"/>
              <w:rPr>
                <w:rFonts w:hint="default" w:ascii="Times New Roman" w:hAnsi="Times New Roman" w:cs="Times New Roman"/>
                <w:color w:val="auto"/>
                <w:highlight w:val="none"/>
              </w:rPr>
            </w:pPr>
          </w:p>
        </w:tc>
      </w:tr>
      <w:tr w14:paraId="5C26E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769" w:type="pct"/>
            <w:vMerge w:val="restart"/>
            <w:tcBorders>
              <w:top w:val="single" w:color="auto" w:sz="4" w:space="0"/>
              <w:left w:val="nil"/>
              <w:bottom w:val="single" w:color="auto" w:sz="4" w:space="0"/>
              <w:right w:val="single" w:color="auto" w:sz="4" w:space="0"/>
            </w:tcBorders>
            <w:vAlign w:val="center"/>
          </w:tcPr>
          <w:p w14:paraId="2ED89B9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w:t>
            </w:r>
          </w:p>
          <w:p w14:paraId="2555AFE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tc>
        <w:tc>
          <w:tcPr>
            <w:tcW w:w="2059" w:type="pct"/>
            <w:tcBorders>
              <w:top w:val="single" w:color="auto" w:sz="4" w:space="0"/>
              <w:left w:val="single" w:color="auto" w:sz="4" w:space="0"/>
              <w:bottom w:val="single" w:color="auto" w:sz="4" w:space="0"/>
              <w:right w:val="single" w:color="auto" w:sz="4" w:space="0"/>
            </w:tcBorders>
            <w:vAlign w:val="center"/>
          </w:tcPr>
          <w:p w14:paraId="634942D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2170" w:type="pct"/>
            <w:vMerge w:val="restart"/>
            <w:tcBorders>
              <w:top w:val="single" w:color="auto" w:sz="4" w:space="0"/>
              <w:left w:val="single" w:color="auto" w:sz="4" w:space="0"/>
              <w:bottom w:val="single" w:color="auto" w:sz="4" w:space="0"/>
              <w:right w:val="nil"/>
            </w:tcBorders>
            <w:vAlign w:val="center"/>
          </w:tcPr>
          <w:p w14:paraId="7FCEA4E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边</w:t>
            </w:r>
            <w:r>
              <w:rPr>
                <w:rFonts w:hint="default" w:ascii="Times New Roman" w:hAnsi="Times New Roman" w:cs="Times New Roman"/>
                <w:color w:val="auto"/>
                <w:highlight w:val="none"/>
                <w:lang w:val="zh-CN"/>
              </w:rPr>
              <w:t>界外500m范围</w:t>
            </w:r>
          </w:p>
        </w:tc>
      </w:tr>
      <w:tr w14:paraId="02FEB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769" w:type="pct"/>
            <w:vMerge w:val="continue"/>
            <w:tcBorders>
              <w:top w:val="single" w:color="auto" w:sz="4" w:space="0"/>
              <w:left w:val="nil"/>
              <w:bottom w:val="single" w:color="auto" w:sz="4" w:space="0"/>
              <w:right w:val="single" w:color="auto" w:sz="4" w:space="0"/>
            </w:tcBorders>
            <w:vAlign w:val="center"/>
          </w:tcPr>
          <w:p w14:paraId="4F169899">
            <w:pPr>
              <w:pStyle w:val="46"/>
              <w:bidi w:val="0"/>
              <w:rPr>
                <w:rFonts w:hint="default" w:ascii="Times New Roman" w:hAnsi="Times New Roman" w:cs="Times New Roman"/>
                <w:color w:val="auto"/>
                <w:highlight w:val="none"/>
                <w:lang w:val="zh-CN"/>
              </w:rPr>
            </w:pPr>
          </w:p>
        </w:tc>
        <w:tc>
          <w:tcPr>
            <w:tcW w:w="2059" w:type="pct"/>
            <w:tcBorders>
              <w:top w:val="single" w:color="auto" w:sz="4" w:space="0"/>
              <w:left w:val="single" w:color="auto" w:sz="4" w:space="0"/>
              <w:bottom w:val="single" w:color="auto" w:sz="4" w:space="0"/>
              <w:right w:val="single" w:color="auto" w:sz="4" w:space="0"/>
            </w:tcBorders>
            <w:vAlign w:val="center"/>
          </w:tcPr>
          <w:p w14:paraId="30E9183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2170" w:type="pct"/>
            <w:vMerge w:val="continue"/>
            <w:tcBorders>
              <w:top w:val="single" w:color="auto" w:sz="4" w:space="0"/>
              <w:left w:val="single" w:color="auto" w:sz="4" w:space="0"/>
              <w:bottom w:val="single" w:color="auto" w:sz="4" w:space="0"/>
              <w:right w:val="nil"/>
            </w:tcBorders>
            <w:vAlign w:val="center"/>
          </w:tcPr>
          <w:p w14:paraId="03F6BE7C">
            <w:pPr>
              <w:pStyle w:val="46"/>
              <w:bidi w:val="0"/>
              <w:rPr>
                <w:rFonts w:hint="default" w:ascii="Times New Roman" w:hAnsi="Times New Roman" w:cs="Times New Roman"/>
                <w:color w:val="auto"/>
                <w:highlight w:val="none"/>
                <w:lang w:val="zh-CN"/>
              </w:rPr>
            </w:pPr>
          </w:p>
        </w:tc>
      </w:tr>
      <w:tr w14:paraId="6F923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769" w:type="pct"/>
            <w:vMerge w:val="restart"/>
            <w:tcBorders>
              <w:top w:val="single" w:color="auto" w:sz="4" w:space="0"/>
              <w:left w:val="nil"/>
              <w:bottom w:val="single" w:color="auto" w:sz="12" w:space="0"/>
              <w:right w:val="single" w:color="auto" w:sz="4" w:space="0"/>
            </w:tcBorders>
            <w:vAlign w:val="center"/>
          </w:tcPr>
          <w:p w14:paraId="7281173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土壤</w:t>
            </w:r>
          </w:p>
          <w:p w14:paraId="22C7C10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tc>
        <w:tc>
          <w:tcPr>
            <w:tcW w:w="2059" w:type="pct"/>
            <w:tcBorders>
              <w:top w:val="single" w:color="auto" w:sz="4" w:space="0"/>
              <w:left w:val="single" w:color="auto" w:sz="4" w:space="0"/>
              <w:bottom w:val="single" w:color="auto" w:sz="4" w:space="0"/>
              <w:right w:val="single" w:color="auto" w:sz="4" w:space="0"/>
            </w:tcBorders>
            <w:vAlign w:val="center"/>
          </w:tcPr>
          <w:p w14:paraId="64443E0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2170" w:type="pct"/>
            <w:vMerge w:val="restart"/>
            <w:tcBorders>
              <w:top w:val="single" w:color="auto" w:sz="4" w:space="0"/>
              <w:left w:val="single" w:color="auto" w:sz="4" w:space="0"/>
              <w:bottom w:val="single" w:color="auto" w:sz="12" w:space="0"/>
              <w:right w:val="nil"/>
            </w:tcBorders>
            <w:vAlign w:val="center"/>
          </w:tcPr>
          <w:p w14:paraId="53240AD0">
            <w:pPr>
              <w:pStyle w:val="46"/>
              <w:bidi w:val="0"/>
              <w:rPr>
                <w:rFonts w:hint="default" w:ascii="Times New Roman" w:hAnsi="Times New Roman" w:cs="Times New Roman"/>
                <w:color w:val="auto"/>
                <w:highlight w:val="none"/>
                <w:lang w:val="zh-CN"/>
              </w:rPr>
            </w:pPr>
            <w:bookmarkStart w:id="129" w:name="_Hlk69724065"/>
            <w:r>
              <w:rPr>
                <w:rFonts w:hint="default" w:ascii="Times New Roman" w:hAnsi="Times New Roman" w:cs="Times New Roman"/>
                <w:color w:val="auto"/>
                <w:highlight w:val="none"/>
              </w:rPr>
              <w:t>占地范围内及占地范围外200m范围内</w:t>
            </w:r>
            <w:bookmarkEnd w:id="129"/>
          </w:p>
        </w:tc>
      </w:tr>
      <w:tr w14:paraId="4C764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69" w:type="pct"/>
            <w:vMerge w:val="continue"/>
            <w:tcBorders>
              <w:top w:val="single" w:color="auto" w:sz="4" w:space="0"/>
              <w:left w:val="nil"/>
              <w:bottom w:val="single" w:color="auto" w:sz="12" w:space="0"/>
              <w:right w:val="single" w:color="auto" w:sz="4" w:space="0"/>
            </w:tcBorders>
            <w:vAlign w:val="center"/>
          </w:tcPr>
          <w:p w14:paraId="5B608DC5">
            <w:pPr>
              <w:pStyle w:val="46"/>
              <w:bidi w:val="0"/>
              <w:rPr>
                <w:rFonts w:hint="default" w:ascii="Times New Roman" w:hAnsi="Times New Roman" w:cs="Times New Roman"/>
                <w:color w:val="auto"/>
                <w:highlight w:val="none"/>
                <w:lang w:val="zh-CN"/>
              </w:rPr>
            </w:pPr>
          </w:p>
        </w:tc>
        <w:tc>
          <w:tcPr>
            <w:tcW w:w="2059" w:type="pct"/>
            <w:tcBorders>
              <w:top w:val="single" w:color="auto" w:sz="4" w:space="0"/>
              <w:left w:val="single" w:color="auto" w:sz="4" w:space="0"/>
              <w:bottom w:val="single" w:color="auto" w:sz="12" w:space="0"/>
              <w:right w:val="single" w:color="auto" w:sz="4" w:space="0"/>
            </w:tcBorders>
            <w:vAlign w:val="center"/>
          </w:tcPr>
          <w:p w14:paraId="222BA72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2170" w:type="pct"/>
            <w:vMerge w:val="continue"/>
            <w:tcBorders>
              <w:top w:val="single" w:color="auto" w:sz="4" w:space="0"/>
              <w:left w:val="single" w:color="auto" w:sz="4" w:space="0"/>
              <w:bottom w:val="single" w:color="auto" w:sz="12" w:space="0"/>
              <w:right w:val="nil"/>
            </w:tcBorders>
            <w:vAlign w:val="center"/>
          </w:tcPr>
          <w:p w14:paraId="735B7AFD">
            <w:pPr>
              <w:pStyle w:val="46"/>
              <w:bidi w:val="0"/>
              <w:rPr>
                <w:rFonts w:hint="default" w:ascii="Times New Roman" w:hAnsi="Times New Roman" w:cs="Times New Roman"/>
                <w:color w:val="auto"/>
                <w:highlight w:val="none"/>
                <w:lang w:val="zh-CN"/>
              </w:rPr>
            </w:pPr>
          </w:p>
        </w:tc>
      </w:tr>
    </w:tbl>
    <w:p w14:paraId="2B090F1D">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表2-7-2运输路线评价范围表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1164"/>
        <w:gridCol w:w="1744"/>
        <w:gridCol w:w="4595"/>
      </w:tblGrid>
      <w:tr w14:paraId="1F1F9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281" w:type="pct"/>
            <w:gridSpan w:val="2"/>
            <w:tcBorders>
              <w:top w:val="single" w:color="auto" w:sz="12" w:space="0"/>
              <w:left w:val="nil"/>
              <w:bottom w:val="single" w:color="auto" w:sz="4" w:space="0"/>
              <w:right w:val="single" w:color="auto" w:sz="4" w:space="0"/>
            </w:tcBorders>
            <w:vAlign w:val="center"/>
          </w:tcPr>
          <w:p w14:paraId="15959D8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1023" w:type="pct"/>
            <w:tcBorders>
              <w:top w:val="single" w:color="auto" w:sz="12" w:space="0"/>
              <w:left w:val="single" w:color="auto" w:sz="4" w:space="0"/>
              <w:bottom w:val="single" w:color="auto" w:sz="4" w:space="0"/>
              <w:right w:val="single" w:color="auto" w:sz="4" w:space="0"/>
            </w:tcBorders>
            <w:vAlign w:val="center"/>
          </w:tcPr>
          <w:p w14:paraId="27C8532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评价区域</w:t>
            </w:r>
          </w:p>
        </w:tc>
        <w:tc>
          <w:tcPr>
            <w:tcW w:w="2696" w:type="pct"/>
            <w:tcBorders>
              <w:top w:val="single" w:color="auto" w:sz="12" w:space="0"/>
              <w:left w:val="single" w:color="auto" w:sz="4" w:space="0"/>
              <w:bottom w:val="single" w:color="auto" w:sz="4" w:space="0"/>
              <w:right w:val="nil"/>
            </w:tcBorders>
            <w:vAlign w:val="center"/>
          </w:tcPr>
          <w:p w14:paraId="4B29D6B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评价范围</w:t>
            </w:r>
          </w:p>
        </w:tc>
      </w:tr>
      <w:tr w14:paraId="64F68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598" w:type="pct"/>
            <w:vMerge w:val="restart"/>
            <w:tcBorders>
              <w:top w:val="single" w:color="auto" w:sz="4" w:space="0"/>
              <w:left w:val="nil"/>
              <w:bottom w:val="single" w:color="auto" w:sz="4" w:space="0"/>
              <w:right w:val="single" w:color="auto" w:sz="4" w:space="0"/>
            </w:tcBorders>
            <w:vAlign w:val="center"/>
          </w:tcPr>
          <w:p w14:paraId="25D97EE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19119C5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空气</w:t>
            </w:r>
          </w:p>
        </w:tc>
        <w:tc>
          <w:tcPr>
            <w:tcW w:w="683" w:type="pct"/>
            <w:tcBorders>
              <w:top w:val="single" w:color="auto" w:sz="4" w:space="0"/>
              <w:left w:val="single" w:color="auto" w:sz="4" w:space="0"/>
              <w:bottom w:val="single" w:color="auto" w:sz="4" w:space="0"/>
              <w:right w:val="single" w:color="auto" w:sz="4" w:space="0"/>
            </w:tcBorders>
            <w:vAlign w:val="center"/>
          </w:tcPr>
          <w:p w14:paraId="53A71DB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023" w:type="pct"/>
            <w:vMerge w:val="restart"/>
            <w:tcBorders>
              <w:top w:val="single" w:color="auto" w:sz="4" w:space="0"/>
              <w:left w:val="single" w:color="auto" w:sz="4" w:space="0"/>
              <w:bottom w:val="single" w:color="auto" w:sz="4" w:space="0"/>
              <w:right w:val="single" w:color="auto" w:sz="4" w:space="0"/>
            </w:tcBorders>
            <w:vAlign w:val="center"/>
          </w:tcPr>
          <w:p w14:paraId="4D2B5E6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运输路线两侧</w:t>
            </w:r>
          </w:p>
        </w:tc>
        <w:tc>
          <w:tcPr>
            <w:tcW w:w="2696" w:type="pct"/>
            <w:vMerge w:val="restart"/>
            <w:tcBorders>
              <w:top w:val="single" w:color="auto" w:sz="4" w:space="0"/>
              <w:left w:val="single" w:color="auto" w:sz="4" w:space="0"/>
              <w:bottom w:val="single" w:color="auto" w:sz="4" w:space="0"/>
              <w:right w:val="nil"/>
            </w:tcBorders>
            <w:vAlign w:val="center"/>
          </w:tcPr>
          <w:p w14:paraId="13D1715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运输道路中心线两侧200m范围内</w:t>
            </w:r>
          </w:p>
        </w:tc>
      </w:tr>
      <w:tr w14:paraId="213E6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0" w:type="auto"/>
            <w:vMerge w:val="continue"/>
            <w:tcBorders>
              <w:top w:val="single" w:color="auto" w:sz="4" w:space="0"/>
              <w:left w:val="nil"/>
              <w:bottom w:val="single" w:color="auto" w:sz="4" w:space="0"/>
              <w:right w:val="single" w:color="auto" w:sz="4" w:space="0"/>
            </w:tcBorders>
            <w:vAlign w:val="center"/>
          </w:tcPr>
          <w:p w14:paraId="605A36A2">
            <w:pPr>
              <w:pStyle w:val="46"/>
              <w:bidi w:val="0"/>
              <w:rPr>
                <w:rFonts w:hint="default" w:ascii="Times New Roman" w:hAnsi="Times New Roman" w:cs="Times New Roman"/>
                <w:color w:val="auto"/>
                <w:highlight w:val="none"/>
                <w:lang w:val="zh-CN"/>
              </w:rPr>
            </w:pPr>
          </w:p>
        </w:tc>
        <w:tc>
          <w:tcPr>
            <w:tcW w:w="683" w:type="pct"/>
            <w:tcBorders>
              <w:top w:val="single" w:color="auto" w:sz="4" w:space="0"/>
              <w:left w:val="single" w:color="auto" w:sz="4" w:space="0"/>
              <w:bottom w:val="single" w:color="auto" w:sz="4" w:space="0"/>
              <w:right w:val="single" w:color="auto" w:sz="4" w:space="0"/>
            </w:tcBorders>
            <w:vAlign w:val="center"/>
          </w:tcPr>
          <w:p w14:paraId="7FEEBD9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4EB3FEB">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nil"/>
            </w:tcBorders>
            <w:vAlign w:val="center"/>
          </w:tcPr>
          <w:p w14:paraId="4FFFBE90">
            <w:pPr>
              <w:pStyle w:val="46"/>
              <w:bidi w:val="0"/>
              <w:rPr>
                <w:rFonts w:hint="default" w:ascii="Times New Roman" w:hAnsi="Times New Roman" w:cs="Times New Roman"/>
                <w:color w:val="auto"/>
                <w:highlight w:val="none"/>
                <w:lang w:val="zh-CN"/>
              </w:rPr>
            </w:pPr>
          </w:p>
        </w:tc>
      </w:tr>
      <w:tr w14:paraId="1C453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598" w:type="pct"/>
            <w:vMerge w:val="restart"/>
            <w:tcBorders>
              <w:top w:val="single" w:color="auto" w:sz="4" w:space="0"/>
              <w:left w:val="nil"/>
              <w:bottom w:val="single" w:color="auto" w:sz="12" w:space="0"/>
              <w:right w:val="single" w:color="auto" w:sz="4" w:space="0"/>
            </w:tcBorders>
            <w:vAlign w:val="center"/>
          </w:tcPr>
          <w:p w14:paraId="7270FF8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声环境</w:t>
            </w:r>
          </w:p>
        </w:tc>
        <w:tc>
          <w:tcPr>
            <w:tcW w:w="683" w:type="pct"/>
            <w:tcBorders>
              <w:top w:val="single" w:color="auto" w:sz="4" w:space="0"/>
              <w:left w:val="single" w:color="auto" w:sz="4" w:space="0"/>
              <w:bottom w:val="single" w:color="auto" w:sz="4" w:space="0"/>
              <w:right w:val="single" w:color="auto" w:sz="4" w:space="0"/>
            </w:tcBorders>
            <w:vAlign w:val="center"/>
          </w:tcPr>
          <w:p w14:paraId="7408DF7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023" w:type="pct"/>
            <w:vMerge w:val="restart"/>
            <w:tcBorders>
              <w:top w:val="single" w:color="auto" w:sz="4" w:space="0"/>
              <w:left w:val="single" w:color="auto" w:sz="4" w:space="0"/>
              <w:bottom w:val="single" w:color="auto" w:sz="12" w:space="0"/>
              <w:right w:val="single" w:color="auto" w:sz="4" w:space="0"/>
            </w:tcBorders>
            <w:vAlign w:val="center"/>
          </w:tcPr>
          <w:p w14:paraId="13720C9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运输路线两侧</w:t>
            </w:r>
          </w:p>
        </w:tc>
        <w:tc>
          <w:tcPr>
            <w:tcW w:w="2696" w:type="pct"/>
            <w:vMerge w:val="restart"/>
            <w:tcBorders>
              <w:top w:val="single" w:color="auto" w:sz="4" w:space="0"/>
              <w:left w:val="single" w:color="auto" w:sz="4" w:space="0"/>
              <w:bottom w:val="single" w:color="auto" w:sz="12" w:space="0"/>
              <w:right w:val="nil"/>
            </w:tcBorders>
            <w:vAlign w:val="center"/>
          </w:tcPr>
          <w:p w14:paraId="1959921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运输道路中心线两侧200m范围内</w:t>
            </w:r>
          </w:p>
        </w:tc>
      </w:tr>
      <w:tr w14:paraId="20441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0" w:type="auto"/>
            <w:vMerge w:val="continue"/>
            <w:tcBorders>
              <w:top w:val="single" w:color="auto" w:sz="4" w:space="0"/>
              <w:left w:val="nil"/>
              <w:bottom w:val="single" w:color="auto" w:sz="12" w:space="0"/>
              <w:right w:val="single" w:color="auto" w:sz="4" w:space="0"/>
            </w:tcBorders>
            <w:vAlign w:val="center"/>
          </w:tcPr>
          <w:p w14:paraId="25BAA4C9">
            <w:pPr>
              <w:pStyle w:val="46"/>
              <w:bidi w:val="0"/>
              <w:rPr>
                <w:rFonts w:hint="default" w:ascii="Times New Roman" w:hAnsi="Times New Roman" w:cs="Times New Roman"/>
                <w:color w:val="auto"/>
                <w:highlight w:val="none"/>
                <w:lang w:val="zh-CN"/>
              </w:rPr>
            </w:pPr>
          </w:p>
        </w:tc>
        <w:tc>
          <w:tcPr>
            <w:tcW w:w="683" w:type="pct"/>
            <w:tcBorders>
              <w:top w:val="single" w:color="auto" w:sz="4" w:space="0"/>
              <w:left w:val="single" w:color="auto" w:sz="4" w:space="0"/>
              <w:bottom w:val="single" w:color="auto" w:sz="12" w:space="0"/>
              <w:right w:val="single" w:color="auto" w:sz="4" w:space="0"/>
            </w:tcBorders>
            <w:vAlign w:val="center"/>
          </w:tcPr>
          <w:p w14:paraId="0450835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FCB9605">
            <w:pPr>
              <w:pStyle w:val="46"/>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nil"/>
            </w:tcBorders>
            <w:vAlign w:val="center"/>
          </w:tcPr>
          <w:p w14:paraId="6047097E">
            <w:pPr>
              <w:pStyle w:val="46"/>
              <w:bidi w:val="0"/>
              <w:rPr>
                <w:rFonts w:hint="default" w:ascii="Times New Roman" w:hAnsi="Times New Roman" w:cs="Times New Roman"/>
                <w:color w:val="auto"/>
                <w:highlight w:val="none"/>
                <w:lang w:val="zh-CN"/>
              </w:rPr>
            </w:pPr>
          </w:p>
        </w:tc>
      </w:tr>
    </w:tbl>
    <w:p w14:paraId="6E78FA71">
      <w:pPr>
        <w:pStyle w:val="41"/>
        <w:rPr>
          <w:rFonts w:hint="default" w:ascii="Times New Roman" w:hAnsi="Times New Roman" w:cs="Times New Roman"/>
          <w:color w:val="auto"/>
          <w:highlight w:val="none"/>
        </w:rPr>
      </w:pPr>
      <w:bookmarkStart w:id="130" w:name="_Toc6723"/>
      <w:r>
        <w:rPr>
          <w:rFonts w:hint="default" w:ascii="Times New Roman" w:hAnsi="Times New Roman" w:cs="Times New Roman"/>
          <w:color w:val="auto"/>
          <w:highlight w:val="none"/>
        </w:rPr>
        <w:t>2.7.2评价时段</w:t>
      </w:r>
      <w:bookmarkEnd w:id="127"/>
      <w:bookmarkEnd w:id="128"/>
      <w:bookmarkEnd w:id="130"/>
    </w:p>
    <w:p w14:paraId="322CBB8F">
      <w:pPr>
        <w:pStyle w:val="27"/>
        <w:bidi w:val="0"/>
        <w:rPr>
          <w:rFonts w:hint="default" w:ascii="Times New Roman" w:hAnsi="Times New Roman" w:cs="Times New Roman"/>
          <w:color w:val="auto"/>
          <w:highlight w:val="none"/>
        </w:rPr>
      </w:pPr>
      <w:bookmarkStart w:id="131" w:name="_Toc119316794"/>
      <w:r>
        <w:rPr>
          <w:rFonts w:hint="default" w:ascii="Times New Roman" w:hAnsi="Times New Roman" w:cs="Times New Roman"/>
          <w:color w:val="auto"/>
          <w:highlight w:val="none"/>
        </w:rPr>
        <w:t>评价时段为施工期、生态恢复期。由于施工期对周围环境影响较小，并且为短期影响，因此施工期只作影响分析；生态恢复期主要为土地复垦，因此生态恢复期作简要影响分析；因此本评价以</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为重点评价时段。</w:t>
      </w:r>
    </w:p>
    <w:p w14:paraId="79243630">
      <w:pPr>
        <w:pStyle w:val="43"/>
        <w:rPr>
          <w:rFonts w:hint="default" w:ascii="Times New Roman" w:hAnsi="Times New Roman" w:cs="Times New Roman"/>
          <w:color w:val="auto"/>
          <w:highlight w:val="none"/>
        </w:rPr>
      </w:pPr>
      <w:bookmarkStart w:id="132" w:name="_Toc152926813"/>
      <w:bookmarkStart w:id="133" w:name="_Toc17200"/>
      <w:bookmarkStart w:id="134" w:name="_Toc5418"/>
      <w:r>
        <w:rPr>
          <w:rFonts w:hint="default" w:ascii="Times New Roman" w:hAnsi="Times New Roman" w:cs="Times New Roman"/>
          <w:color w:val="auto"/>
          <w:highlight w:val="none"/>
        </w:rPr>
        <w:t>2.8污染控制与环境保护目标</w:t>
      </w:r>
      <w:bookmarkEnd w:id="131"/>
      <w:bookmarkEnd w:id="132"/>
      <w:bookmarkEnd w:id="133"/>
      <w:bookmarkEnd w:id="134"/>
    </w:p>
    <w:p w14:paraId="7D3FB61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本项目环境敏感目标见下表，保护目标分布图见图2-8-1</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10396481">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表2-8-1环境空气保护目标</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1476"/>
        <w:gridCol w:w="1359"/>
        <w:gridCol w:w="904"/>
        <w:gridCol w:w="662"/>
        <w:gridCol w:w="989"/>
        <w:gridCol w:w="842"/>
        <w:gridCol w:w="917"/>
      </w:tblGrid>
      <w:tr w14:paraId="32A3B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06" w:type="pct"/>
            <w:vMerge w:val="restart"/>
            <w:vAlign w:val="center"/>
          </w:tcPr>
          <w:p w14:paraId="04D15B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662" w:type="pct"/>
            <w:gridSpan w:val="2"/>
            <w:vAlign w:val="center"/>
          </w:tcPr>
          <w:p w14:paraId="6EB9484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坐标/°</w:t>
            </w:r>
          </w:p>
        </w:tc>
        <w:tc>
          <w:tcPr>
            <w:tcW w:w="530" w:type="pct"/>
            <w:vMerge w:val="restart"/>
            <w:vAlign w:val="center"/>
          </w:tcPr>
          <w:p w14:paraId="5517F9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保护对象</w:t>
            </w:r>
          </w:p>
        </w:tc>
        <w:tc>
          <w:tcPr>
            <w:tcW w:w="388" w:type="pct"/>
            <w:vMerge w:val="restart"/>
            <w:vAlign w:val="center"/>
          </w:tcPr>
          <w:p w14:paraId="13BA7F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保护内容</w:t>
            </w:r>
          </w:p>
        </w:tc>
        <w:tc>
          <w:tcPr>
            <w:tcW w:w="580" w:type="pct"/>
            <w:vMerge w:val="restart"/>
            <w:vAlign w:val="center"/>
          </w:tcPr>
          <w:p w14:paraId="74C3D7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w:t>
            </w:r>
          </w:p>
          <w:p w14:paraId="1834A8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功能区</w:t>
            </w:r>
          </w:p>
        </w:tc>
        <w:tc>
          <w:tcPr>
            <w:tcW w:w="494" w:type="pct"/>
            <w:vMerge w:val="restart"/>
            <w:vAlign w:val="center"/>
          </w:tcPr>
          <w:p w14:paraId="37250B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相对厂址方位</w:t>
            </w:r>
          </w:p>
        </w:tc>
        <w:tc>
          <w:tcPr>
            <w:tcW w:w="538" w:type="pct"/>
            <w:vMerge w:val="restart"/>
            <w:vAlign w:val="center"/>
          </w:tcPr>
          <w:p w14:paraId="2341E9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相对厂界距离</w:t>
            </w:r>
          </w:p>
        </w:tc>
      </w:tr>
      <w:tr w14:paraId="5A3BC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806" w:type="pct"/>
            <w:vMerge w:val="continue"/>
            <w:vAlign w:val="center"/>
          </w:tcPr>
          <w:p w14:paraId="4EABBFB6">
            <w:pPr>
              <w:pStyle w:val="46"/>
              <w:bidi w:val="0"/>
              <w:rPr>
                <w:rFonts w:hint="default" w:ascii="Times New Roman" w:hAnsi="Times New Roman" w:cs="Times New Roman"/>
                <w:color w:val="auto"/>
                <w:highlight w:val="none"/>
              </w:rPr>
            </w:pPr>
          </w:p>
        </w:tc>
        <w:tc>
          <w:tcPr>
            <w:tcW w:w="865" w:type="pct"/>
            <w:vAlign w:val="center"/>
          </w:tcPr>
          <w:p w14:paraId="2DE67B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796" w:type="pct"/>
            <w:vAlign w:val="center"/>
          </w:tcPr>
          <w:p w14:paraId="7E26CF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530" w:type="pct"/>
            <w:vMerge w:val="continue"/>
            <w:vAlign w:val="center"/>
          </w:tcPr>
          <w:p w14:paraId="31E38ABC">
            <w:pPr>
              <w:pStyle w:val="46"/>
              <w:bidi w:val="0"/>
              <w:rPr>
                <w:rFonts w:hint="default" w:ascii="Times New Roman" w:hAnsi="Times New Roman" w:cs="Times New Roman"/>
                <w:color w:val="auto"/>
                <w:highlight w:val="none"/>
              </w:rPr>
            </w:pPr>
          </w:p>
        </w:tc>
        <w:tc>
          <w:tcPr>
            <w:tcW w:w="388" w:type="pct"/>
            <w:vMerge w:val="continue"/>
            <w:vAlign w:val="center"/>
          </w:tcPr>
          <w:p w14:paraId="014E1F00">
            <w:pPr>
              <w:pStyle w:val="46"/>
              <w:bidi w:val="0"/>
              <w:rPr>
                <w:rFonts w:hint="default" w:ascii="Times New Roman" w:hAnsi="Times New Roman" w:cs="Times New Roman"/>
                <w:color w:val="auto"/>
                <w:highlight w:val="none"/>
              </w:rPr>
            </w:pPr>
          </w:p>
        </w:tc>
        <w:tc>
          <w:tcPr>
            <w:tcW w:w="580" w:type="pct"/>
            <w:vMerge w:val="continue"/>
            <w:vAlign w:val="center"/>
          </w:tcPr>
          <w:p w14:paraId="2D07E82A">
            <w:pPr>
              <w:pStyle w:val="46"/>
              <w:bidi w:val="0"/>
              <w:rPr>
                <w:rFonts w:hint="default" w:ascii="Times New Roman" w:hAnsi="Times New Roman" w:cs="Times New Roman"/>
                <w:color w:val="auto"/>
                <w:highlight w:val="none"/>
              </w:rPr>
            </w:pPr>
          </w:p>
        </w:tc>
        <w:tc>
          <w:tcPr>
            <w:tcW w:w="494" w:type="pct"/>
            <w:vMerge w:val="continue"/>
            <w:vAlign w:val="center"/>
          </w:tcPr>
          <w:p w14:paraId="236270B2">
            <w:pPr>
              <w:pStyle w:val="46"/>
              <w:bidi w:val="0"/>
              <w:rPr>
                <w:rFonts w:hint="default" w:ascii="Times New Roman" w:hAnsi="Times New Roman" w:cs="Times New Roman"/>
                <w:color w:val="auto"/>
                <w:highlight w:val="none"/>
              </w:rPr>
            </w:pPr>
          </w:p>
        </w:tc>
        <w:tc>
          <w:tcPr>
            <w:tcW w:w="538" w:type="pct"/>
            <w:vMerge w:val="continue"/>
            <w:vAlign w:val="center"/>
          </w:tcPr>
          <w:p w14:paraId="128A2F0D">
            <w:pPr>
              <w:pStyle w:val="46"/>
              <w:bidi w:val="0"/>
              <w:rPr>
                <w:rFonts w:hint="default" w:ascii="Times New Roman" w:hAnsi="Times New Roman" w:cs="Times New Roman"/>
                <w:color w:val="auto"/>
                <w:highlight w:val="none"/>
              </w:rPr>
            </w:pPr>
          </w:p>
        </w:tc>
      </w:tr>
      <w:tr w14:paraId="1DFD3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06" w:type="pct"/>
            <w:vAlign w:val="center"/>
          </w:tcPr>
          <w:p w14:paraId="41776D0A">
            <w:pPr>
              <w:pStyle w:val="46"/>
              <w:bidi w:val="0"/>
              <w:ind w:firstLine="0" w:firstLineChars="0"/>
              <w:rPr>
                <w:rFonts w:hint="default" w:ascii="Times New Roman" w:hAnsi="Times New Roman" w:cs="Times New Roman"/>
                <w:color w:val="auto"/>
                <w:highlight w:val="none"/>
                <w:lang w:val="en-US" w:eastAsia="zh-CN"/>
              </w:rPr>
            </w:pPr>
            <w:bookmarkStart w:id="135" w:name="_Hlk148706924"/>
            <w:r>
              <w:rPr>
                <w:rFonts w:hint="default" w:ascii="Times New Roman" w:hAnsi="Times New Roman" w:cs="Times New Roman"/>
                <w:color w:val="auto"/>
                <w:highlight w:val="none"/>
                <w:lang w:val="en-US" w:eastAsia="zh-CN"/>
              </w:rPr>
              <w:t>南甸子村六队</w:t>
            </w:r>
          </w:p>
        </w:tc>
        <w:tc>
          <w:tcPr>
            <w:tcW w:w="865" w:type="pct"/>
            <w:vAlign w:val="center"/>
          </w:tcPr>
          <w:p w14:paraId="1D9EE7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130.75577262,</w:t>
            </w:r>
          </w:p>
        </w:tc>
        <w:tc>
          <w:tcPr>
            <w:tcW w:w="796" w:type="pct"/>
            <w:vAlign w:val="center"/>
          </w:tcPr>
          <w:p w14:paraId="74338F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45.33859136</w:t>
            </w:r>
          </w:p>
        </w:tc>
        <w:tc>
          <w:tcPr>
            <w:tcW w:w="530" w:type="pct"/>
            <w:vMerge w:val="restart"/>
            <w:vAlign w:val="center"/>
          </w:tcPr>
          <w:p w14:paraId="7922F04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p>
        </w:tc>
        <w:tc>
          <w:tcPr>
            <w:tcW w:w="388" w:type="pct"/>
            <w:vMerge w:val="restart"/>
            <w:vAlign w:val="center"/>
          </w:tcPr>
          <w:p w14:paraId="4C69535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环境空气</w:t>
            </w:r>
          </w:p>
        </w:tc>
        <w:tc>
          <w:tcPr>
            <w:tcW w:w="580" w:type="pct"/>
            <w:vMerge w:val="restart"/>
            <w:vAlign w:val="center"/>
          </w:tcPr>
          <w:p w14:paraId="7FB0538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二类区</w:t>
            </w:r>
          </w:p>
        </w:tc>
        <w:tc>
          <w:tcPr>
            <w:tcW w:w="494" w:type="pct"/>
            <w:vAlign w:val="center"/>
          </w:tcPr>
          <w:p w14:paraId="2A81511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SE</w:t>
            </w:r>
          </w:p>
        </w:tc>
        <w:tc>
          <w:tcPr>
            <w:tcW w:w="538" w:type="pct"/>
            <w:vAlign w:val="center"/>
          </w:tcPr>
          <w:p w14:paraId="3E109A5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300m</w:t>
            </w:r>
          </w:p>
        </w:tc>
      </w:tr>
      <w:tr w14:paraId="4E567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06" w:type="pct"/>
            <w:vAlign w:val="center"/>
          </w:tcPr>
          <w:p w14:paraId="16AB742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南甸子村四队</w:t>
            </w:r>
          </w:p>
        </w:tc>
        <w:tc>
          <w:tcPr>
            <w:tcW w:w="865" w:type="pct"/>
            <w:vAlign w:val="center"/>
          </w:tcPr>
          <w:p w14:paraId="4A94D60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130.77248997</w:t>
            </w:r>
          </w:p>
        </w:tc>
        <w:tc>
          <w:tcPr>
            <w:tcW w:w="796" w:type="pct"/>
            <w:vAlign w:val="center"/>
          </w:tcPr>
          <w:p w14:paraId="4AE402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45.34060899</w:t>
            </w:r>
          </w:p>
        </w:tc>
        <w:tc>
          <w:tcPr>
            <w:tcW w:w="530" w:type="pct"/>
            <w:vMerge w:val="continue"/>
            <w:vAlign w:val="center"/>
          </w:tcPr>
          <w:p w14:paraId="284072D8">
            <w:pPr>
              <w:pStyle w:val="46"/>
              <w:bidi w:val="0"/>
              <w:rPr>
                <w:rFonts w:hint="default" w:ascii="Times New Roman" w:hAnsi="Times New Roman" w:cs="Times New Roman"/>
                <w:color w:val="auto"/>
                <w:highlight w:val="none"/>
              </w:rPr>
            </w:pPr>
          </w:p>
        </w:tc>
        <w:tc>
          <w:tcPr>
            <w:tcW w:w="388" w:type="pct"/>
            <w:vMerge w:val="continue"/>
            <w:vAlign w:val="center"/>
          </w:tcPr>
          <w:p w14:paraId="4B827E7E">
            <w:pPr>
              <w:pStyle w:val="46"/>
              <w:bidi w:val="0"/>
              <w:rPr>
                <w:rFonts w:hint="default" w:ascii="Times New Roman" w:hAnsi="Times New Roman" w:cs="Times New Roman"/>
                <w:color w:val="auto"/>
                <w:highlight w:val="none"/>
              </w:rPr>
            </w:pPr>
          </w:p>
        </w:tc>
        <w:tc>
          <w:tcPr>
            <w:tcW w:w="580" w:type="pct"/>
            <w:vMerge w:val="continue"/>
            <w:vAlign w:val="center"/>
          </w:tcPr>
          <w:p w14:paraId="683B8030">
            <w:pPr>
              <w:pStyle w:val="46"/>
              <w:bidi w:val="0"/>
              <w:rPr>
                <w:rFonts w:hint="default" w:ascii="Times New Roman" w:hAnsi="Times New Roman" w:cs="Times New Roman"/>
                <w:color w:val="auto"/>
                <w:highlight w:val="none"/>
              </w:rPr>
            </w:pPr>
          </w:p>
        </w:tc>
        <w:tc>
          <w:tcPr>
            <w:tcW w:w="494" w:type="pct"/>
            <w:vAlign w:val="center"/>
          </w:tcPr>
          <w:p w14:paraId="4DB198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SE</w:t>
            </w:r>
          </w:p>
        </w:tc>
        <w:tc>
          <w:tcPr>
            <w:tcW w:w="538" w:type="pct"/>
            <w:vAlign w:val="center"/>
          </w:tcPr>
          <w:p w14:paraId="31275E3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1480m</w:t>
            </w:r>
          </w:p>
        </w:tc>
      </w:tr>
      <w:tr w14:paraId="26154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6" w:type="pct"/>
            <w:vAlign w:val="center"/>
          </w:tcPr>
          <w:p w14:paraId="663F4ED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南甸子村</w:t>
            </w:r>
          </w:p>
        </w:tc>
        <w:tc>
          <w:tcPr>
            <w:tcW w:w="865" w:type="pct"/>
            <w:vAlign w:val="center"/>
          </w:tcPr>
          <w:p w14:paraId="25C1482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131.04325559</w:t>
            </w:r>
          </w:p>
        </w:tc>
        <w:tc>
          <w:tcPr>
            <w:tcW w:w="796" w:type="pct"/>
            <w:vAlign w:val="center"/>
          </w:tcPr>
          <w:p w14:paraId="02F8FD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45.39014569</w:t>
            </w:r>
          </w:p>
        </w:tc>
        <w:tc>
          <w:tcPr>
            <w:tcW w:w="530" w:type="pct"/>
            <w:vMerge w:val="continue"/>
            <w:vAlign w:val="center"/>
          </w:tcPr>
          <w:p w14:paraId="25276CBF">
            <w:pPr>
              <w:pStyle w:val="46"/>
              <w:bidi w:val="0"/>
              <w:rPr>
                <w:rFonts w:hint="default" w:ascii="Times New Roman" w:hAnsi="Times New Roman" w:cs="Times New Roman"/>
                <w:color w:val="auto"/>
                <w:highlight w:val="none"/>
              </w:rPr>
            </w:pPr>
          </w:p>
        </w:tc>
        <w:tc>
          <w:tcPr>
            <w:tcW w:w="388" w:type="pct"/>
            <w:vMerge w:val="continue"/>
            <w:vAlign w:val="center"/>
          </w:tcPr>
          <w:p w14:paraId="7483B201">
            <w:pPr>
              <w:pStyle w:val="46"/>
              <w:bidi w:val="0"/>
              <w:rPr>
                <w:rFonts w:hint="default" w:ascii="Times New Roman" w:hAnsi="Times New Roman" w:cs="Times New Roman"/>
                <w:color w:val="auto"/>
                <w:highlight w:val="none"/>
              </w:rPr>
            </w:pPr>
          </w:p>
        </w:tc>
        <w:tc>
          <w:tcPr>
            <w:tcW w:w="580" w:type="pct"/>
            <w:vMerge w:val="continue"/>
            <w:vAlign w:val="center"/>
          </w:tcPr>
          <w:p w14:paraId="7B50C04E">
            <w:pPr>
              <w:pStyle w:val="46"/>
              <w:bidi w:val="0"/>
              <w:rPr>
                <w:rFonts w:hint="default" w:ascii="Times New Roman" w:hAnsi="Times New Roman" w:cs="Times New Roman"/>
                <w:color w:val="auto"/>
                <w:highlight w:val="none"/>
              </w:rPr>
            </w:pPr>
          </w:p>
        </w:tc>
        <w:tc>
          <w:tcPr>
            <w:tcW w:w="494" w:type="pct"/>
            <w:vAlign w:val="center"/>
          </w:tcPr>
          <w:p w14:paraId="63EE588F">
            <w:pPr>
              <w:pStyle w:val="46"/>
              <w:bidi w:val="0"/>
              <w:rPr>
                <w:rFonts w:hint="default" w:ascii="Times New Roman" w:hAnsi="Times New Roman" w:cs="Times New Roman"/>
                <w:color w:val="auto"/>
                <w:highlight w:val="none"/>
              </w:rPr>
            </w:pPr>
            <w:bookmarkStart w:id="136" w:name="OLE_LINK22"/>
            <w:r>
              <w:rPr>
                <w:rFonts w:hint="default" w:ascii="Times New Roman" w:hAnsi="Times New Roman" w:cs="Times New Roman"/>
                <w:color w:val="auto"/>
                <w:highlight w:val="none"/>
                <w:lang w:val="en-US" w:eastAsia="zh-CN"/>
              </w:rPr>
              <w:t>SE</w:t>
            </w:r>
            <w:bookmarkEnd w:id="136"/>
          </w:p>
        </w:tc>
        <w:tc>
          <w:tcPr>
            <w:tcW w:w="538" w:type="pct"/>
            <w:vAlign w:val="center"/>
          </w:tcPr>
          <w:p w14:paraId="49C8594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627m</w:t>
            </w:r>
          </w:p>
        </w:tc>
      </w:tr>
      <w:tr w14:paraId="49E80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6" w:type="pct"/>
            <w:vAlign w:val="center"/>
          </w:tcPr>
          <w:p w14:paraId="06C9F6E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南甸子五队</w:t>
            </w:r>
          </w:p>
        </w:tc>
        <w:tc>
          <w:tcPr>
            <w:tcW w:w="865" w:type="pct"/>
            <w:vAlign w:val="center"/>
          </w:tcPr>
          <w:p w14:paraId="46859B2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130.76169476</w:t>
            </w:r>
          </w:p>
        </w:tc>
        <w:tc>
          <w:tcPr>
            <w:tcW w:w="796" w:type="pct"/>
            <w:vAlign w:val="center"/>
          </w:tcPr>
          <w:p w14:paraId="1713E4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45.32615979</w:t>
            </w:r>
          </w:p>
        </w:tc>
        <w:tc>
          <w:tcPr>
            <w:tcW w:w="530" w:type="pct"/>
            <w:vMerge w:val="continue"/>
            <w:vAlign w:val="center"/>
          </w:tcPr>
          <w:p w14:paraId="153D6180">
            <w:pPr>
              <w:pStyle w:val="46"/>
              <w:bidi w:val="0"/>
              <w:rPr>
                <w:rFonts w:hint="default" w:ascii="Times New Roman" w:hAnsi="Times New Roman" w:cs="Times New Roman"/>
                <w:color w:val="auto"/>
                <w:highlight w:val="none"/>
              </w:rPr>
            </w:pPr>
          </w:p>
        </w:tc>
        <w:tc>
          <w:tcPr>
            <w:tcW w:w="388" w:type="pct"/>
            <w:vMerge w:val="continue"/>
            <w:vAlign w:val="center"/>
          </w:tcPr>
          <w:p w14:paraId="39483DD2">
            <w:pPr>
              <w:pStyle w:val="46"/>
              <w:bidi w:val="0"/>
              <w:rPr>
                <w:rFonts w:hint="default" w:ascii="Times New Roman" w:hAnsi="Times New Roman" w:cs="Times New Roman"/>
                <w:color w:val="auto"/>
                <w:highlight w:val="none"/>
              </w:rPr>
            </w:pPr>
          </w:p>
        </w:tc>
        <w:tc>
          <w:tcPr>
            <w:tcW w:w="580" w:type="pct"/>
            <w:vMerge w:val="continue"/>
            <w:vAlign w:val="center"/>
          </w:tcPr>
          <w:p w14:paraId="4E39DE49">
            <w:pPr>
              <w:pStyle w:val="46"/>
              <w:bidi w:val="0"/>
              <w:rPr>
                <w:rFonts w:hint="default" w:ascii="Times New Roman" w:hAnsi="Times New Roman" w:cs="Times New Roman"/>
                <w:color w:val="auto"/>
                <w:highlight w:val="none"/>
              </w:rPr>
            </w:pPr>
          </w:p>
        </w:tc>
        <w:tc>
          <w:tcPr>
            <w:tcW w:w="494" w:type="pct"/>
            <w:vAlign w:val="center"/>
          </w:tcPr>
          <w:p w14:paraId="5DA15AC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w:t>
            </w:r>
          </w:p>
        </w:tc>
        <w:tc>
          <w:tcPr>
            <w:tcW w:w="538" w:type="pct"/>
            <w:vAlign w:val="center"/>
          </w:tcPr>
          <w:p w14:paraId="0CB795A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1500m</w:t>
            </w:r>
          </w:p>
        </w:tc>
      </w:tr>
      <w:tr w14:paraId="53212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06" w:type="pct"/>
            <w:vAlign w:val="center"/>
          </w:tcPr>
          <w:p w14:paraId="6C8268A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相家沟屯</w:t>
            </w:r>
          </w:p>
        </w:tc>
        <w:tc>
          <w:tcPr>
            <w:tcW w:w="865" w:type="pct"/>
            <w:vAlign w:val="center"/>
          </w:tcPr>
          <w:p w14:paraId="66C915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130.73115087</w:t>
            </w:r>
          </w:p>
        </w:tc>
        <w:tc>
          <w:tcPr>
            <w:tcW w:w="796" w:type="pct"/>
            <w:vAlign w:val="center"/>
          </w:tcPr>
          <w:p w14:paraId="4590CC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45.32412459</w:t>
            </w:r>
          </w:p>
        </w:tc>
        <w:tc>
          <w:tcPr>
            <w:tcW w:w="530" w:type="pct"/>
            <w:vMerge w:val="continue"/>
            <w:vAlign w:val="center"/>
          </w:tcPr>
          <w:p w14:paraId="0B7E5C39">
            <w:pPr>
              <w:pStyle w:val="46"/>
              <w:bidi w:val="0"/>
              <w:rPr>
                <w:rFonts w:hint="default" w:ascii="Times New Roman" w:hAnsi="Times New Roman" w:cs="Times New Roman"/>
                <w:color w:val="auto"/>
                <w:highlight w:val="none"/>
              </w:rPr>
            </w:pPr>
          </w:p>
        </w:tc>
        <w:tc>
          <w:tcPr>
            <w:tcW w:w="388" w:type="pct"/>
            <w:vMerge w:val="continue"/>
            <w:vAlign w:val="center"/>
          </w:tcPr>
          <w:p w14:paraId="3C30FB85">
            <w:pPr>
              <w:pStyle w:val="46"/>
              <w:bidi w:val="0"/>
              <w:rPr>
                <w:rFonts w:hint="default" w:ascii="Times New Roman" w:hAnsi="Times New Roman" w:cs="Times New Roman"/>
                <w:color w:val="auto"/>
                <w:highlight w:val="none"/>
              </w:rPr>
            </w:pPr>
          </w:p>
        </w:tc>
        <w:tc>
          <w:tcPr>
            <w:tcW w:w="580" w:type="pct"/>
            <w:vMerge w:val="continue"/>
            <w:vAlign w:val="center"/>
          </w:tcPr>
          <w:p w14:paraId="4B4081E0">
            <w:pPr>
              <w:pStyle w:val="46"/>
              <w:bidi w:val="0"/>
              <w:rPr>
                <w:rFonts w:hint="default" w:ascii="Times New Roman" w:hAnsi="Times New Roman" w:cs="Times New Roman"/>
                <w:color w:val="auto"/>
                <w:highlight w:val="none"/>
              </w:rPr>
            </w:pPr>
          </w:p>
        </w:tc>
        <w:tc>
          <w:tcPr>
            <w:tcW w:w="494" w:type="pct"/>
            <w:vAlign w:val="center"/>
          </w:tcPr>
          <w:p w14:paraId="3D01D6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SW</w:t>
            </w:r>
          </w:p>
        </w:tc>
        <w:tc>
          <w:tcPr>
            <w:tcW w:w="538" w:type="pct"/>
            <w:vAlign w:val="center"/>
          </w:tcPr>
          <w:p w14:paraId="4A513C2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2300m</w:t>
            </w:r>
          </w:p>
        </w:tc>
      </w:tr>
      <w:bookmarkEnd w:id="135"/>
    </w:tbl>
    <w:p w14:paraId="2423D86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表2-8-2 项目区</w:t>
      </w:r>
      <w:r>
        <w:rPr>
          <w:rFonts w:hint="default" w:ascii="Times New Roman" w:hAnsi="Times New Roman" w:cs="Times New Roman"/>
          <w:color w:val="auto"/>
          <w:highlight w:val="none"/>
        </w:rPr>
        <w:t>生态环境、土壤、地下水保护目标一览表</w:t>
      </w:r>
    </w:p>
    <w:tbl>
      <w:tblPr>
        <w:tblStyle w:val="24"/>
        <w:tblW w:w="518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788"/>
        <w:gridCol w:w="2150"/>
        <w:gridCol w:w="2353"/>
        <w:gridCol w:w="3326"/>
      </w:tblGrid>
      <w:tr w14:paraId="581F03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58" w:hRule="atLeast"/>
          <w:jc w:val="center"/>
        </w:trPr>
        <w:tc>
          <w:tcPr>
            <w:tcW w:w="457" w:type="pct"/>
            <w:vAlign w:val="center"/>
          </w:tcPr>
          <w:p w14:paraId="0E3242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247" w:type="pct"/>
            <w:vAlign w:val="center"/>
          </w:tcPr>
          <w:p w14:paraId="392B73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环境保护目标</w:t>
            </w:r>
          </w:p>
        </w:tc>
        <w:tc>
          <w:tcPr>
            <w:tcW w:w="1365" w:type="pct"/>
            <w:vAlign w:val="center"/>
          </w:tcPr>
          <w:p w14:paraId="53021F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保护对象</w:t>
            </w:r>
          </w:p>
        </w:tc>
        <w:tc>
          <w:tcPr>
            <w:tcW w:w="1929" w:type="pct"/>
            <w:vAlign w:val="center"/>
          </w:tcPr>
          <w:p w14:paraId="1373AF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保护内容</w:t>
            </w:r>
          </w:p>
        </w:tc>
      </w:tr>
      <w:tr w14:paraId="14B3E5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Align w:val="center"/>
          </w:tcPr>
          <w:p w14:paraId="38DEE9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1247" w:type="pct"/>
            <w:vAlign w:val="center"/>
          </w:tcPr>
          <w:p w14:paraId="5ABC91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植被、景观、野生动物等</w:t>
            </w:r>
          </w:p>
        </w:tc>
        <w:tc>
          <w:tcPr>
            <w:tcW w:w="1365" w:type="pct"/>
            <w:vAlign w:val="center"/>
          </w:tcPr>
          <w:p w14:paraId="0F38ED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场地及四周</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00m的生态环境</w:t>
            </w:r>
          </w:p>
        </w:tc>
        <w:tc>
          <w:tcPr>
            <w:tcW w:w="1929" w:type="pct"/>
            <w:vAlign w:val="center"/>
          </w:tcPr>
          <w:p w14:paraId="15F28A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周边生态环境不遭到破坏</w:t>
            </w:r>
          </w:p>
        </w:tc>
      </w:tr>
      <w:tr w14:paraId="5EFB351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Align w:val="center"/>
          </w:tcPr>
          <w:p w14:paraId="54789B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w:t>
            </w:r>
          </w:p>
        </w:tc>
        <w:tc>
          <w:tcPr>
            <w:tcW w:w="1247" w:type="pct"/>
            <w:vAlign w:val="center"/>
          </w:tcPr>
          <w:p w14:paraId="31F226DD">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林地、耕地</w:t>
            </w:r>
          </w:p>
        </w:tc>
        <w:tc>
          <w:tcPr>
            <w:tcW w:w="1365" w:type="pct"/>
            <w:vAlign w:val="center"/>
          </w:tcPr>
          <w:p w14:paraId="31C9A9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场地内的土壤环境及厂界外200m范围内</w:t>
            </w:r>
          </w:p>
        </w:tc>
        <w:tc>
          <w:tcPr>
            <w:tcW w:w="1929" w:type="pct"/>
            <w:vAlign w:val="center"/>
          </w:tcPr>
          <w:p w14:paraId="2089BB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 建设用地土壤污染风险管控标准（试行）》（GB36600-2018）《土壤环境质量标准 农用地土壤污染风险管控标准》（GB15618-2018）</w:t>
            </w:r>
          </w:p>
        </w:tc>
      </w:tr>
      <w:tr w14:paraId="67C9AF0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Align w:val="center"/>
          </w:tcPr>
          <w:p w14:paraId="43CEDB6F">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噪声</w:t>
            </w:r>
          </w:p>
        </w:tc>
        <w:tc>
          <w:tcPr>
            <w:tcW w:w="1247" w:type="pct"/>
            <w:vAlign w:val="center"/>
          </w:tcPr>
          <w:p w14:paraId="378155F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65" w:type="pct"/>
            <w:vAlign w:val="center"/>
          </w:tcPr>
          <w:p w14:paraId="1D4AB9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厂界外200m范围内</w:t>
            </w:r>
          </w:p>
        </w:tc>
        <w:tc>
          <w:tcPr>
            <w:tcW w:w="1929" w:type="pct"/>
            <w:vAlign w:val="center"/>
          </w:tcPr>
          <w:p w14:paraId="43A559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《声环境质量标准》（GB3096-2008）表1中1类标准</w:t>
            </w:r>
          </w:p>
        </w:tc>
      </w:tr>
      <w:tr w14:paraId="249B52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Merge w:val="restart"/>
            <w:vAlign w:val="center"/>
          </w:tcPr>
          <w:p w14:paraId="66314D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247" w:type="pct"/>
            <w:vAlign w:val="center"/>
          </w:tcPr>
          <w:p w14:paraId="0C899C15">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南甸子村分散式饮用水</w:t>
            </w:r>
          </w:p>
        </w:tc>
        <w:tc>
          <w:tcPr>
            <w:tcW w:w="1365" w:type="pct"/>
            <w:vAlign w:val="center"/>
          </w:tcPr>
          <w:p w14:paraId="16359BD0">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东南侧1000m</w:t>
            </w:r>
          </w:p>
        </w:tc>
        <w:tc>
          <w:tcPr>
            <w:tcW w:w="1929" w:type="pct"/>
            <w:vMerge w:val="restart"/>
            <w:vAlign w:val="center"/>
          </w:tcPr>
          <w:p w14:paraId="21A727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《地下水质量标准》（GB/T14848-2017）III类</w:t>
            </w:r>
          </w:p>
        </w:tc>
      </w:tr>
      <w:tr w14:paraId="6BB2D6A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Merge w:val="continue"/>
            <w:vAlign w:val="center"/>
          </w:tcPr>
          <w:p w14:paraId="5B33F18C">
            <w:pPr>
              <w:pStyle w:val="46"/>
              <w:bidi w:val="0"/>
              <w:rPr>
                <w:rFonts w:hint="default" w:ascii="Times New Roman" w:hAnsi="Times New Roman" w:cs="Times New Roman"/>
                <w:color w:val="auto"/>
                <w:highlight w:val="none"/>
              </w:rPr>
            </w:pPr>
          </w:p>
        </w:tc>
        <w:tc>
          <w:tcPr>
            <w:tcW w:w="1247" w:type="pct"/>
            <w:vAlign w:val="center"/>
          </w:tcPr>
          <w:p w14:paraId="34B8BD2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南甸子六队分散式饮用水</w:t>
            </w:r>
          </w:p>
        </w:tc>
        <w:tc>
          <w:tcPr>
            <w:tcW w:w="1365" w:type="pct"/>
            <w:vAlign w:val="center"/>
          </w:tcPr>
          <w:p w14:paraId="2476EE3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南侧 670m</w:t>
            </w:r>
          </w:p>
        </w:tc>
        <w:tc>
          <w:tcPr>
            <w:tcW w:w="1929" w:type="pct"/>
            <w:vMerge w:val="continue"/>
            <w:vAlign w:val="center"/>
          </w:tcPr>
          <w:p w14:paraId="412381E2">
            <w:pPr>
              <w:pStyle w:val="46"/>
              <w:bidi w:val="0"/>
              <w:rPr>
                <w:rFonts w:hint="default" w:ascii="Times New Roman" w:hAnsi="Times New Roman" w:cs="Times New Roman"/>
                <w:color w:val="auto"/>
                <w:highlight w:val="none"/>
              </w:rPr>
            </w:pPr>
          </w:p>
        </w:tc>
      </w:tr>
      <w:tr w14:paraId="2B664C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7" w:type="pct"/>
            <w:vMerge w:val="continue"/>
            <w:vAlign w:val="center"/>
          </w:tcPr>
          <w:p w14:paraId="10194124">
            <w:pPr>
              <w:pStyle w:val="46"/>
              <w:bidi w:val="0"/>
              <w:rPr>
                <w:rFonts w:hint="default" w:ascii="Times New Roman" w:hAnsi="Times New Roman" w:cs="Times New Roman"/>
                <w:color w:val="auto"/>
                <w:highlight w:val="none"/>
              </w:rPr>
            </w:pPr>
          </w:p>
        </w:tc>
        <w:tc>
          <w:tcPr>
            <w:tcW w:w="1247" w:type="pct"/>
            <w:vAlign w:val="center"/>
          </w:tcPr>
          <w:p w14:paraId="79A3679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碎石厂分散式饮用水</w:t>
            </w:r>
          </w:p>
        </w:tc>
        <w:tc>
          <w:tcPr>
            <w:tcW w:w="1365" w:type="pct"/>
            <w:vAlign w:val="center"/>
          </w:tcPr>
          <w:p w14:paraId="0555B781">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东南侧 160m</w:t>
            </w:r>
          </w:p>
        </w:tc>
        <w:tc>
          <w:tcPr>
            <w:tcW w:w="1929" w:type="pct"/>
            <w:vMerge w:val="continue"/>
            <w:vAlign w:val="center"/>
          </w:tcPr>
          <w:p w14:paraId="20CC1B40">
            <w:pPr>
              <w:pStyle w:val="46"/>
              <w:bidi w:val="0"/>
              <w:rPr>
                <w:rFonts w:hint="default" w:ascii="Times New Roman" w:hAnsi="Times New Roman" w:cs="Times New Roman"/>
                <w:color w:val="auto"/>
                <w:highlight w:val="none"/>
              </w:rPr>
            </w:pPr>
          </w:p>
        </w:tc>
      </w:tr>
    </w:tbl>
    <w:p w14:paraId="75C9DA90">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运输道路两侧环境保护目标一览表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2"/>
        <w:gridCol w:w="1682"/>
        <w:gridCol w:w="754"/>
        <w:gridCol w:w="904"/>
        <w:gridCol w:w="1641"/>
        <w:gridCol w:w="2519"/>
      </w:tblGrid>
      <w:tr w14:paraId="04F7C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599" w:type="pct"/>
            <w:vMerge w:val="restart"/>
            <w:vAlign w:val="center"/>
          </w:tcPr>
          <w:p w14:paraId="5BD2BF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涉及环</w:t>
            </w:r>
          </w:p>
          <w:p w14:paraId="3F0B33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境要素</w:t>
            </w:r>
          </w:p>
        </w:tc>
        <w:tc>
          <w:tcPr>
            <w:tcW w:w="986" w:type="pct"/>
            <w:vMerge w:val="restart"/>
            <w:vAlign w:val="center"/>
          </w:tcPr>
          <w:p w14:paraId="2BCF26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环境保</w:t>
            </w:r>
          </w:p>
          <w:p w14:paraId="4501ED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护目标</w:t>
            </w:r>
          </w:p>
        </w:tc>
        <w:tc>
          <w:tcPr>
            <w:tcW w:w="972" w:type="pct"/>
            <w:gridSpan w:val="2"/>
            <w:vAlign w:val="center"/>
          </w:tcPr>
          <w:p w14:paraId="75F1DF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相对道路位置</w:t>
            </w:r>
          </w:p>
        </w:tc>
        <w:tc>
          <w:tcPr>
            <w:tcW w:w="962" w:type="pct"/>
            <w:vMerge w:val="restart"/>
            <w:vAlign w:val="center"/>
          </w:tcPr>
          <w:p w14:paraId="5B1A0DA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主要保护对象</w:t>
            </w:r>
          </w:p>
        </w:tc>
        <w:tc>
          <w:tcPr>
            <w:tcW w:w="1477" w:type="pct"/>
            <w:vMerge w:val="restart"/>
            <w:vAlign w:val="center"/>
          </w:tcPr>
          <w:p w14:paraId="118A62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保护内容</w:t>
            </w:r>
          </w:p>
        </w:tc>
      </w:tr>
      <w:tr w14:paraId="5A4BE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599" w:type="pct"/>
            <w:vMerge w:val="continue"/>
            <w:vAlign w:val="center"/>
          </w:tcPr>
          <w:p w14:paraId="2FA345FB">
            <w:pPr>
              <w:pStyle w:val="46"/>
              <w:bidi w:val="0"/>
              <w:rPr>
                <w:rFonts w:hint="default" w:ascii="Times New Roman" w:hAnsi="Times New Roman" w:cs="Times New Roman"/>
                <w:color w:val="auto"/>
                <w:highlight w:val="none"/>
              </w:rPr>
            </w:pPr>
          </w:p>
        </w:tc>
        <w:tc>
          <w:tcPr>
            <w:tcW w:w="986" w:type="pct"/>
            <w:vMerge w:val="continue"/>
            <w:vAlign w:val="center"/>
          </w:tcPr>
          <w:p w14:paraId="25C076B7">
            <w:pPr>
              <w:pStyle w:val="46"/>
              <w:bidi w:val="0"/>
              <w:rPr>
                <w:rFonts w:hint="default" w:ascii="Times New Roman" w:hAnsi="Times New Roman" w:cs="Times New Roman"/>
                <w:color w:val="auto"/>
                <w:highlight w:val="none"/>
              </w:rPr>
            </w:pPr>
          </w:p>
        </w:tc>
        <w:tc>
          <w:tcPr>
            <w:tcW w:w="442" w:type="pct"/>
            <w:vAlign w:val="center"/>
          </w:tcPr>
          <w:p w14:paraId="63971D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方位</w:t>
            </w:r>
          </w:p>
        </w:tc>
        <w:tc>
          <w:tcPr>
            <w:tcW w:w="530" w:type="pct"/>
            <w:vAlign w:val="center"/>
          </w:tcPr>
          <w:p w14:paraId="375C3A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tc>
        <w:tc>
          <w:tcPr>
            <w:tcW w:w="962" w:type="pct"/>
            <w:vMerge w:val="continue"/>
            <w:vAlign w:val="center"/>
          </w:tcPr>
          <w:p w14:paraId="684A34E0">
            <w:pPr>
              <w:pStyle w:val="46"/>
              <w:bidi w:val="0"/>
              <w:rPr>
                <w:rFonts w:hint="default" w:ascii="Times New Roman" w:hAnsi="Times New Roman" w:cs="Times New Roman"/>
                <w:color w:val="auto"/>
                <w:highlight w:val="none"/>
              </w:rPr>
            </w:pPr>
          </w:p>
        </w:tc>
        <w:tc>
          <w:tcPr>
            <w:tcW w:w="1477" w:type="pct"/>
            <w:vMerge w:val="continue"/>
            <w:vAlign w:val="center"/>
          </w:tcPr>
          <w:p w14:paraId="01DB6F5D">
            <w:pPr>
              <w:pStyle w:val="46"/>
              <w:bidi w:val="0"/>
              <w:rPr>
                <w:rFonts w:hint="default" w:ascii="Times New Roman" w:hAnsi="Times New Roman" w:cs="Times New Roman"/>
                <w:color w:val="auto"/>
                <w:highlight w:val="none"/>
              </w:rPr>
            </w:pPr>
          </w:p>
        </w:tc>
      </w:tr>
      <w:tr w14:paraId="7D3C5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599" w:type="pct"/>
            <w:vMerge w:val="restart"/>
            <w:vAlign w:val="center"/>
          </w:tcPr>
          <w:p w14:paraId="2D89CD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运输路线声环境、大气环境</w:t>
            </w:r>
          </w:p>
        </w:tc>
        <w:tc>
          <w:tcPr>
            <w:tcW w:w="986" w:type="pct"/>
            <w:vAlign w:val="center"/>
          </w:tcPr>
          <w:p w14:paraId="1A903DA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南甸子村六队</w:t>
            </w:r>
          </w:p>
        </w:tc>
        <w:tc>
          <w:tcPr>
            <w:tcW w:w="442" w:type="pct"/>
            <w:vAlign w:val="center"/>
          </w:tcPr>
          <w:p w14:paraId="2A9A7D33">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N、S</w:t>
            </w:r>
          </w:p>
        </w:tc>
        <w:tc>
          <w:tcPr>
            <w:tcW w:w="530" w:type="pct"/>
            <w:vAlign w:val="center"/>
          </w:tcPr>
          <w:p w14:paraId="03C1CA39">
            <w:pPr>
              <w:pStyle w:val="46"/>
              <w:bidi w:val="0"/>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5</w:t>
            </w:r>
          </w:p>
        </w:tc>
        <w:tc>
          <w:tcPr>
            <w:tcW w:w="962" w:type="pct"/>
            <w:vMerge w:val="restart"/>
            <w:vAlign w:val="center"/>
          </w:tcPr>
          <w:p w14:paraId="3C77A52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农村地区中人群较集中的区域</w:t>
            </w:r>
          </w:p>
        </w:tc>
        <w:tc>
          <w:tcPr>
            <w:tcW w:w="1477" w:type="pct"/>
            <w:vMerge w:val="restart"/>
            <w:vAlign w:val="center"/>
          </w:tcPr>
          <w:p w14:paraId="5506B4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《声环境质量标准》（GB3096-2008）表1中1类标准、《环境空气质量标准》（GB3095-2012）及修改单二级标准</w:t>
            </w:r>
          </w:p>
        </w:tc>
      </w:tr>
      <w:tr w14:paraId="4FE0D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599" w:type="pct"/>
            <w:vMerge w:val="continue"/>
            <w:vAlign w:val="center"/>
          </w:tcPr>
          <w:p w14:paraId="065C5D6D">
            <w:pPr>
              <w:pStyle w:val="46"/>
              <w:bidi w:val="0"/>
              <w:rPr>
                <w:rFonts w:hint="default" w:ascii="Times New Roman" w:hAnsi="Times New Roman" w:cs="Times New Roman"/>
                <w:color w:val="auto"/>
                <w:highlight w:val="none"/>
              </w:rPr>
            </w:pPr>
            <w:bookmarkStart w:id="137" w:name="OLE_LINK24" w:colFirst="1" w:colLast="3"/>
          </w:p>
        </w:tc>
        <w:tc>
          <w:tcPr>
            <w:tcW w:w="986" w:type="pct"/>
            <w:vAlign w:val="center"/>
          </w:tcPr>
          <w:p w14:paraId="637FD540">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南甸子村</w:t>
            </w:r>
          </w:p>
        </w:tc>
        <w:tc>
          <w:tcPr>
            <w:tcW w:w="442" w:type="pct"/>
            <w:vAlign w:val="center"/>
          </w:tcPr>
          <w:p w14:paraId="0F8B30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w:t>
            </w:r>
          </w:p>
        </w:tc>
        <w:tc>
          <w:tcPr>
            <w:tcW w:w="530" w:type="pct"/>
            <w:vAlign w:val="center"/>
          </w:tcPr>
          <w:p w14:paraId="19A50FA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962" w:type="pct"/>
            <w:vMerge w:val="continue"/>
            <w:vAlign w:val="center"/>
          </w:tcPr>
          <w:p w14:paraId="45535180">
            <w:pPr>
              <w:pStyle w:val="46"/>
              <w:bidi w:val="0"/>
              <w:rPr>
                <w:rFonts w:hint="default" w:ascii="Times New Roman" w:hAnsi="Times New Roman" w:cs="Times New Roman"/>
                <w:color w:val="auto"/>
                <w:highlight w:val="none"/>
              </w:rPr>
            </w:pPr>
          </w:p>
        </w:tc>
        <w:tc>
          <w:tcPr>
            <w:tcW w:w="1477" w:type="pct"/>
            <w:vMerge w:val="continue"/>
            <w:vAlign w:val="center"/>
          </w:tcPr>
          <w:p w14:paraId="6B25624B">
            <w:pPr>
              <w:pStyle w:val="46"/>
              <w:bidi w:val="0"/>
              <w:rPr>
                <w:rFonts w:hint="default" w:ascii="Times New Roman" w:hAnsi="Times New Roman" w:cs="Times New Roman"/>
                <w:color w:val="auto"/>
                <w:highlight w:val="none"/>
              </w:rPr>
            </w:pPr>
          </w:p>
        </w:tc>
      </w:tr>
      <w:bookmarkEnd w:id="137"/>
      <w:tr w14:paraId="2FEBB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99" w:type="pct"/>
            <w:vMerge w:val="continue"/>
            <w:vAlign w:val="center"/>
          </w:tcPr>
          <w:p w14:paraId="0819F879">
            <w:pPr>
              <w:pStyle w:val="46"/>
              <w:bidi w:val="0"/>
              <w:rPr>
                <w:rFonts w:hint="default" w:ascii="Times New Roman" w:hAnsi="Times New Roman" w:cs="Times New Roman"/>
                <w:color w:val="auto"/>
                <w:highlight w:val="none"/>
              </w:rPr>
            </w:pPr>
          </w:p>
        </w:tc>
        <w:tc>
          <w:tcPr>
            <w:tcW w:w="986" w:type="pct"/>
            <w:vAlign w:val="center"/>
          </w:tcPr>
          <w:p w14:paraId="49A83F76">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滴道区</w:t>
            </w:r>
          </w:p>
        </w:tc>
        <w:tc>
          <w:tcPr>
            <w:tcW w:w="442" w:type="pct"/>
            <w:vAlign w:val="center"/>
          </w:tcPr>
          <w:p w14:paraId="56975DB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w:t>
            </w:r>
          </w:p>
        </w:tc>
        <w:tc>
          <w:tcPr>
            <w:tcW w:w="530" w:type="pct"/>
            <w:vAlign w:val="center"/>
          </w:tcPr>
          <w:p w14:paraId="07F2489D">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962" w:type="pct"/>
            <w:vAlign w:val="center"/>
          </w:tcPr>
          <w:p w14:paraId="74D8656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居民区</w:t>
            </w:r>
          </w:p>
        </w:tc>
        <w:tc>
          <w:tcPr>
            <w:tcW w:w="1477" w:type="pct"/>
            <w:vAlign w:val="center"/>
          </w:tcPr>
          <w:p w14:paraId="2CB828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《声环境质量标准》（GB3096-2008）表1中2类标准、《环境空气质量标准》（GB3095-2012）及修改单二级标准</w:t>
            </w:r>
          </w:p>
        </w:tc>
      </w:tr>
    </w:tbl>
    <w:p w14:paraId="32C7E540">
      <w:pPr>
        <w:pStyle w:val="27"/>
        <w:bidi w:val="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CA9889B">
      <w:pPr>
        <w:pStyle w:val="2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8399780" cy="4497705"/>
            <wp:effectExtent l="0" t="0" r="1270" b="171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2"/>
                    <a:stretch>
                      <a:fillRect/>
                    </a:stretch>
                  </pic:blipFill>
                  <pic:spPr>
                    <a:xfrm>
                      <a:off x="0" y="0"/>
                      <a:ext cx="8399780" cy="4497705"/>
                    </a:xfrm>
                    <a:prstGeom prst="rect">
                      <a:avLst/>
                    </a:prstGeom>
                    <a:noFill/>
                    <a:ln>
                      <a:noFill/>
                    </a:ln>
                  </pic:spPr>
                </pic:pic>
              </a:graphicData>
            </a:graphic>
          </wp:inline>
        </w:drawing>
      </w:r>
    </w:p>
    <w:p w14:paraId="4AA5AA8C">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图2-8-1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评价范围及环境保护目标示意图</w:t>
      </w:r>
    </w:p>
    <w:p w14:paraId="3AF4546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404860" cy="4730115"/>
            <wp:effectExtent l="0" t="0" r="15240" b="13335"/>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23"/>
                    <a:stretch>
                      <a:fillRect/>
                    </a:stretch>
                  </pic:blipFill>
                  <pic:spPr>
                    <a:xfrm>
                      <a:off x="0" y="0"/>
                      <a:ext cx="8404860" cy="4730115"/>
                    </a:xfrm>
                    <a:prstGeom prst="rect">
                      <a:avLst/>
                    </a:prstGeom>
                    <a:noFill/>
                    <a:ln>
                      <a:noFill/>
                    </a:ln>
                  </pic:spPr>
                </pic:pic>
              </a:graphicData>
            </a:graphic>
          </wp:inline>
        </w:drawing>
      </w:r>
    </w:p>
    <w:p w14:paraId="1B29BD44">
      <w:pPr>
        <w:pStyle w:val="29"/>
        <w:bidi w:val="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highlight w:val="none"/>
        </w:rPr>
        <w:t>图2-8-</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运输路线图及环境保护目标示意图</w:t>
      </w:r>
    </w:p>
    <w:p w14:paraId="31163CA0">
      <w:pPr>
        <w:pStyle w:val="44"/>
        <w:rPr>
          <w:rFonts w:hint="default" w:ascii="Times New Roman" w:hAnsi="Times New Roman" w:cs="Times New Roman"/>
          <w:color w:val="auto"/>
          <w:highlight w:val="none"/>
        </w:rPr>
      </w:pPr>
      <w:bookmarkStart w:id="138" w:name="_Toc119316795"/>
      <w:bookmarkStart w:id="139" w:name="_Toc27582"/>
      <w:bookmarkStart w:id="140" w:name="_Toc23492"/>
      <w:bookmarkStart w:id="141" w:name="_Toc152926814"/>
      <w:r>
        <w:rPr>
          <w:rFonts w:hint="default" w:ascii="Times New Roman" w:hAnsi="Times New Roman" w:cs="Times New Roman"/>
          <w:color w:val="auto"/>
          <w:highlight w:val="none"/>
        </w:rPr>
        <w:t>3建设项目工程分析</w:t>
      </w:r>
      <w:bookmarkEnd w:id="138"/>
      <w:bookmarkEnd w:id="139"/>
      <w:bookmarkEnd w:id="140"/>
      <w:bookmarkEnd w:id="141"/>
      <w:r>
        <w:rPr>
          <w:rFonts w:hint="default" w:ascii="Times New Roman" w:hAnsi="Times New Roman" w:cs="Times New Roman"/>
          <w:color w:val="auto"/>
          <w:highlight w:val="none"/>
        </w:rPr>
        <w:t xml:space="preserve"> </w:t>
      </w:r>
    </w:p>
    <w:p w14:paraId="3D2098B2">
      <w:pPr>
        <w:pStyle w:val="43"/>
        <w:spacing w:before="156" w:beforeLines="50" w:after="156" w:afterLines="50"/>
        <w:rPr>
          <w:rFonts w:hint="default" w:ascii="Times New Roman" w:hAnsi="Times New Roman" w:cs="Times New Roman"/>
          <w:color w:val="auto"/>
          <w:highlight w:val="none"/>
        </w:rPr>
      </w:pPr>
      <w:bookmarkStart w:id="142" w:name="_Toc2724"/>
      <w:bookmarkStart w:id="143" w:name="_Toc152926815"/>
      <w:bookmarkStart w:id="144" w:name="_Toc119316796"/>
      <w:bookmarkStart w:id="145" w:name="_Toc23574"/>
      <w:r>
        <w:rPr>
          <w:rFonts w:hint="default" w:ascii="Times New Roman" w:hAnsi="Times New Roman" w:cs="Times New Roman"/>
          <w:color w:val="auto"/>
          <w:highlight w:val="none"/>
        </w:rPr>
        <w:t>3.1项目概况</w:t>
      </w:r>
      <w:bookmarkEnd w:id="142"/>
      <w:bookmarkEnd w:id="143"/>
      <w:bookmarkEnd w:id="144"/>
      <w:bookmarkEnd w:id="145"/>
    </w:p>
    <w:p w14:paraId="18429F2D">
      <w:pPr>
        <w:pStyle w:val="41"/>
        <w:keepNext w:val="0"/>
        <w:pageBreakBefore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bookmarkStart w:id="146" w:name="_Toc31171"/>
      <w:bookmarkStart w:id="147" w:name="_Toc113078920"/>
      <w:bookmarkStart w:id="148" w:name="_Toc182022280"/>
      <w:bookmarkStart w:id="149" w:name="_Toc112420350"/>
      <w:bookmarkStart w:id="150" w:name="_Toc118086779"/>
      <w:bookmarkStart w:id="151" w:name="_Toc4356"/>
      <w:bookmarkStart w:id="152" w:name="_Toc11758487"/>
      <w:r>
        <w:rPr>
          <w:rFonts w:hint="default" w:ascii="Times New Roman" w:hAnsi="Times New Roman" w:cs="Times New Roman"/>
          <w:color w:val="auto"/>
          <w:highlight w:val="none"/>
        </w:rPr>
        <w:t>3.1.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现有历史矿山现状</w:t>
      </w:r>
      <w:bookmarkEnd w:id="146"/>
    </w:p>
    <w:p w14:paraId="00061A59">
      <w:pPr>
        <w:pStyle w:val="27"/>
        <w:numPr>
          <w:ilvl w:val="0"/>
          <w:numId w:val="7"/>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现有场地概况</w:t>
      </w:r>
    </w:p>
    <w:p w14:paraId="1B3E548C">
      <w:pPr>
        <w:pStyle w:val="27"/>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本次拟回填复垦采坑位于鸡西市滴道区西8km处，行政区属鸡西市</w:t>
      </w:r>
      <w:r>
        <w:rPr>
          <w:rFonts w:hint="default" w:ascii="Times New Roman" w:hAnsi="Times New Roman" w:cs="Times New Roman"/>
          <w:color w:val="auto"/>
          <w:highlight w:val="none"/>
          <w:lang w:val="en-US" w:eastAsia="zh-CN"/>
        </w:rPr>
        <w:t>滴道区</w:t>
      </w:r>
      <w:r>
        <w:rPr>
          <w:rFonts w:hint="default" w:ascii="Times New Roman" w:hAnsi="Times New Roman" w:cs="Times New Roman"/>
          <w:color w:val="auto"/>
          <w:highlight w:val="none"/>
        </w:rPr>
        <w:t>，土地权属为鸡西市</w:t>
      </w:r>
      <w:r>
        <w:rPr>
          <w:rFonts w:hint="default" w:ascii="Times New Roman" w:hAnsi="Times New Roman" w:cs="Times New Roman"/>
          <w:color w:val="auto"/>
          <w:highlight w:val="none"/>
          <w:lang w:val="en-US" w:eastAsia="zh-CN"/>
        </w:rPr>
        <w:t>滴道南甸子碎石场</w:t>
      </w:r>
      <w:r>
        <w:rPr>
          <w:rFonts w:hint="default" w:ascii="Times New Roman" w:hAnsi="Times New Roman" w:cs="Times New Roman"/>
          <w:color w:val="auto"/>
          <w:highlight w:val="none"/>
        </w:rPr>
        <w:t>，采坑占地面积</w:t>
      </w:r>
      <w:r>
        <w:rPr>
          <w:rFonts w:hint="default" w:ascii="Times New Roman" w:hAnsi="Times New Roman" w:cs="Times New Roman"/>
          <w:color w:val="auto"/>
          <w:highlight w:val="none"/>
          <w:lang w:val="en-US" w:eastAsia="zh-CN"/>
        </w:rPr>
        <w:t>8.5303h</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。该露天采坑为</w:t>
      </w:r>
      <w:bookmarkStart w:id="153" w:name="_Hlk148100532"/>
      <w:r>
        <w:rPr>
          <w:rFonts w:hint="default" w:ascii="Times New Roman" w:hAnsi="Times New Roman" w:cs="Times New Roman"/>
          <w:color w:val="auto"/>
          <w:highlight w:val="none"/>
          <w:lang w:val="en-US" w:eastAsia="zh-CN"/>
        </w:rPr>
        <w:t>历史遗留的外部采坑及采石场压占土地面积58703m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及鸡西市滴道南甸子碎石场开采遗留的矿坑进行</w:t>
      </w:r>
      <w:r>
        <w:rPr>
          <w:rFonts w:hint="default" w:ascii="Times New Roman" w:hAnsi="Times New Roman" w:cs="Times New Roman"/>
          <w:color w:val="auto"/>
          <w:highlight w:val="none"/>
          <w:lang w:val="en-US" w:eastAsia="zh-CN"/>
        </w:rPr>
        <w:t>一并回填复垦，总计面积为85303m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采场近似六边形</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开采平均深度约</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m</w:t>
      </w:r>
      <w:bookmarkEnd w:id="153"/>
      <w:r>
        <w:rPr>
          <w:rFonts w:hint="default" w:ascii="Times New Roman" w:hAnsi="Times New Roman" w:cs="Times New Roman"/>
          <w:color w:val="auto"/>
          <w:highlight w:val="none"/>
        </w:rPr>
        <w:t>，容积</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。矿坑底部高程为</w:t>
      </w:r>
      <w:r>
        <w:rPr>
          <w:rFonts w:hint="default" w:ascii="Times New Roman" w:hAnsi="Times New Roman" w:cs="Times New Roman"/>
          <w:color w:val="auto"/>
          <w:highlight w:val="none"/>
          <w:lang w:val="en-US" w:eastAsia="zh-CN"/>
        </w:rPr>
        <w:t>316~327</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边坡标高327~346m，</w:t>
      </w:r>
      <w:r>
        <w:rPr>
          <w:rFonts w:hint="default" w:ascii="Times New Roman" w:hAnsi="Times New Roman" w:cs="Times New Roman"/>
          <w:color w:val="auto"/>
          <w:highlight w:val="none"/>
        </w:rPr>
        <w:t>经现场勘察，坑底无地下涌水形成的积水坑，现场无崩塌、滑坡、地面沉陷等地质环境问题。</w:t>
      </w:r>
    </w:p>
    <w:p w14:paraId="15D9A71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目前采坑属于荒废状态，底部全部为</w:t>
      </w:r>
      <w:r>
        <w:rPr>
          <w:rFonts w:hint="default" w:ascii="Times New Roman" w:hAnsi="Times New Roman" w:cs="Times New Roman"/>
          <w:color w:val="auto"/>
          <w:highlight w:val="none"/>
          <w:lang w:val="en-US" w:eastAsia="zh-CN"/>
        </w:rPr>
        <w:t>砂石层</w:t>
      </w:r>
      <w:r>
        <w:rPr>
          <w:rFonts w:hint="default" w:ascii="Times New Roman" w:hAnsi="Times New Roman" w:cs="Times New Roman"/>
          <w:color w:val="auto"/>
          <w:highlight w:val="none"/>
        </w:rPr>
        <w:t>，无粘土层，无天然防渗层。现状坑底存在少量碎石及覆盖有小部分杂草，在场地内没有发现残留化学品以及异常气味、表面金属析出等污染痕迹，该采坑现</w:t>
      </w:r>
      <w:r>
        <w:rPr>
          <w:rFonts w:hint="default" w:ascii="Times New Roman" w:hAnsi="Times New Roman" w:cs="Times New Roman"/>
          <w:color w:val="auto"/>
          <w:highlight w:val="none"/>
          <w:lang w:val="en-US" w:eastAsia="zh-CN"/>
        </w:rPr>
        <w:t>岩层</w:t>
      </w:r>
      <w:r>
        <w:rPr>
          <w:rFonts w:hint="default" w:ascii="Times New Roman" w:hAnsi="Times New Roman" w:cs="Times New Roman"/>
          <w:color w:val="auto"/>
          <w:highlight w:val="none"/>
        </w:rPr>
        <w:t>裸露，</w:t>
      </w:r>
      <w:r>
        <w:rPr>
          <w:rFonts w:hint="default" w:ascii="Times New Roman" w:hAnsi="Times New Roman" w:cs="Times New Roman"/>
          <w:color w:val="auto"/>
          <w:highlight w:val="none"/>
          <w:lang w:val="en-US" w:eastAsia="zh-CN"/>
        </w:rPr>
        <w:t>现采坑西侧设置300m长的截水沟，</w:t>
      </w:r>
      <w:r>
        <w:rPr>
          <w:rFonts w:hint="default" w:ascii="Times New Roman" w:hAnsi="Times New Roman" w:cs="Times New Roman"/>
          <w:color w:val="auto"/>
          <w:highlight w:val="none"/>
        </w:rPr>
        <w:t>根据地势流向低处逐渐汇入山脚排水渠，未形成积水坑。</w:t>
      </w:r>
    </w:p>
    <w:p w14:paraId="76FA4F8A">
      <w:pPr>
        <w:pStyle w:val="27"/>
        <w:numPr>
          <w:ilvl w:val="0"/>
          <w:numId w:val="7"/>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主要环境问题</w:t>
      </w:r>
    </w:p>
    <w:p w14:paraId="6FA08BDD">
      <w:pPr>
        <w:spacing w:line="360" w:lineRule="auto"/>
        <w:ind w:firstLine="480" w:firstLineChars="200"/>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color w:val="auto"/>
          <w:kern w:val="21"/>
          <w:sz w:val="24"/>
          <w:szCs w:val="24"/>
          <w:highlight w:val="none"/>
          <w:u w:val="none"/>
          <w:lang w:val="en-US" w:eastAsia="zh-CN" w:bidi="ar-SA"/>
        </w:rPr>
        <w:t>现有场地位于丘陵山区，地形起伏较大，由于多年开采，破坏了矿区的自然地貌景观和生态环境，改变了原有地形地貌，使原本林地或草地形成深坑，废弃场地呈不规则多边形，对周围景观的整体性造成了严重的影响，现有矿坑的存在造成了景观分割并对区域地表植被造成破坏。</w:t>
      </w:r>
    </w:p>
    <w:p w14:paraId="3ACA6CE9">
      <w:pPr>
        <w:spacing w:line="360" w:lineRule="auto"/>
        <w:ind w:firstLine="480" w:firstLineChars="200"/>
        <w:rPr>
          <w:rFonts w:hint="default" w:ascii="Times New Roman" w:hAnsi="Times New Roman" w:cs="Times New Roman"/>
          <w:snapToGrid w:val="0"/>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val="0"/>
          <w:color w:val="auto"/>
          <w:kern w:val="21"/>
          <w:sz w:val="24"/>
          <w:szCs w:val="24"/>
          <w:highlight w:val="none"/>
          <w:u w:val="none"/>
          <w:lang w:val="en-US" w:eastAsia="zh-CN" w:bidi="ar-SA"/>
        </w:rPr>
        <w:t>由于开采</w:t>
      </w:r>
      <w:r>
        <w:rPr>
          <w:rFonts w:hint="default" w:ascii="Times New Roman" w:hAnsi="Times New Roman" w:eastAsia="宋体" w:cs="Times New Roman"/>
          <w:b w:val="0"/>
          <w:color w:val="auto"/>
          <w:kern w:val="21"/>
          <w:sz w:val="24"/>
          <w:highlight w:val="none"/>
          <w:u w:val="none"/>
          <w:shd w:val="clear" w:color="auto" w:fill="auto"/>
          <w:lang w:val="en-US" w:eastAsia="zh-CN"/>
        </w:rPr>
        <w:t>使大量的土壤剥离破坏，地表裸露，破坏了地表生长的植被，同时也使土地资源丧失了种植的基本功能，损毁土地资源较严重，导致大面积土地废弃，长期无法利用。</w:t>
      </w:r>
    </w:p>
    <w:p w14:paraId="268EC4F3">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bookmarkEnd w:id="147"/>
      <w:bookmarkEnd w:id="148"/>
      <w:bookmarkEnd w:id="149"/>
      <w:bookmarkEnd w:id="150"/>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项目名称及基本组成</w:t>
      </w:r>
      <w:bookmarkEnd w:id="151"/>
      <w:bookmarkEnd w:id="152"/>
    </w:p>
    <w:p w14:paraId="1830E3C4">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项目名称：鸡西市</w:t>
      </w:r>
      <w:r>
        <w:rPr>
          <w:rFonts w:hint="default" w:ascii="Times New Roman" w:hAnsi="Times New Roman" w:cs="Times New Roman"/>
          <w:color w:val="auto"/>
          <w:highlight w:val="none"/>
          <w:lang w:val="en-US" w:eastAsia="zh-CN"/>
        </w:rPr>
        <w:t>滴道南甸子碎石场矿山复垦项目</w:t>
      </w:r>
    </w:p>
    <w:p w14:paraId="3173EFC2">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项目建设单位：鸡西市</w:t>
      </w:r>
      <w:r>
        <w:rPr>
          <w:rFonts w:hint="default" w:ascii="Times New Roman" w:hAnsi="Times New Roman" w:cs="Times New Roman"/>
          <w:color w:val="auto"/>
          <w:highlight w:val="none"/>
          <w:lang w:val="en-US" w:eastAsia="zh-CN"/>
        </w:rPr>
        <w:t>滴道南甸子碎石场</w:t>
      </w:r>
    </w:p>
    <w:p w14:paraId="47C1AD8F">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项目性质：新建</w:t>
      </w:r>
    </w:p>
    <w:p w14:paraId="6C2C16BF">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建设地点：</w:t>
      </w:r>
      <w:r>
        <w:rPr>
          <w:rFonts w:hint="default" w:ascii="Times New Roman" w:hAnsi="Times New Roman" w:cs="Times New Roman"/>
          <w:color w:val="auto"/>
          <w:sz w:val="24"/>
          <w:szCs w:val="24"/>
          <w:highlight w:val="none"/>
        </w:rPr>
        <w:t>鸡西市滴道区西8km处</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中心经纬度坐标130.74993300°，45.34300990°</w:t>
      </w:r>
    </w:p>
    <w:p w14:paraId="72718862">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工程投资：</w:t>
      </w:r>
      <w:r>
        <w:rPr>
          <w:rFonts w:hint="default" w:ascii="Times New Roman" w:hAnsi="Times New Roman" w:cs="Times New Roman"/>
          <w:snapToGrid w:val="0"/>
          <w:color w:val="auto"/>
          <w:highlight w:val="none"/>
          <w:lang w:val="en-US" w:eastAsia="zh-CN"/>
        </w:rPr>
        <w:t>52.29</w:t>
      </w:r>
      <w:r>
        <w:rPr>
          <w:rFonts w:hint="default" w:ascii="Times New Roman" w:hAnsi="Times New Roman" w:cs="Times New Roman"/>
          <w:snapToGrid w:val="0"/>
          <w:color w:val="auto"/>
          <w:highlight w:val="none"/>
        </w:rPr>
        <w:t>万元</w:t>
      </w:r>
    </w:p>
    <w:p w14:paraId="088A0021">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占地面积：</w:t>
      </w:r>
      <w:bookmarkStart w:id="154" w:name="OLE_LINK19"/>
      <w:r>
        <w:rPr>
          <w:rFonts w:hint="default" w:ascii="Times New Roman" w:hAnsi="Times New Roman" w:cs="Times New Roman"/>
          <w:snapToGrid w:val="0"/>
          <w:color w:val="auto"/>
          <w:highlight w:val="none"/>
          <w:lang w:val="en-US" w:eastAsia="zh-CN"/>
        </w:rPr>
        <w:t>本项目复垦</w:t>
      </w:r>
      <w:r>
        <w:rPr>
          <w:rFonts w:hint="default" w:ascii="Times New Roman" w:hAnsi="Times New Roman" w:cs="Times New Roman"/>
          <w:snapToGrid w:val="0"/>
          <w:color w:val="auto"/>
          <w:highlight w:val="none"/>
        </w:rPr>
        <w:t>面积为</w:t>
      </w:r>
      <w:r>
        <w:rPr>
          <w:rFonts w:hint="default" w:ascii="Times New Roman" w:hAnsi="Times New Roman" w:cs="Times New Roman"/>
          <w:snapToGrid w:val="0"/>
          <w:color w:val="auto"/>
          <w:highlight w:val="none"/>
          <w:lang w:val="en-US" w:eastAsia="zh-CN"/>
        </w:rPr>
        <w:t>8.5303</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bookmarkEnd w:id="154"/>
    </w:p>
    <w:p w14:paraId="3133B473">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建设内容：主要包括场地平整工程</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防渗工程、</w:t>
      </w:r>
      <w:r>
        <w:rPr>
          <w:rFonts w:hint="default" w:ascii="Times New Roman" w:hAnsi="Times New Roman" w:cs="Times New Roman"/>
          <w:snapToGrid w:val="0"/>
          <w:color w:val="auto"/>
          <w:highlight w:val="none"/>
        </w:rPr>
        <w:t>回填工程</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植被恢复工程</w:t>
      </w:r>
      <w:r>
        <w:rPr>
          <w:rFonts w:hint="eastAsia" w:cs="Times New Roman"/>
          <w:snapToGrid w:val="0"/>
          <w:color w:val="auto"/>
          <w:highlight w:val="none"/>
          <w:lang w:val="en-US" w:eastAsia="zh-CN"/>
        </w:rPr>
        <w:t>等内容</w:t>
      </w:r>
      <w:r>
        <w:rPr>
          <w:rFonts w:hint="default" w:ascii="Times New Roman" w:hAnsi="Times New Roman" w:cs="Times New Roman"/>
          <w:snapToGrid w:val="0"/>
          <w:color w:val="auto"/>
          <w:highlight w:val="none"/>
        </w:rPr>
        <w:t>。</w:t>
      </w:r>
    </w:p>
    <w:p w14:paraId="01AD8240">
      <w:pPr>
        <w:pStyle w:val="27"/>
        <w:keepNext w:val="0"/>
        <w:pageBreakBefore w:val="0"/>
        <w:kinsoku/>
        <w:wordWrap/>
        <w:overflowPunct/>
        <w:topLinePunct w:val="0"/>
        <w:autoSpaceDE/>
        <w:autoSpaceDN/>
        <w:bidi w:val="0"/>
        <w:adjustRightInd w:val="0"/>
        <w:snapToGrid w:val="0"/>
        <w:spacing w:line="360" w:lineRule="auto"/>
        <w:ind w:firstLine="480"/>
        <w:textAlignment w:val="auto"/>
        <w:rPr>
          <w:rStyle w:val="28"/>
          <w:rFonts w:hint="default" w:ascii="Times New Roman" w:hAnsi="Times New Roman" w:cs="Times New Roman"/>
          <w:color w:val="auto"/>
          <w:highlight w:val="none"/>
        </w:rPr>
      </w:pPr>
      <w:r>
        <w:rPr>
          <w:rFonts w:hint="default" w:ascii="Times New Roman" w:hAnsi="Times New Roman" w:cs="Times New Roman"/>
          <w:snapToGrid w:val="0"/>
          <w:color w:val="auto"/>
          <w:highlight w:val="none"/>
          <w:lang w:val="en-US" w:eastAsia="zh-CN"/>
        </w:rPr>
        <w:t>施工期</w:t>
      </w:r>
      <w:r>
        <w:rPr>
          <w:rFonts w:hint="default" w:ascii="Times New Roman" w:hAnsi="Times New Roman"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约5</w:t>
      </w:r>
      <w:r>
        <w:rPr>
          <w:rFonts w:hint="default" w:ascii="Times New Roman" w:hAnsi="Times New Roman" w:cs="Times New Roman"/>
          <w:snapToGrid w:val="0"/>
          <w:color w:val="auto"/>
          <w:highlight w:val="none"/>
        </w:rPr>
        <w:t>人</w:t>
      </w:r>
      <w:r>
        <w:rPr>
          <w:rFonts w:hint="default" w:ascii="Times New Roman" w:hAnsi="Times New Roman" w:cs="Times New Roman"/>
          <w:bCs/>
          <w:color w:val="auto"/>
          <w:highlight w:val="none"/>
        </w:rPr>
        <w:t>，施工现场</w:t>
      </w:r>
      <w:r>
        <w:rPr>
          <w:rFonts w:hint="default" w:ascii="Times New Roman" w:hAnsi="Times New Roman" w:cs="Times New Roman"/>
          <w:color w:val="auto"/>
          <w:highlight w:val="none"/>
        </w:rPr>
        <w:t>不设生活区。</w:t>
      </w:r>
      <w:bookmarkStart w:id="155" w:name="_Hlk148099561"/>
      <w:r>
        <w:rPr>
          <w:rFonts w:hint="default" w:ascii="Times New Roman" w:hAnsi="Times New Roman" w:cs="Times New Roman"/>
          <w:bCs/>
          <w:color w:val="auto"/>
          <w:highlight w:val="none"/>
        </w:rPr>
        <w:t>年工作</w:t>
      </w:r>
      <w:r>
        <w:rPr>
          <w:rFonts w:hint="default" w:ascii="Times New Roman" w:hAnsi="Times New Roman" w:cs="Times New Roman"/>
          <w:bCs/>
          <w:color w:val="auto"/>
          <w:highlight w:val="none"/>
          <w:lang w:val="en-US" w:eastAsia="zh-CN"/>
        </w:rPr>
        <w:t>330</w:t>
      </w:r>
      <w:r>
        <w:rPr>
          <w:rFonts w:hint="default" w:ascii="Times New Roman" w:hAnsi="Times New Roman" w:cs="Times New Roman"/>
          <w:bCs/>
          <w:color w:val="auto"/>
          <w:highlight w:val="none"/>
        </w:rPr>
        <w:t>天，</w:t>
      </w:r>
      <w:r>
        <w:rPr>
          <w:rFonts w:hint="default" w:ascii="Times New Roman" w:hAnsi="Times New Roman" w:cs="Times New Roman"/>
          <w:bCs/>
          <w:color w:val="auto"/>
          <w:highlight w:val="none"/>
          <w:lang w:val="en-US" w:eastAsia="zh-CN"/>
        </w:rPr>
        <w:t>一</w:t>
      </w:r>
      <w:r>
        <w:rPr>
          <w:rFonts w:hint="default" w:ascii="Times New Roman" w:hAnsi="Times New Roman" w:cs="Times New Roman"/>
          <w:bCs/>
          <w:color w:val="auto"/>
          <w:highlight w:val="none"/>
        </w:rPr>
        <w:t>班制</w:t>
      </w:r>
      <w:bookmarkEnd w:id="155"/>
      <w:r>
        <w:rPr>
          <w:rFonts w:hint="default" w:ascii="Times New Roman" w:hAnsi="Times New Roman" w:cs="Times New Roman"/>
          <w:bCs/>
          <w:color w:val="auto"/>
          <w:highlight w:val="none"/>
        </w:rPr>
        <w:t>，</w:t>
      </w:r>
      <w:r>
        <w:rPr>
          <w:rStyle w:val="28"/>
          <w:rFonts w:hint="default" w:ascii="Times New Roman" w:hAnsi="Times New Roman" w:cs="Times New Roman"/>
          <w:color w:val="auto"/>
          <w:highlight w:val="none"/>
        </w:rPr>
        <w:t>每班8小时。</w:t>
      </w:r>
    </w:p>
    <w:p w14:paraId="279E7E0A">
      <w:pPr>
        <w:pStyle w:val="27"/>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bCs/>
          <w:color w:val="auto"/>
          <w:highlight w:val="none"/>
        </w:rPr>
        <w:t>本工程</w:t>
      </w:r>
      <w:r>
        <w:rPr>
          <w:rFonts w:hint="default" w:ascii="Times New Roman" w:hAnsi="Times New Roman" w:cs="Times New Roman"/>
          <w:bCs/>
          <w:color w:val="auto"/>
          <w:highlight w:val="none"/>
          <w:lang w:val="en-US" w:eastAsia="zh-CN"/>
        </w:rPr>
        <w:t>生态恢复期</w:t>
      </w:r>
      <w:r>
        <w:rPr>
          <w:rFonts w:hint="default" w:ascii="Times New Roman" w:hAnsi="Times New Roman" w:cs="Times New Roman"/>
          <w:bCs/>
          <w:color w:val="auto"/>
          <w:highlight w:val="none"/>
        </w:rPr>
        <w:t>由鸡西市</w:t>
      </w:r>
      <w:r>
        <w:rPr>
          <w:rFonts w:hint="default" w:ascii="Times New Roman" w:hAnsi="Times New Roman" w:cs="Times New Roman"/>
          <w:bCs/>
          <w:color w:val="auto"/>
          <w:highlight w:val="none"/>
          <w:lang w:val="en-US" w:eastAsia="zh-CN"/>
        </w:rPr>
        <w:t>滴道南甸子碎石场</w:t>
      </w:r>
      <w:r>
        <w:rPr>
          <w:rFonts w:hint="default" w:ascii="Times New Roman" w:hAnsi="Times New Roman" w:cs="Times New Roman"/>
          <w:bCs/>
          <w:color w:val="auto"/>
          <w:highlight w:val="none"/>
        </w:rPr>
        <w:t>内部调配，定期赴场地进行巡检。</w:t>
      </w:r>
    </w:p>
    <w:p w14:paraId="06560C72">
      <w:pPr>
        <w:pStyle w:val="27"/>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建设周期：</w:t>
      </w:r>
      <w:r>
        <w:rPr>
          <w:rFonts w:hint="default" w:ascii="Times New Roman" w:hAnsi="Times New Roman" w:cs="Times New Roman"/>
          <w:color w:val="auto"/>
          <w:highlight w:val="none"/>
        </w:rPr>
        <w:t>项目建设期</w:t>
      </w:r>
      <w:r>
        <w:rPr>
          <w:rFonts w:hint="default" w:ascii="Times New Roman" w:hAnsi="Times New Roman" w:cs="Times New Roman"/>
          <w:color w:val="auto"/>
          <w:highlight w:val="none"/>
          <w:lang w:val="en-US" w:eastAsia="zh-CN"/>
        </w:rPr>
        <w:t>48</w:t>
      </w:r>
      <w:r>
        <w:rPr>
          <w:rFonts w:hint="default" w:ascii="Times New Roman" w:hAnsi="Times New Roman" w:cs="Times New Roman"/>
          <w:color w:val="auto"/>
          <w:highlight w:val="none"/>
        </w:rPr>
        <w:t>个月</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月至202</w:t>
      </w:r>
      <w:r>
        <w:rPr>
          <w:rFonts w:hint="default" w:ascii="Times New Roman" w:hAnsi="Times New Roman" w:cs="Times New Roman"/>
          <w:snapToGrid w:val="0"/>
          <w:color w:val="auto"/>
          <w:highlight w:val="none"/>
          <w:lang w:val="en-US" w:eastAsia="zh-CN"/>
        </w:rPr>
        <w:t>9</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月。</w:t>
      </w:r>
    </w:p>
    <w:p w14:paraId="7190BD76">
      <w:pPr>
        <w:pStyle w:val="41"/>
        <w:rPr>
          <w:rFonts w:hint="default" w:ascii="Times New Roman" w:hAnsi="Times New Roman" w:cs="Times New Roman"/>
          <w:color w:val="auto"/>
          <w:highlight w:val="none"/>
        </w:rPr>
      </w:pPr>
      <w:bookmarkStart w:id="156" w:name="_Toc7323"/>
      <w:bookmarkStart w:id="157" w:name="_Toc15991641"/>
      <w:r>
        <w:rPr>
          <w:rFonts w:hint="default" w:ascii="Times New Roman" w:hAnsi="Times New Roman" w:cs="Times New Roman"/>
          <w:color w:val="auto"/>
          <w:highlight w:val="none"/>
        </w:rPr>
        <w:t>3.1.3建设规模及建设内容</w:t>
      </w:r>
      <w:bookmarkEnd w:id="156"/>
      <w:bookmarkEnd w:id="157"/>
    </w:p>
    <w:p w14:paraId="7E068A87">
      <w:pPr>
        <w:pStyle w:val="48"/>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本项目利用大唐鸡西第二热电有限公司所产生的粉煤灰对</w:t>
      </w:r>
      <w:r>
        <w:rPr>
          <w:rFonts w:hint="default" w:ascii="Times New Roman" w:hAnsi="Times New Roman" w:cs="Times New Roman"/>
          <w:color w:val="auto"/>
          <w:spacing w:val="-4"/>
          <w:highlight w:val="none"/>
        </w:rPr>
        <w:t>废弃采坑进行回填</w:t>
      </w:r>
      <w:r>
        <w:rPr>
          <w:rFonts w:hint="default" w:ascii="Times New Roman" w:hAnsi="Times New Roman" w:cs="Times New Roman"/>
          <w:color w:val="auto"/>
          <w:highlight w:val="none"/>
        </w:rPr>
        <w:t>，总修复废弃采坑占地面积</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。本项目总回填粉煤灰量为</w:t>
      </w:r>
      <w:r>
        <w:rPr>
          <w:rFonts w:hint="default" w:ascii="Times New Roman" w:hAnsi="Times New Roman" w:cs="Times New Roman"/>
          <w:color w:val="auto"/>
          <w:highlight w:val="none"/>
          <w:lang w:val="en-US" w:eastAsia="zh-CN"/>
        </w:rPr>
        <w:t>81.41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，粉煤灰密度为1.3g/cm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，回填区总</w:t>
      </w:r>
      <w:r>
        <w:rPr>
          <w:rFonts w:hint="default" w:ascii="Times New Roman" w:hAnsi="Times New Roman" w:cs="Times New Roman"/>
          <w:color w:val="auto"/>
          <w:highlight w:val="none"/>
          <w:lang w:val="en-US" w:eastAsia="zh-CN"/>
        </w:rPr>
        <w:t>回填</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105.9</w:t>
      </w:r>
      <w:r>
        <w:rPr>
          <w:rFonts w:hint="default" w:ascii="Times New Roman" w:hAnsi="Times New Roman" w:cs="Times New Roman"/>
          <w:color w:val="auto"/>
          <w:highlight w:val="none"/>
        </w:rPr>
        <w:t>万t，回填期</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年，回填后进行生态恢复治理，回填至与地平面持平后按标准要求进行土地复垦恢复成耕地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highlight w:val="none"/>
        </w:rPr>
        <w:t>有效土层厚度不低于80cm，</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有效土层厚度不低于</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0cm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土壤质量应满足《土壤环境质量 农用地土壤污染风险管控标准（试行）》（GB15618-2018）要求，土地复垦实施过程应满足《土地复垦质量控制标准》（TD/T1036-2013）规定的相关土地复垦质量控制要求。</w:t>
      </w:r>
    </w:p>
    <w:p w14:paraId="673A1918">
      <w:pPr>
        <w:pStyle w:val="48"/>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本项目建设内容分为场地平整、基础</w:t>
      </w:r>
      <w:r>
        <w:rPr>
          <w:rFonts w:hint="default" w:ascii="Times New Roman" w:hAnsi="Times New Roman" w:cs="Times New Roman"/>
          <w:color w:val="auto"/>
          <w:highlight w:val="none"/>
          <w:lang w:val="en-US" w:eastAsia="zh-CN"/>
        </w:rPr>
        <w:t>工程、防渗工程、回填工程等</w:t>
      </w:r>
      <w:r>
        <w:rPr>
          <w:rFonts w:hint="default" w:ascii="Times New Roman" w:hAnsi="Times New Roman" w:cs="Times New Roman"/>
          <w:color w:val="auto"/>
          <w:highlight w:val="none"/>
        </w:rPr>
        <w:t>。</w:t>
      </w:r>
    </w:p>
    <w:p w14:paraId="18185141">
      <w:pPr>
        <w:pStyle w:val="27"/>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具体建设内容见表3-1-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p>
    <w:p w14:paraId="10BF279F">
      <w:pPr>
        <w:pStyle w:val="29"/>
        <w:bidi w:val="0"/>
        <w:rPr>
          <w:rFonts w:hint="default" w:ascii="Times New Roman" w:hAnsi="Times New Roman" w:cs="Times New Roman"/>
          <w:color w:val="auto"/>
          <w:highlight w:val="none"/>
        </w:rPr>
      </w:pPr>
    </w:p>
    <w:p w14:paraId="41CA2DF4">
      <w:pPr>
        <w:pStyle w:val="29"/>
        <w:bidi w:val="0"/>
        <w:rPr>
          <w:rFonts w:hint="default" w:ascii="Times New Roman" w:hAnsi="Times New Roman" w:cs="Times New Roman"/>
          <w:color w:val="auto"/>
          <w:highlight w:val="none"/>
        </w:rPr>
      </w:pPr>
    </w:p>
    <w:p w14:paraId="77F1E5B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 xml:space="preserve">1 </w:t>
      </w:r>
      <w:r>
        <w:rPr>
          <w:rFonts w:hint="default" w:ascii="Times New Roman" w:hAnsi="Times New Roman" w:cs="Times New Roman"/>
          <w:color w:val="auto"/>
          <w:highlight w:val="none"/>
        </w:rPr>
        <w:t>工程组成一览表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1"/>
        <w:gridCol w:w="323"/>
        <w:gridCol w:w="1118"/>
        <w:gridCol w:w="6217"/>
        <w:gridCol w:w="433"/>
      </w:tblGrid>
      <w:tr w14:paraId="37172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pct"/>
            <w:gridSpan w:val="2"/>
            <w:tcBorders>
              <w:tl2br w:val="nil"/>
              <w:tr2bl w:val="nil"/>
            </w:tcBorders>
            <w:vAlign w:val="center"/>
          </w:tcPr>
          <w:p w14:paraId="406B751A">
            <w:pPr>
              <w:pStyle w:val="46"/>
              <w:bidi w:val="0"/>
              <w:rPr>
                <w:rFonts w:hint="default" w:ascii="Times New Roman" w:hAnsi="Times New Roman" w:cs="Times New Roman"/>
                <w:color w:val="auto"/>
                <w:highlight w:val="none"/>
              </w:rPr>
            </w:pPr>
            <w:bookmarkStart w:id="158" w:name="_Hlk527725606"/>
            <w:r>
              <w:rPr>
                <w:rFonts w:hint="default" w:ascii="Times New Roman" w:hAnsi="Times New Roman" w:cs="Times New Roman"/>
                <w:color w:val="auto"/>
                <w:highlight w:val="none"/>
              </w:rPr>
              <w:t>工程类别</w:t>
            </w:r>
          </w:p>
        </w:tc>
        <w:tc>
          <w:tcPr>
            <w:tcW w:w="655" w:type="pct"/>
            <w:tcBorders>
              <w:tl2br w:val="nil"/>
              <w:tr2bl w:val="nil"/>
            </w:tcBorders>
            <w:vAlign w:val="center"/>
          </w:tcPr>
          <w:p w14:paraId="41D6EA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工程名称</w:t>
            </w:r>
          </w:p>
        </w:tc>
        <w:tc>
          <w:tcPr>
            <w:tcW w:w="3647" w:type="pct"/>
            <w:tcBorders>
              <w:tl2br w:val="nil"/>
              <w:tr2bl w:val="nil"/>
            </w:tcBorders>
            <w:vAlign w:val="center"/>
          </w:tcPr>
          <w:p w14:paraId="533048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w:t>
            </w:r>
          </w:p>
        </w:tc>
        <w:tc>
          <w:tcPr>
            <w:tcW w:w="254" w:type="pct"/>
            <w:tcBorders>
              <w:tl2br w:val="nil"/>
              <w:tr2bl w:val="nil"/>
            </w:tcBorders>
            <w:vAlign w:val="center"/>
          </w:tcPr>
          <w:p w14:paraId="4C9AF3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2E118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3" w:hRule="atLeast"/>
          <w:jc w:val="center"/>
        </w:trPr>
        <w:tc>
          <w:tcPr>
            <w:tcW w:w="442" w:type="pct"/>
            <w:gridSpan w:val="2"/>
            <w:vMerge w:val="restart"/>
            <w:tcBorders>
              <w:tl2br w:val="nil"/>
              <w:tr2bl w:val="nil"/>
            </w:tcBorders>
            <w:vAlign w:val="center"/>
          </w:tcPr>
          <w:p w14:paraId="5D7C9C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主体</w:t>
            </w:r>
          </w:p>
          <w:p w14:paraId="514154D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55" w:type="pct"/>
            <w:tcBorders>
              <w:tl2br w:val="nil"/>
              <w:tr2bl w:val="nil"/>
            </w:tcBorders>
            <w:vAlign w:val="center"/>
          </w:tcPr>
          <w:p w14:paraId="5D8E54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场地平整</w:t>
            </w:r>
          </w:p>
        </w:tc>
        <w:tc>
          <w:tcPr>
            <w:tcW w:w="3647" w:type="pct"/>
            <w:tcBorders>
              <w:tl2br w:val="nil"/>
              <w:tr2bl w:val="nil"/>
            </w:tcBorders>
            <w:vAlign w:val="center"/>
          </w:tcPr>
          <w:p w14:paraId="45B07D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项目基底清理主要为清理矿坑内的杂草、草木根茎、杂物等，处理后的场底基础面达到平整、坚实、无裂缝、无松土，坡面稳定，过渡平缓。</w:t>
            </w:r>
          </w:p>
        </w:tc>
        <w:tc>
          <w:tcPr>
            <w:tcW w:w="254" w:type="pct"/>
            <w:tcBorders>
              <w:tl2br w:val="nil"/>
              <w:tr2bl w:val="nil"/>
            </w:tcBorders>
            <w:vAlign w:val="center"/>
          </w:tcPr>
          <w:p w14:paraId="0647A0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4D639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442" w:type="pct"/>
            <w:gridSpan w:val="2"/>
            <w:vMerge w:val="continue"/>
            <w:tcBorders>
              <w:tl2br w:val="nil"/>
              <w:tr2bl w:val="nil"/>
            </w:tcBorders>
            <w:vAlign w:val="center"/>
          </w:tcPr>
          <w:p w14:paraId="3E2CAED4">
            <w:pPr>
              <w:pStyle w:val="46"/>
              <w:bidi w:val="0"/>
              <w:rPr>
                <w:rFonts w:hint="default" w:ascii="Times New Roman" w:hAnsi="Times New Roman" w:cs="Times New Roman"/>
                <w:color w:val="auto"/>
                <w:highlight w:val="none"/>
              </w:rPr>
            </w:pPr>
            <w:bookmarkStart w:id="159" w:name="_Hlk152785092"/>
            <w:bookmarkStart w:id="160" w:name="_Hlk148452466"/>
          </w:p>
        </w:tc>
        <w:tc>
          <w:tcPr>
            <w:tcW w:w="655" w:type="pct"/>
            <w:tcBorders>
              <w:tl2br w:val="nil"/>
              <w:tr2bl w:val="nil"/>
            </w:tcBorders>
            <w:vAlign w:val="center"/>
          </w:tcPr>
          <w:p w14:paraId="46F19E7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防渗工程</w:t>
            </w:r>
          </w:p>
        </w:tc>
        <w:tc>
          <w:tcPr>
            <w:tcW w:w="3647" w:type="pct"/>
            <w:tcBorders>
              <w:tl2br w:val="nil"/>
              <w:tr2bl w:val="nil"/>
            </w:tcBorders>
            <w:vAlign w:val="center"/>
          </w:tcPr>
          <w:p w14:paraId="064696FD">
            <w:pPr>
              <w:pStyle w:val="46"/>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项目场底清理后场底基础铺设30cm厚的改性压实粘土压实作为基础层，并定期由勘测单位对其检测，其防渗性能满足渗透系数为1.0×10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cm/s且厚度为0.75m的天然基础层后方可回填。粘土压实量为11536m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场边坡防渗采用粘土填筑压实，防渗材料采用600g/m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长纤无纺土工布+1.5mm厚HDPE防渗膜作为人工合成衬层。需保证防渗要求满足《一般工业固体废物贮存和填埋污染控制标准》（GB 18599-2020）</w:t>
            </w:r>
          </w:p>
          <w:p w14:paraId="7E314CBC">
            <w:pPr>
              <w:pStyle w:val="46"/>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淋溶水暂存池要求防渗技术为等效黏土防渗层Mb≥6.0 m，K≤1×10</w:t>
            </w:r>
            <w:r>
              <w:rPr>
                <w:rFonts w:hint="default" w:ascii="Times New Roman" w:hAnsi="Times New Roman" w:cs="Times New Roman"/>
                <w:color w:val="auto"/>
                <w:highlight w:val="none"/>
                <w:vertAlign w:val="superscript"/>
                <w:lang w:val="en-US" w:eastAsia="zh-CN"/>
              </w:rPr>
              <w:t>-7</w:t>
            </w:r>
            <w:r>
              <w:rPr>
                <w:rFonts w:hint="default" w:ascii="Times New Roman" w:hAnsi="Times New Roman" w:cs="Times New Roman"/>
                <w:color w:val="auto"/>
                <w:highlight w:val="none"/>
                <w:lang w:val="en-US" w:eastAsia="zh-CN"/>
              </w:rPr>
              <w:t xml:space="preserve"> cm/s，</w:t>
            </w:r>
          </w:p>
        </w:tc>
        <w:tc>
          <w:tcPr>
            <w:tcW w:w="254" w:type="pct"/>
            <w:tcBorders>
              <w:tl2br w:val="nil"/>
              <w:tr2bl w:val="nil"/>
            </w:tcBorders>
            <w:vAlign w:val="center"/>
          </w:tcPr>
          <w:p w14:paraId="073F94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新建</w:t>
            </w:r>
          </w:p>
        </w:tc>
      </w:tr>
      <w:bookmarkEnd w:id="159"/>
      <w:bookmarkEnd w:id="160"/>
      <w:tr w14:paraId="2CEF7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42" w:type="pct"/>
            <w:gridSpan w:val="2"/>
            <w:vMerge w:val="continue"/>
            <w:tcBorders>
              <w:tl2br w:val="nil"/>
              <w:tr2bl w:val="nil"/>
            </w:tcBorders>
            <w:vAlign w:val="center"/>
          </w:tcPr>
          <w:p w14:paraId="7CB47F9A">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1140BA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回填工程</w:t>
            </w:r>
          </w:p>
        </w:tc>
        <w:tc>
          <w:tcPr>
            <w:tcW w:w="3647" w:type="pct"/>
            <w:tcBorders>
              <w:tl2br w:val="nil"/>
              <w:tr2bl w:val="nil"/>
            </w:tcBorders>
            <w:vAlign w:val="center"/>
          </w:tcPr>
          <w:p w14:paraId="24D72B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本项目现在场地已形成采空区，</w:t>
            </w:r>
            <w:r>
              <w:rPr>
                <w:rFonts w:hint="default" w:ascii="Times New Roman" w:hAnsi="Times New Roman" w:eastAsia="宋体" w:cs="Times New Roman"/>
                <w:color w:val="auto"/>
                <w:kern w:val="21"/>
                <w:sz w:val="21"/>
                <w:highlight w:val="none"/>
                <w:lang w:val="en-US" w:eastAsia="zh-CN"/>
              </w:rPr>
              <w:t>项目回填物料来自于大唐鸡西第二热电有限公司的粉煤灰，</w:t>
            </w:r>
            <w:r>
              <w:rPr>
                <w:rFonts w:hint="default" w:ascii="Times New Roman" w:hAnsi="Times New Roman" w:cs="Times New Roman"/>
                <w:color w:val="auto"/>
                <w:highlight w:val="none"/>
              </w:rPr>
              <w:t>回填区修复面积为</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，粉煤灰回填总量为</w:t>
            </w:r>
            <w:r>
              <w:rPr>
                <w:rFonts w:hint="default" w:ascii="Times New Roman" w:hAnsi="Times New Roman" w:cs="Times New Roman"/>
                <w:color w:val="auto"/>
                <w:highlight w:val="none"/>
                <w:lang w:val="en-US" w:eastAsia="zh-CN"/>
              </w:rPr>
              <w:t>81.41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。本次回填采用“分层摊铺、往返碾压、分单元作业”的回填处理工艺，单元作业面积1200m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，每层摊铺厚度不大于1m，压实系数不小于0.9</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每日作业后对表面进行苫布覆盖，非作业面以及已碾实的粉煤灰表面采用苫布覆盖。</w:t>
            </w:r>
          </w:p>
        </w:tc>
        <w:tc>
          <w:tcPr>
            <w:tcW w:w="254" w:type="pct"/>
            <w:tcBorders>
              <w:tl2br w:val="nil"/>
              <w:tr2bl w:val="nil"/>
            </w:tcBorders>
            <w:vAlign w:val="center"/>
          </w:tcPr>
          <w:p w14:paraId="1445F2BC">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新建</w:t>
            </w:r>
          </w:p>
        </w:tc>
      </w:tr>
      <w:tr w14:paraId="4F06A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pct"/>
            <w:gridSpan w:val="2"/>
            <w:vMerge w:val="continue"/>
            <w:tcBorders>
              <w:tl2br w:val="nil"/>
              <w:tr2bl w:val="nil"/>
            </w:tcBorders>
            <w:vAlign w:val="center"/>
          </w:tcPr>
          <w:p w14:paraId="217C2FE8">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56683082">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表土、壤土来源</w:t>
            </w:r>
          </w:p>
        </w:tc>
        <w:tc>
          <w:tcPr>
            <w:tcW w:w="3647" w:type="pct"/>
            <w:tcBorders>
              <w:tl2br w:val="nil"/>
              <w:tr2bl w:val="nil"/>
            </w:tcBorders>
            <w:vAlign w:val="center"/>
          </w:tcPr>
          <w:p w14:paraId="17DBEEA2">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本项目所用表土来自矿山开采时剥离表土，堆放于位于项目区西南侧的表土场（表土场不在本次复垦范围内），表土堆放区面积为1.2hm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，堆放高度约为15m，堆放表土量约为39000m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。壤土外购。</w:t>
            </w:r>
          </w:p>
        </w:tc>
        <w:tc>
          <w:tcPr>
            <w:tcW w:w="254" w:type="pct"/>
            <w:tcBorders>
              <w:tl2br w:val="nil"/>
              <w:tr2bl w:val="nil"/>
            </w:tcBorders>
            <w:vAlign w:val="center"/>
          </w:tcPr>
          <w:p w14:paraId="71E99E65">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依托</w:t>
            </w:r>
          </w:p>
        </w:tc>
      </w:tr>
      <w:tr w14:paraId="40B39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42" w:type="pct"/>
            <w:gridSpan w:val="2"/>
            <w:vMerge w:val="continue"/>
            <w:tcBorders>
              <w:tl2br w:val="nil"/>
              <w:tr2bl w:val="nil"/>
            </w:tcBorders>
            <w:vAlign w:val="center"/>
          </w:tcPr>
          <w:p w14:paraId="2B8844AC">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46212F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土地复垦工程</w:t>
            </w:r>
          </w:p>
        </w:tc>
        <w:tc>
          <w:tcPr>
            <w:tcW w:w="3647" w:type="pct"/>
            <w:vAlign w:val="center"/>
          </w:tcPr>
          <w:p w14:paraId="507BBE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在回填至设计标高</w:t>
            </w:r>
            <w:r>
              <w:rPr>
                <w:rFonts w:hint="default" w:ascii="Times New Roman" w:hAnsi="Times New Roman" w:cs="Times New Roman"/>
                <w:color w:val="auto"/>
                <w:highlight w:val="none"/>
                <w:lang w:val="en-US" w:eastAsia="zh-CN"/>
              </w:rPr>
              <w:t>327~346</w:t>
            </w: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rPr>
              <w:t>后统一进行覆土，</w:t>
            </w:r>
            <w:r>
              <w:rPr>
                <w:rFonts w:hint="default" w:ascii="Times New Roman" w:hAnsi="Times New Roman" w:cs="Times New Roman"/>
                <w:color w:val="auto"/>
                <w:highlight w:val="none"/>
                <w:lang w:val="en-US" w:eastAsia="zh-CN"/>
              </w:rPr>
              <w:t>耕地部分</w:t>
            </w:r>
            <w:r>
              <w:rPr>
                <w:rFonts w:hint="default" w:ascii="Times New Roman" w:hAnsi="Times New Roman" w:cs="Times New Roman"/>
                <w:color w:val="auto"/>
                <w:highlight w:val="none"/>
              </w:rPr>
              <w:t>有效土层厚度不低于80cm（包含表土层厚度30cm），</w:t>
            </w:r>
            <w:r>
              <w:rPr>
                <w:rFonts w:hint="default" w:ascii="Times New Roman" w:hAnsi="Times New Roman" w:cs="Times New Roman"/>
                <w:color w:val="auto"/>
                <w:highlight w:val="none"/>
                <w:lang w:val="en-US" w:eastAsia="zh-CN"/>
              </w:rPr>
              <w:t>林地部分厚度不低于30cm，</w:t>
            </w:r>
            <w:r>
              <w:rPr>
                <w:rFonts w:hint="default" w:ascii="Times New Roman" w:hAnsi="Times New Roman" w:cs="Times New Roman"/>
                <w:color w:val="auto"/>
                <w:highlight w:val="none"/>
              </w:rPr>
              <w:t>土地复垦所需的</w:t>
            </w:r>
            <w:r>
              <w:rPr>
                <w:rFonts w:hint="default" w:ascii="Times New Roman" w:hAnsi="Times New Roman" w:cs="Times New Roman"/>
                <w:color w:val="auto"/>
                <w:highlight w:val="none"/>
                <w:lang w:val="en-US" w:eastAsia="zh-CN"/>
              </w:rPr>
              <w:t>表土</w:t>
            </w:r>
            <w:r>
              <w:rPr>
                <w:rFonts w:hint="default" w:ascii="Times New Roman" w:hAnsi="Times New Roman" w:cs="Times New Roman"/>
                <w:color w:val="auto"/>
                <w:highlight w:val="none"/>
              </w:rPr>
              <w:t>全部</w:t>
            </w:r>
            <w:r>
              <w:rPr>
                <w:rFonts w:hint="default" w:ascii="Times New Roman" w:hAnsi="Times New Roman" w:cs="Times New Roman"/>
                <w:color w:val="auto"/>
                <w:highlight w:val="none"/>
                <w:lang w:val="en-US" w:eastAsia="zh-CN"/>
              </w:rPr>
              <w:t>为碎石场剥离的表土，无需外购。壤土外购。恢复为耕地部分</w:t>
            </w:r>
            <w:r>
              <w:rPr>
                <w:rFonts w:hint="default" w:ascii="Times New Roman" w:hAnsi="Times New Roman" w:cs="Times New Roman"/>
                <w:color w:val="auto"/>
                <w:highlight w:val="none"/>
              </w:rPr>
              <w:t>土壤质量应满足《土壤环境质量 农用地土壤污染风险管控标准（试行）》（GB15618-2018）要求，复垦成耕地。</w:t>
            </w:r>
            <w:r>
              <w:rPr>
                <w:rFonts w:hint="default" w:ascii="Times New Roman" w:hAnsi="Times New Roman" w:cs="Times New Roman"/>
                <w:color w:val="auto"/>
                <w:highlight w:val="none"/>
                <w:lang w:val="en-US" w:eastAsia="zh-CN"/>
              </w:rPr>
              <w:t>恢复为林地及耕地，</w:t>
            </w:r>
            <w:r>
              <w:rPr>
                <w:rFonts w:hint="default" w:ascii="Times New Roman" w:hAnsi="Times New Roman" w:cs="Times New Roman"/>
                <w:color w:val="auto"/>
                <w:highlight w:val="none"/>
              </w:rPr>
              <w:t>土地复垦实施过程应满足《土地复垦质量控制标准》（TD/T1036-2013）规定的相关土地复垦质量控制要求。</w:t>
            </w:r>
          </w:p>
          <w:p w14:paraId="73C7E26F">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生态恢复后耕地面积为2.66hm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，主要作物为玉米；林地面积5.8703hm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eastAsia="zh-CN"/>
              </w:rPr>
              <w:t>落叶</w:t>
            </w:r>
            <w:r>
              <w:rPr>
                <w:rFonts w:hint="default" w:ascii="Times New Roman" w:hAnsi="Times New Roman" w:cs="Times New Roman"/>
                <w:color w:val="auto"/>
                <w:highlight w:val="none"/>
              </w:rPr>
              <w:t>松</w:t>
            </w:r>
            <w:r>
              <w:rPr>
                <w:rFonts w:hint="default" w:ascii="Times New Roman" w:hAnsi="Times New Roman" w:cs="Times New Roman"/>
                <w:color w:val="auto"/>
                <w:highlight w:val="none"/>
                <w:lang w:val="en-US" w:eastAsia="zh-CN"/>
              </w:rPr>
              <w:t>6523株。</w:t>
            </w:r>
          </w:p>
        </w:tc>
        <w:tc>
          <w:tcPr>
            <w:tcW w:w="254" w:type="pct"/>
            <w:tcBorders>
              <w:tl2br w:val="nil"/>
              <w:tr2bl w:val="nil"/>
            </w:tcBorders>
            <w:vAlign w:val="center"/>
          </w:tcPr>
          <w:p w14:paraId="1E7FA39E">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新建</w:t>
            </w:r>
          </w:p>
        </w:tc>
      </w:tr>
      <w:tr w14:paraId="60C40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42" w:type="pct"/>
            <w:gridSpan w:val="2"/>
            <w:vMerge w:val="restart"/>
            <w:tcBorders>
              <w:tl2br w:val="nil"/>
              <w:tr2bl w:val="nil"/>
            </w:tcBorders>
            <w:vAlign w:val="center"/>
          </w:tcPr>
          <w:p w14:paraId="34092D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655" w:type="pct"/>
            <w:tcBorders>
              <w:tl2br w:val="nil"/>
              <w:tr2bl w:val="nil"/>
            </w:tcBorders>
            <w:vAlign w:val="center"/>
          </w:tcPr>
          <w:p w14:paraId="1DF326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场外排水沟</w:t>
            </w:r>
          </w:p>
        </w:tc>
        <w:tc>
          <w:tcPr>
            <w:tcW w:w="3647" w:type="pct"/>
            <w:tcBorders>
              <w:tl2br w:val="nil"/>
              <w:tr2bl w:val="nil"/>
            </w:tcBorders>
            <w:vAlign w:val="center"/>
          </w:tcPr>
          <w:p w14:paraId="5CC2CB1F">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现有开采区西侧</w:t>
            </w:r>
            <w:r>
              <w:rPr>
                <w:rFonts w:hint="eastAsia" w:cs="Times New Roman"/>
                <w:color w:val="auto"/>
                <w:highlight w:val="none"/>
                <w:lang w:val="en-US" w:eastAsia="zh-CN"/>
              </w:rPr>
              <w:t>原有</w:t>
            </w:r>
            <w:r>
              <w:rPr>
                <w:rFonts w:hint="default" w:ascii="Times New Roman" w:hAnsi="Times New Roman" w:cs="Times New Roman"/>
                <w:color w:val="auto"/>
                <w:highlight w:val="none"/>
                <w:lang w:val="en-US" w:eastAsia="zh-CN"/>
              </w:rPr>
              <w:t>300m的截洪沟、排水渠</w:t>
            </w:r>
            <w:r>
              <w:rPr>
                <w:rFonts w:hint="eastAsia" w:cs="Times New Roman"/>
                <w:color w:val="auto"/>
                <w:highlight w:val="none"/>
                <w:lang w:val="en-US" w:eastAsia="zh-CN"/>
              </w:rPr>
              <w:t>；</w:t>
            </w:r>
            <w:r>
              <w:rPr>
                <w:rFonts w:hint="eastAsia" w:cs="Times New Roman"/>
                <w:color w:val="auto"/>
                <w:kern w:val="21"/>
                <w:sz w:val="21"/>
                <w:highlight w:val="none"/>
                <w:lang w:val="en-US" w:eastAsia="zh-CN"/>
              </w:rPr>
              <w:t>本项目</w:t>
            </w:r>
            <w:r>
              <w:rPr>
                <w:rFonts w:hint="default" w:ascii="Times New Roman" w:hAnsi="Times New Roman" w:eastAsia="宋体" w:cs="Times New Roman"/>
                <w:color w:val="auto"/>
                <w:kern w:val="21"/>
                <w:sz w:val="21"/>
                <w:highlight w:val="none"/>
              </w:rPr>
              <w:t>在回填区四周设置</w:t>
            </w:r>
            <w:r>
              <w:rPr>
                <w:rFonts w:hint="eastAsia" w:cs="Times New Roman"/>
                <w:color w:val="auto"/>
                <w:kern w:val="21"/>
                <w:sz w:val="21"/>
                <w:highlight w:val="none"/>
                <w:lang w:val="en-US" w:eastAsia="zh-CN"/>
              </w:rPr>
              <w:t>550m的截洪沟、</w:t>
            </w:r>
            <w:r>
              <w:rPr>
                <w:rFonts w:hint="default" w:ascii="Times New Roman" w:hAnsi="Times New Roman" w:eastAsia="宋体" w:cs="Times New Roman"/>
                <w:color w:val="auto"/>
                <w:kern w:val="21"/>
                <w:sz w:val="21"/>
                <w:highlight w:val="none"/>
              </w:rPr>
              <w:t>排</w:t>
            </w:r>
            <w:r>
              <w:rPr>
                <w:rFonts w:hint="eastAsia" w:cs="Times New Roman"/>
                <w:color w:val="auto"/>
                <w:kern w:val="21"/>
                <w:sz w:val="21"/>
                <w:highlight w:val="none"/>
                <w:lang w:val="en-US" w:eastAsia="zh-CN"/>
              </w:rPr>
              <w:t>水渠</w:t>
            </w:r>
          </w:p>
        </w:tc>
        <w:tc>
          <w:tcPr>
            <w:tcW w:w="254" w:type="pct"/>
            <w:tcBorders>
              <w:tl2br w:val="nil"/>
              <w:tr2bl w:val="nil"/>
            </w:tcBorders>
            <w:vAlign w:val="center"/>
          </w:tcPr>
          <w:p w14:paraId="395C73ED">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依托</w:t>
            </w:r>
          </w:p>
        </w:tc>
      </w:tr>
      <w:tr w14:paraId="10EF7F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42" w:type="pct"/>
            <w:gridSpan w:val="2"/>
            <w:vMerge w:val="continue"/>
            <w:tcBorders>
              <w:tl2br w:val="nil"/>
              <w:tr2bl w:val="nil"/>
            </w:tcBorders>
            <w:vAlign w:val="center"/>
          </w:tcPr>
          <w:p w14:paraId="04EF3FF3">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4DD254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办公生活区</w:t>
            </w:r>
          </w:p>
        </w:tc>
        <w:tc>
          <w:tcPr>
            <w:tcW w:w="3647" w:type="pct"/>
            <w:tcBorders>
              <w:tl2br w:val="nil"/>
              <w:tr2bl w:val="nil"/>
            </w:tcBorders>
            <w:vAlign w:val="center"/>
          </w:tcPr>
          <w:p w14:paraId="65DAB7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回填区不设置办公生活区，办公生活区依托北侧</w:t>
            </w:r>
            <w:r>
              <w:rPr>
                <w:rFonts w:hint="default" w:ascii="Times New Roman" w:hAnsi="Times New Roman" w:cs="Times New Roman"/>
                <w:color w:val="auto"/>
                <w:highlight w:val="none"/>
                <w:lang w:val="en-US" w:eastAsia="zh-CN"/>
              </w:rPr>
              <w:t>碎石厂办公区</w:t>
            </w:r>
            <w:r>
              <w:rPr>
                <w:rFonts w:hint="default" w:ascii="Times New Roman" w:hAnsi="Times New Roman" w:cs="Times New Roman"/>
                <w:color w:val="auto"/>
                <w:highlight w:val="none"/>
              </w:rPr>
              <w:t>。</w:t>
            </w:r>
          </w:p>
        </w:tc>
        <w:tc>
          <w:tcPr>
            <w:tcW w:w="254" w:type="pct"/>
            <w:tcBorders>
              <w:tl2br w:val="nil"/>
              <w:tr2bl w:val="nil"/>
            </w:tcBorders>
            <w:vAlign w:val="center"/>
          </w:tcPr>
          <w:p w14:paraId="5988D8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13B98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42" w:type="pct"/>
            <w:gridSpan w:val="2"/>
            <w:vMerge w:val="restart"/>
            <w:tcBorders>
              <w:tl2br w:val="nil"/>
              <w:tr2bl w:val="nil"/>
            </w:tcBorders>
            <w:vAlign w:val="center"/>
          </w:tcPr>
          <w:p w14:paraId="31D3CC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储运工程</w:t>
            </w:r>
          </w:p>
        </w:tc>
        <w:tc>
          <w:tcPr>
            <w:tcW w:w="655" w:type="pct"/>
            <w:tcBorders>
              <w:tl2br w:val="nil"/>
              <w:tr2bl w:val="nil"/>
            </w:tcBorders>
            <w:vAlign w:val="center"/>
          </w:tcPr>
          <w:p w14:paraId="5A5908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粉煤灰运输车辆及运输路线</w:t>
            </w:r>
          </w:p>
        </w:tc>
        <w:tc>
          <w:tcPr>
            <w:tcW w:w="3647" w:type="pct"/>
            <w:tcBorders>
              <w:tl2br w:val="nil"/>
              <w:tr2bl w:val="nil"/>
            </w:tcBorders>
            <w:vAlign w:val="center"/>
          </w:tcPr>
          <w:p w14:paraId="188585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本项目回填粉煤灰由建设单位指派专门的运输单位负责运输至项目场地，每次运输量50t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每天运输15车</w:t>
            </w:r>
            <w:r>
              <w:rPr>
                <w:rFonts w:hint="default" w:ascii="Times New Roman" w:hAnsi="Times New Roman" w:cs="Times New Roman"/>
                <w:color w:val="auto"/>
                <w:highlight w:val="none"/>
              </w:rPr>
              <w:t>。运输路线由大唐鸡西第二热电有限公司储灰场向</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rPr>
              <w:t>进入国道201后进入</w:t>
            </w:r>
            <w:r>
              <w:rPr>
                <w:rFonts w:hint="default" w:ascii="Times New Roman" w:hAnsi="Times New Roman" w:cs="Times New Roman"/>
                <w:color w:val="auto"/>
                <w:highlight w:val="none"/>
                <w:lang w:val="en-US" w:eastAsia="zh-CN"/>
              </w:rPr>
              <w:t>村道</w:t>
            </w:r>
            <w:r>
              <w:rPr>
                <w:rFonts w:hint="default" w:ascii="Times New Roman" w:hAnsi="Times New Roman" w:cs="Times New Roman"/>
                <w:color w:val="auto"/>
                <w:highlight w:val="none"/>
              </w:rPr>
              <w:t>进入回填区。运输路线总长约</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公里，到达废弃采坑后，直接拉运至分区回填单元。</w:t>
            </w:r>
          </w:p>
        </w:tc>
        <w:tc>
          <w:tcPr>
            <w:tcW w:w="254" w:type="pct"/>
            <w:tcBorders>
              <w:tl2br w:val="nil"/>
              <w:tr2bl w:val="nil"/>
            </w:tcBorders>
            <w:vAlign w:val="center"/>
          </w:tcPr>
          <w:p w14:paraId="4486FD1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依托</w:t>
            </w:r>
          </w:p>
        </w:tc>
      </w:tr>
      <w:tr w14:paraId="4AC18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42" w:type="pct"/>
            <w:gridSpan w:val="2"/>
            <w:vMerge w:val="continue"/>
            <w:tcBorders>
              <w:tl2br w:val="nil"/>
              <w:tr2bl w:val="nil"/>
            </w:tcBorders>
            <w:vAlign w:val="center"/>
          </w:tcPr>
          <w:p w14:paraId="7F7E60DF">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34E749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进场道路</w:t>
            </w:r>
          </w:p>
        </w:tc>
        <w:tc>
          <w:tcPr>
            <w:tcW w:w="3647" w:type="pct"/>
            <w:tcBorders>
              <w:tl2br w:val="nil"/>
              <w:tr2bl w:val="nil"/>
            </w:tcBorders>
            <w:vAlign w:val="center"/>
          </w:tcPr>
          <w:p w14:paraId="12FD7A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碎石厂</w:t>
            </w:r>
            <w:r>
              <w:rPr>
                <w:rFonts w:hint="default" w:ascii="Times New Roman" w:hAnsi="Times New Roman" w:cs="Times New Roman"/>
                <w:color w:val="auto"/>
                <w:highlight w:val="none"/>
              </w:rPr>
              <w:t>已建成进场道路</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0m，道路宽7m，可满足要求</w:t>
            </w:r>
          </w:p>
        </w:tc>
        <w:tc>
          <w:tcPr>
            <w:tcW w:w="254" w:type="pct"/>
            <w:tcBorders>
              <w:tl2br w:val="nil"/>
              <w:tr2bl w:val="nil"/>
            </w:tcBorders>
            <w:vAlign w:val="center"/>
          </w:tcPr>
          <w:p w14:paraId="2CDACC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14DA2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42" w:type="pct"/>
            <w:gridSpan w:val="2"/>
            <w:vMerge w:val="continue"/>
            <w:tcBorders>
              <w:tl2br w:val="nil"/>
              <w:tr2bl w:val="nil"/>
            </w:tcBorders>
            <w:vAlign w:val="center"/>
          </w:tcPr>
          <w:p w14:paraId="7670AAC4">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56E5840E">
            <w:pPr>
              <w:pStyle w:val="50"/>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0"/>
                <w:highlight w:val="none"/>
                <w:lang w:val="en-US" w:eastAsia="zh-CN" w:bidi="ar-SA"/>
              </w:rPr>
              <w:t>淋溶水收集倒排系统</w:t>
            </w:r>
          </w:p>
        </w:tc>
        <w:tc>
          <w:tcPr>
            <w:tcW w:w="3647" w:type="pct"/>
            <w:tcBorders>
              <w:tl2br w:val="nil"/>
              <w:tr2bl w:val="nil"/>
            </w:tcBorders>
            <w:vAlign w:val="center"/>
          </w:tcPr>
          <w:p w14:paraId="562868D7">
            <w:pPr>
              <w:pStyle w:val="50"/>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21"/>
                <w:sz w:val="21"/>
                <w:highlight w:val="none"/>
                <w:lang w:val="en-US" w:eastAsia="zh-CN"/>
              </w:rPr>
              <w:t>在</w:t>
            </w:r>
            <w:r>
              <w:rPr>
                <w:rFonts w:hint="default" w:ascii="Times New Roman" w:hAnsi="Times New Roman" w:eastAsia="宋体" w:cs="Times New Roman"/>
                <w:color w:val="auto"/>
                <w:kern w:val="21"/>
                <w:sz w:val="21"/>
                <w:highlight w:val="none"/>
              </w:rPr>
              <w:t>回填区库底设置1条梯形断面淋溶水导排沟，</w:t>
            </w:r>
            <w:r>
              <w:rPr>
                <w:rFonts w:hint="default" w:ascii="Times New Roman" w:hAnsi="Times New Roman" w:cs="Times New Roman"/>
                <w:color w:val="auto"/>
                <w:kern w:val="21"/>
                <w:sz w:val="21"/>
                <w:highlight w:val="none"/>
                <w:lang w:val="en-US" w:eastAsia="zh-CN"/>
              </w:rPr>
              <w:t>在回填区东侧</w:t>
            </w:r>
            <w:r>
              <w:rPr>
                <w:rFonts w:hint="default" w:ascii="Times New Roman" w:hAnsi="Times New Roman" w:eastAsia="宋体" w:cs="Times New Roman"/>
                <w:color w:val="auto"/>
                <w:kern w:val="21"/>
                <w:sz w:val="21"/>
                <w:highlight w:val="none"/>
                <w:lang w:val="en-US" w:eastAsia="zh-CN"/>
              </w:rPr>
              <w:t>配套建设1座暂存池（2</w:t>
            </w:r>
            <w:r>
              <w:rPr>
                <w:rFonts w:hint="default" w:ascii="Times New Roman" w:hAnsi="Times New Roman" w:cs="Times New Roman"/>
                <w:color w:val="auto"/>
                <w:kern w:val="21"/>
                <w:sz w:val="21"/>
                <w:highlight w:val="none"/>
                <w:lang w:val="en-US" w:eastAsia="zh-CN"/>
              </w:rPr>
              <w:t>0</w:t>
            </w:r>
            <w:r>
              <w:rPr>
                <w:rFonts w:hint="default" w:ascii="Times New Roman" w:hAnsi="Times New Roman" w:eastAsia="宋体" w:cs="Times New Roman"/>
                <w:color w:val="auto"/>
                <w:kern w:val="21"/>
                <w:sz w:val="21"/>
                <w:highlight w:val="none"/>
                <w:lang w:val="en-US" w:eastAsia="zh-CN"/>
              </w:rPr>
              <w:t>0 m</w:t>
            </w:r>
            <w:r>
              <w:rPr>
                <w:rFonts w:hint="default" w:ascii="Times New Roman" w:hAnsi="Times New Roman" w:eastAsia="宋体" w:cs="Times New Roman"/>
                <w:color w:val="auto"/>
                <w:kern w:val="21"/>
                <w:sz w:val="21"/>
                <w:highlight w:val="none"/>
                <w:vertAlign w:val="superscript"/>
                <w:lang w:val="en-US" w:eastAsia="zh-CN"/>
              </w:rPr>
              <w:t>3</w:t>
            </w:r>
            <w:r>
              <w:rPr>
                <w:rFonts w:hint="default" w:ascii="Times New Roman" w:hAnsi="Times New Roman" w:eastAsia="宋体" w:cs="Times New Roman"/>
                <w:color w:val="auto"/>
                <w:kern w:val="21"/>
                <w:sz w:val="21"/>
                <w:highlight w:val="none"/>
                <w:lang w:val="en-US" w:eastAsia="zh-CN"/>
              </w:rPr>
              <w:t>）</w:t>
            </w:r>
            <w:r>
              <w:rPr>
                <w:rFonts w:hint="default" w:ascii="Times New Roman" w:hAnsi="Times New Roman" w:cs="Times New Roman"/>
                <w:color w:val="auto"/>
                <w:kern w:val="21"/>
                <w:sz w:val="21"/>
                <w:highlight w:val="none"/>
                <w:lang w:val="en-US" w:eastAsia="zh-CN"/>
              </w:rPr>
              <w:t>，</w:t>
            </w:r>
            <w:r>
              <w:rPr>
                <w:rFonts w:hint="default" w:ascii="Times New Roman" w:hAnsi="Times New Roman" w:eastAsia="宋体" w:cs="Times New Roman"/>
                <w:color w:val="auto"/>
                <w:kern w:val="21"/>
                <w:sz w:val="21"/>
                <w:highlight w:val="none"/>
                <w:lang w:val="en-US" w:eastAsia="zh-CN"/>
              </w:rPr>
              <w:t>根据</w:t>
            </w:r>
            <w:r>
              <w:rPr>
                <w:rFonts w:hint="default" w:ascii="Times New Roman" w:hAnsi="Times New Roman" w:eastAsia="宋体" w:cs="Times New Roman"/>
                <w:color w:val="auto"/>
                <w:kern w:val="21"/>
                <w:sz w:val="21"/>
                <w:highlight w:val="none"/>
              </w:rPr>
              <w:t>实际场地整平</w:t>
            </w:r>
            <w:r>
              <w:rPr>
                <w:rFonts w:hint="default" w:ascii="Times New Roman" w:hAnsi="Times New Roman" w:eastAsia="宋体" w:cs="Times New Roman"/>
                <w:color w:val="auto"/>
                <w:kern w:val="21"/>
                <w:sz w:val="21"/>
                <w:highlight w:val="none"/>
                <w:lang w:val="en-US" w:eastAsia="zh-CN"/>
              </w:rPr>
              <w:t>及</w:t>
            </w:r>
            <w:r>
              <w:rPr>
                <w:rFonts w:hint="default" w:ascii="Times New Roman" w:hAnsi="Times New Roman" w:eastAsia="宋体" w:cs="Times New Roman"/>
                <w:color w:val="auto"/>
                <w:kern w:val="21"/>
                <w:sz w:val="21"/>
                <w:highlight w:val="none"/>
              </w:rPr>
              <w:t>地形情况，在主导排沟纵线上敷设导排支沟，支沟以45度斜角插入导排主沟，</w:t>
            </w:r>
            <w:r>
              <w:rPr>
                <w:rFonts w:hint="default" w:ascii="Times New Roman" w:hAnsi="Times New Roman" w:eastAsia="宋体" w:cs="Times New Roman"/>
                <w:color w:val="auto"/>
                <w:kern w:val="0"/>
                <w:sz w:val="21"/>
                <w:szCs w:val="20"/>
                <w:highlight w:val="none"/>
                <w:lang w:val="en-US" w:eastAsia="zh-CN" w:bidi="ar-SA"/>
              </w:rPr>
              <w:t>用于施工期极端天气强降雨时期产生的淋溶水收集。淋溶水收集后用于降尘。</w:t>
            </w:r>
          </w:p>
        </w:tc>
        <w:tc>
          <w:tcPr>
            <w:tcW w:w="254" w:type="pct"/>
            <w:tcBorders>
              <w:tl2br w:val="nil"/>
              <w:tr2bl w:val="nil"/>
            </w:tcBorders>
            <w:vAlign w:val="center"/>
          </w:tcPr>
          <w:p w14:paraId="3E656B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205A3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2" w:type="pct"/>
            <w:gridSpan w:val="2"/>
            <w:vMerge w:val="restart"/>
            <w:tcBorders>
              <w:tl2br w:val="nil"/>
              <w:tr2bl w:val="nil"/>
            </w:tcBorders>
            <w:vAlign w:val="center"/>
          </w:tcPr>
          <w:p w14:paraId="5CD02E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655" w:type="pct"/>
            <w:tcBorders>
              <w:tl2br w:val="nil"/>
              <w:tr2bl w:val="nil"/>
            </w:tcBorders>
            <w:vAlign w:val="center"/>
          </w:tcPr>
          <w:p w14:paraId="1FF87E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供电</w:t>
            </w:r>
          </w:p>
        </w:tc>
        <w:tc>
          <w:tcPr>
            <w:tcW w:w="3647" w:type="pct"/>
            <w:tcBorders>
              <w:tl2br w:val="nil"/>
              <w:tr2bl w:val="nil"/>
            </w:tcBorders>
            <w:vAlign w:val="center"/>
          </w:tcPr>
          <w:p w14:paraId="330753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由当地电业局连接电线提供。</w:t>
            </w:r>
          </w:p>
        </w:tc>
        <w:tc>
          <w:tcPr>
            <w:tcW w:w="254" w:type="pct"/>
            <w:vMerge w:val="restart"/>
            <w:tcBorders>
              <w:tl2br w:val="nil"/>
              <w:tr2bl w:val="nil"/>
            </w:tcBorders>
            <w:vAlign w:val="center"/>
          </w:tcPr>
          <w:p w14:paraId="5CBBE7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6E58F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442" w:type="pct"/>
            <w:gridSpan w:val="2"/>
            <w:vMerge w:val="continue"/>
            <w:tcBorders>
              <w:tl2br w:val="nil"/>
              <w:tr2bl w:val="nil"/>
            </w:tcBorders>
            <w:vAlign w:val="center"/>
          </w:tcPr>
          <w:p w14:paraId="4D4F3CD3">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6E2D64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给水</w:t>
            </w:r>
          </w:p>
        </w:tc>
        <w:tc>
          <w:tcPr>
            <w:tcW w:w="3647" w:type="pct"/>
            <w:tcBorders>
              <w:tl2br w:val="nil"/>
              <w:tr2bl w:val="nil"/>
            </w:tcBorders>
            <w:vAlign w:val="center"/>
          </w:tcPr>
          <w:p w14:paraId="554250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洒水降尘</w:t>
            </w:r>
            <w:r>
              <w:rPr>
                <w:rFonts w:hint="default" w:ascii="Times New Roman" w:hAnsi="Times New Roman" w:cs="Times New Roman"/>
                <w:color w:val="auto"/>
                <w:highlight w:val="none"/>
              </w:rPr>
              <w:t>用</w:t>
            </w:r>
            <w:r>
              <w:rPr>
                <w:rFonts w:hint="default" w:ascii="Times New Roman" w:hAnsi="Times New Roman" w:cs="Times New Roman"/>
                <w:color w:val="auto"/>
                <w:highlight w:val="none"/>
                <w:lang w:val="en-US" w:eastAsia="zh-CN"/>
              </w:rPr>
              <w:t>水</w:t>
            </w:r>
            <w:r>
              <w:rPr>
                <w:rFonts w:hint="default" w:ascii="Times New Roman" w:hAnsi="Times New Roman" w:eastAsia="宋体" w:cs="Times New Roman"/>
                <w:color w:val="auto"/>
                <w:kern w:val="21"/>
                <w:sz w:val="21"/>
                <w:highlight w:val="none"/>
              </w:rPr>
              <w:t>优先利用暂存池收集的雨水和淋溶水，</w:t>
            </w:r>
            <w:r>
              <w:rPr>
                <w:rFonts w:hint="default" w:ascii="Times New Roman" w:hAnsi="Times New Roman" w:eastAsia="宋体" w:cs="Times New Roman"/>
                <w:color w:val="auto"/>
                <w:kern w:val="21"/>
                <w:sz w:val="21"/>
                <w:highlight w:val="none"/>
                <w:lang w:val="en-US" w:eastAsia="zh-CN"/>
              </w:rPr>
              <w:t>不足部分</w:t>
            </w:r>
            <w:r>
              <w:rPr>
                <w:rFonts w:hint="default" w:ascii="Times New Roman" w:hAnsi="Times New Roman" w:cs="Times New Roman"/>
                <w:color w:val="auto"/>
                <w:highlight w:val="none"/>
              </w:rPr>
              <w:t>自备洒水车拉运至厂区；员工生活用水主要为饮用水，购买瓶装饮用水。</w:t>
            </w:r>
          </w:p>
        </w:tc>
        <w:tc>
          <w:tcPr>
            <w:tcW w:w="254" w:type="pct"/>
            <w:vMerge w:val="continue"/>
            <w:tcBorders>
              <w:tl2br w:val="nil"/>
              <w:tr2bl w:val="nil"/>
            </w:tcBorders>
            <w:vAlign w:val="center"/>
          </w:tcPr>
          <w:p w14:paraId="6AD1ED34">
            <w:pPr>
              <w:pStyle w:val="46"/>
              <w:bidi w:val="0"/>
              <w:rPr>
                <w:rFonts w:hint="default" w:ascii="Times New Roman" w:hAnsi="Times New Roman" w:cs="Times New Roman"/>
                <w:color w:val="auto"/>
                <w:highlight w:val="none"/>
              </w:rPr>
            </w:pPr>
          </w:p>
        </w:tc>
      </w:tr>
      <w:tr w14:paraId="39D89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 w:type="pct"/>
            <w:gridSpan w:val="2"/>
            <w:vMerge w:val="continue"/>
            <w:tcBorders>
              <w:tl2br w:val="nil"/>
              <w:tr2bl w:val="nil"/>
            </w:tcBorders>
            <w:vAlign w:val="center"/>
          </w:tcPr>
          <w:p w14:paraId="51E3C152">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13C9ED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排水</w:t>
            </w:r>
          </w:p>
        </w:tc>
        <w:tc>
          <w:tcPr>
            <w:tcW w:w="3647" w:type="pct"/>
            <w:tcBorders>
              <w:tl2br w:val="nil"/>
              <w:tr2bl w:val="nil"/>
            </w:tcBorders>
            <w:vAlign w:val="center"/>
          </w:tcPr>
          <w:p w14:paraId="7468B5AD">
            <w:pPr>
              <w:pStyle w:val="46"/>
              <w:numPr>
                <w:ilvl w:val="0"/>
                <w:numId w:val="8"/>
              </w:numPr>
              <w:bidi w:val="0"/>
              <w:jc w:val="left"/>
              <w:rPr>
                <w:rFonts w:hint="default" w:ascii="Times New Roman" w:hAnsi="Times New Roman" w:eastAsia="宋体" w:cs="Times New Roman"/>
                <w:bCs/>
                <w:color w:val="auto"/>
                <w:kern w:val="21"/>
                <w:sz w:val="21"/>
                <w:highlight w:val="none"/>
              </w:rPr>
            </w:pPr>
            <w:r>
              <w:rPr>
                <w:rFonts w:hint="default" w:ascii="Times New Roman" w:hAnsi="Times New Roman" w:eastAsia="宋体" w:cs="Times New Roman"/>
                <w:bCs/>
                <w:color w:val="auto"/>
                <w:kern w:val="21"/>
                <w:sz w:val="21"/>
                <w:highlight w:val="none"/>
              </w:rPr>
              <w:t>生活污水排入依托</w:t>
            </w:r>
            <w:r>
              <w:rPr>
                <w:rFonts w:hint="default" w:ascii="Times New Roman" w:hAnsi="Times New Roman" w:eastAsia="宋体" w:cs="Times New Roman"/>
                <w:bCs/>
                <w:color w:val="auto"/>
                <w:kern w:val="21"/>
                <w:sz w:val="21"/>
                <w:highlight w:val="none"/>
                <w:lang w:val="en-US" w:eastAsia="zh-CN"/>
              </w:rPr>
              <w:t>南甸子碎石场</w:t>
            </w:r>
            <w:r>
              <w:rPr>
                <w:rFonts w:hint="default" w:ascii="Times New Roman" w:hAnsi="Times New Roman" w:eastAsia="宋体" w:cs="Times New Roman"/>
                <w:bCs/>
                <w:color w:val="auto"/>
                <w:kern w:val="21"/>
                <w:sz w:val="21"/>
                <w:highlight w:val="none"/>
              </w:rPr>
              <w:t>防渗旱厕，定期清掏，外运堆肥；</w:t>
            </w:r>
          </w:p>
          <w:p w14:paraId="035D08C9">
            <w:pPr>
              <w:pStyle w:val="46"/>
              <w:numPr>
                <w:ilvl w:val="0"/>
                <w:numId w:val="8"/>
              </w:numPr>
              <w:bidi w:val="0"/>
              <w:ind w:left="0" w:leftChars="0" w:firstLine="0" w:firstLineChars="0"/>
              <w:jc w:val="left"/>
              <w:rPr>
                <w:rFonts w:hint="default" w:ascii="Times New Roman" w:hAnsi="Times New Roman" w:eastAsia="宋体" w:cs="Times New Roman"/>
                <w:color w:val="auto"/>
                <w:kern w:val="21"/>
                <w:sz w:val="21"/>
                <w:highlight w:val="none"/>
                <w:lang w:eastAsia="zh-CN"/>
              </w:rPr>
            </w:pPr>
            <w:r>
              <w:rPr>
                <w:rFonts w:hint="eastAsia" w:cs="Times New Roman"/>
                <w:color w:val="auto"/>
                <w:kern w:val="21"/>
                <w:sz w:val="21"/>
                <w:highlight w:val="none"/>
                <w:lang w:val="en-US" w:eastAsia="zh-CN"/>
              </w:rPr>
              <w:t>本项目</w:t>
            </w:r>
            <w:r>
              <w:rPr>
                <w:rFonts w:hint="default" w:ascii="Times New Roman" w:hAnsi="Times New Roman" w:eastAsia="宋体" w:cs="Times New Roman"/>
                <w:color w:val="auto"/>
                <w:kern w:val="21"/>
                <w:sz w:val="21"/>
                <w:highlight w:val="none"/>
              </w:rPr>
              <w:t>在回填区四周设置</w:t>
            </w:r>
            <w:r>
              <w:rPr>
                <w:rFonts w:hint="eastAsia" w:cs="Times New Roman"/>
                <w:color w:val="auto"/>
                <w:kern w:val="21"/>
                <w:sz w:val="21"/>
                <w:highlight w:val="none"/>
                <w:lang w:val="en-US" w:eastAsia="zh-CN"/>
              </w:rPr>
              <w:t>550m的截洪沟、</w:t>
            </w:r>
            <w:r>
              <w:rPr>
                <w:rFonts w:hint="default" w:ascii="Times New Roman" w:hAnsi="Times New Roman" w:eastAsia="宋体" w:cs="Times New Roman"/>
                <w:color w:val="auto"/>
                <w:kern w:val="21"/>
                <w:sz w:val="21"/>
                <w:highlight w:val="none"/>
              </w:rPr>
              <w:t>排</w:t>
            </w:r>
            <w:r>
              <w:rPr>
                <w:rFonts w:hint="eastAsia" w:cs="Times New Roman"/>
                <w:color w:val="auto"/>
                <w:kern w:val="21"/>
                <w:sz w:val="21"/>
                <w:highlight w:val="none"/>
                <w:lang w:val="en-US" w:eastAsia="zh-CN"/>
              </w:rPr>
              <w:t>水渠</w:t>
            </w:r>
            <w:r>
              <w:rPr>
                <w:rFonts w:hint="default" w:ascii="Times New Roman" w:hAnsi="Times New Roman" w:eastAsia="宋体" w:cs="Times New Roman"/>
                <w:color w:val="auto"/>
                <w:kern w:val="21"/>
                <w:sz w:val="21"/>
                <w:highlight w:val="none"/>
              </w:rPr>
              <w:t>，将整个回填场地与场外其他区域分开，未受污染的雨水沿防坡面排入排水沟内，最终排入厂区</w:t>
            </w:r>
            <w:r>
              <w:rPr>
                <w:rFonts w:hint="default" w:ascii="Times New Roman" w:hAnsi="Times New Roman" w:eastAsia="宋体" w:cs="Times New Roman"/>
                <w:color w:val="auto"/>
                <w:kern w:val="21"/>
                <w:sz w:val="21"/>
                <w:highlight w:val="none"/>
                <w:lang w:val="en-US" w:eastAsia="zh-CN"/>
              </w:rPr>
              <w:t>外</w:t>
            </w:r>
            <w:r>
              <w:rPr>
                <w:rFonts w:hint="default" w:ascii="Times New Roman" w:hAnsi="Times New Roman" w:eastAsia="宋体" w:cs="Times New Roman"/>
                <w:color w:val="auto"/>
                <w:kern w:val="21"/>
                <w:sz w:val="21"/>
                <w:highlight w:val="none"/>
              </w:rPr>
              <w:t>自然冲沟内</w:t>
            </w:r>
            <w:r>
              <w:rPr>
                <w:rFonts w:hint="default" w:ascii="Times New Roman" w:hAnsi="Times New Roman" w:eastAsia="宋体" w:cs="Times New Roman"/>
                <w:color w:val="auto"/>
                <w:kern w:val="21"/>
                <w:sz w:val="21"/>
                <w:highlight w:val="none"/>
                <w:lang w:eastAsia="zh-CN"/>
              </w:rPr>
              <w:t>；</w:t>
            </w:r>
          </w:p>
          <w:p w14:paraId="66F6EFD3">
            <w:pPr>
              <w:pStyle w:val="46"/>
              <w:numPr>
                <w:ilvl w:val="0"/>
                <w:numId w:val="8"/>
              </w:numPr>
              <w:bidi w:val="0"/>
              <w:ind w:left="0" w:leftChars="0" w:firstLine="0" w:firstLineChars="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21"/>
                <w:sz w:val="21"/>
                <w:highlight w:val="none"/>
              </w:rPr>
              <w:t>设置1套淋溶水收集导排系统及1座</w:t>
            </w:r>
            <w:r>
              <w:rPr>
                <w:rFonts w:hint="default" w:ascii="Times New Roman" w:hAnsi="Times New Roman" w:eastAsia="宋体" w:cs="Times New Roman"/>
                <w:color w:val="auto"/>
                <w:kern w:val="21"/>
                <w:sz w:val="21"/>
                <w:highlight w:val="none"/>
                <w:lang w:val="en-US" w:eastAsia="zh-CN"/>
              </w:rPr>
              <w:t>200</w:t>
            </w:r>
            <w:r>
              <w:rPr>
                <w:rFonts w:hint="default" w:ascii="Times New Roman" w:hAnsi="Times New Roman" w:eastAsia="宋体" w:cs="Times New Roman"/>
                <w:color w:val="auto"/>
                <w:kern w:val="21"/>
                <w:sz w:val="21"/>
                <w:highlight w:val="none"/>
              </w:rPr>
              <w:t>m</w:t>
            </w:r>
            <w:r>
              <w:rPr>
                <w:rFonts w:hint="default" w:ascii="Times New Roman" w:hAnsi="Times New Roman" w:eastAsia="宋体" w:cs="Times New Roman"/>
                <w:color w:val="auto"/>
                <w:kern w:val="21"/>
                <w:sz w:val="21"/>
                <w:highlight w:val="none"/>
                <w:vertAlign w:val="superscript"/>
              </w:rPr>
              <w:t>3</w:t>
            </w:r>
            <w:r>
              <w:rPr>
                <w:rFonts w:hint="default" w:ascii="Times New Roman" w:hAnsi="Times New Roman" w:eastAsia="宋体" w:cs="Times New Roman"/>
                <w:color w:val="auto"/>
                <w:kern w:val="21"/>
                <w:sz w:val="21"/>
                <w:highlight w:val="none"/>
              </w:rPr>
              <w:t>暂存池用于收集回填区淋溶水，项目极端天气强降雨时期产生的淋溶水经矿坑底部粘土层阻隔，经淋溶水导排系统收集后排入暂存池，沉淀后回用于项目区洒水抑尘使用，不外排</w:t>
            </w:r>
            <w:r>
              <w:rPr>
                <w:rFonts w:hint="default" w:ascii="Times New Roman" w:hAnsi="Times New Roman" w:eastAsia="宋体" w:cs="Times New Roman"/>
                <w:color w:val="auto"/>
                <w:kern w:val="21"/>
                <w:sz w:val="21"/>
                <w:highlight w:val="none"/>
                <w:lang w:eastAsia="zh-CN"/>
              </w:rPr>
              <w:t>。</w:t>
            </w:r>
          </w:p>
          <w:p w14:paraId="3023CA9B">
            <w:pPr>
              <w:pStyle w:val="46"/>
              <w:numPr>
                <w:ilvl w:val="0"/>
                <w:numId w:val="8"/>
              </w:numPr>
              <w:bidi w:val="0"/>
              <w:ind w:left="0" w:leftChars="0"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复垦期无废水产生</w:t>
            </w:r>
            <w:r>
              <w:rPr>
                <w:rFonts w:hint="default" w:ascii="Times New Roman" w:hAnsi="Times New Roman" w:cs="Times New Roman"/>
                <w:color w:val="auto"/>
                <w:highlight w:val="none"/>
              </w:rPr>
              <w:t>。</w:t>
            </w:r>
          </w:p>
        </w:tc>
        <w:tc>
          <w:tcPr>
            <w:tcW w:w="254" w:type="pct"/>
            <w:vMerge w:val="continue"/>
            <w:tcBorders>
              <w:tl2br w:val="nil"/>
              <w:tr2bl w:val="nil"/>
            </w:tcBorders>
            <w:vAlign w:val="center"/>
          </w:tcPr>
          <w:p w14:paraId="6015731E">
            <w:pPr>
              <w:pStyle w:val="46"/>
              <w:bidi w:val="0"/>
              <w:rPr>
                <w:rFonts w:hint="default" w:ascii="Times New Roman" w:hAnsi="Times New Roman" w:cs="Times New Roman"/>
                <w:color w:val="auto"/>
                <w:highlight w:val="none"/>
              </w:rPr>
            </w:pPr>
          </w:p>
        </w:tc>
      </w:tr>
      <w:tr w14:paraId="4C691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442" w:type="pct"/>
            <w:gridSpan w:val="2"/>
            <w:vMerge w:val="continue"/>
            <w:tcBorders>
              <w:tl2br w:val="nil"/>
              <w:tr2bl w:val="nil"/>
            </w:tcBorders>
            <w:vAlign w:val="center"/>
          </w:tcPr>
          <w:p w14:paraId="40C96237">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06DF5B23">
            <w:pPr>
              <w:pStyle w:val="46"/>
              <w:bidi w:val="0"/>
              <w:rPr>
                <w:rFonts w:hint="default" w:ascii="Times New Roman" w:hAnsi="Times New Roman" w:cs="Times New Roman"/>
                <w:color w:val="auto"/>
                <w:highlight w:val="none"/>
              </w:rPr>
            </w:pPr>
            <w:bookmarkStart w:id="161" w:name="_Hlk527725718"/>
            <w:r>
              <w:rPr>
                <w:rFonts w:hint="default" w:ascii="Times New Roman" w:hAnsi="Times New Roman" w:cs="Times New Roman"/>
                <w:color w:val="auto"/>
                <w:highlight w:val="none"/>
              </w:rPr>
              <w:t>供热</w:t>
            </w:r>
            <w:bookmarkEnd w:id="161"/>
          </w:p>
        </w:tc>
        <w:tc>
          <w:tcPr>
            <w:tcW w:w="3647" w:type="pct"/>
            <w:tcBorders>
              <w:tl2br w:val="nil"/>
              <w:tr2bl w:val="nil"/>
            </w:tcBorders>
            <w:vAlign w:val="center"/>
          </w:tcPr>
          <w:p w14:paraId="3AD4CB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依托碎石场现有办公用房</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采用电取暖</w:t>
            </w:r>
            <w:r>
              <w:rPr>
                <w:rFonts w:hint="default" w:ascii="Times New Roman" w:hAnsi="Times New Roman" w:cs="Times New Roman"/>
                <w:color w:val="auto"/>
                <w:highlight w:val="none"/>
              </w:rPr>
              <w:t>。</w:t>
            </w:r>
          </w:p>
        </w:tc>
        <w:tc>
          <w:tcPr>
            <w:tcW w:w="254" w:type="pct"/>
            <w:vMerge w:val="continue"/>
            <w:tcBorders>
              <w:tl2br w:val="nil"/>
              <w:tr2bl w:val="nil"/>
            </w:tcBorders>
            <w:vAlign w:val="center"/>
          </w:tcPr>
          <w:p w14:paraId="2DF59C1C">
            <w:pPr>
              <w:pStyle w:val="46"/>
              <w:bidi w:val="0"/>
              <w:rPr>
                <w:rFonts w:hint="default" w:ascii="Times New Roman" w:hAnsi="Times New Roman" w:cs="Times New Roman"/>
                <w:color w:val="auto"/>
                <w:highlight w:val="none"/>
              </w:rPr>
            </w:pPr>
          </w:p>
        </w:tc>
      </w:tr>
      <w:tr w14:paraId="0A3D9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442" w:type="pct"/>
            <w:gridSpan w:val="2"/>
            <w:vMerge w:val="continue"/>
            <w:tcBorders>
              <w:tl2br w:val="nil"/>
              <w:tr2bl w:val="nil"/>
            </w:tcBorders>
            <w:vAlign w:val="center"/>
          </w:tcPr>
          <w:p w14:paraId="79324072">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6E2E2F7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供电</w:t>
            </w:r>
          </w:p>
        </w:tc>
        <w:tc>
          <w:tcPr>
            <w:tcW w:w="3647" w:type="pct"/>
            <w:tcBorders>
              <w:tl2br w:val="nil"/>
              <w:tr2bl w:val="nil"/>
            </w:tcBorders>
            <w:vAlign w:val="center"/>
          </w:tcPr>
          <w:p w14:paraId="04FD07DE">
            <w:pPr>
              <w:pStyle w:val="46"/>
              <w:bidi w:val="0"/>
              <w:rPr>
                <w:rFonts w:hint="default" w:ascii="Times New Roman" w:hAnsi="Times New Roman" w:cs="Times New Roman"/>
                <w:color w:val="auto"/>
                <w:highlight w:val="none"/>
              </w:rPr>
            </w:pPr>
            <w:r>
              <w:rPr>
                <w:rFonts w:hint="default" w:ascii="Times New Roman" w:hAnsi="Times New Roman" w:eastAsia="宋体" w:cs="Times New Roman"/>
                <w:color w:val="auto"/>
                <w:kern w:val="21"/>
                <w:sz w:val="21"/>
                <w:highlight w:val="none"/>
                <w:lang w:val="en-US" w:eastAsia="zh-CN"/>
              </w:rPr>
              <w:t>供电由市政供电系统提供</w:t>
            </w:r>
          </w:p>
        </w:tc>
        <w:tc>
          <w:tcPr>
            <w:tcW w:w="254" w:type="pct"/>
            <w:tcBorders>
              <w:tl2br w:val="nil"/>
              <w:tr2bl w:val="nil"/>
            </w:tcBorders>
            <w:vAlign w:val="center"/>
          </w:tcPr>
          <w:p w14:paraId="0375FA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38022A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442" w:type="pct"/>
            <w:gridSpan w:val="2"/>
            <w:vMerge w:val="restart"/>
            <w:tcBorders>
              <w:tl2br w:val="nil"/>
              <w:tr2bl w:val="nil"/>
            </w:tcBorders>
            <w:vAlign w:val="center"/>
          </w:tcPr>
          <w:p w14:paraId="4C5DB0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依托工程</w:t>
            </w:r>
          </w:p>
        </w:tc>
        <w:tc>
          <w:tcPr>
            <w:tcW w:w="655" w:type="pct"/>
            <w:tcBorders>
              <w:tl2br w:val="nil"/>
              <w:tr2bl w:val="nil"/>
            </w:tcBorders>
            <w:vAlign w:val="center"/>
          </w:tcPr>
          <w:p w14:paraId="62A7A5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生活区</w:t>
            </w:r>
          </w:p>
        </w:tc>
        <w:tc>
          <w:tcPr>
            <w:tcW w:w="3647" w:type="pct"/>
            <w:tcBorders>
              <w:tl2br w:val="nil"/>
              <w:tr2bl w:val="nil"/>
            </w:tcBorders>
            <w:vAlign w:val="center"/>
          </w:tcPr>
          <w:p w14:paraId="3736C0D4">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本项目不设置生活区，依托碎石场的办公用房。</w:t>
            </w:r>
          </w:p>
        </w:tc>
        <w:tc>
          <w:tcPr>
            <w:tcW w:w="254" w:type="pct"/>
            <w:tcBorders>
              <w:tl2br w:val="nil"/>
              <w:tr2bl w:val="nil"/>
            </w:tcBorders>
            <w:vAlign w:val="center"/>
          </w:tcPr>
          <w:p w14:paraId="4C5D89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5FEA5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442" w:type="pct"/>
            <w:gridSpan w:val="2"/>
            <w:vMerge w:val="continue"/>
            <w:tcBorders>
              <w:tl2br w:val="nil"/>
              <w:tr2bl w:val="nil"/>
            </w:tcBorders>
            <w:vAlign w:val="center"/>
          </w:tcPr>
          <w:p w14:paraId="4DBAFF76">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2F35E457">
            <w:pPr>
              <w:pStyle w:val="50"/>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21"/>
                <w:sz w:val="21"/>
                <w:highlight w:val="none"/>
                <w:lang w:val="en-US" w:eastAsia="zh-CN"/>
              </w:rPr>
              <w:t>车辆清洗</w:t>
            </w:r>
          </w:p>
        </w:tc>
        <w:tc>
          <w:tcPr>
            <w:tcW w:w="3647" w:type="pct"/>
            <w:tcBorders>
              <w:tl2br w:val="nil"/>
              <w:tr2bl w:val="nil"/>
            </w:tcBorders>
            <w:vAlign w:val="center"/>
          </w:tcPr>
          <w:p w14:paraId="5B679EE2">
            <w:pPr>
              <w:pStyle w:val="50"/>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1"/>
                <w:sz w:val="21"/>
                <w:highlight w:val="none"/>
                <w:lang w:val="en-US" w:eastAsia="zh-CN"/>
              </w:rPr>
              <w:t>车辆清洗</w:t>
            </w:r>
            <w:r>
              <w:rPr>
                <w:rFonts w:hint="default" w:ascii="Times New Roman" w:hAnsi="Times New Roman" w:eastAsia="宋体" w:cs="Times New Roman"/>
                <w:color w:val="auto"/>
                <w:kern w:val="21"/>
                <w:sz w:val="21"/>
                <w:highlight w:val="none"/>
              </w:rPr>
              <w:t>依托</w:t>
            </w:r>
            <w:r>
              <w:rPr>
                <w:rFonts w:hint="default" w:ascii="Times New Roman" w:hAnsi="Times New Roman" w:eastAsia="宋体" w:cs="Times New Roman"/>
                <w:color w:val="auto"/>
                <w:kern w:val="21"/>
                <w:sz w:val="21"/>
                <w:highlight w:val="none"/>
                <w:lang w:val="en-US" w:eastAsia="zh-CN"/>
              </w:rPr>
              <w:t>周边</w:t>
            </w:r>
            <w:r>
              <w:rPr>
                <w:rFonts w:hint="default" w:ascii="Times New Roman" w:hAnsi="Times New Roman" w:eastAsia="宋体" w:cs="Times New Roman"/>
                <w:color w:val="auto"/>
                <w:kern w:val="21"/>
                <w:sz w:val="21"/>
                <w:highlight w:val="none"/>
              </w:rPr>
              <w:t>洗车</w:t>
            </w:r>
            <w:r>
              <w:rPr>
                <w:rFonts w:hint="default" w:ascii="Times New Roman" w:hAnsi="Times New Roman" w:eastAsia="宋体" w:cs="Times New Roman"/>
                <w:color w:val="auto"/>
                <w:kern w:val="21"/>
                <w:sz w:val="21"/>
                <w:highlight w:val="none"/>
                <w:lang w:val="en-US" w:eastAsia="zh-CN"/>
              </w:rPr>
              <w:t>店</w:t>
            </w:r>
          </w:p>
        </w:tc>
        <w:tc>
          <w:tcPr>
            <w:tcW w:w="254" w:type="pct"/>
            <w:tcBorders>
              <w:tl2br w:val="nil"/>
              <w:tr2bl w:val="nil"/>
            </w:tcBorders>
            <w:vAlign w:val="center"/>
          </w:tcPr>
          <w:p w14:paraId="3CDFAC68">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依托</w:t>
            </w:r>
          </w:p>
        </w:tc>
      </w:tr>
      <w:tr w14:paraId="1DD8C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52" w:type="pct"/>
            <w:vMerge w:val="restart"/>
            <w:vAlign w:val="center"/>
          </w:tcPr>
          <w:p w14:paraId="1067DD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189" w:type="pct"/>
            <w:vMerge w:val="restart"/>
            <w:vAlign w:val="center"/>
          </w:tcPr>
          <w:p w14:paraId="5260D1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655" w:type="pct"/>
            <w:vAlign w:val="center"/>
          </w:tcPr>
          <w:p w14:paraId="2CD084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3647" w:type="pct"/>
            <w:tcBorders>
              <w:right w:val="single" w:color="auto" w:sz="2" w:space="0"/>
            </w:tcBorders>
            <w:vAlign w:val="center"/>
          </w:tcPr>
          <w:p w14:paraId="415B74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气为施工扬尘、燃油废气。施工场地、道路采取洒水和清扫措施抑尘，土方采用苫布苫盖，运输车加盖篷布；定期对车辆设备进行维护保养，禁止以柴油为燃料的施工机械超负荷工作，减小燃油废气影响。</w:t>
            </w:r>
          </w:p>
          <w:p w14:paraId="1417D4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采取加盖篷布、密封仓等措施，运输道路及时洒水降尘，粉煤灰到场后按照指定点卸车，且做到随卸随填，控制自卸汽车卸料高度；根据项目地区实际天气情况制定合理的洒水制度，并严格执行；分区分单元作业，每日作业后对表面及时采用苫布覆盖，非作业面以及已碾实的粉煤灰表面采用苫布覆盖；对大风等特殊气象条件，停止作业，并加大洒水强度。在采取上述措施后，场界颗粒物浓度可达到《大气污染物综合排放标准》（GB16297-1996）中的表2无组织排放监控浓度限值</w:t>
            </w:r>
          </w:p>
        </w:tc>
        <w:tc>
          <w:tcPr>
            <w:tcW w:w="254" w:type="pct"/>
            <w:vMerge w:val="restart"/>
            <w:tcBorders>
              <w:left w:val="single" w:color="auto" w:sz="2" w:space="0"/>
            </w:tcBorders>
            <w:vAlign w:val="center"/>
          </w:tcPr>
          <w:p w14:paraId="57DCB8E2">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w:t>
            </w:r>
          </w:p>
        </w:tc>
      </w:tr>
      <w:tr w14:paraId="58ED3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52" w:type="pct"/>
            <w:vMerge w:val="continue"/>
            <w:vAlign w:val="center"/>
          </w:tcPr>
          <w:p w14:paraId="4CA82899">
            <w:pPr>
              <w:pStyle w:val="46"/>
              <w:bidi w:val="0"/>
              <w:rPr>
                <w:rFonts w:hint="default" w:ascii="Times New Roman" w:hAnsi="Times New Roman" w:cs="Times New Roman"/>
                <w:color w:val="auto"/>
                <w:highlight w:val="none"/>
              </w:rPr>
            </w:pPr>
          </w:p>
        </w:tc>
        <w:tc>
          <w:tcPr>
            <w:tcW w:w="189" w:type="pct"/>
            <w:vMerge w:val="continue"/>
            <w:vAlign w:val="center"/>
          </w:tcPr>
          <w:p w14:paraId="75D9CB91">
            <w:pPr>
              <w:pStyle w:val="46"/>
              <w:bidi w:val="0"/>
              <w:rPr>
                <w:rFonts w:hint="default" w:ascii="Times New Roman" w:hAnsi="Times New Roman" w:cs="Times New Roman"/>
                <w:color w:val="auto"/>
                <w:highlight w:val="none"/>
              </w:rPr>
            </w:pPr>
          </w:p>
        </w:tc>
        <w:tc>
          <w:tcPr>
            <w:tcW w:w="655" w:type="pct"/>
            <w:vAlign w:val="center"/>
          </w:tcPr>
          <w:p w14:paraId="052B62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3647" w:type="pct"/>
            <w:tcBorders>
              <w:right w:val="single" w:color="auto" w:sz="2" w:space="0"/>
            </w:tcBorders>
            <w:vAlign w:val="center"/>
          </w:tcPr>
          <w:p w14:paraId="260EC7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本项目施工期产生废水为生活污水、</w:t>
            </w:r>
            <w:r>
              <w:rPr>
                <w:rFonts w:hint="default" w:ascii="Times New Roman" w:hAnsi="Times New Roman" w:cs="Times New Roman"/>
                <w:color w:val="auto"/>
                <w:highlight w:val="none"/>
                <w:lang w:val="en-US" w:eastAsia="zh-CN"/>
              </w:rPr>
              <w:t>强降雨天气产生的淋溶水</w:t>
            </w:r>
            <w:r>
              <w:rPr>
                <w:rFonts w:hint="default" w:ascii="Times New Roman" w:hAnsi="Times New Roman" w:cs="Times New Roman"/>
                <w:color w:val="auto"/>
                <w:highlight w:val="none"/>
              </w:rPr>
              <w:t>。本项目员工生活污水排入</w:t>
            </w:r>
            <w:r>
              <w:rPr>
                <w:rFonts w:hint="default" w:ascii="Times New Roman" w:hAnsi="Times New Roman" w:cs="Times New Roman"/>
                <w:color w:val="auto"/>
                <w:highlight w:val="none"/>
                <w:lang w:val="en-US" w:eastAsia="zh-CN"/>
              </w:rPr>
              <w:t>碎石厂</w:t>
            </w:r>
            <w:r>
              <w:rPr>
                <w:rFonts w:hint="default" w:ascii="Times New Roman" w:hAnsi="Times New Roman" w:cs="Times New Roman"/>
                <w:color w:val="auto"/>
                <w:highlight w:val="none"/>
              </w:rPr>
              <w:t>防渗旱厕，定期清掏，外运堆肥；</w:t>
            </w:r>
            <w:r>
              <w:rPr>
                <w:rFonts w:hint="default" w:ascii="Times New Roman" w:hAnsi="Times New Roman" w:eastAsia="宋体" w:cs="Times New Roman"/>
                <w:color w:val="auto"/>
                <w:kern w:val="21"/>
                <w:sz w:val="21"/>
                <w:highlight w:val="none"/>
                <w:lang w:val="en-US" w:eastAsia="zh-CN"/>
              </w:rPr>
              <w:t>产生的</w:t>
            </w:r>
            <w:r>
              <w:rPr>
                <w:rFonts w:hint="default" w:ascii="Times New Roman" w:hAnsi="Times New Roman" w:eastAsia="宋体" w:cs="Times New Roman"/>
                <w:color w:val="auto"/>
                <w:kern w:val="21"/>
                <w:sz w:val="21"/>
                <w:highlight w:val="none"/>
              </w:rPr>
              <w:t>淋溶水</w:t>
            </w:r>
            <w:r>
              <w:rPr>
                <w:rFonts w:hint="default" w:ascii="Times New Roman" w:hAnsi="Times New Roman" w:eastAsia="宋体" w:cs="Times New Roman"/>
                <w:color w:val="auto"/>
                <w:kern w:val="21"/>
                <w:sz w:val="21"/>
                <w:highlight w:val="none"/>
                <w:lang w:val="en-US" w:eastAsia="zh-CN"/>
              </w:rPr>
              <w:t>进入</w:t>
            </w:r>
            <w:r>
              <w:rPr>
                <w:rFonts w:hint="default" w:ascii="Times New Roman" w:hAnsi="Times New Roman" w:eastAsia="宋体" w:cs="Times New Roman"/>
                <w:color w:val="auto"/>
                <w:kern w:val="21"/>
                <w:sz w:val="21"/>
                <w:highlight w:val="none"/>
              </w:rPr>
              <w:t>淋溶水收集系统</w:t>
            </w:r>
            <w:r>
              <w:rPr>
                <w:rFonts w:hint="default" w:ascii="Times New Roman" w:hAnsi="Times New Roman" w:eastAsia="宋体" w:cs="Times New Roman"/>
                <w:color w:val="auto"/>
                <w:kern w:val="21"/>
                <w:sz w:val="21"/>
                <w:highlight w:val="none"/>
                <w:lang w:val="en-US" w:eastAsia="zh-CN"/>
              </w:rPr>
              <w:t>后用于</w:t>
            </w:r>
            <w:r>
              <w:rPr>
                <w:rFonts w:hint="default" w:ascii="Times New Roman" w:hAnsi="Times New Roman" w:eastAsia="宋体" w:cs="Times New Roman"/>
                <w:color w:val="auto"/>
                <w:kern w:val="21"/>
                <w:sz w:val="21"/>
                <w:highlight w:val="none"/>
              </w:rPr>
              <w:t>洒水抑尘</w:t>
            </w:r>
            <w:r>
              <w:rPr>
                <w:rFonts w:hint="default" w:ascii="Times New Roman" w:hAnsi="Times New Roman" w:eastAsia="宋体" w:cs="Times New Roman"/>
                <w:color w:val="auto"/>
                <w:kern w:val="21"/>
                <w:sz w:val="21"/>
                <w:highlight w:val="none"/>
                <w:lang w:eastAsia="zh-CN"/>
              </w:rPr>
              <w:t>。</w:t>
            </w:r>
          </w:p>
        </w:tc>
        <w:tc>
          <w:tcPr>
            <w:tcW w:w="254" w:type="pct"/>
            <w:vMerge w:val="continue"/>
            <w:tcBorders>
              <w:left w:val="single" w:color="auto" w:sz="2" w:space="0"/>
            </w:tcBorders>
            <w:vAlign w:val="center"/>
          </w:tcPr>
          <w:p w14:paraId="7956649E">
            <w:pPr>
              <w:pStyle w:val="46"/>
              <w:bidi w:val="0"/>
              <w:rPr>
                <w:rFonts w:hint="default" w:ascii="Times New Roman" w:hAnsi="Times New Roman" w:cs="Times New Roman"/>
                <w:color w:val="auto"/>
                <w:highlight w:val="none"/>
              </w:rPr>
            </w:pPr>
          </w:p>
        </w:tc>
      </w:tr>
      <w:tr w14:paraId="104CC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52" w:type="pct"/>
            <w:vMerge w:val="continue"/>
            <w:vAlign w:val="center"/>
          </w:tcPr>
          <w:p w14:paraId="29EA340E">
            <w:pPr>
              <w:pStyle w:val="46"/>
              <w:bidi w:val="0"/>
              <w:rPr>
                <w:rFonts w:hint="default" w:ascii="Times New Roman" w:hAnsi="Times New Roman" w:cs="Times New Roman"/>
                <w:color w:val="auto"/>
                <w:highlight w:val="none"/>
              </w:rPr>
            </w:pPr>
          </w:p>
        </w:tc>
        <w:tc>
          <w:tcPr>
            <w:tcW w:w="189" w:type="pct"/>
            <w:vMerge w:val="continue"/>
            <w:vAlign w:val="center"/>
          </w:tcPr>
          <w:p w14:paraId="65047747">
            <w:pPr>
              <w:pStyle w:val="46"/>
              <w:bidi w:val="0"/>
              <w:rPr>
                <w:rFonts w:hint="default" w:ascii="Times New Roman" w:hAnsi="Times New Roman" w:cs="Times New Roman"/>
                <w:color w:val="auto"/>
                <w:highlight w:val="none"/>
              </w:rPr>
            </w:pPr>
          </w:p>
        </w:tc>
        <w:tc>
          <w:tcPr>
            <w:tcW w:w="655" w:type="pct"/>
            <w:vAlign w:val="center"/>
          </w:tcPr>
          <w:p w14:paraId="2432E5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3647" w:type="pct"/>
            <w:tcBorders>
              <w:right w:val="single" w:color="auto" w:sz="2" w:space="0"/>
            </w:tcBorders>
            <w:vAlign w:val="center"/>
          </w:tcPr>
          <w:p w14:paraId="06931D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本项目施工期产生施工机械噪声、运输噪声。合理安排施工时间（晚间22:00-6:00）严禁高噪声设备施工，尽量避免高噪声设备同时运行。优先选用低噪声设备，做好施工机械的维护和保养，减小施工</w:t>
            </w:r>
            <w:r>
              <w:rPr>
                <w:rFonts w:hint="default" w:ascii="Times New Roman" w:hAnsi="Times New Roman" w:cs="Times New Roman"/>
                <w:color w:val="auto"/>
                <w:highlight w:val="none"/>
                <w:lang w:val="zh-CN"/>
              </w:rPr>
              <w:t>机械</w:t>
            </w:r>
            <w:r>
              <w:rPr>
                <w:rFonts w:hint="default" w:ascii="Times New Roman" w:hAnsi="Times New Roman" w:cs="Times New Roman"/>
                <w:color w:val="auto"/>
                <w:highlight w:val="none"/>
              </w:rPr>
              <w:t>噪声影响。加强运输车辆管理，严禁超速超载，减</w:t>
            </w:r>
            <w:r>
              <w:rPr>
                <w:rFonts w:hint="default" w:ascii="Times New Roman" w:hAnsi="Times New Roman" w:cs="Times New Roman"/>
                <w:color w:val="auto"/>
                <w:highlight w:val="none"/>
                <w:lang w:val="en-US" w:eastAsia="zh-CN"/>
              </w:rPr>
              <w:t>少</w:t>
            </w:r>
            <w:r>
              <w:rPr>
                <w:rFonts w:hint="default" w:ascii="Times New Roman" w:hAnsi="Times New Roman" w:cs="Times New Roman"/>
                <w:color w:val="auto"/>
                <w:highlight w:val="none"/>
              </w:rPr>
              <w:t>运输噪声影响。机动车辆必须加强维修和保养，保持技术性能良好，运输车辆经过沿线村庄时将车速控制在20km/h以下、禁止鸣笛，减少交通噪声影响。</w:t>
            </w:r>
          </w:p>
        </w:tc>
        <w:tc>
          <w:tcPr>
            <w:tcW w:w="254" w:type="pct"/>
            <w:vMerge w:val="continue"/>
            <w:tcBorders>
              <w:left w:val="single" w:color="auto" w:sz="2" w:space="0"/>
            </w:tcBorders>
            <w:vAlign w:val="center"/>
          </w:tcPr>
          <w:p w14:paraId="6700E139">
            <w:pPr>
              <w:pStyle w:val="46"/>
              <w:bidi w:val="0"/>
              <w:rPr>
                <w:rFonts w:hint="default" w:ascii="Times New Roman" w:hAnsi="Times New Roman" w:cs="Times New Roman"/>
                <w:color w:val="auto"/>
                <w:highlight w:val="none"/>
              </w:rPr>
            </w:pPr>
          </w:p>
        </w:tc>
      </w:tr>
      <w:tr w14:paraId="1F83F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52" w:type="pct"/>
            <w:vMerge w:val="continue"/>
            <w:vAlign w:val="center"/>
          </w:tcPr>
          <w:p w14:paraId="00271596">
            <w:pPr>
              <w:pStyle w:val="46"/>
              <w:bidi w:val="0"/>
              <w:rPr>
                <w:rFonts w:hint="default" w:ascii="Times New Roman" w:hAnsi="Times New Roman" w:cs="Times New Roman"/>
                <w:color w:val="auto"/>
                <w:highlight w:val="none"/>
              </w:rPr>
            </w:pPr>
          </w:p>
        </w:tc>
        <w:tc>
          <w:tcPr>
            <w:tcW w:w="189" w:type="pct"/>
            <w:vMerge w:val="continue"/>
            <w:vAlign w:val="center"/>
          </w:tcPr>
          <w:p w14:paraId="3CFCBF07">
            <w:pPr>
              <w:pStyle w:val="46"/>
              <w:bidi w:val="0"/>
              <w:rPr>
                <w:rFonts w:hint="default" w:ascii="Times New Roman" w:hAnsi="Times New Roman" w:cs="Times New Roman"/>
                <w:color w:val="auto"/>
                <w:highlight w:val="none"/>
              </w:rPr>
            </w:pPr>
          </w:p>
        </w:tc>
        <w:tc>
          <w:tcPr>
            <w:tcW w:w="655" w:type="pct"/>
            <w:vAlign w:val="center"/>
          </w:tcPr>
          <w:p w14:paraId="42FAAC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3647" w:type="pct"/>
            <w:tcBorders>
              <w:right w:val="single" w:color="auto" w:sz="2" w:space="0"/>
            </w:tcBorders>
            <w:vAlign w:val="center"/>
          </w:tcPr>
          <w:p w14:paraId="703D01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生活垃圾、场地清理废物。建筑材料下脚料、包装袋等建筑废弃物，外售废品回收部门；生活垃圾集中收集后定期就近交由当地村屯生活垃圾收集系统进行分类处置；场地清理废物包含杂草、草木根茎、杂物等，集中收集后交由市政部门统一处理。</w:t>
            </w:r>
          </w:p>
        </w:tc>
        <w:tc>
          <w:tcPr>
            <w:tcW w:w="254" w:type="pct"/>
            <w:vMerge w:val="continue"/>
            <w:tcBorders>
              <w:left w:val="single" w:color="auto" w:sz="2" w:space="0"/>
            </w:tcBorders>
            <w:vAlign w:val="center"/>
          </w:tcPr>
          <w:p w14:paraId="3DD8E3CE">
            <w:pPr>
              <w:pStyle w:val="46"/>
              <w:bidi w:val="0"/>
              <w:rPr>
                <w:rFonts w:hint="default" w:ascii="Times New Roman" w:hAnsi="Times New Roman" w:cs="Times New Roman"/>
                <w:color w:val="auto"/>
                <w:highlight w:val="none"/>
              </w:rPr>
            </w:pPr>
          </w:p>
        </w:tc>
      </w:tr>
      <w:tr w14:paraId="6DF11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vMerge w:val="continue"/>
            <w:vAlign w:val="center"/>
          </w:tcPr>
          <w:p w14:paraId="6F9D8B88">
            <w:pPr>
              <w:pStyle w:val="46"/>
              <w:bidi w:val="0"/>
              <w:rPr>
                <w:rFonts w:hint="default" w:ascii="Times New Roman" w:hAnsi="Times New Roman" w:cs="Times New Roman"/>
                <w:color w:val="auto"/>
                <w:highlight w:val="none"/>
              </w:rPr>
            </w:pPr>
          </w:p>
        </w:tc>
        <w:tc>
          <w:tcPr>
            <w:tcW w:w="189" w:type="pct"/>
            <w:vMerge w:val="continue"/>
            <w:vAlign w:val="center"/>
          </w:tcPr>
          <w:p w14:paraId="07023212">
            <w:pPr>
              <w:pStyle w:val="46"/>
              <w:bidi w:val="0"/>
              <w:rPr>
                <w:rFonts w:hint="default" w:ascii="Times New Roman" w:hAnsi="Times New Roman" w:cs="Times New Roman"/>
                <w:color w:val="auto"/>
                <w:highlight w:val="none"/>
              </w:rPr>
            </w:pPr>
          </w:p>
        </w:tc>
        <w:tc>
          <w:tcPr>
            <w:tcW w:w="655" w:type="pct"/>
            <w:vAlign w:val="center"/>
          </w:tcPr>
          <w:p w14:paraId="715EC1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3647" w:type="pct"/>
            <w:tcBorders>
              <w:right w:val="single" w:color="auto" w:sz="2" w:space="0"/>
            </w:tcBorders>
            <w:vAlign w:val="center"/>
          </w:tcPr>
          <w:p w14:paraId="750114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会对自然景观、水土流失、土地利用功能等产生影响。严格控制施工范围，严禁捕杀野生动物，加强对施工人员的教育，土方开挖后及时回填，减少水土流失。回填区四周设置排水沟，减少水土流失；分区回填，分区覆盖，采取阶段性生态恢复措施；严格控制回填范围，避免对用地周围的植被产生破坏。</w:t>
            </w:r>
          </w:p>
        </w:tc>
        <w:tc>
          <w:tcPr>
            <w:tcW w:w="254" w:type="pct"/>
            <w:vMerge w:val="continue"/>
            <w:tcBorders>
              <w:left w:val="single" w:color="auto" w:sz="2" w:space="0"/>
            </w:tcBorders>
            <w:vAlign w:val="center"/>
          </w:tcPr>
          <w:p w14:paraId="4A854CC1">
            <w:pPr>
              <w:pStyle w:val="46"/>
              <w:bidi w:val="0"/>
              <w:rPr>
                <w:rFonts w:hint="default" w:ascii="Times New Roman" w:hAnsi="Times New Roman" w:cs="Times New Roman"/>
                <w:color w:val="auto"/>
                <w:highlight w:val="none"/>
              </w:rPr>
            </w:pPr>
          </w:p>
        </w:tc>
      </w:tr>
      <w:tr w14:paraId="573F8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52" w:type="pct"/>
            <w:vMerge w:val="continue"/>
            <w:vAlign w:val="center"/>
          </w:tcPr>
          <w:p w14:paraId="2EFE1452">
            <w:pPr>
              <w:pStyle w:val="46"/>
              <w:bidi w:val="0"/>
              <w:rPr>
                <w:rFonts w:hint="default" w:ascii="Times New Roman" w:hAnsi="Times New Roman" w:cs="Times New Roman"/>
                <w:color w:val="auto"/>
                <w:highlight w:val="none"/>
              </w:rPr>
            </w:pPr>
          </w:p>
        </w:tc>
        <w:tc>
          <w:tcPr>
            <w:tcW w:w="189" w:type="pct"/>
            <w:vMerge w:val="continue"/>
            <w:vAlign w:val="center"/>
          </w:tcPr>
          <w:p w14:paraId="7A2B9A9C">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032C0B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地下水污染监控</w:t>
            </w:r>
          </w:p>
        </w:tc>
        <w:tc>
          <w:tcPr>
            <w:tcW w:w="3647" w:type="pct"/>
            <w:vAlign w:val="center"/>
          </w:tcPr>
          <w:p w14:paraId="3F492042">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地下水下游跟踪监测井</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眼，监测地下水水质</w:t>
            </w:r>
            <w:r>
              <w:rPr>
                <w:rFonts w:hint="default" w:ascii="Times New Roman" w:hAnsi="Times New Roman" w:cs="Times New Roman"/>
                <w:color w:val="auto"/>
                <w:highlight w:val="none"/>
                <w:lang w:eastAsia="zh-CN"/>
              </w:rPr>
              <w:t>。</w:t>
            </w:r>
          </w:p>
        </w:tc>
        <w:tc>
          <w:tcPr>
            <w:tcW w:w="254" w:type="pct"/>
            <w:vMerge w:val="continue"/>
            <w:tcBorders>
              <w:tl2br w:val="nil"/>
              <w:tr2bl w:val="nil"/>
            </w:tcBorders>
            <w:vAlign w:val="center"/>
          </w:tcPr>
          <w:p w14:paraId="770A55B7">
            <w:pPr>
              <w:pStyle w:val="46"/>
              <w:bidi w:val="0"/>
              <w:rPr>
                <w:rFonts w:hint="default" w:ascii="Times New Roman" w:hAnsi="Times New Roman" w:cs="Times New Roman"/>
                <w:color w:val="auto"/>
                <w:highlight w:val="none"/>
              </w:rPr>
            </w:pPr>
          </w:p>
        </w:tc>
      </w:tr>
      <w:tr w14:paraId="1184F4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52" w:type="pct"/>
            <w:vMerge w:val="continue"/>
            <w:vAlign w:val="center"/>
          </w:tcPr>
          <w:p w14:paraId="08121045">
            <w:pPr>
              <w:pStyle w:val="46"/>
              <w:bidi w:val="0"/>
              <w:rPr>
                <w:rFonts w:hint="default" w:ascii="Times New Roman" w:hAnsi="Times New Roman" w:cs="Times New Roman"/>
                <w:color w:val="auto"/>
                <w:highlight w:val="none"/>
              </w:rPr>
            </w:pPr>
          </w:p>
        </w:tc>
        <w:tc>
          <w:tcPr>
            <w:tcW w:w="189" w:type="pct"/>
            <w:vMerge w:val="continue"/>
            <w:vAlign w:val="center"/>
          </w:tcPr>
          <w:p w14:paraId="0BB3A782">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1D05FB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风险防范措施</w:t>
            </w:r>
          </w:p>
        </w:tc>
        <w:tc>
          <w:tcPr>
            <w:tcW w:w="3647" w:type="pct"/>
            <w:tcBorders>
              <w:tl2br w:val="nil"/>
              <w:tr2bl w:val="nil"/>
            </w:tcBorders>
            <w:vAlign w:val="center"/>
          </w:tcPr>
          <w:p w14:paraId="34A3FF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设置</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口地下水监测井，定期检查维护淋溶水收集导排系统等。</w:t>
            </w:r>
          </w:p>
        </w:tc>
        <w:tc>
          <w:tcPr>
            <w:tcW w:w="254" w:type="pct"/>
            <w:vMerge w:val="continue"/>
            <w:tcBorders>
              <w:tl2br w:val="nil"/>
              <w:tr2bl w:val="nil"/>
            </w:tcBorders>
            <w:vAlign w:val="center"/>
          </w:tcPr>
          <w:p w14:paraId="19BAEA13">
            <w:pPr>
              <w:pStyle w:val="46"/>
              <w:bidi w:val="0"/>
              <w:rPr>
                <w:rFonts w:hint="default" w:ascii="Times New Roman" w:hAnsi="Times New Roman" w:cs="Times New Roman"/>
                <w:color w:val="auto"/>
                <w:highlight w:val="none"/>
              </w:rPr>
            </w:pPr>
          </w:p>
        </w:tc>
      </w:tr>
      <w:tr w14:paraId="57F28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52" w:type="pct"/>
            <w:vMerge w:val="continue"/>
            <w:vAlign w:val="center"/>
          </w:tcPr>
          <w:p w14:paraId="5DF05940">
            <w:pPr>
              <w:pStyle w:val="46"/>
              <w:bidi w:val="0"/>
              <w:rPr>
                <w:rFonts w:hint="default" w:ascii="Times New Roman" w:hAnsi="Times New Roman" w:cs="Times New Roman"/>
                <w:color w:val="auto"/>
                <w:highlight w:val="none"/>
              </w:rPr>
            </w:pPr>
          </w:p>
        </w:tc>
        <w:tc>
          <w:tcPr>
            <w:tcW w:w="189" w:type="pct"/>
            <w:vMerge w:val="continue"/>
            <w:tcBorders>
              <w:tl2br w:val="nil"/>
              <w:tr2bl w:val="nil"/>
            </w:tcBorders>
            <w:vAlign w:val="center"/>
          </w:tcPr>
          <w:p w14:paraId="11934CFA">
            <w:pPr>
              <w:pStyle w:val="46"/>
              <w:bidi w:val="0"/>
              <w:rPr>
                <w:rFonts w:hint="default" w:ascii="Times New Roman" w:hAnsi="Times New Roman" w:cs="Times New Roman"/>
                <w:color w:val="auto"/>
                <w:highlight w:val="none"/>
              </w:rPr>
            </w:pPr>
          </w:p>
        </w:tc>
        <w:tc>
          <w:tcPr>
            <w:tcW w:w="655" w:type="pct"/>
            <w:tcBorders>
              <w:tl2br w:val="nil"/>
              <w:tr2bl w:val="nil"/>
            </w:tcBorders>
            <w:vAlign w:val="center"/>
          </w:tcPr>
          <w:p w14:paraId="73765D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土地复垦</w:t>
            </w:r>
          </w:p>
        </w:tc>
        <w:tc>
          <w:tcPr>
            <w:tcW w:w="3647" w:type="pct"/>
            <w:tcBorders>
              <w:tl2br w:val="nil"/>
              <w:tr2bl w:val="nil"/>
            </w:tcBorders>
            <w:vAlign w:val="center"/>
          </w:tcPr>
          <w:p w14:paraId="3D6BCF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在回填至设计标高</w:t>
            </w:r>
            <w:r>
              <w:rPr>
                <w:rFonts w:hint="default" w:ascii="Times New Roman" w:hAnsi="Times New Roman" w:cs="Times New Roman"/>
                <w:color w:val="auto"/>
                <w:highlight w:val="none"/>
                <w:lang w:val="en-US" w:eastAsia="zh-CN"/>
              </w:rPr>
              <w:t>327~346</w:t>
            </w: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rPr>
              <w:t>后统一进行覆土，</w:t>
            </w:r>
            <w:r>
              <w:rPr>
                <w:rFonts w:hint="default" w:ascii="Times New Roman" w:hAnsi="Times New Roman" w:cs="Times New Roman"/>
                <w:color w:val="auto"/>
                <w:highlight w:val="none"/>
                <w:lang w:val="en-US" w:eastAsia="zh-CN"/>
              </w:rPr>
              <w:t>耕地部分</w:t>
            </w:r>
            <w:r>
              <w:rPr>
                <w:rFonts w:hint="default" w:ascii="Times New Roman" w:hAnsi="Times New Roman" w:cs="Times New Roman"/>
                <w:color w:val="auto"/>
                <w:highlight w:val="none"/>
              </w:rPr>
              <w:t>有效土层厚度不低于80cm（包含表土层厚度30cm），</w:t>
            </w:r>
            <w:r>
              <w:rPr>
                <w:rFonts w:hint="default" w:ascii="Times New Roman" w:hAnsi="Times New Roman" w:cs="Times New Roman"/>
                <w:color w:val="auto"/>
                <w:highlight w:val="none"/>
                <w:lang w:val="en-US" w:eastAsia="zh-CN"/>
              </w:rPr>
              <w:t>林地部分厚度不低于30cm，</w:t>
            </w:r>
            <w:r>
              <w:rPr>
                <w:rFonts w:hint="default" w:ascii="Times New Roman" w:hAnsi="Times New Roman" w:cs="Times New Roman"/>
                <w:color w:val="auto"/>
                <w:highlight w:val="none"/>
              </w:rPr>
              <w:t>土地复垦所需的覆土全部</w:t>
            </w:r>
            <w:r>
              <w:rPr>
                <w:rFonts w:hint="default" w:ascii="Times New Roman" w:hAnsi="Times New Roman" w:cs="Times New Roman"/>
                <w:color w:val="auto"/>
                <w:highlight w:val="none"/>
                <w:lang w:val="en-US" w:eastAsia="zh-CN"/>
              </w:rPr>
              <w:t>为碎石场剥离的表土，无需外购</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恢复为耕地部分</w:t>
            </w:r>
            <w:r>
              <w:rPr>
                <w:rFonts w:hint="default" w:ascii="Times New Roman" w:hAnsi="Times New Roman" w:cs="Times New Roman"/>
                <w:color w:val="auto"/>
                <w:highlight w:val="none"/>
              </w:rPr>
              <w:t>土壤质量应满足《土壤环境质量 农用地土壤污染风险管控标准（试行）》（GB15618-2018）要求，复垦成耕地。</w:t>
            </w:r>
            <w:r>
              <w:rPr>
                <w:rFonts w:hint="default" w:ascii="Times New Roman" w:hAnsi="Times New Roman" w:cs="Times New Roman"/>
                <w:color w:val="auto"/>
                <w:highlight w:val="none"/>
                <w:lang w:val="en-US" w:eastAsia="zh-CN"/>
              </w:rPr>
              <w:t>恢复为林地及耕地，</w:t>
            </w:r>
            <w:r>
              <w:rPr>
                <w:rFonts w:hint="default" w:ascii="Times New Roman" w:hAnsi="Times New Roman" w:cs="Times New Roman"/>
                <w:color w:val="auto"/>
                <w:highlight w:val="none"/>
              </w:rPr>
              <w:t>土地复垦实施过程应满足《土地复垦质量控制标准》（TD/T1036-2013）规定的相关土地复垦质量控制要求。</w:t>
            </w:r>
          </w:p>
        </w:tc>
        <w:tc>
          <w:tcPr>
            <w:tcW w:w="254" w:type="pct"/>
            <w:vMerge w:val="continue"/>
            <w:tcBorders>
              <w:tl2br w:val="nil"/>
              <w:tr2bl w:val="nil"/>
            </w:tcBorders>
            <w:vAlign w:val="center"/>
          </w:tcPr>
          <w:p w14:paraId="7CB676E5">
            <w:pPr>
              <w:pStyle w:val="46"/>
              <w:bidi w:val="0"/>
              <w:rPr>
                <w:rFonts w:hint="default" w:ascii="Times New Roman" w:hAnsi="Times New Roman" w:cs="Times New Roman"/>
                <w:color w:val="auto"/>
                <w:highlight w:val="none"/>
              </w:rPr>
            </w:pPr>
          </w:p>
        </w:tc>
      </w:tr>
      <w:tr w14:paraId="2EA3A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252" w:type="pct"/>
            <w:vMerge w:val="continue"/>
            <w:vAlign w:val="center"/>
          </w:tcPr>
          <w:p w14:paraId="158CAF3E">
            <w:pPr>
              <w:pStyle w:val="46"/>
              <w:bidi w:val="0"/>
              <w:rPr>
                <w:rFonts w:hint="default" w:ascii="Times New Roman" w:hAnsi="Times New Roman" w:cs="Times New Roman"/>
                <w:color w:val="auto"/>
                <w:highlight w:val="none"/>
              </w:rPr>
            </w:pPr>
          </w:p>
        </w:tc>
        <w:tc>
          <w:tcPr>
            <w:tcW w:w="189" w:type="pct"/>
            <w:tcBorders>
              <w:tl2br w:val="nil"/>
              <w:tr2bl w:val="nil"/>
            </w:tcBorders>
            <w:vAlign w:val="center"/>
          </w:tcPr>
          <w:p w14:paraId="4024BC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w:t>
            </w:r>
          </w:p>
        </w:tc>
        <w:tc>
          <w:tcPr>
            <w:tcW w:w="655" w:type="pct"/>
            <w:tcBorders>
              <w:tl2br w:val="nil"/>
              <w:tr2bl w:val="nil"/>
            </w:tcBorders>
            <w:vAlign w:val="center"/>
          </w:tcPr>
          <w:p w14:paraId="15146AA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3647" w:type="pct"/>
            <w:tcBorders>
              <w:tl2br w:val="nil"/>
              <w:tr2bl w:val="nil"/>
            </w:tcBorders>
            <w:vAlign w:val="center"/>
          </w:tcPr>
          <w:p w14:paraId="62626C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生态恢复期为回填复垦结束后</w:t>
            </w:r>
            <w:r>
              <w:rPr>
                <w:rFonts w:hint="default" w:ascii="Times New Roman" w:hAnsi="Times New Roman" w:cs="Times New Roman"/>
                <w:color w:val="auto"/>
                <w:highlight w:val="none"/>
                <w:lang w:val="en-US" w:eastAsia="zh-CN"/>
              </w:rPr>
              <w:t>进入农田和林地</w:t>
            </w:r>
            <w:r>
              <w:rPr>
                <w:rFonts w:hint="default" w:ascii="Times New Roman" w:hAnsi="Times New Roman" w:cs="Times New Roman"/>
                <w:color w:val="auto"/>
                <w:highlight w:val="none"/>
              </w:rPr>
              <w:t>恢复期，此阶段由于农药化肥的使用，在降雨的作用下形成地表径流，易造成农业面源污染。因此，应该加强农田管理，推广施肥新技术、新产品和新机具，全面提升科学施肥水平；实施合理施肥，在施肥过程中应根据土壤养分状况和作物需求量，科学配置基肥、追肥等肥料；合理利用有机养分资源，推进增施有机肥，通过耕层调控等技术，激发土壤养分有效性，替代化肥投入，减少因过度施肥造成的养分浪费和环境污染。生态恢复期地下水监测系统应继续正常运行，持续开展地下水和土壤的监测工作，按照环境监测计划中的监测频次和监测项目进行监测，土壤监测频次为每年一次，地下水监测频次为半年一次，直到地下水水质连续2年不超出地下水本底水平。</w:t>
            </w:r>
          </w:p>
        </w:tc>
        <w:tc>
          <w:tcPr>
            <w:tcW w:w="254" w:type="pct"/>
            <w:tcBorders>
              <w:tl2br w:val="nil"/>
              <w:tr2bl w:val="nil"/>
            </w:tcBorders>
            <w:vAlign w:val="center"/>
          </w:tcPr>
          <w:p w14:paraId="5D5CF1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bookmarkEnd w:id="158"/>
    </w:tbl>
    <w:p w14:paraId="342D57CC">
      <w:pPr>
        <w:pStyle w:val="41"/>
        <w:bidi w:val="0"/>
        <w:rPr>
          <w:rFonts w:hint="default" w:ascii="Times New Roman" w:hAnsi="Times New Roman" w:cs="Times New Roman"/>
          <w:color w:val="auto"/>
          <w:highlight w:val="none"/>
        </w:rPr>
      </w:pPr>
      <w:bookmarkStart w:id="162" w:name="_Toc454"/>
      <w:r>
        <w:rPr>
          <w:rFonts w:hint="default" w:ascii="Times New Roman" w:hAnsi="Times New Roman" w:cs="Times New Roman"/>
          <w:color w:val="auto"/>
          <w:highlight w:val="none"/>
        </w:rPr>
        <w:t>3.1.4矿山地质环境保护与修复方案</w:t>
      </w:r>
      <w:bookmarkEnd w:id="162"/>
    </w:p>
    <w:p w14:paraId="420A13DA">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1、场地平整</w:t>
      </w:r>
    </w:p>
    <w:p w14:paraId="3A33209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项目首先将场地底部所有杂草、草木根茎、杂物等不合格的土全部进行清除，处理后的场底基础面达到平整、坚实、无裂缝、无松土，坡面稳定，过渡平缓。</w:t>
      </w:r>
    </w:p>
    <w:p w14:paraId="6908602F">
      <w:pPr>
        <w:pStyle w:val="27"/>
        <w:numPr>
          <w:ilvl w:val="0"/>
          <w:numId w:val="0"/>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highlight w:val="none"/>
          <w:lang w:val="en-US" w:eastAsia="zh-CN"/>
        </w:rPr>
        <w:t>防渗系统</w:t>
      </w:r>
    </w:p>
    <w:p w14:paraId="08CA8E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color w:val="auto"/>
          <w:kern w:val="21"/>
          <w:sz w:val="24"/>
          <w:highlight w:val="none"/>
          <w:u w:val="none"/>
          <w:shd w:val="clear" w:color="auto" w:fill="auto"/>
          <w:lang w:val="en-US" w:eastAsia="zh-CN"/>
        </w:rPr>
        <w:t>场地平整后在场底铺设0.3 m厚的改性压实粘土压实作为基础层，并定期由勘测单位对其检测，其防渗性能需满足渗透系数为1.0×10</w:t>
      </w:r>
      <w:r>
        <w:rPr>
          <w:rFonts w:hint="default" w:ascii="Times New Roman" w:hAnsi="Times New Roman" w:eastAsia="宋体" w:cs="Times New Roman"/>
          <w:b w:val="0"/>
          <w:color w:val="auto"/>
          <w:kern w:val="21"/>
          <w:sz w:val="24"/>
          <w:highlight w:val="none"/>
          <w:u w:val="none"/>
          <w:shd w:val="clear" w:color="auto" w:fill="auto"/>
          <w:vertAlign w:val="superscript"/>
          <w:lang w:val="en-US" w:eastAsia="zh-CN"/>
        </w:rPr>
        <w:t>-5</w:t>
      </w:r>
      <w:r>
        <w:rPr>
          <w:rFonts w:hint="default" w:ascii="Times New Roman" w:hAnsi="Times New Roman" w:eastAsia="宋体" w:cs="Times New Roman"/>
          <w:b w:val="0"/>
          <w:color w:val="auto"/>
          <w:kern w:val="21"/>
          <w:sz w:val="24"/>
          <w:highlight w:val="none"/>
          <w:u w:val="none"/>
          <w:shd w:val="clear" w:color="auto" w:fill="auto"/>
          <w:lang w:val="en-US" w:eastAsia="zh-CN"/>
        </w:rPr>
        <w:t xml:space="preserve"> cm/s且厚度为0.75 m的天然基础层后方可回填。淋溶水暂存池要求防渗技术为等效黏土防渗层Mb≥6.0 m，K≤1×10</w:t>
      </w:r>
      <w:r>
        <w:rPr>
          <w:rFonts w:hint="default" w:ascii="Times New Roman" w:hAnsi="Times New Roman" w:eastAsia="宋体" w:cs="Times New Roman"/>
          <w:b w:val="0"/>
          <w:color w:val="auto"/>
          <w:kern w:val="21"/>
          <w:sz w:val="24"/>
          <w:highlight w:val="none"/>
          <w:u w:val="none"/>
          <w:shd w:val="clear" w:color="auto" w:fill="auto"/>
          <w:vertAlign w:val="superscript"/>
          <w:lang w:val="en-US" w:eastAsia="zh-CN"/>
        </w:rPr>
        <w:t xml:space="preserve">-7 </w:t>
      </w:r>
      <w:r>
        <w:rPr>
          <w:rFonts w:hint="default" w:ascii="Times New Roman" w:hAnsi="Times New Roman" w:eastAsia="宋体" w:cs="Times New Roman"/>
          <w:b w:val="0"/>
          <w:color w:val="auto"/>
          <w:kern w:val="21"/>
          <w:sz w:val="24"/>
          <w:highlight w:val="none"/>
          <w:u w:val="none"/>
          <w:shd w:val="clear" w:color="auto" w:fill="auto"/>
          <w:lang w:val="en-US" w:eastAsia="zh-CN"/>
        </w:rPr>
        <w:t>cm/s，边坡防渗采用粘土填筑压实，防渗材料采用600g/m</w:t>
      </w:r>
      <w:r>
        <w:rPr>
          <w:rFonts w:hint="default" w:ascii="Times New Roman" w:hAnsi="Times New Roman" w:eastAsia="宋体" w:cs="Times New Roman"/>
          <w:b w:val="0"/>
          <w:color w:val="auto"/>
          <w:kern w:val="21"/>
          <w:sz w:val="24"/>
          <w:highlight w:val="none"/>
          <w:u w:val="none"/>
          <w:shd w:val="clear" w:color="auto" w:fill="auto"/>
          <w:vertAlign w:val="superscript"/>
          <w:lang w:val="en-US" w:eastAsia="zh-CN"/>
        </w:rPr>
        <w:t>2</w:t>
      </w:r>
      <w:r>
        <w:rPr>
          <w:rFonts w:hint="default" w:ascii="Times New Roman" w:hAnsi="Times New Roman" w:eastAsia="宋体" w:cs="Times New Roman"/>
          <w:b w:val="0"/>
          <w:color w:val="auto"/>
          <w:kern w:val="21"/>
          <w:sz w:val="24"/>
          <w:highlight w:val="none"/>
          <w:u w:val="none"/>
          <w:shd w:val="clear" w:color="auto" w:fill="auto"/>
          <w:lang w:val="en-US" w:eastAsia="zh-CN"/>
        </w:rPr>
        <w:t>长纤无纺土工布+1.5mm厚HDPE防渗膜作为人工合成衬层。需保证防渗要求满足《一般工业固体废物贮存和填埋污染控制标准》（GB 18599-2020）。</w:t>
      </w:r>
    </w:p>
    <w:p w14:paraId="5D3B89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bCs w:val="0"/>
          <w:color w:val="auto"/>
          <w:kern w:val="21"/>
          <w:sz w:val="24"/>
          <w:highlight w:val="none"/>
          <w:lang w:val="en-US" w:eastAsia="zh-CN"/>
        </w:rPr>
        <w:t>项目所用改性压实粘土来源于外购灵寿县强东矿产品加工厂，该厂是</w:t>
      </w:r>
      <w:r>
        <w:rPr>
          <w:rFonts w:hint="default" w:ascii="Times New Roman" w:hAnsi="Times New Roman" w:eastAsia="宋体" w:cs="Times New Roman"/>
          <w:b w:val="0"/>
          <w:color w:val="auto"/>
          <w:kern w:val="21"/>
          <w:sz w:val="24"/>
          <w:highlight w:val="none"/>
          <w:u w:val="none"/>
          <w:shd w:val="clear" w:color="auto" w:fill="auto"/>
          <w:lang w:val="en-US" w:eastAsia="zh-CN"/>
        </w:rPr>
        <w:t>集生产、加工、销售于一体的综合型企业，是生产经营非金属矿产品的专业单位。</w:t>
      </w:r>
      <w:r>
        <w:rPr>
          <w:rFonts w:hint="default" w:ascii="Times New Roman" w:hAnsi="Times New Roman" w:eastAsia="宋体" w:cs="Times New Roman"/>
          <w:b w:val="0"/>
          <w:bCs w:val="0"/>
          <w:color w:val="auto"/>
          <w:kern w:val="21"/>
          <w:sz w:val="24"/>
          <w:highlight w:val="none"/>
          <w:lang w:val="en-US" w:eastAsia="zh-CN"/>
        </w:rPr>
        <w:t>该厂</w:t>
      </w:r>
      <w:r>
        <w:rPr>
          <w:rFonts w:hint="default" w:ascii="Times New Roman" w:hAnsi="Times New Roman" w:eastAsia="宋体" w:cs="Times New Roman"/>
          <w:b w:val="0"/>
          <w:color w:val="auto"/>
          <w:kern w:val="21"/>
          <w:sz w:val="24"/>
          <w:highlight w:val="none"/>
          <w:u w:val="none"/>
          <w:shd w:val="clear" w:color="auto" w:fill="auto"/>
          <w:lang w:val="en-US" w:eastAsia="zh-CN"/>
        </w:rPr>
        <w:t>拥有现代化的生产和化验检测设备，并聘有行业的专家实行科学管理，对产品质量严格把关，绝对保证交货期和发货相关服务。</w:t>
      </w:r>
      <w:r>
        <w:rPr>
          <w:rFonts w:hint="default" w:ascii="Times New Roman" w:hAnsi="Times New Roman" w:eastAsia="宋体" w:cs="Times New Roman"/>
          <w:b w:val="0"/>
          <w:bCs w:val="0"/>
          <w:color w:val="auto"/>
          <w:kern w:val="21"/>
          <w:sz w:val="24"/>
          <w:highlight w:val="none"/>
          <w:lang w:val="en-US" w:eastAsia="zh-CN"/>
        </w:rPr>
        <w:t>灵寿县强东矿产品加工厂可以提供项目所需数量及技术要求的改性压实粘土，故项目所用改性压实粘土外购灵寿县强东矿产品加工厂可靠可行。</w:t>
      </w:r>
    </w:p>
    <w:p w14:paraId="73E43B73">
      <w:pPr>
        <w:pStyle w:val="27"/>
        <w:numPr>
          <w:ilvl w:val="0"/>
          <w:numId w:val="5"/>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淋溶水收集倒排系统</w:t>
      </w:r>
    </w:p>
    <w:p w14:paraId="41338A08">
      <w:pPr>
        <w:pStyle w:val="27"/>
        <w:keepNext w:val="0"/>
        <w:keepLines w:val="0"/>
        <w:pageBreakBefore w:val="0"/>
        <w:widowControl/>
        <w:numPr>
          <w:ilvl w:val="0"/>
          <w:numId w:val="0"/>
        </w:numPr>
        <w:kinsoku/>
        <w:wordWrap/>
        <w:overflowPunct/>
        <w:topLinePunct w:val="0"/>
        <w:autoSpaceDE/>
        <w:autoSpaceDN/>
        <w:bidi w:val="0"/>
        <w:adjustRightInd w:val="0"/>
        <w:snapToGrid w:val="0"/>
        <w:ind w:leftChars="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在回填区库底设置1条梯形断面淋溶水导排沟，在回填区东侧配套建设1座暂存池（200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根据实际场地整平及地形情况，在主导排沟纵线上敷设导排支沟，支沟以45度斜角插入导排主沟，用于施工期极端天气强降雨时期产生的淋溶水收集。淋溶水收集后用于降尘。防渗系统与淋溶水收集导排系统一次建成，淋溶水收集导排系统位于防渗系统上部，运行周期至项目施工期结束，淋溶水收集导排系统可将淋溶水导排至暂存池，可有效收集施工期强降雨天气产生的淋溶水，可防止发生环境风险突发事件污染地下水及土壤环境。</w:t>
      </w:r>
    </w:p>
    <w:p w14:paraId="5352F3E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回填工程</w:t>
      </w:r>
    </w:p>
    <w:p w14:paraId="3064E15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(1)回填区</w:t>
      </w:r>
    </w:p>
    <w:p w14:paraId="1360A13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本项目修复回填材料为大唐鸡西第二热电有限公司的粉煤灰。回填量</w:t>
      </w:r>
      <w:r>
        <w:rPr>
          <w:rFonts w:hint="default" w:ascii="Times New Roman" w:hAnsi="Times New Roman" w:cs="Times New Roman"/>
          <w:color w:val="auto"/>
          <w:highlight w:val="none"/>
          <w:lang w:val="en-US" w:eastAsia="zh-CN"/>
        </w:rPr>
        <w:t>约为105.9</w:t>
      </w:r>
      <w:r>
        <w:rPr>
          <w:rFonts w:hint="default" w:ascii="Times New Roman" w:hAnsi="Times New Roman" w:cs="Times New Roman"/>
          <w:color w:val="auto"/>
          <w:highlight w:val="none"/>
        </w:rPr>
        <w:t>万</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，覆土量为</w:t>
      </w:r>
      <w:r>
        <w:rPr>
          <w:rFonts w:hint="default" w:ascii="Times New Roman" w:hAnsi="Times New Roman" w:cs="Times New Roman"/>
          <w:color w:val="auto"/>
          <w:highlight w:val="none"/>
          <w:lang w:val="en-US" w:eastAsia="zh-CN"/>
        </w:rPr>
        <w:t>38890.9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其中表土量为25590.9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，回填期约</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年，年工作</w:t>
      </w:r>
      <w:r>
        <w:rPr>
          <w:rFonts w:hint="default" w:ascii="Times New Roman" w:hAnsi="Times New Roman" w:cs="Times New Roman"/>
          <w:color w:val="auto"/>
          <w:highlight w:val="none"/>
          <w:lang w:eastAsia="zh-CN"/>
        </w:rPr>
        <w:t>330天</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一</w:t>
      </w:r>
      <w:r>
        <w:rPr>
          <w:rFonts w:hint="default" w:ascii="Times New Roman" w:hAnsi="Times New Roman" w:cs="Times New Roman"/>
          <w:color w:val="auto"/>
          <w:highlight w:val="none"/>
        </w:rPr>
        <w:t>班制，每班8小时。回填作业过程为：用推土机进行自上而下分层铺填推平后，由压实机反复压实，然后由洒水车洒水降尘；对废弃采坑进行分区块回填，将回填作业区划分几个区域，然后按顺序逐区进行单元回填作业，单元数量和大小视具体情况而定，标准单元由每天回填的灰量决定，每单元大小一般以一日一层作业量计算，单元作业大小为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2FA1A17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回填区范围拐点坐标如下表所示。</w:t>
      </w:r>
    </w:p>
    <w:p w14:paraId="70DF11B0">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回填区拐点坐标</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大地2000坐标系</w:t>
      </w:r>
      <w:r>
        <w:rPr>
          <w:rFonts w:hint="default" w:ascii="Times New Roman" w:hAnsi="Times New Roman" w:eastAsia="宋体" w:cs="Times New Roman"/>
          <w:color w:val="auto"/>
          <w:highlight w:val="none"/>
          <w:lang w:eastAsia="zh-CN"/>
        </w:rPr>
        <w:t>）</w:t>
      </w:r>
    </w:p>
    <w:tbl>
      <w:tblPr>
        <w:tblStyle w:val="24"/>
        <w:tblW w:w="807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714"/>
        <w:gridCol w:w="3181"/>
        <w:gridCol w:w="3184"/>
      </w:tblGrid>
      <w:tr w14:paraId="13DC5C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1714" w:type="dxa"/>
            <w:vMerge w:val="restart"/>
            <w:tcBorders>
              <w:tl2br w:val="nil"/>
              <w:tr2bl w:val="nil"/>
            </w:tcBorders>
            <w:noWrap w:val="0"/>
            <w:vAlign w:val="center"/>
          </w:tcPr>
          <w:p w14:paraId="54386A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点号</w:t>
            </w:r>
          </w:p>
        </w:tc>
        <w:tc>
          <w:tcPr>
            <w:tcW w:w="6365" w:type="dxa"/>
            <w:gridSpan w:val="2"/>
            <w:tcBorders>
              <w:tl2br w:val="nil"/>
              <w:tr2bl w:val="nil"/>
            </w:tcBorders>
            <w:noWrap w:val="0"/>
            <w:vAlign w:val="center"/>
          </w:tcPr>
          <w:p w14:paraId="69EA85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2000坐标系</w:t>
            </w:r>
          </w:p>
        </w:tc>
      </w:tr>
      <w:tr w14:paraId="1B5ED9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1714" w:type="dxa"/>
            <w:vMerge w:val="continue"/>
            <w:tcBorders>
              <w:tl2br w:val="nil"/>
              <w:tr2bl w:val="nil"/>
            </w:tcBorders>
            <w:noWrap w:val="0"/>
            <w:vAlign w:val="center"/>
          </w:tcPr>
          <w:p w14:paraId="0B3E574E">
            <w:pPr>
              <w:pStyle w:val="46"/>
              <w:bidi w:val="0"/>
              <w:rPr>
                <w:rFonts w:hint="default" w:ascii="Times New Roman" w:hAnsi="Times New Roman" w:cs="Times New Roman"/>
                <w:color w:val="auto"/>
                <w:highlight w:val="none"/>
              </w:rPr>
            </w:pPr>
          </w:p>
        </w:tc>
        <w:tc>
          <w:tcPr>
            <w:tcW w:w="3181" w:type="dxa"/>
            <w:tcBorders>
              <w:tl2br w:val="nil"/>
              <w:tr2bl w:val="nil"/>
            </w:tcBorders>
            <w:noWrap w:val="0"/>
            <w:vAlign w:val="center"/>
          </w:tcPr>
          <w:p w14:paraId="3953D8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w:t>
            </w:r>
          </w:p>
        </w:tc>
        <w:tc>
          <w:tcPr>
            <w:tcW w:w="3184" w:type="dxa"/>
            <w:tcBorders>
              <w:tl2br w:val="nil"/>
              <w:tr2bl w:val="nil"/>
            </w:tcBorders>
            <w:noWrap w:val="0"/>
            <w:vAlign w:val="center"/>
          </w:tcPr>
          <w:p w14:paraId="43F5B7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w:t>
            </w:r>
          </w:p>
        </w:tc>
      </w:tr>
      <w:tr w14:paraId="20C182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392F1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0" w:type="auto"/>
            <w:tcBorders>
              <w:tl2br w:val="nil"/>
              <w:tr2bl w:val="nil"/>
            </w:tcBorders>
            <w:noWrap/>
            <w:vAlign w:val="center"/>
          </w:tcPr>
          <w:p w14:paraId="12D744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5023388.534</w:t>
            </w:r>
          </w:p>
        </w:tc>
        <w:tc>
          <w:tcPr>
            <w:tcW w:w="0" w:type="auto"/>
            <w:tcBorders>
              <w:tl2br w:val="nil"/>
              <w:tr2bl w:val="nil"/>
            </w:tcBorders>
            <w:noWrap/>
            <w:vAlign w:val="center"/>
          </w:tcPr>
          <w:p w14:paraId="0416C7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44401477.735</w:t>
            </w:r>
          </w:p>
        </w:tc>
      </w:tr>
      <w:tr w14:paraId="6F211C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0BC014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0" w:type="auto"/>
            <w:tcBorders>
              <w:tl2br w:val="nil"/>
              <w:tr2bl w:val="nil"/>
            </w:tcBorders>
            <w:noWrap/>
            <w:vAlign w:val="center"/>
          </w:tcPr>
          <w:p w14:paraId="1127A0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5023380.384</w:t>
            </w:r>
          </w:p>
        </w:tc>
        <w:tc>
          <w:tcPr>
            <w:tcW w:w="0" w:type="auto"/>
            <w:tcBorders>
              <w:tl2br w:val="nil"/>
              <w:tr2bl w:val="nil"/>
            </w:tcBorders>
            <w:noWrap/>
            <w:vAlign w:val="center"/>
          </w:tcPr>
          <w:p w14:paraId="697E68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44401459.434</w:t>
            </w:r>
          </w:p>
        </w:tc>
      </w:tr>
      <w:tr w14:paraId="730083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72BDB7E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0" w:type="auto"/>
            <w:tcBorders>
              <w:tl2br w:val="nil"/>
              <w:tr2bl w:val="nil"/>
            </w:tcBorders>
            <w:noWrap/>
            <w:vAlign w:val="center"/>
          </w:tcPr>
          <w:p w14:paraId="3684C6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5023380.563</w:t>
            </w:r>
          </w:p>
        </w:tc>
        <w:tc>
          <w:tcPr>
            <w:tcW w:w="0" w:type="auto"/>
            <w:tcBorders>
              <w:tl2br w:val="nil"/>
              <w:tr2bl w:val="nil"/>
            </w:tcBorders>
            <w:noWrap/>
            <w:vAlign w:val="center"/>
          </w:tcPr>
          <w:p w14:paraId="767F85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44401420.501</w:t>
            </w:r>
          </w:p>
        </w:tc>
      </w:tr>
      <w:tr w14:paraId="289EE1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52D23D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p>
        </w:tc>
        <w:tc>
          <w:tcPr>
            <w:tcW w:w="0" w:type="auto"/>
            <w:tcBorders>
              <w:tl2br w:val="nil"/>
              <w:tr2bl w:val="nil"/>
            </w:tcBorders>
            <w:noWrap/>
            <w:vAlign w:val="center"/>
          </w:tcPr>
          <w:p w14:paraId="6C08DD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5023389.984</w:t>
            </w:r>
          </w:p>
        </w:tc>
        <w:tc>
          <w:tcPr>
            <w:tcW w:w="0" w:type="auto"/>
            <w:tcBorders>
              <w:tl2br w:val="nil"/>
              <w:tr2bl w:val="nil"/>
            </w:tcBorders>
            <w:noWrap/>
            <w:vAlign w:val="center"/>
          </w:tcPr>
          <w:p w14:paraId="096B57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44401407.113</w:t>
            </w:r>
          </w:p>
        </w:tc>
      </w:tr>
      <w:tr w14:paraId="5774D3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656E66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p>
        </w:tc>
        <w:tc>
          <w:tcPr>
            <w:tcW w:w="0" w:type="auto"/>
            <w:tcBorders>
              <w:tl2br w:val="nil"/>
              <w:tr2bl w:val="nil"/>
            </w:tcBorders>
            <w:noWrap/>
            <w:vAlign w:val="center"/>
          </w:tcPr>
          <w:p w14:paraId="24ACAB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5023482.226</w:t>
            </w:r>
          </w:p>
        </w:tc>
        <w:tc>
          <w:tcPr>
            <w:tcW w:w="0" w:type="auto"/>
            <w:tcBorders>
              <w:tl2br w:val="nil"/>
              <w:tr2bl w:val="nil"/>
            </w:tcBorders>
            <w:noWrap/>
            <w:vAlign w:val="center"/>
          </w:tcPr>
          <w:p w14:paraId="72A582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44401350.459</w:t>
            </w:r>
          </w:p>
        </w:tc>
      </w:tr>
      <w:tr w14:paraId="5BADEF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071FAC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w:t>
            </w:r>
          </w:p>
        </w:tc>
        <w:tc>
          <w:tcPr>
            <w:tcW w:w="0" w:type="auto"/>
            <w:tcBorders>
              <w:tl2br w:val="nil"/>
              <w:tr2bl w:val="nil"/>
            </w:tcBorders>
            <w:noWrap/>
            <w:vAlign w:val="center"/>
          </w:tcPr>
          <w:p w14:paraId="7C7899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5023499.031</w:t>
            </w:r>
          </w:p>
        </w:tc>
        <w:tc>
          <w:tcPr>
            <w:tcW w:w="0" w:type="auto"/>
            <w:tcBorders>
              <w:tl2br w:val="nil"/>
              <w:tr2bl w:val="nil"/>
            </w:tcBorders>
            <w:noWrap/>
            <w:vAlign w:val="center"/>
          </w:tcPr>
          <w:p w14:paraId="0BAF34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44401354.156</w:t>
            </w:r>
          </w:p>
        </w:tc>
      </w:tr>
      <w:tr w14:paraId="68298C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64F69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w:t>
            </w:r>
          </w:p>
        </w:tc>
        <w:tc>
          <w:tcPr>
            <w:tcW w:w="0" w:type="auto"/>
            <w:tcBorders>
              <w:tl2br w:val="nil"/>
              <w:tr2bl w:val="nil"/>
            </w:tcBorders>
            <w:noWrap/>
            <w:vAlign w:val="center"/>
          </w:tcPr>
          <w:p w14:paraId="5541F2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5023577.343</w:t>
            </w:r>
          </w:p>
        </w:tc>
        <w:tc>
          <w:tcPr>
            <w:tcW w:w="0" w:type="auto"/>
            <w:tcBorders>
              <w:tl2br w:val="nil"/>
              <w:tr2bl w:val="nil"/>
            </w:tcBorders>
            <w:noWrap/>
            <w:vAlign w:val="center"/>
          </w:tcPr>
          <w:p w14:paraId="24F560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44401301.131</w:t>
            </w:r>
          </w:p>
        </w:tc>
      </w:tr>
      <w:tr w14:paraId="076D2E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299E60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w:t>
            </w:r>
          </w:p>
        </w:tc>
        <w:tc>
          <w:tcPr>
            <w:tcW w:w="0" w:type="auto"/>
            <w:tcBorders>
              <w:tl2br w:val="nil"/>
              <w:tr2bl w:val="nil"/>
            </w:tcBorders>
            <w:noWrap/>
            <w:vAlign w:val="center"/>
          </w:tcPr>
          <w:p w14:paraId="16F34D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5023605.217</w:t>
            </w:r>
          </w:p>
        </w:tc>
        <w:tc>
          <w:tcPr>
            <w:tcW w:w="0" w:type="auto"/>
            <w:tcBorders>
              <w:tl2br w:val="nil"/>
              <w:tr2bl w:val="nil"/>
            </w:tcBorders>
            <w:noWrap/>
            <w:vAlign w:val="center"/>
          </w:tcPr>
          <w:p w14:paraId="5D5338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44401279.357</w:t>
            </w:r>
          </w:p>
        </w:tc>
      </w:tr>
      <w:tr w14:paraId="70D057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207F94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w:t>
            </w:r>
          </w:p>
        </w:tc>
        <w:tc>
          <w:tcPr>
            <w:tcW w:w="0" w:type="auto"/>
            <w:tcBorders>
              <w:tl2br w:val="nil"/>
              <w:tr2bl w:val="nil"/>
            </w:tcBorders>
            <w:noWrap/>
            <w:vAlign w:val="center"/>
          </w:tcPr>
          <w:p w14:paraId="06E135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5023627.944</w:t>
            </w:r>
          </w:p>
        </w:tc>
        <w:tc>
          <w:tcPr>
            <w:tcW w:w="0" w:type="auto"/>
            <w:tcBorders>
              <w:tl2br w:val="nil"/>
              <w:tr2bl w:val="nil"/>
            </w:tcBorders>
            <w:noWrap/>
            <w:vAlign w:val="center"/>
          </w:tcPr>
          <w:p w14:paraId="425C87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44401269.878</w:t>
            </w:r>
          </w:p>
        </w:tc>
      </w:tr>
      <w:tr w14:paraId="4E7084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34F58D0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w:t>
            </w:r>
          </w:p>
        </w:tc>
        <w:tc>
          <w:tcPr>
            <w:tcW w:w="0" w:type="auto"/>
            <w:tcBorders>
              <w:tl2br w:val="nil"/>
              <w:tr2bl w:val="nil"/>
            </w:tcBorders>
            <w:noWrap/>
            <w:vAlign w:val="center"/>
          </w:tcPr>
          <w:p w14:paraId="7CB019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5023646.573</w:t>
            </w:r>
          </w:p>
        </w:tc>
        <w:tc>
          <w:tcPr>
            <w:tcW w:w="0" w:type="auto"/>
            <w:tcBorders>
              <w:tl2br w:val="nil"/>
              <w:tr2bl w:val="nil"/>
            </w:tcBorders>
            <w:noWrap/>
            <w:vAlign w:val="center"/>
          </w:tcPr>
          <w:p w14:paraId="17D66C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44401268.895</w:t>
            </w:r>
          </w:p>
        </w:tc>
      </w:tr>
      <w:tr w14:paraId="2E31FB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E7D4D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w:t>
            </w:r>
          </w:p>
        </w:tc>
        <w:tc>
          <w:tcPr>
            <w:tcW w:w="0" w:type="auto"/>
            <w:tcBorders>
              <w:tl2br w:val="nil"/>
              <w:tr2bl w:val="nil"/>
            </w:tcBorders>
            <w:noWrap/>
            <w:vAlign w:val="center"/>
          </w:tcPr>
          <w:p w14:paraId="1DF7ED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5023661.348</w:t>
            </w:r>
          </w:p>
        </w:tc>
        <w:tc>
          <w:tcPr>
            <w:tcW w:w="0" w:type="auto"/>
            <w:tcBorders>
              <w:tl2br w:val="nil"/>
              <w:tr2bl w:val="nil"/>
            </w:tcBorders>
            <w:noWrap/>
            <w:vAlign w:val="center"/>
          </w:tcPr>
          <w:p w14:paraId="3D2BF9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44401271.883</w:t>
            </w:r>
          </w:p>
        </w:tc>
      </w:tr>
      <w:tr w14:paraId="05066F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153F11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w:t>
            </w:r>
          </w:p>
        </w:tc>
        <w:tc>
          <w:tcPr>
            <w:tcW w:w="0" w:type="auto"/>
            <w:tcBorders>
              <w:tl2br w:val="nil"/>
              <w:tr2bl w:val="nil"/>
            </w:tcBorders>
            <w:noWrap/>
            <w:vAlign w:val="center"/>
          </w:tcPr>
          <w:p w14:paraId="313E47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5023670.171</w:t>
            </w:r>
          </w:p>
        </w:tc>
        <w:tc>
          <w:tcPr>
            <w:tcW w:w="0" w:type="auto"/>
            <w:tcBorders>
              <w:tl2br w:val="nil"/>
              <w:tr2bl w:val="nil"/>
            </w:tcBorders>
            <w:noWrap/>
            <w:vAlign w:val="center"/>
          </w:tcPr>
          <w:p w14:paraId="6BF36A6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44401277.919</w:t>
            </w:r>
          </w:p>
        </w:tc>
      </w:tr>
      <w:tr w14:paraId="2A9378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AC349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w:t>
            </w:r>
          </w:p>
        </w:tc>
        <w:tc>
          <w:tcPr>
            <w:tcW w:w="0" w:type="auto"/>
            <w:tcBorders>
              <w:tl2br w:val="nil"/>
              <w:tr2bl w:val="nil"/>
            </w:tcBorders>
            <w:noWrap/>
            <w:vAlign w:val="center"/>
          </w:tcPr>
          <w:p w14:paraId="20A1C1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5023706.490</w:t>
            </w:r>
          </w:p>
        </w:tc>
        <w:tc>
          <w:tcPr>
            <w:tcW w:w="0" w:type="auto"/>
            <w:tcBorders>
              <w:tl2br w:val="nil"/>
              <w:tr2bl w:val="nil"/>
            </w:tcBorders>
            <w:noWrap/>
            <w:vAlign w:val="center"/>
          </w:tcPr>
          <w:p w14:paraId="0300C4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44401308.360</w:t>
            </w:r>
          </w:p>
        </w:tc>
      </w:tr>
      <w:tr w14:paraId="7EDF52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7CDF64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w:t>
            </w:r>
          </w:p>
        </w:tc>
        <w:tc>
          <w:tcPr>
            <w:tcW w:w="0" w:type="auto"/>
            <w:tcBorders>
              <w:tl2br w:val="nil"/>
              <w:tr2bl w:val="nil"/>
            </w:tcBorders>
            <w:noWrap/>
            <w:vAlign w:val="center"/>
          </w:tcPr>
          <w:p w14:paraId="16ACB9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5023728.711</w:t>
            </w:r>
          </w:p>
        </w:tc>
        <w:tc>
          <w:tcPr>
            <w:tcW w:w="0" w:type="auto"/>
            <w:tcBorders>
              <w:tl2br w:val="nil"/>
              <w:tr2bl w:val="nil"/>
            </w:tcBorders>
            <w:noWrap/>
            <w:vAlign w:val="center"/>
          </w:tcPr>
          <w:p w14:paraId="5772E3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44401317.136</w:t>
            </w:r>
          </w:p>
        </w:tc>
      </w:tr>
      <w:tr w14:paraId="25D596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3CF03C9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p>
        </w:tc>
        <w:tc>
          <w:tcPr>
            <w:tcW w:w="0" w:type="auto"/>
            <w:tcBorders>
              <w:tl2br w:val="nil"/>
              <w:tr2bl w:val="nil"/>
            </w:tcBorders>
            <w:noWrap/>
            <w:vAlign w:val="center"/>
          </w:tcPr>
          <w:p w14:paraId="3BAC97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5023732.740</w:t>
            </w:r>
          </w:p>
        </w:tc>
        <w:tc>
          <w:tcPr>
            <w:tcW w:w="0" w:type="auto"/>
            <w:tcBorders>
              <w:tl2br w:val="nil"/>
              <w:tr2bl w:val="nil"/>
            </w:tcBorders>
            <w:noWrap/>
            <w:vAlign w:val="center"/>
          </w:tcPr>
          <w:p w14:paraId="040756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44401311.650</w:t>
            </w:r>
          </w:p>
        </w:tc>
      </w:tr>
      <w:tr w14:paraId="741A4A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231AFA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w:t>
            </w:r>
          </w:p>
        </w:tc>
        <w:tc>
          <w:tcPr>
            <w:tcW w:w="0" w:type="auto"/>
            <w:tcBorders>
              <w:tl2br w:val="nil"/>
              <w:tr2bl w:val="nil"/>
            </w:tcBorders>
            <w:noWrap/>
            <w:vAlign w:val="center"/>
          </w:tcPr>
          <w:p w14:paraId="089877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5023749.620</w:t>
            </w:r>
          </w:p>
        </w:tc>
        <w:tc>
          <w:tcPr>
            <w:tcW w:w="0" w:type="auto"/>
            <w:tcBorders>
              <w:tl2br w:val="nil"/>
              <w:tr2bl w:val="nil"/>
            </w:tcBorders>
            <w:noWrap/>
            <w:vAlign w:val="center"/>
          </w:tcPr>
          <w:p w14:paraId="31458F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44401326.794</w:t>
            </w:r>
          </w:p>
        </w:tc>
      </w:tr>
      <w:tr w14:paraId="53A389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649B89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w:t>
            </w:r>
          </w:p>
        </w:tc>
        <w:tc>
          <w:tcPr>
            <w:tcW w:w="0" w:type="auto"/>
            <w:tcBorders>
              <w:tl2br w:val="nil"/>
              <w:tr2bl w:val="nil"/>
            </w:tcBorders>
            <w:noWrap/>
            <w:vAlign w:val="center"/>
          </w:tcPr>
          <w:p w14:paraId="630D38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5023753.435</w:t>
            </w:r>
          </w:p>
        </w:tc>
        <w:tc>
          <w:tcPr>
            <w:tcW w:w="0" w:type="auto"/>
            <w:tcBorders>
              <w:tl2br w:val="nil"/>
              <w:tr2bl w:val="nil"/>
            </w:tcBorders>
            <w:noWrap/>
            <w:vAlign w:val="center"/>
          </w:tcPr>
          <w:p w14:paraId="52D4AD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44401328.600</w:t>
            </w:r>
          </w:p>
        </w:tc>
      </w:tr>
      <w:tr w14:paraId="682C0C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7B64D5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w:t>
            </w:r>
          </w:p>
        </w:tc>
        <w:tc>
          <w:tcPr>
            <w:tcW w:w="0" w:type="auto"/>
            <w:tcBorders>
              <w:tl2br w:val="nil"/>
              <w:tr2bl w:val="nil"/>
            </w:tcBorders>
            <w:noWrap/>
            <w:vAlign w:val="center"/>
          </w:tcPr>
          <w:p w14:paraId="4D9DC5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5023758.145</w:t>
            </w:r>
          </w:p>
        </w:tc>
        <w:tc>
          <w:tcPr>
            <w:tcW w:w="0" w:type="auto"/>
            <w:tcBorders>
              <w:tl2br w:val="nil"/>
              <w:tr2bl w:val="nil"/>
            </w:tcBorders>
            <w:noWrap/>
            <w:vAlign w:val="center"/>
          </w:tcPr>
          <w:p w14:paraId="5744BB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44401334.442</w:t>
            </w:r>
          </w:p>
        </w:tc>
      </w:tr>
      <w:tr w14:paraId="60068E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14C82D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w:t>
            </w:r>
          </w:p>
        </w:tc>
        <w:tc>
          <w:tcPr>
            <w:tcW w:w="0" w:type="auto"/>
            <w:tcBorders>
              <w:tl2br w:val="nil"/>
              <w:tr2bl w:val="nil"/>
            </w:tcBorders>
            <w:noWrap/>
            <w:vAlign w:val="center"/>
          </w:tcPr>
          <w:p w14:paraId="683656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5023797.500</w:t>
            </w:r>
          </w:p>
        </w:tc>
        <w:tc>
          <w:tcPr>
            <w:tcW w:w="0" w:type="auto"/>
            <w:tcBorders>
              <w:tl2br w:val="nil"/>
              <w:tr2bl w:val="nil"/>
            </w:tcBorders>
            <w:noWrap/>
            <w:vAlign w:val="center"/>
          </w:tcPr>
          <w:p w14:paraId="06BC85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44401369.750</w:t>
            </w:r>
          </w:p>
        </w:tc>
      </w:tr>
      <w:tr w14:paraId="541FE4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6F9EB5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w:t>
            </w:r>
          </w:p>
        </w:tc>
        <w:tc>
          <w:tcPr>
            <w:tcW w:w="0" w:type="auto"/>
            <w:tcBorders>
              <w:tl2br w:val="nil"/>
              <w:tr2bl w:val="nil"/>
            </w:tcBorders>
            <w:noWrap/>
            <w:vAlign w:val="center"/>
          </w:tcPr>
          <w:p w14:paraId="41C1D0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5023685.100</w:t>
            </w:r>
          </w:p>
        </w:tc>
        <w:tc>
          <w:tcPr>
            <w:tcW w:w="0" w:type="auto"/>
            <w:tcBorders>
              <w:tl2br w:val="nil"/>
              <w:tr2bl w:val="nil"/>
            </w:tcBorders>
            <w:noWrap/>
            <w:vAlign w:val="center"/>
          </w:tcPr>
          <w:p w14:paraId="77A257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44401524.650</w:t>
            </w:r>
          </w:p>
        </w:tc>
      </w:tr>
      <w:tr w14:paraId="02124E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009CF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w:t>
            </w:r>
          </w:p>
        </w:tc>
        <w:tc>
          <w:tcPr>
            <w:tcW w:w="0" w:type="auto"/>
            <w:tcBorders>
              <w:tl2br w:val="nil"/>
              <w:tr2bl w:val="nil"/>
            </w:tcBorders>
            <w:noWrap/>
            <w:vAlign w:val="center"/>
          </w:tcPr>
          <w:p w14:paraId="18172C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5023659.354</w:t>
            </w:r>
          </w:p>
        </w:tc>
        <w:tc>
          <w:tcPr>
            <w:tcW w:w="0" w:type="auto"/>
            <w:tcBorders>
              <w:tl2br w:val="nil"/>
              <w:tr2bl w:val="nil"/>
            </w:tcBorders>
            <w:noWrap/>
            <w:vAlign w:val="center"/>
          </w:tcPr>
          <w:p w14:paraId="48495C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44401609.480</w:t>
            </w:r>
          </w:p>
        </w:tc>
      </w:tr>
      <w:tr w14:paraId="2C6171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093700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w:t>
            </w:r>
          </w:p>
        </w:tc>
        <w:tc>
          <w:tcPr>
            <w:tcW w:w="0" w:type="auto"/>
            <w:tcBorders>
              <w:tl2br w:val="nil"/>
              <w:tr2bl w:val="nil"/>
            </w:tcBorders>
            <w:noWrap/>
            <w:vAlign w:val="center"/>
          </w:tcPr>
          <w:p w14:paraId="099ED7E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5023555.841</w:t>
            </w:r>
          </w:p>
        </w:tc>
        <w:tc>
          <w:tcPr>
            <w:tcW w:w="0" w:type="auto"/>
            <w:tcBorders>
              <w:tl2br w:val="nil"/>
              <w:tr2bl w:val="nil"/>
            </w:tcBorders>
            <w:noWrap/>
            <w:vAlign w:val="center"/>
          </w:tcPr>
          <w:p w14:paraId="4B55DF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44401584.252</w:t>
            </w:r>
          </w:p>
        </w:tc>
      </w:tr>
      <w:tr w14:paraId="576F3D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4F0A69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w:t>
            </w:r>
          </w:p>
        </w:tc>
        <w:tc>
          <w:tcPr>
            <w:tcW w:w="0" w:type="auto"/>
            <w:tcBorders>
              <w:tl2br w:val="nil"/>
              <w:tr2bl w:val="nil"/>
            </w:tcBorders>
            <w:noWrap/>
            <w:vAlign w:val="center"/>
          </w:tcPr>
          <w:p w14:paraId="1F1476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5023531.617</w:t>
            </w:r>
          </w:p>
        </w:tc>
        <w:tc>
          <w:tcPr>
            <w:tcW w:w="0" w:type="auto"/>
            <w:tcBorders>
              <w:tl2br w:val="nil"/>
              <w:tr2bl w:val="nil"/>
            </w:tcBorders>
            <w:noWrap/>
            <w:vAlign w:val="center"/>
          </w:tcPr>
          <w:p w14:paraId="757978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44401583.850</w:t>
            </w:r>
          </w:p>
        </w:tc>
      </w:tr>
      <w:tr w14:paraId="16611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0" w:type="auto"/>
            <w:tcBorders>
              <w:tl2br w:val="nil"/>
              <w:tr2bl w:val="nil"/>
            </w:tcBorders>
            <w:noWrap/>
            <w:vAlign w:val="center"/>
          </w:tcPr>
          <w:p w14:paraId="203A13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w:t>
            </w:r>
          </w:p>
        </w:tc>
        <w:tc>
          <w:tcPr>
            <w:tcW w:w="0" w:type="auto"/>
            <w:tcBorders>
              <w:tl2br w:val="nil"/>
              <w:tr2bl w:val="nil"/>
            </w:tcBorders>
            <w:noWrap/>
            <w:vAlign w:val="center"/>
          </w:tcPr>
          <w:p w14:paraId="6486EF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5023427.977</w:t>
            </w:r>
          </w:p>
        </w:tc>
        <w:tc>
          <w:tcPr>
            <w:tcW w:w="0" w:type="auto"/>
            <w:tcBorders>
              <w:tl2br w:val="nil"/>
              <w:tr2bl w:val="nil"/>
            </w:tcBorders>
            <w:noWrap/>
            <w:vAlign w:val="center"/>
          </w:tcPr>
          <w:p w14:paraId="00298C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44401533.908</w:t>
            </w:r>
          </w:p>
        </w:tc>
      </w:tr>
      <w:tr w14:paraId="7A0B86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2" w:hRule="atLeast"/>
          <w:jc w:val="center"/>
        </w:trPr>
        <w:tc>
          <w:tcPr>
            <w:tcW w:w="0" w:type="auto"/>
            <w:tcBorders>
              <w:tl2br w:val="nil"/>
              <w:tr2bl w:val="nil"/>
            </w:tcBorders>
            <w:noWrap/>
            <w:vAlign w:val="center"/>
          </w:tcPr>
          <w:p w14:paraId="7732FC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w:t>
            </w:r>
          </w:p>
        </w:tc>
        <w:tc>
          <w:tcPr>
            <w:tcW w:w="0" w:type="auto"/>
            <w:tcBorders>
              <w:tl2br w:val="nil"/>
              <w:tr2bl w:val="nil"/>
            </w:tcBorders>
            <w:noWrap/>
            <w:vAlign w:val="center"/>
          </w:tcPr>
          <w:p w14:paraId="433839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5023388.534</w:t>
            </w:r>
          </w:p>
        </w:tc>
        <w:tc>
          <w:tcPr>
            <w:tcW w:w="0" w:type="auto"/>
            <w:tcBorders>
              <w:tl2br w:val="nil"/>
              <w:tr2bl w:val="nil"/>
            </w:tcBorders>
            <w:noWrap/>
            <w:vAlign w:val="center"/>
          </w:tcPr>
          <w:p w14:paraId="0C046A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44401477.735</w:t>
            </w:r>
          </w:p>
        </w:tc>
      </w:tr>
    </w:tbl>
    <w:p w14:paraId="1348383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(2)回填材料及成分调查</w:t>
      </w:r>
    </w:p>
    <w:p w14:paraId="3D13F41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根据《一般工业固体废物贮存和填埋污染控制标准》(GB18599-2020)“8.2第</w:t>
      </w:r>
      <w:r>
        <w:rPr>
          <w:rFonts w:hint="default" w:ascii="Times New Roman" w:hAnsi="Times New Roman" w:cs="Times New Roman"/>
          <w:color w:val="auto"/>
          <w:highlight w:val="none"/>
          <w:lang w:eastAsia="zh-CN"/>
        </w:rPr>
        <w:t>Ⅱ类</w:t>
      </w:r>
      <w:r>
        <w:rPr>
          <w:rFonts w:hint="default" w:ascii="Times New Roman" w:hAnsi="Times New Roman" w:cs="Times New Roman"/>
          <w:color w:val="auto"/>
          <w:highlight w:val="none"/>
        </w:rPr>
        <w:t>一般工业固体废物以及不符合8.1充填或回填途径的第I类一般工业固体废物其充填或回填活动前应开展环境本底调查，并按照HJ25.3等相关标准进行环境风险评估，重点评估对地下水、地表水及周边土壤的环境污染风险，确保环境风险可以接受”。调查主要包括一般工业固体废物调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种类、性状、数量、范围、特征污染物等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、环境质量调查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土壤及地下水的环境本底、回填区、影响区域的调查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、健康风险评估等。</w:t>
      </w:r>
    </w:p>
    <w:p w14:paraId="50FE86F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①回填物来源及回填量</w:t>
      </w:r>
    </w:p>
    <w:p w14:paraId="1E7FC36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回填材料为大唐鸡西第二热电有限公司产生的粉煤灰，本项目利用</w:t>
      </w:r>
      <w:r>
        <w:rPr>
          <w:rFonts w:hint="eastAsia" w:cs="Times New Roman"/>
          <w:color w:val="auto"/>
          <w:highlight w:val="none"/>
          <w:lang w:val="en-US" w:eastAsia="zh-CN"/>
        </w:rPr>
        <w:t>其产生的</w:t>
      </w:r>
      <w:r>
        <w:rPr>
          <w:rFonts w:hint="default" w:ascii="Times New Roman" w:hAnsi="Times New Roman" w:cs="Times New Roman"/>
          <w:color w:val="auto"/>
          <w:highlight w:val="none"/>
        </w:rPr>
        <w:t>部分粉煤灰回填至本项目场地，共计回填</w:t>
      </w:r>
      <w:r>
        <w:rPr>
          <w:rFonts w:hint="default" w:ascii="Times New Roman" w:hAnsi="Times New Roman" w:cs="Times New Roman"/>
          <w:color w:val="auto"/>
          <w:highlight w:val="none"/>
          <w:lang w:val="en-US" w:eastAsia="zh-CN"/>
        </w:rPr>
        <w:t>4年</w:t>
      </w:r>
      <w:r>
        <w:rPr>
          <w:rFonts w:hint="default" w:ascii="Times New Roman" w:hAnsi="Times New Roman" w:cs="Times New Roman"/>
          <w:color w:val="auto"/>
          <w:highlight w:val="none"/>
        </w:rPr>
        <w:t>，需回填粉煤灰量为</w:t>
      </w:r>
      <w:r>
        <w:rPr>
          <w:rFonts w:hint="default" w:ascii="Times New Roman" w:hAnsi="Times New Roman" w:cs="Times New Roman"/>
          <w:color w:val="auto"/>
          <w:highlight w:val="none"/>
          <w:lang w:val="en-US" w:eastAsia="zh-CN"/>
        </w:rPr>
        <w:t>105.9</w:t>
      </w:r>
      <w:r>
        <w:rPr>
          <w:rFonts w:hint="default" w:ascii="Times New Roman" w:hAnsi="Times New Roman" w:cs="Times New Roman"/>
          <w:color w:val="auto"/>
          <w:highlight w:val="none"/>
        </w:rPr>
        <w:t>万t/a，回填期间大唐电厂粉煤灰产生量能够满足回填需求，本项目回填物不包含城市垃圾及其他废弃物残渣、煅烧工业或城市垃圾、循环流化床锅炉燃烧残渣，因此，本项目物料来源唯一、可行。</w:t>
      </w:r>
    </w:p>
    <w:p w14:paraId="10E7C3E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②回填物成分分析</w:t>
      </w:r>
    </w:p>
    <w:p w14:paraId="6EC0C02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粉煤灰一般呈浅灰色，随含碳量的增加，颜色变深；粉煤灰的化学组成见下表。</w:t>
      </w:r>
    </w:p>
    <w:p w14:paraId="12060A5F">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粉煤灰成分表</w:t>
      </w:r>
    </w:p>
    <w:tbl>
      <w:tblPr>
        <w:tblStyle w:val="52"/>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440"/>
        <w:gridCol w:w="1004"/>
        <w:gridCol w:w="1841"/>
        <w:gridCol w:w="1702"/>
      </w:tblGrid>
      <w:tr w14:paraId="68A70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restart"/>
            <w:vAlign w:val="center"/>
          </w:tcPr>
          <w:p w14:paraId="26592B4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项目名称</w:t>
            </w:r>
          </w:p>
        </w:tc>
        <w:tc>
          <w:tcPr>
            <w:tcW w:w="1440" w:type="dxa"/>
            <w:vMerge w:val="restart"/>
            <w:vAlign w:val="center"/>
          </w:tcPr>
          <w:p w14:paraId="25F362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符号</w:t>
            </w:r>
          </w:p>
        </w:tc>
        <w:tc>
          <w:tcPr>
            <w:tcW w:w="1004" w:type="dxa"/>
            <w:vMerge w:val="restart"/>
            <w:vAlign w:val="center"/>
          </w:tcPr>
          <w:p w14:paraId="21D8D1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3543" w:type="dxa"/>
            <w:gridSpan w:val="2"/>
            <w:vAlign w:val="center"/>
          </w:tcPr>
          <w:p w14:paraId="5C8883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数值</w:t>
            </w:r>
          </w:p>
        </w:tc>
      </w:tr>
      <w:tr w14:paraId="427F8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continue"/>
            <w:vAlign w:val="center"/>
          </w:tcPr>
          <w:p w14:paraId="7C176330">
            <w:pPr>
              <w:pStyle w:val="46"/>
              <w:bidi w:val="0"/>
              <w:rPr>
                <w:rFonts w:hint="default" w:ascii="Times New Roman" w:hAnsi="Times New Roman" w:cs="Times New Roman"/>
                <w:color w:val="auto"/>
                <w:highlight w:val="none"/>
              </w:rPr>
            </w:pPr>
          </w:p>
        </w:tc>
        <w:tc>
          <w:tcPr>
            <w:tcW w:w="1440" w:type="dxa"/>
            <w:vMerge w:val="continue"/>
            <w:vAlign w:val="center"/>
          </w:tcPr>
          <w:p w14:paraId="19607CE6">
            <w:pPr>
              <w:pStyle w:val="46"/>
              <w:bidi w:val="0"/>
              <w:rPr>
                <w:rFonts w:hint="default" w:ascii="Times New Roman" w:hAnsi="Times New Roman" w:cs="Times New Roman"/>
                <w:color w:val="auto"/>
                <w:highlight w:val="none"/>
              </w:rPr>
            </w:pPr>
          </w:p>
        </w:tc>
        <w:tc>
          <w:tcPr>
            <w:tcW w:w="1004" w:type="dxa"/>
            <w:vMerge w:val="continue"/>
            <w:vAlign w:val="center"/>
          </w:tcPr>
          <w:p w14:paraId="3F942987">
            <w:pPr>
              <w:pStyle w:val="46"/>
              <w:bidi w:val="0"/>
              <w:rPr>
                <w:rFonts w:hint="default" w:ascii="Times New Roman" w:hAnsi="Times New Roman" w:cs="Times New Roman"/>
                <w:color w:val="auto"/>
                <w:highlight w:val="none"/>
              </w:rPr>
            </w:pPr>
          </w:p>
        </w:tc>
        <w:tc>
          <w:tcPr>
            <w:tcW w:w="1841" w:type="dxa"/>
            <w:vAlign w:val="center"/>
          </w:tcPr>
          <w:p w14:paraId="10D60C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设计煤种</w:t>
            </w:r>
          </w:p>
        </w:tc>
        <w:tc>
          <w:tcPr>
            <w:tcW w:w="1702" w:type="dxa"/>
            <w:vAlign w:val="center"/>
          </w:tcPr>
          <w:p w14:paraId="117B7D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校核煤种</w:t>
            </w:r>
          </w:p>
        </w:tc>
      </w:tr>
      <w:tr w14:paraId="1F802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3A177D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二氧化硅</w:t>
            </w:r>
          </w:p>
        </w:tc>
        <w:tc>
          <w:tcPr>
            <w:tcW w:w="1440" w:type="dxa"/>
            <w:vAlign w:val="center"/>
          </w:tcPr>
          <w:p w14:paraId="73FFB4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SiO</w:t>
            </w:r>
            <w:r>
              <w:rPr>
                <w:rFonts w:hint="default" w:ascii="Times New Roman" w:hAnsi="Times New Roman" w:cs="Times New Roman"/>
                <w:color w:val="auto"/>
                <w:highlight w:val="none"/>
                <w:vertAlign w:val="subscript"/>
              </w:rPr>
              <w:t>2</w:t>
            </w:r>
          </w:p>
        </w:tc>
        <w:tc>
          <w:tcPr>
            <w:tcW w:w="1004" w:type="dxa"/>
            <w:vAlign w:val="center"/>
          </w:tcPr>
          <w:p w14:paraId="47A17D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030873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49.02</w:t>
            </w:r>
          </w:p>
        </w:tc>
        <w:tc>
          <w:tcPr>
            <w:tcW w:w="1702" w:type="dxa"/>
            <w:vAlign w:val="center"/>
          </w:tcPr>
          <w:p w14:paraId="24C1F1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52.04</w:t>
            </w:r>
          </w:p>
        </w:tc>
      </w:tr>
      <w:tr w14:paraId="24D15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0F9441B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三氧化二铝</w:t>
            </w:r>
          </w:p>
        </w:tc>
        <w:tc>
          <w:tcPr>
            <w:tcW w:w="1440" w:type="dxa"/>
            <w:vAlign w:val="center"/>
          </w:tcPr>
          <w:p w14:paraId="2E48B2B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1004" w:type="dxa"/>
            <w:vAlign w:val="center"/>
          </w:tcPr>
          <w:p w14:paraId="73A577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781C75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28.80</w:t>
            </w:r>
          </w:p>
        </w:tc>
        <w:tc>
          <w:tcPr>
            <w:tcW w:w="1702" w:type="dxa"/>
            <w:vAlign w:val="center"/>
          </w:tcPr>
          <w:p w14:paraId="7DC9AF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28.03</w:t>
            </w:r>
          </w:p>
        </w:tc>
      </w:tr>
      <w:tr w14:paraId="55486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26DC66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三氧化二铁</w:t>
            </w:r>
          </w:p>
        </w:tc>
        <w:tc>
          <w:tcPr>
            <w:tcW w:w="1440" w:type="dxa"/>
            <w:vAlign w:val="center"/>
          </w:tcPr>
          <w:p w14:paraId="5E37B9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Fe</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1004" w:type="dxa"/>
            <w:vAlign w:val="center"/>
          </w:tcPr>
          <w:p w14:paraId="684BBE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31CA96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4.72</w:t>
            </w:r>
          </w:p>
        </w:tc>
        <w:tc>
          <w:tcPr>
            <w:tcW w:w="1702" w:type="dxa"/>
            <w:vAlign w:val="center"/>
          </w:tcPr>
          <w:p w14:paraId="4BA2F1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6.87</w:t>
            </w:r>
          </w:p>
        </w:tc>
      </w:tr>
      <w:tr w14:paraId="1EFDA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042591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氧化钙</w:t>
            </w:r>
          </w:p>
        </w:tc>
        <w:tc>
          <w:tcPr>
            <w:tcW w:w="1440" w:type="dxa"/>
            <w:vAlign w:val="center"/>
          </w:tcPr>
          <w:p w14:paraId="3B8F99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CaO</w:t>
            </w:r>
          </w:p>
        </w:tc>
        <w:tc>
          <w:tcPr>
            <w:tcW w:w="1004" w:type="dxa"/>
            <w:vAlign w:val="center"/>
          </w:tcPr>
          <w:p w14:paraId="37D477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01165F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5.34</w:t>
            </w:r>
          </w:p>
        </w:tc>
        <w:tc>
          <w:tcPr>
            <w:tcW w:w="1702" w:type="dxa"/>
            <w:vAlign w:val="center"/>
          </w:tcPr>
          <w:p w14:paraId="1A7BE4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2.97</w:t>
            </w:r>
          </w:p>
        </w:tc>
      </w:tr>
      <w:tr w14:paraId="5263E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008A71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氧化镁</w:t>
            </w:r>
          </w:p>
        </w:tc>
        <w:tc>
          <w:tcPr>
            <w:tcW w:w="1440" w:type="dxa"/>
            <w:vAlign w:val="center"/>
          </w:tcPr>
          <w:p w14:paraId="6AC5EF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MgO</w:t>
            </w:r>
          </w:p>
        </w:tc>
        <w:tc>
          <w:tcPr>
            <w:tcW w:w="1004" w:type="dxa"/>
            <w:vAlign w:val="center"/>
          </w:tcPr>
          <w:p w14:paraId="2A7F61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775C78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1.21</w:t>
            </w:r>
          </w:p>
        </w:tc>
        <w:tc>
          <w:tcPr>
            <w:tcW w:w="1702" w:type="dxa"/>
            <w:vAlign w:val="center"/>
          </w:tcPr>
          <w:p w14:paraId="5F1311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w:t>
            </w:r>
          </w:p>
        </w:tc>
      </w:tr>
      <w:tr w14:paraId="31A6D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49ADAF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氧化钾</w:t>
            </w:r>
          </w:p>
        </w:tc>
        <w:tc>
          <w:tcPr>
            <w:tcW w:w="1440" w:type="dxa"/>
            <w:vAlign w:val="center"/>
          </w:tcPr>
          <w:p w14:paraId="58F5DE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p>
        </w:tc>
        <w:tc>
          <w:tcPr>
            <w:tcW w:w="1004" w:type="dxa"/>
            <w:vAlign w:val="center"/>
          </w:tcPr>
          <w:p w14:paraId="777EFD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6F1EC3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1.73</w:t>
            </w:r>
          </w:p>
        </w:tc>
        <w:tc>
          <w:tcPr>
            <w:tcW w:w="1702" w:type="dxa"/>
            <w:vAlign w:val="center"/>
          </w:tcPr>
          <w:p w14:paraId="3F408B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1.62</w:t>
            </w:r>
          </w:p>
        </w:tc>
      </w:tr>
      <w:tr w14:paraId="5787E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322EB8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氧化钠</w:t>
            </w:r>
          </w:p>
        </w:tc>
        <w:tc>
          <w:tcPr>
            <w:tcW w:w="1440" w:type="dxa"/>
            <w:vAlign w:val="center"/>
          </w:tcPr>
          <w:p w14:paraId="0BF3168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p>
        </w:tc>
        <w:tc>
          <w:tcPr>
            <w:tcW w:w="1004" w:type="dxa"/>
            <w:vAlign w:val="center"/>
          </w:tcPr>
          <w:p w14:paraId="02CDE1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3CAB21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1.05</w:t>
            </w:r>
          </w:p>
        </w:tc>
        <w:tc>
          <w:tcPr>
            <w:tcW w:w="1702" w:type="dxa"/>
            <w:vAlign w:val="center"/>
          </w:tcPr>
          <w:p w14:paraId="7AF5FC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0.44</w:t>
            </w:r>
          </w:p>
        </w:tc>
      </w:tr>
      <w:tr w14:paraId="1E9EE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389EB8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三氧化硫</w:t>
            </w:r>
          </w:p>
        </w:tc>
        <w:tc>
          <w:tcPr>
            <w:tcW w:w="1440" w:type="dxa"/>
            <w:vAlign w:val="center"/>
          </w:tcPr>
          <w:p w14:paraId="518387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3</w:t>
            </w:r>
          </w:p>
        </w:tc>
        <w:tc>
          <w:tcPr>
            <w:tcW w:w="1004" w:type="dxa"/>
            <w:vAlign w:val="center"/>
          </w:tcPr>
          <w:p w14:paraId="6093EB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6BDCA4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3.50</w:t>
            </w:r>
          </w:p>
        </w:tc>
        <w:tc>
          <w:tcPr>
            <w:tcW w:w="1702" w:type="dxa"/>
            <w:vAlign w:val="center"/>
          </w:tcPr>
          <w:p w14:paraId="7CEB19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1.88</w:t>
            </w:r>
          </w:p>
        </w:tc>
      </w:tr>
      <w:tr w14:paraId="6B977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1C4A1D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五氧化二磷</w:t>
            </w:r>
          </w:p>
        </w:tc>
        <w:tc>
          <w:tcPr>
            <w:tcW w:w="1440" w:type="dxa"/>
            <w:vAlign w:val="center"/>
          </w:tcPr>
          <w:p w14:paraId="30D046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vertAlign w:val="baseline"/>
              </w:rPr>
              <w:t>P</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vertAlign w:val="baseline"/>
              </w:rPr>
              <w:t>O</w:t>
            </w:r>
            <w:r>
              <w:rPr>
                <w:rFonts w:hint="default" w:ascii="Times New Roman" w:hAnsi="Times New Roman" w:cs="Times New Roman"/>
                <w:color w:val="auto"/>
                <w:highlight w:val="none"/>
                <w:vertAlign w:val="subscript"/>
              </w:rPr>
              <w:t>5</w:t>
            </w:r>
          </w:p>
        </w:tc>
        <w:tc>
          <w:tcPr>
            <w:tcW w:w="1004" w:type="dxa"/>
            <w:vAlign w:val="center"/>
          </w:tcPr>
          <w:p w14:paraId="7AAC95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161136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p>
        </w:tc>
        <w:tc>
          <w:tcPr>
            <w:tcW w:w="1702" w:type="dxa"/>
            <w:vAlign w:val="center"/>
          </w:tcPr>
          <w:p w14:paraId="7DB6E8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0.93</w:t>
            </w:r>
          </w:p>
        </w:tc>
      </w:tr>
      <w:tr w14:paraId="55179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Align w:val="center"/>
          </w:tcPr>
          <w:p w14:paraId="390940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其它</w:t>
            </w:r>
          </w:p>
        </w:tc>
        <w:tc>
          <w:tcPr>
            <w:tcW w:w="1440" w:type="dxa"/>
            <w:vAlign w:val="center"/>
          </w:tcPr>
          <w:p w14:paraId="529C87D0">
            <w:pPr>
              <w:pStyle w:val="46"/>
              <w:bidi w:val="0"/>
              <w:rPr>
                <w:rFonts w:hint="default" w:ascii="Times New Roman" w:hAnsi="Times New Roman" w:cs="Times New Roman"/>
                <w:color w:val="auto"/>
                <w:highlight w:val="none"/>
              </w:rPr>
            </w:pPr>
          </w:p>
        </w:tc>
        <w:tc>
          <w:tcPr>
            <w:tcW w:w="1004" w:type="dxa"/>
            <w:vAlign w:val="center"/>
          </w:tcPr>
          <w:p w14:paraId="1BE9B7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1" w:type="dxa"/>
            <w:vAlign w:val="center"/>
          </w:tcPr>
          <w:p w14:paraId="468A3F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3.53</w:t>
            </w:r>
          </w:p>
        </w:tc>
        <w:tc>
          <w:tcPr>
            <w:tcW w:w="1702" w:type="dxa"/>
            <w:vAlign w:val="center"/>
          </w:tcPr>
          <w:p w14:paraId="335846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3.79</w:t>
            </w:r>
          </w:p>
        </w:tc>
      </w:tr>
    </w:tbl>
    <w:p w14:paraId="6CF98387">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粉煤灰的矿物组成主要有硅铝质的玻璃体和莫来石、磁铁矿、石英等代表的结晶体。玻璃体经过高温煅烧，储藏了较高的化学内能，是粉煤灰活性的主要来源；结晶体的活性相比要小。</w:t>
      </w:r>
    </w:p>
    <w:p w14:paraId="2F870C6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③回填物特性鉴别</w:t>
      </w:r>
    </w:p>
    <w:p w14:paraId="18ABD6C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本项目对粉煤灰浸出液</w:t>
      </w:r>
      <w:r>
        <w:rPr>
          <w:rFonts w:hint="default" w:ascii="Times New Roman" w:hAnsi="Times New Roman" w:cs="Times New Roman"/>
          <w:color w:val="auto"/>
          <w:highlight w:val="none"/>
          <w:lang w:val="en-US" w:eastAsia="zh-CN"/>
        </w:rPr>
        <w:t>进行检测，</w:t>
      </w:r>
      <w:r>
        <w:rPr>
          <w:rFonts w:hint="default" w:ascii="Times New Roman" w:hAnsi="Times New Roman" w:cs="Times New Roman"/>
          <w:color w:val="auto"/>
          <w:highlight w:val="none"/>
        </w:rPr>
        <w:t>检测结果</w:t>
      </w:r>
      <w:r>
        <w:rPr>
          <w:rFonts w:hint="default" w:ascii="Times New Roman" w:hAnsi="Times New Roman" w:cs="Times New Roman"/>
          <w:color w:val="auto"/>
          <w:highlight w:val="none"/>
          <w:lang w:val="en-US" w:eastAsia="zh-CN"/>
        </w:rPr>
        <w:t>如下</w:t>
      </w:r>
      <w:r>
        <w:rPr>
          <w:rFonts w:hint="default" w:ascii="Times New Roman" w:hAnsi="Times New Roman" w:cs="Times New Roman"/>
          <w:color w:val="auto"/>
          <w:highlight w:val="none"/>
        </w:rPr>
        <w:t>。</w:t>
      </w:r>
    </w:p>
    <w:p w14:paraId="2C24DDA5">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eastAsia" w:cs="Times New Roman"/>
          <w:color w:val="auto"/>
          <w:highlight w:val="none"/>
          <w:lang w:val="en-US" w:eastAsia="zh-CN"/>
        </w:rPr>
        <w:t>4</w:t>
      </w:r>
      <w:r>
        <w:rPr>
          <w:rFonts w:hint="default" w:ascii="Times New Roman" w:hAnsi="Times New Roman" w:cs="Times New Roman"/>
          <w:color w:val="auto"/>
          <w:highlight w:val="none"/>
        </w:rPr>
        <w:t>粉煤灰浸出液检测结果</w:t>
      </w:r>
    </w:p>
    <w:tbl>
      <w:tblPr>
        <w:tblStyle w:val="24"/>
        <w:tblW w:w="8600"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143"/>
        <w:gridCol w:w="1297"/>
        <w:gridCol w:w="1720"/>
        <w:gridCol w:w="1720"/>
        <w:gridCol w:w="1720"/>
      </w:tblGrid>
      <w:tr w14:paraId="5F6DC3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2143" w:type="dxa"/>
            <w:tcBorders>
              <w:tl2br w:val="nil"/>
              <w:tr2bl w:val="nil"/>
            </w:tcBorders>
            <w:shd w:val="clear" w:color="auto" w:fill="auto"/>
            <w:vAlign w:val="center"/>
          </w:tcPr>
          <w:p w14:paraId="291D072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检测项目</w:t>
            </w:r>
          </w:p>
        </w:tc>
        <w:tc>
          <w:tcPr>
            <w:tcW w:w="1297" w:type="dxa"/>
            <w:tcBorders>
              <w:tl2br w:val="nil"/>
              <w:tr2bl w:val="nil"/>
            </w:tcBorders>
            <w:shd w:val="clear" w:color="auto" w:fill="auto"/>
            <w:vAlign w:val="center"/>
          </w:tcPr>
          <w:p w14:paraId="6E5862B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单位</w:t>
            </w:r>
          </w:p>
        </w:tc>
        <w:tc>
          <w:tcPr>
            <w:tcW w:w="1720" w:type="dxa"/>
            <w:tcBorders>
              <w:tl2br w:val="nil"/>
              <w:tr2bl w:val="nil"/>
            </w:tcBorders>
            <w:shd w:val="clear" w:color="auto" w:fill="auto"/>
            <w:vAlign w:val="center"/>
          </w:tcPr>
          <w:p w14:paraId="601857D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检出值</w:t>
            </w:r>
          </w:p>
        </w:tc>
        <w:tc>
          <w:tcPr>
            <w:tcW w:w="1720" w:type="dxa"/>
            <w:tcBorders>
              <w:tl2br w:val="nil"/>
              <w:tr2bl w:val="nil"/>
            </w:tcBorders>
            <w:shd w:val="clear" w:color="auto" w:fill="auto"/>
            <w:vAlign w:val="center"/>
          </w:tcPr>
          <w:p w14:paraId="68EDFEE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限值</w:t>
            </w:r>
          </w:p>
        </w:tc>
        <w:tc>
          <w:tcPr>
            <w:tcW w:w="1720" w:type="dxa"/>
            <w:tcBorders>
              <w:tl2br w:val="nil"/>
              <w:tr2bl w:val="nil"/>
            </w:tcBorders>
            <w:shd w:val="clear" w:color="auto" w:fill="auto"/>
            <w:vAlign w:val="center"/>
          </w:tcPr>
          <w:p w14:paraId="46069EB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判定</w:t>
            </w:r>
          </w:p>
        </w:tc>
      </w:tr>
      <w:tr w14:paraId="53738A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6" w:hRule="atLeast"/>
        </w:trPr>
        <w:tc>
          <w:tcPr>
            <w:tcW w:w="2143" w:type="dxa"/>
            <w:tcBorders>
              <w:tl2br w:val="nil"/>
              <w:tr2bl w:val="nil"/>
            </w:tcBorders>
            <w:shd w:val="clear" w:color="auto" w:fill="auto"/>
            <w:vAlign w:val="center"/>
          </w:tcPr>
          <w:p w14:paraId="291139B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总汞</w:t>
            </w:r>
          </w:p>
        </w:tc>
        <w:tc>
          <w:tcPr>
            <w:tcW w:w="1297" w:type="dxa"/>
            <w:tcBorders>
              <w:tl2br w:val="nil"/>
              <w:tr2bl w:val="nil"/>
            </w:tcBorders>
            <w:shd w:val="clear" w:color="auto" w:fill="auto"/>
            <w:vAlign w:val="center"/>
          </w:tcPr>
          <w:p w14:paraId="050E82D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16FA7A9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5538EB6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0.05</w:t>
            </w:r>
          </w:p>
        </w:tc>
        <w:tc>
          <w:tcPr>
            <w:tcW w:w="1720" w:type="dxa"/>
            <w:tcBorders>
              <w:tl2br w:val="nil"/>
              <w:tr2bl w:val="nil"/>
            </w:tcBorders>
            <w:shd w:val="clear" w:color="auto" w:fill="auto"/>
            <w:vAlign w:val="center"/>
          </w:tcPr>
          <w:p w14:paraId="0DA2D30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DA755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143" w:type="dxa"/>
            <w:tcBorders>
              <w:tl2br w:val="nil"/>
              <w:tr2bl w:val="nil"/>
            </w:tcBorders>
            <w:shd w:val="clear" w:color="auto" w:fill="auto"/>
            <w:vAlign w:val="center"/>
          </w:tcPr>
          <w:p w14:paraId="0EAFAB3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烷基汞（甲基汞）</w:t>
            </w:r>
          </w:p>
        </w:tc>
        <w:tc>
          <w:tcPr>
            <w:tcW w:w="1297" w:type="dxa"/>
            <w:tcBorders>
              <w:tl2br w:val="nil"/>
              <w:tr2bl w:val="nil"/>
            </w:tcBorders>
            <w:shd w:val="clear" w:color="auto" w:fill="auto"/>
            <w:vAlign w:val="center"/>
          </w:tcPr>
          <w:p w14:paraId="58B990D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94C1F1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vMerge w:val="restart"/>
            <w:tcBorders>
              <w:tl2br w:val="nil"/>
              <w:tr2bl w:val="nil"/>
            </w:tcBorders>
            <w:shd w:val="clear" w:color="auto" w:fill="auto"/>
            <w:vAlign w:val="center"/>
          </w:tcPr>
          <w:p w14:paraId="4C9174D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不得检出</w:t>
            </w:r>
          </w:p>
        </w:tc>
        <w:tc>
          <w:tcPr>
            <w:tcW w:w="1720" w:type="dxa"/>
            <w:vMerge w:val="restart"/>
            <w:tcBorders>
              <w:tl2br w:val="nil"/>
              <w:tr2bl w:val="nil"/>
            </w:tcBorders>
            <w:shd w:val="clear" w:color="auto" w:fill="auto"/>
            <w:vAlign w:val="center"/>
          </w:tcPr>
          <w:p w14:paraId="51DD5D6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0A8E8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143" w:type="dxa"/>
            <w:tcBorders>
              <w:tl2br w:val="nil"/>
              <w:tr2bl w:val="nil"/>
            </w:tcBorders>
            <w:shd w:val="clear" w:color="auto" w:fill="auto"/>
            <w:vAlign w:val="center"/>
          </w:tcPr>
          <w:p w14:paraId="475B22D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烷基汞（乙基汞）</w:t>
            </w:r>
          </w:p>
        </w:tc>
        <w:tc>
          <w:tcPr>
            <w:tcW w:w="1297" w:type="dxa"/>
            <w:tcBorders>
              <w:tl2br w:val="nil"/>
              <w:tr2bl w:val="nil"/>
            </w:tcBorders>
            <w:shd w:val="clear" w:color="auto" w:fill="auto"/>
            <w:vAlign w:val="center"/>
          </w:tcPr>
          <w:p w14:paraId="76941C0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3D75CB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vMerge w:val="continue"/>
            <w:tcBorders>
              <w:tl2br w:val="nil"/>
              <w:tr2bl w:val="nil"/>
            </w:tcBorders>
            <w:shd w:val="clear" w:color="auto" w:fill="auto"/>
            <w:vAlign w:val="center"/>
          </w:tcPr>
          <w:p w14:paraId="5550286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1720" w:type="dxa"/>
            <w:vMerge w:val="continue"/>
            <w:tcBorders>
              <w:tl2br w:val="nil"/>
              <w:tr2bl w:val="nil"/>
            </w:tcBorders>
            <w:shd w:val="clear" w:color="auto" w:fill="auto"/>
            <w:vAlign w:val="center"/>
          </w:tcPr>
          <w:p w14:paraId="6757C69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r>
      <w:tr w14:paraId="7479AB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6" w:hRule="atLeast"/>
        </w:trPr>
        <w:tc>
          <w:tcPr>
            <w:tcW w:w="2143" w:type="dxa"/>
            <w:tcBorders>
              <w:tl2br w:val="nil"/>
              <w:tr2bl w:val="nil"/>
            </w:tcBorders>
            <w:shd w:val="clear" w:color="auto" w:fill="auto"/>
            <w:vAlign w:val="center"/>
          </w:tcPr>
          <w:p w14:paraId="2F7891E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总镉</w:t>
            </w:r>
          </w:p>
        </w:tc>
        <w:tc>
          <w:tcPr>
            <w:tcW w:w="1297" w:type="dxa"/>
            <w:tcBorders>
              <w:tl2br w:val="nil"/>
              <w:tr2bl w:val="nil"/>
            </w:tcBorders>
            <w:shd w:val="clear" w:color="auto" w:fill="auto"/>
            <w:vAlign w:val="center"/>
          </w:tcPr>
          <w:p w14:paraId="13D31E5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263EEBD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37DE78B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w:t>
            </w:r>
          </w:p>
        </w:tc>
        <w:tc>
          <w:tcPr>
            <w:tcW w:w="1720" w:type="dxa"/>
            <w:tcBorders>
              <w:tl2br w:val="nil"/>
              <w:tr2bl w:val="nil"/>
            </w:tcBorders>
            <w:shd w:val="clear" w:color="auto" w:fill="auto"/>
            <w:vAlign w:val="center"/>
          </w:tcPr>
          <w:p w14:paraId="6A01D11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CB06E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519A5D9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总铬</w:t>
            </w:r>
          </w:p>
        </w:tc>
        <w:tc>
          <w:tcPr>
            <w:tcW w:w="1297" w:type="dxa"/>
            <w:tcBorders>
              <w:tl2br w:val="nil"/>
              <w:tr2bl w:val="nil"/>
            </w:tcBorders>
            <w:shd w:val="clear" w:color="auto" w:fill="auto"/>
            <w:vAlign w:val="center"/>
          </w:tcPr>
          <w:p w14:paraId="41146C9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00A2EF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E9E3F4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p>
        </w:tc>
        <w:tc>
          <w:tcPr>
            <w:tcW w:w="1720" w:type="dxa"/>
            <w:tcBorders>
              <w:tl2br w:val="nil"/>
              <w:tr2bl w:val="nil"/>
            </w:tcBorders>
            <w:shd w:val="clear" w:color="auto" w:fill="auto"/>
            <w:vAlign w:val="center"/>
          </w:tcPr>
          <w:p w14:paraId="373D338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334408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42BFB7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六价铬</w:t>
            </w:r>
          </w:p>
        </w:tc>
        <w:tc>
          <w:tcPr>
            <w:tcW w:w="1297" w:type="dxa"/>
            <w:tcBorders>
              <w:tl2br w:val="nil"/>
              <w:tr2bl w:val="nil"/>
            </w:tcBorders>
            <w:shd w:val="clear" w:color="auto" w:fill="auto"/>
            <w:vAlign w:val="center"/>
          </w:tcPr>
          <w:p w14:paraId="260B389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7CDDAA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10E43C3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5385D56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DB635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364021A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总砷</w:t>
            </w:r>
          </w:p>
        </w:tc>
        <w:tc>
          <w:tcPr>
            <w:tcW w:w="1297" w:type="dxa"/>
            <w:tcBorders>
              <w:tl2br w:val="nil"/>
              <w:tr2bl w:val="nil"/>
            </w:tcBorders>
            <w:shd w:val="clear" w:color="auto" w:fill="auto"/>
            <w:vAlign w:val="center"/>
          </w:tcPr>
          <w:p w14:paraId="647AF19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22295D6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0.0182</w:t>
            </w:r>
          </w:p>
        </w:tc>
        <w:tc>
          <w:tcPr>
            <w:tcW w:w="1720" w:type="dxa"/>
            <w:tcBorders>
              <w:tl2br w:val="nil"/>
              <w:tr2bl w:val="nil"/>
            </w:tcBorders>
            <w:shd w:val="clear" w:color="auto" w:fill="auto"/>
            <w:vAlign w:val="center"/>
          </w:tcPr>
          <w:p w14:paraId="3B71395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7CABC83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21DB07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19DF95B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总铅</w:t>
            </w:r>
          </w:p>
        </w:tc>
        <w:tc>
          <w:tcPr>
            <w:tcW w:w="1297" w:type="dxa"/>
            <w:tcBorders>
              <w:tl2br w:val="nil"/>
              <w:tr2bl w:val="nil"/>
            </w:tcBorders>
            <w:shd w:val="clear" w:color="auto" w:fill="auto"/>
            <w:vAlign w:val="center"/>
          </w:tcPr>
          <w:p w14:paraId="670494C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C7CAB1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0774440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720" w:type="dxa"/>
            <w:tcBorders>
              <w:tl2br w:val="nil"/>
              <w:tr2bl w:val="nil"/>
            </w:tcBorders>
            <w:shd w:val="clear" w:color="auto" w:fill="auto"/>
            <w:vAlign w:val="center"/>
          </w:tcPr>
          <w:p w14:paraId="6B44A39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63FE3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386F93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总镍</w:t>
            </w:r>
          </w:p>
        </w:tc>
        <w:tc>
          <w:tcPr>
            <w:tcW w:w="1297" w:type="dxa"/>
            <w:tcBorders>
              <w:tl2br w:val="nil"/>
              <w:tr2bl w:val="nil"/>
            </w:tcBorders>
            <w:shd w:val="clear" w:color="auto" w:fill="auto"/>
            <w:vAlign w:val="center"/>
          </w:tcPr>
          <w:p w14:paraId="3DDD13C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FFE488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2546FBA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720" w:type="dxa"/>
            <w:tcBorders>
              <w:tl2br w:val="nil"/>
              <w:tr2bl w:val="nil"/>
            </w:tcBorders>
            <w:shd w:val="clear" w:color="auto" w:fill="auto"/>
            <w:vAlign w:val="center"/>
          </w:tcPr>
          <w:p w14:paraId="2B4507A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B1D2E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50CA7E9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苯并(a)芘</w:t>
            </w:r>
          </w:p>
        </w:tc>
        <w:tc>
          <w:tcPr>
            <w:tcW w:w="1297" w:type="dxa"/>
            <w:tcBorders>
              <w:tl2br w:val="nil"/>
              <w:tr2bl w:val="nil"/>
            </w:tcBorders>
            <w:shd w:val="clear" w:color="auto" w:fill="auto"/>
            <w:vAlign w:val="center"/>
          </w:tcPr>
          <w:p w14:paraId="6BDD8D9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E65385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0F06536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0.00003</w:t>
            </w:r>
          </w:p>
        </w:tc>
        <w:tc>
          <w:tcPr>
            <w:tcW w:w="1720" w:type="dxa"/>
            <w:tcBorders>
              <w:tl2br w:val="nil"/>
              <w:tr2bl w:val="nil"/>
            </w:tcBorders>
            <w:shd w:val="clear" w:color="auto" w:fill="auto"/>
            <w:vAlign w:val="center"/>
          </w:tcPr>
          <w:p w14:paraId="3DAC117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53C44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029F04A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总铍</w:t>
            </w:r>
          </w:p>
        </w:tc>
        <w:tc>
          <w:tcPr>
            <w:tcW w:w="1297" w:type="dxa"/>
            <w:tcBorders>
              <w:tl2br w:val="nil"/>
              <w:tr2bl w:val="nil"/>
            </w:tcBorders>
            <w:shd w:val="clear" w:color="auto" w:fill="auto"/>
            <w:vAlign w:val="center"/>
          </w:tcPr>
          <w:p w14:paraId="1E56F20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1576C2F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1.4×10</w:t>
            </w:r>
            <w:r>
              <w:rPr>
                <w:rFonts w:hint="default" w:ascii="Times New Roman" w:hAnsi="Times New Roman" w:cs="Times New Roman"/>
                <w:color w:val="auto"/>
                <w:highlight w:val="none"/>
                <w:vertAlign w:val="superscript"/>
                <w:lang w:val="en-US" w:eastAsia="zh-CN"/>
              </w:rPr>
              <w:t>-4</w:t>
            </w:r>
          </w:p>
        </w:tc>
        <w:tc>
          <w:tcPr>
            <w:tcW w:w="1720" w:type="dxa"/>
            <w:tcBorders>
              <w:tl2br w:val="nil"/>
              <w:tr2bl w:val="nil"/>
            </w:tcBorders>
            <w:shd w:val="clear" w:color="auto" w:fill="auto"/>
            <w:vAlign w:val="center"/>
          </w:tcPr>
          <w:p w14:paraId="5D92C50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0.005</w:t>
            </w:r>
          </w:p>
        </w:tc>
        <w:tc>
          <w:tcPr>
            <w:tcW w:w="1720" w:type="dxa"/>
            <w:tcBorders>
              <w:tl2br w:val="nil"/>
              <w:tr2bl w:val="nil"/>
            </w:tcBorders>
            <w:shd w:val="clear" w:color="auto" w:fill="auto"/>
            <w:vAlign w:val="center"/>
          </w:tcPr>
          <w:p w14:paraId="6E8552C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44AA76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6890BA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总银</w:t>
            </w:r>
          </w:p>
        </w:tc>
        <w:tc>
          <w:tcPr>
            <w:tcW w:w="1297" w:type="dxa"/>
            <w:tcBorders>
              <w:tl2br w:val="nil"/>
              <w:tr2bl w:val="nil"/>
            </w:tcBorders>
            <w:shd w:val="clear" w:color="auto" w:fill="auto"/>
            <w:vAlign w:val="center"/>
          </w:tcPr>
          <w:p w14:paraId="4FED47D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76ABCB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669A156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7695F13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84BF3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02" w:hRule="atLeast"/>
        </w:trPr>
        <w:tc>
          <w:tcPr>
            <w:tcW w:w="2143" w:type="dxa"/>
            <w:tcBorders>
              <w:tl2br w:val="nil"/>
              <w:tr2bl w:val="nil"/>
            </w:tcBorders>
            <w:shd w:val="clear" w:color="auto" w:fill="auto"/>
            <w:vAlign w:val="center"/>
          </w:tcPr>
          <w:p w14:paraId="216035F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总α放射性</w:t>
            </w:r>
          </w:p>
        </w:tc>
        <w:tc>
          <w:tcPr>
            <w:tcW w:w="1297" w:type="dxa"/>
            <w:tcBorders>
              <w:tl2br w:val="nil"/>
              <w:tr2bl w:val="nil"/>
            </w:tcBorders>
            <w:shd w:val="clear" w:color="auto" w:fill="auto"/>
            <w:vAlign w:val="center"/>
          </w:tcPr>
          <w:p w14:paraId="22B3643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Bq/L</w:t>
            </w:r>
          </w:p>
        </w:tc>
        <w:tc>
          <w:tcPr>
            <w:tcW w:w="1720" w:type="dxa"/>
            <w:tcBorders>
              <w:tl2br w:val="nil"/>
              <w:tr2bl w:val="nil"/>
            </w:tcBorders>
            <w:shd w:val="clear" w:color="auto" w:fill="auto"/>
            <w:vAlign w:val="center"/>
          </w:tcPr>
          <w:p w14:paraId="5A47824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5.9×10</w:t>
            </w:r>
            <w:r>
              <w:rPr>
                <w:rFonts w:hint="default" w:ascii="Times New Roman" w:hAnsi="Times New Roman" w:cs="Times New Roman"/>
                <w:color w:val="auto"/>
                <w:highlight w:val="none"/>
                <w:vertAlign w:val="superscript"/>
                <w:lang w:val="en-US" w:eastAsia="zh-CN"/>
              </w:rPr>
              <w:t>-2</w:t>
            </w:r>
          </w:p>
        </w:tc>
        <w:tc>
          <w:tcPr>
            <w:tcW w:w="1720" w:type="dxa"/>
            <w:tcBorders>
              <w:tl2br w:val="nil"/>
              <w:tr2bl w:val="nil"/>
            </w:tcBorders>
            <w:shd w:val="clear" w:color="auto" w:fill="auto"/>
            <w:vAlign w:val="center"/>
          </w:tcPr>
          <w:p w14:paraId="41BCE99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720" w:type="dxa"/>
            <w:tcBorders>
              <w:tl2br w:val="nil"/>
              <w:tr2bl w:val="nil"/>
            </w:tcBorders>
            <w:shd w:val="clear" w:color="auto" w:fill="auto"/>
            <w:vAlign w:val="center"/>
          </w:tcPr>
          <w:p w14:paraId="6E12FDC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B284E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2" w:hRule="atLeast"/>
        </w:trPr>
        <w:tc>
          <w:tcPr>
            <w:tcW w:w="2143" w:type="dxa"/>
            <w:tcBorders>
              <w:tl2br w:val="nil"/>
              <w:tr2bl w:val="nil"/>
            </w:tcBorders>
            <w:shd w:val="clear" w:color="auto" w:fill="auto"/>
            <w:vAlign w:val="center"/>
          </w:tcPr>
          <w:p w14:paraId="22BDD40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总β放射性</w:t>
            </w:r>
          </w:p>
        </w:tc>
        <w:tc>
          <w:tcPr>
            <w:tcW w:w="1297" w:type="dxa"/>
            <w:tcBorders>
              <w:tl2br w:val="nil"/>
              <w:tr2bl w:val="nil"/>
            </w:tcBorders>
            <w:shd w:val="clear" w:color="auto" w:fill="auto"/>
            <w:vAlign w:val="center"/>
          </w:tcPr>
          <w:p w14:paraId="1276662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Bq/L</w:t>
            </w:r>
          </w:p>
        </w:tc>
        <w:tc>
          <w:tcPr>
            <w:tcW w:w="1720" w:type="dxa"/>
            <w:tcBorders>
              <w:tl2br w:val="nil"/>
              <w:tr2bl w:val="nil"/>
            </w:tcBorders>
            <w:shd w:val="clear" w:color="auto" w:fill="auto"/>
            <w:vAlign w:val="center"/>
          </w:tcPr>
          <w:p w14:paraId="1F98A5D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0.102</w:t>
            </w:r>
          </w:p>
        </w:tc>
        <w:tc>
          <w:tcPr>
            <w:tcW w:w="1720" w:type="dxa"/>
            <w:tcBorders>
              <w:tl2br w:val="nil"/>
              <w:tr2bl w:val="nil"/>
            </w:tcBorders>
            <w:shd w:val="clear" w:color="auto" w:fill="auto"/>
            <w:vAlign w:val="center"/>
          </w:tcPr>
          <w:p w14:paraId="662323B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w:t>
            </w:r>
          </w:p>
        </w:tc>
        <w:tc>
          <w:tcPr>
            <w:tcW w:w="1720" w:type="dxa"/>
            <w:tcBorders>
              <w:tl2br w:val="nil"/>
              <w:tr2bl w:val="nil"/>
            </w:tcBorders>
            <w:shd w:val="clear" w:color="auto" w:fill="auto"/>
            <w:vAlign w:val="center"/>
          </w:tcPr>
          <w:p w14:paraId="373037C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55A1E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4" w:hRule="atLeast"/>
        </w:trPr>
        <w:tc>
          <w:tcPr>
            <w:tcW w:w="2143" w:type="dxa"/>
            <w:tcBorders>
              <w:tl2br w:val="nil"/>
              <w:tr2bl w:val="nil"/>
            </w:tcBorders>
            <w:shd w:val="clear" w:color="auto" w:fill="auto"/>
            <w:vAlign w:val="center"/>
          </w:tcPr>
          <w:p w14:paraId="3EF9ACD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w:t>
            </w:r>
          </w:p>
        </w:tc>
        <w:tc>
          <w:tcPr>
            <w:tcW w:w="1297" w:type="dxa"/>
            <w:tcBorders>
              <w:tl2br w:val="nil"/>
              <w:tr2bl w:val="nil"/>
            </w:tcBorders>
            <w:shd w:val="clear" w:color="auto" w:fill="auto"/>
            <w:vAlign w:val="center"/>
          </w:tcPr>
          <w:p w14:paraId="2445BDA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无量纲</w:t>
            </w:r>
          </w:p>
        </w:tc>
        <w:tc>
          <w:tcPr>
            <w:tcW w:w="1720" w:type="dxa"/>
            <w:tcBorders>
              <w:tl2br w:val="nil"/>
              <w:tr2bl w:val="nil"/>
            </w:tcBorders>
            <w:shd w:val="clear" w:color="auto" w:fill="auto"/>
            <w:vAlign w:val="center"/>
          </w:tcPr>
          <w:p w14:paraId="2B78658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8.2（25℃)</w:t>
            </w:r>
          </w:p>
        </w:tc>
        <w:tc>
          <w:tcPr>
            <w:tcW w:w="1720" w:type="dxa"/>
            <w:tcBorders>
              <w:tl2br w:val="nil"/>
              <w:tr2bl w:val="nil"/>
            </w:tcBorders>
            <w:shd w:val="clear" w:color="auto" w:fill="auto"/>
            <w:vAlign w:val="center"/>
          </w:tcPr>
          <w:p w14:paraId="01DB2FB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6~9</w:t>
            </w:r>
          </w:p>
        </w:tc>
        <w:tc>
          <w:tcPr>
            <w:tcW w:w="1720" w:type="dxa"/>
            <w:tcBorders>
              <w:tl2br w:val="nil"/>
              <w:tr2bl w:val="nil"/>
            </w:tcBorders>
            <w:shd w:val="clear" w:color="auto" w:fill="auto"/>
            <w:vAlign w:val="center"/>
          </w:tcPr>
          <w:p w14:paraId="38A6E1D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29F91E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9D61E4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色度</w:t>
            </w:r>
          </w:p>
        </w:tc>
        <w:tc>
          <w:tcPr>
            <w:tcW w:w="1297" w:type="dxa"/>
            <w:tcBorders>
              <w:tl2br w:val="nil"/>
              <w:tr2bl w:val="nil"/>
            </w:tcBorders>
            <w:shd w:val="clear" w:color="auto" w:fill="auto"/>
            <w:vAlign w:val="center"/>
          </w:tcPr>
          <w:p w14:paraId="76230A2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倍</w:t>
            </w:r>
          </w:p>
        </w:tc>
        <w:tc>
          <w:tcPr>
            <w:tcW w:w="1720" w:type="dxa"/>
            <w:tcBorders>
              <w:tl2br w:val="nil"/>
              <w:tr2bl w:val="nil"/>
            </w:tcBorders>
            <w:shd w:val="clear" w:color="auto" w:fill="auto"/>
            <w:vAlign w:val="center"/>
          </w:tcPr>
          <w:p w14:paraId="7C3FF43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3B042AC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p>
        </w:tc>
        <w:tc>
          <w:tcPr>
            <w:tcW w:w="1720" w:type="dxa"/>
            <w:tcBorders>
              <w:tl2br w:val="nil"/>
              <w:tr2bl w:val="nil"/>
            </w:tcBorders>
            <w:shd w:val="clear" w:color="auto" w:fill="auto"/>
            <w:vAlign w:val="center"/>
          </w:tcPr>
          <w:p w14:paraId="19E3EC5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49DAC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7324EFF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悬浮物</w:t>
            </w:r>
          </w:p>
        </w:tc>
        <w:tc>
          <w:tcPr>
            <w:tcW w:w="1297" w:type="dxa"/>
            <w:tcBorders>
              <w:tl2br w:val="nil"/>
              <w:tr2bl w:val="nil"/>
            </w:tcBorders>
            <w:shd w:val="clear" w:color="auto" w:fill="auto"/>
            <w:vAlign w:val="center"/>
          </w:tcPr>
          <w:p w14:paraId="15E9147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9DB452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2AB0D51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70</w:t>
            </w:r>
          </w:p>
        </w:tc>
        <w:tc>
          <w:tcPr>
            <w:tcW w:w="1720" w:type="dxa"/>
            <w:tcBorders>
              <w:tl2br w:val="nil"/>
              <w:tr2bl w:val="nil"/>
            </w:tcBorders>
            <w:shd w:val="clear" w:color="auto" w:fill="auto"/>
            <w:vAlign w:val="center"/>
          </w:tcPr>
          <w:p w14:paraId="76F53B6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6E340C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2143" w:type="dxa"/>
            <w:tcBorders>
              <w:tl2br w:val="nil"/>
              <w:tr2bl w:val="nil"/>
            </w:tcBorders>
            <w:shd w:val="clear" w:color="auto" w:fill="auto"/>
            <w:vAlign w:val="center"/>
          </w:tcPr>
          <w:p w14:paraId="38403BF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五日生化需氧量</w:t>
            </w:r>
          </w:p>
        </w:tc>
        <w:tc>
          <w:tcPr>
            <w:tcW w:w="1297" w:type="dxa"/>
            <w:tcBorders>
              <w:tl2br w:val="nil"/>
              <w:tr2bl w:val="nil"/>
            </w:tcBorders>
            <w:shd w:val="clear" w:color="auto" w:fill="auto"/>
            <w:vAlign w:val="center"/>
          </w:tcPr>
          <w:p w14:paraId="640F313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D4FF9A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1720" w:type="dxa"/>
            <w:tcBorders>
              <w:tl2br w:val="nil"/>
              <w:tr2bl w:val="nil"/>
            </w:tcBorders>
            <w:shd w:val="clear" w:color="auto" w:fill="auto"/>
            <w:vAlign w:val="center"/>
          </w:tcPr>
          <w:p w14:paraId="03EF313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w:t>
            </w:r>
          </w:p>
        </w:tc>
        <w:tc>
          <w:tcPr>
            <w:tcW w:w="1720" w:type="dxa"/>
            <w:tcBorders>
              <w:tl2br w:val="nil"/>
              <w:tr2bl w:val="nil"/>
            </w:tcBorders>
            <w:shd w:val="clear" w:color="auto" w:fill="auto"/>
            <w:vAlign w:val="center"/>
          </w:tcPr>
          <w:p w14:paraId="6CCE3F5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D19FE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02" w:hRule="atLeast"/>
        </w:trPr>
        <w:tc>
          <w:tcPr>
            <w:tcW w:w="2143" w:type="dxa"/>
            <w:tcBorders>
              <w:tl2br w:val="nil"/>
              <w:tr2bl w:val="nil"/>
            </w:tcBorders>
            <w:shd w:val="clear" w:color="auto" w:fill="auto"/>
            <w:vAlign w:val="center"/>
          </w:tcPr>
          <w:p w14:paraId="5E8B883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化学需氧量</w:t>
            </w:r>
          </w:p>
        </w:tc>
        <w:tc>
          <w:tcPr>
            <w:tcW w:w="1297" w:type="dxa"/>
            <w:tcBorders>
              <w:tl2br w:val="nil"/>
              <w:tr2bl w:val="nil"/>
            </w:tcBorders>
            <w:shd w:val="clear" w:color="auto" w:fill="auto"/>
            <w:vAlign w:val="center"/>
          </w:tcPr>
          <w:p w14:paraId="4A51CC3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089E903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w:t>
            </w:r>
          </w:p>
        </w:tc>
        <w:tc>
          <w:tcPr>
            <w:tcW w:w="1720" w:type="dxa"/>
            <w:tcBorders>
              <w:tl2br w:val="nil"/>
              <w:tr2bl w:val="nil"/>
            </w:tcBorders>
            <w:shd w:val="clear" w:color="auto" w:fill="auto"/>
            <w:vAlign w:val="center"/>
          </w:tcPr>
          <w:p w14:paraId="095C947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w:t>
            </w:r>
          </w:p>
        </w:tc>
        <w:tc>
          <w:tcPr>
            <w:tcW w:w="1720" w:type="dxa"/>
            <w:tcBorders>
              <w:tl2br w:val="nil"/>
              <w:tr2bl w:val="nil"/>
            </w:tcBorders>
            <w:shd w:val="clear" w:color="auto" w:fill="auto"/>
            <w:vAlign w:val="center"/>
          </w:tcPr>
          <w:p w14:paraId="30BB3C3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305F9A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7C03B13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石油类</w:t>
            </w:r>
          </w:p>
        </w:tc>
        <w:tc>
          <w:tcPr>
            <w:tcW w:w="1297" w:type="dxa"/>
            <w:tcBorders>
              <w:tl2br w:val="nil"/>
              <w:tr2bl w:val="nil"/>
            </w:tcBorders>
            <w:shd w:val="clear" w:color="auto" w:fill="auto"/>
            <w:vAlign w:val="center"/>
          </w:tcPr>
          <w:p w14:paraId="1B729C6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27D5521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274E5D2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p>
        </w:tc>
        <w:tc>
          <w:tcPr>
            <w:tcW w:w="1720" w:type="dxa"/>
            <w:tcBorders>
              <w:tl2br w:val="nil"/>
              <w:tr2bl w:val="nil"/>
            </w:tcBorders>
            <w:shd w:val="clear" w:color="auto" w:fill="auto"/>
            <w:vAlign w:val="center"/>
          </w:tcPr>
          <w:p w14:paraId="1C5BDB3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610C7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08C7078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动植物油</w:t>
            </w:r>
          </w:p>
        </w:tc>
        <w:tc>
          <w:tcPr>
            <w:tcW w:w="1297" w:type="dxa"/>
            <w:tcBorders>
              <w:tl2br w:val="nil"/>
              <w:tr2bl w:val="nil"/>
            </w:tcBorders>
            <w:shd w:val="clear" w:color="auto" w:fill="auto"/>
            <w:vAlign w:val="center"/>
          </w:tcPr>
          <w:p w14:paraId="6FA4D27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4AB552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3C0F52B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w:t>
            </w:r>
          </w:p>
        </w:tc>
        <w:tc>
          <w:tcPr>
            <w:tcW w:w="1720" w:type="dxa"/>
            <w:tcBorders>
              <w:tl2br w:val="nil"/>
              <w:tr2bl w:val="nil"/>
            </w:tcBorders>
            <w:shd w:val="clear" w:color="auto" w:fill="auto"/>
            <w:vAlign w:val="center"/>
          </w:tcPr>
          <w:p w14:paraId="29346B9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351E69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DBD069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挥发酚</w:t>
            </w:r>
          </w:p>
        </w:tc>
        <w:tc>
          <w:tcPr>
            <w:tcW w:w="1297" w:type="dxa"/>
            <w:tcBorders>
              <w:tl2br w:val="nil"/>
              <w:tr2bl w:val="nil"/>
            </w:tcBorders>
            <w:shd w:val="clear" w:color="auto" w:fill="auto"/>
            <w:vAlign w:val="center"/>
          </w:tcPr>
          <w:p w14:paraId="75C9F70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26E903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208588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2510BBB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0BA80B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26" w:hRule="atLeast"/>
        </w:trPr>
        <w:tc>
          <w:tcPr>
            <w:tcW w:w="2143" w:type="dxa"/>
            <w:tcBorders>
              <w:tl2br w:val="nil"/>
              <w:tr2bl w:val="nil"/>
            </w:tcBorders>
            <w:shd w:val="clear" w:color="auto" w:fill="auto"/>
            <w:vAlign w:val="center"/>
          </w:tcPr>
          <w:p w14:paraId="158E1CC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总氰化合物</w:t>
            </w:r>
          </w:p>
        </w:tc>
        <w:tc>
          <w:tcPr>
            <w:tcW w:w="1297" w:type="dxa"/>
            <w:tcBorders>
              <w:tl2br w:val="nil"/>
              <w:tr2bl w:val="nil"/>
            </w:tcBorders>
            <w:shd w:val="clear" w:color="auto" w:fill="auto"/>
            <w:vAlign w:val="center"/>
          </w:tcPr>
          <w:p w14:paraId="39BAE89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6CE76A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607843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63B78A4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4F4E7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30E244E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硫化物</w:t>
            </w:r>
          </w:p>
        </w:tc>
        <w:tc>
          <w:tcPr>
            <w:tcW w:w="1297" w:type="dxa"/>
            <w:tcBorders>
              <w:tl2br w:val="nil"/>
              <w:tr2bl w:val="nil"/>
            </w:tcBorders>
            <w:shd w:val="clear" w:color="auto" w:fill="auto"/>
            <w:vAlign w:val="center"/>
          </w:tcPr>
          <w:p w14:paraId="1304FCB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2817C9A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685520D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720" w:type="dxa"/>
            <w:tcBorders>
              <w:tl2br w:val="nil"/>
              <w:tr2bl w:val="nil"/>
            </w:tcBorders>
            <w:shd w:val="clear" w:color="auto" w:fill="auto"/>
            <w:vAlign w:val="center"/>
          </w:tcPr>
          <w:p w14:paraId="409A2E0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2DE99F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0D464EB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氨氮</w:t>
            </w:r>
          </w:p>
        </w:tc>
        <w:tc>
          <w:tcPr>
            <w:tcW w:w="1297" w:type="dxa"/>
            <w:tcBorders>
              <w:tl2br w:val="nil"/>
              <w:tr2bl w:val="nil"/>
            </w:tcBorders>
            <w:shd w:val="clear" w:color="auto" w:fill="auto"/>
            <w:vAlign w:val="center"/>
          </w:tcPr>
          <w:p w14:paraId="4DB10D2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9D488E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0.048</w:t>
            </w:r>
          </w:p>
        </w:tc>
        <w:tc>
          <w:tcPr>
            <w:tcW w:w="1720" w:type="dxa"/>
            <w:tcBorders>
              <w:tl2br w:val="nil"/>
              <w:tr2bl w:val="nil"/>
            </w:tcBorders>
            <w:shd w:val="clear" w:color="auto" w:fill="auto"/>
            <w:vAlign w:val="center"/>
          </w:tcPr>
          <w:p w14:paraId="3084316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p>
        </w:tc>
        <w:tc>
          <w:tcPr>
            <w:tcW w:w="1720" w:type="dxa"/>
            <w:tcBorders>
              <w:tl2br w:val="nil"/>
              <w:tr2bl w:val="nil"/>
            </w:tcBorders>
            <w:shd w:val="clear" w:color="auto" w:fill="auto"/>
            <w:vAlign w:val="center"/>
          </w:tcPr>
          <w:p w14:paraId="7220051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43C329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444ED6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氟化物</w:t>
            </w:r>
          </w:p>
        </w:tc>
        <w:tc>
          <w:tcPr>
            <w:tcW w:w="1297" w:type="dxa"/>
            <w:tcBorders>
              <w:tl2br w:val="nil"/>
              <w:tr2bl w:val="nil"/>
            </w:tcBorders>
            <w:shd w:val="clear" w:color="auto" w:fill="auto"/>
            <w:vAlign w:val="center"/>
          </w:tcPr>
          <w:p w14:paraId="1B8FA50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0A1948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0.34</w:t>
            </w:r>
          </w:p>
        </w:tc>
        <w:tc>
          <w:tcPr>
            <w:tcW w:w="1720" w:type="dxa"/>
            <w:tcBorders>
              <w:tl2br w:val="nil"/>
              <w:tr2bl w:val="nil"/>
            </w:tcBorders>
            <w:shd w:val="clear" w:color="auto" w:fill="auto"/>
            <w:vAlign w:val="center"/>
          </w:tcPr>
          <w:p w14:paraId="48F0642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w:t>
            </w:r>
          </w:p>
        </w:tc>
        <w:tc>
          <w:tcPr>
            <w:tcW w:w="1720" w:type="dxa"/>
            <w:tcBorders>
              <w:tl2br w:val="nil"/>
              <w:tr2bl w:val="nil"/>
            </w:tcBorders>
            <w:shd w:val="clear" w:color="auto" w:fill="auto"/>
            <w:vAlign w:val="center"/>
          </w:tcPr>
          <w:p w14:paraId="4F68531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D198D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9" w:hRule="atLeast"/>
        </w:trPr>
        <w:tc>
          <w:tcPr>
            <w:tcW w:w="2143" w:type="dxa"/>
            <w:tcBorders>
              <w:tl2br w:val="nil"/>
              <w:tr2bl w:val="nil"/>
            </w:tcBorders>
            <w:shd w:val="clear" w:color="auto" w:fill="auto"/>
            <w:vAlign w:val="center"/>
          </w:tcPr>
          <w:p w14:paraId="5DE7A07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磷酸盐（以P计）</w:t>
            </w:r>
          </w:p>
        </w:tc>
        <w:tc>
          <w:tcPr>
            <w:tcW w:w="1297" w:type="dxa"/>
            <w:tcBorders>
              <w:tl2br w:val="nil"/>
              <w:tr2bl w:val="nil"/>
            </w:tcBorders>
            <w:shd w:val="clear" w:color="auto" w:fill="auto"/>
            <w:vAlign w:val="center"/>
          </w:tcPr>
          <w:p w14:paraId="0155C05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F8D100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0.17</w:t>
            </w:r>
          </w:p>
        </w:tc>
        <w:tc>
          <w:tcPr>
            <w:tcW w:w="1720" w:type="dxa"/>
            <w:tcBorders>
              <w:tl2br w:val="nil"/>
              <w:tr2bl w:val="nil"/>
            </w:tcBorders>
            <w:shd w:val="clear" w:color="auto" w:fill="auto"/>
            <w:vAlign w:val="center"/>
          </w:tcPr>
          <w:p w14:paraId="2C976DD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1720" w:type="dxa"/>
            <w:tcBorders>
              <w:tl2br w:val="nil"/>
              <w:tr2bl w:val="nil"/>
            </w:tcBorders>
            <w:shd w:val="clear" w:color="auto" w:fill="auto"/>
            <w:vAlign w:val="center"/>
          </w:tcPr>
          <w:p w14:paraId="2391E01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6F12C0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6A84DEB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甲醛</w:t>
            </w:r>
          </w:p>
        </w:tc>
        <w:tc>
          <w:tcPr>
            <w:tcW w:w="1297" w:type="dxa"/>
            <w:tcBorders>
              <w:tl2br w:val="nil"/>
              <w:tr2bl w:val="nil"/>
            </w:tcBorders>
            <w:shd w:val="clear" w:color="auto" w:fill="auto"/>
            <w:vAlign w:val="center"/>
          </w:tcPr>
          <w:p w14:paraId="2BC911F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0263EF8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ED7EAB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720" w:type="dxa"/>
            <w:tcBorders>
              <w:tl2br w:val="nil"/>
              <w:tr2bl w:val="nil"/>
            </w:tcBorders>
            <w:shd w:val="clear" w:color="auto" w:fill="auto"/>
            <w:vAlign w:val="center"/>
          </w:tcPr>
          <w:p w14:paraId="1B1D762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68B55B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D9FCA0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苯酚</w:t>
            </w:r>
          </w:p>
        </w:tc>
        <w:tc>
          <w:tcPr>
            <w:tcW w:w="1297" w:type="dxa"/>
            <w:tcBorders>
              <w:tl2br w:val="nil"/>
              <w:tr2bl w:val="nil"/>
            </w:tcBorders>
            <w:shd w:val="clear" w:color="auto" w:fill="auto"/>
            <w:vAlign w:val="center"/>
          </w:tcPr>
          <w:p w14:paraId="1B01F3C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35F7772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44A4895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w:t>
            </w:r>
          </w:p>
        </w:tc>
        <w:tc>
          <w:tcPr>
            <w:tcW w:w="1720" w:type="dxa"/>
            <w:tcBorders>
              <w:tl2br w:val="nil"/>
              <w:tr2bl w:val="nil"/>
            </w:tcBorders>
            <w:shd w:val="clear" w:color="auto" w:fill="auto"/>
            <w:vAlign w:val="center"/>
          </w:tcPr>
          <w:p w14:paraId="1E08D18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C9D86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31A504F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间-甲酚</w:t>
            </w:r>
          </w:p>
        </w:tc>
        <w:tc>
          <w:tcPr>
            <w:tcW w:w="1297" w:type="dxa"/>
            <w:tcBorders>
              <w:tl2br w:val="nil"/>
              <w:tr2bl w:val="nil"/>
            </w:tcBorders>
            <w:shd w:val="clear" w:color="auto" w:fill="auto"/>
            <w:vAlign w:val="center"/>
          </w:tcPr>
          <w:p w14:paraId="54752D6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52E3E37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2BD45C2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w:t>
            </w:r>
          </w:p>
        </w:tc>
        <w:tc>
          <w:tcPr>
            <w:tcW w:w="1720" w:type="dxa"/>
            <w:tcBorders>
              <w:tl2br w:val="nil"/>
              <w:tr2bl w:val="nil"/>
            </w:tcBorders>
            <w:shd w:val="clear" w:color="auto" w:fill="auto"/>
            <w:vAlign w:val="center"/>
          </w:tcPr>
          <w:p w14:paraId="1C98F25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0CC2AC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6323180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2,4-二氯酚</w:t>
            </w:r>
          </w:p>
        </w:tc>
        <w:tc>
          <w:tcPr>
            <w:tcW w:w="1297" w:type="dxa"/>
            <w:tcBorders>
              <w:tl2br w:val="nil"/>
              <w:tr2bl w:val="nil"/>
            </w:tcBorders>
            <w:shd w:val="clear" w:color="auto" w:fill="auto"/>
            <w:vAlign w:val="center"/>
          </w:tcPr>
          <w:p w14:paraId="31485FB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2D335DC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3136C9B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w:t>
            </w:r>
          </w:p>
        </w:tc>
        <w:tc>
          <w:tcPr>
            <w:tcW w:w="1720" w:type="dxa"/>
            <w:tcBorders>
              <w:tl2br w:val="nil"/>
              <w:tr2bl w:val="nil"/>
            </w:tcBorders>
            <w:shd w:val="clear" w:color="auto" w:fill="auto"/>
            <w:vAlign w:val="center"/>
          </w:tcPr>
          <w:p w14:paraId="2E018B3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D5121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3" w:hRule="atLeast"/>
        </w:trPr>
        <w:tc>
          <w:tcPr>
            <w:tcW w:w="2143" w:type="dxa"/>
            <w:tcBorders>
              <w:tl2br w:val="nil"/>
              <w:tr2bl w:val="nil"/>
            </w:tcBorders>
            <w:shd w:val="clear" w:color="auto" w:fill="auto"/>
            <w:vAlign w:val="center"/>
          </w:tcPr>
          <w:p w14:paraId="2F2F10A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2,4,6-三氯酚</w:t>
            </w:r>
          </w:p>
        </w:tc>
        <w:tc>
          <w:tcPr>
            <w:tcW w:w="1297" w:type="dxa"/>
            <w:tcBorders>
              <w:tl2br w:val="nil"/>
              <w:tr2bl w:val="nil"/>
            </w:tcBorders>
            <w:shd w:val="clear" w:color="auto" w:fill="auto"/>
            <w:vAlign w:val="center"/>
          </w:tcPr>
          <w:p w14:paraId="57E9DC2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C8BC2C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0528ED5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w:t>
            </w:r>
          </w:p>
        </w:tc>
        <w:tc>
          <w:tcPr>
            <w:tcW w:w="1720" w:type="dxa"/>
            <w:tcBorders>
              <w:tl2br w:val="nil"/>
              <w:tr2bl w:val="nil"/>
            </w:tcBorders>
            <w:shd w:val="clear" w:color="auto" w:fill="auto"/>
            <w:vAlign w:val="center"/>
          </w:tcPr>
          <w:p w14:paraId="12501455">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4FED69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87" w:hRule="atLeast"/>
        </w:trPr>
        <w:tc>
          <w:tcPr>
            <w:tcW w:w="2143" w:type="dxa"/>
            <w:tcBorders>
              <w:tl2br w:val="nil"/>
              <w:tr2bl w:val="nil"/>
            </w:tcBorders>
            <w:shd w:val="clear" w:color="auto" w:fill="auto"/>
            <w:vAlign w:val="center"/>
          </w:tcPr>
          <w:p w14:paraId="4CB4226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邻苯二甲酸二丁酯</w:t>
            </w:r>
          </w:p>
        </w:tc>
        <w:tc>
          <w:tcPr>
            <w:tcW w:w="1297" w:type="dxa"/>
            <w:tcBorders>
              <w:tl2br w:val="nil"/>
              <w:tr2bl w:val="nil"/>
            </w:tcBorders>
            <w:shd w:val="clear" w:color="auto" w:fill="auto"/>
            <w:vAlign w:val="center"/>
          </w:tcPr>
          <w:p w14:paraId="0D67D37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6DDBB9C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B9B197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0.2</w:t>
            </w:r>
          </w:p>
        </w:tc>
        <w:tc>
          <w:tcPr>
            <w:tcW w:w="1720" w:type="dxa"/>
            <w:tcBorders>
              <w:tl2br w:val="nil"/>
              <w:tr2bl w:val="nil"/>
            </w:tcBorders>
            <w:shd w:val="clear" w:color="auto" w:fill="auto"/>
            <w:vAlign w:val="center"/>
          </w:tcPr>
          <w:p w14:paraId="441C59A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6EB47C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0" w:hRule="atLeast"/>
        </w:trPr>
        <w:tc>
          <w:tcPr>
            <w:tcW w:w="2143" w:type="dxa"/>
            <w:tcBorders>
              <w:tl2br w:val="nil"/>
              <w:tr2bl w:val="nil"/>
            </w:tcBorders>
            <w:shd w:val="clear" w:color="auto" w:fill="auto"/>
            <w:vAlign w:val="center"/>
          </w:tcPr>
          <w:p w14:paraId="7C99B9E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邻苯二甲酸二辛酯</w:t>
            </w:r>
          </w:p>
        </w:tc>
        <w:tc>
          <w:tcPr>
            <w:tcW w:w="1297" w:type="dxa"/>
            <w:tcBorders>
              <w:tl2br w:val="nil"/>
              <w:tr2bl w:val="nil"/>
            </w:tcBorders>
            <w:shd w:val="clear" w:color="auto" w:fill="auto"/>
            <w:vAlign w:val="center"/>
          </w:tcPr>
          <w:p w14:paraId="079FD22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3992A08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6608FA9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w:t>
            </w:r>
          </w:p>
        </w:tc>
        <w:tc>
          <w:tcPr>
            <w:tcW w:w="1720" w:type="dxa"/>
            <w:tcBorders>
              <w:tl2br w:val="nil"/>
              <w:tr2bl w:val="nil"/>
            </w:tcBorders>
            <w:shd w:val="clear" w:color="auto" w:fill="auto"/>
            <w:vAlign w:val="center"/>
          </w:tcPr>
          <w:p w14:paraId="20A4E0B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667E3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5AF09EE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丙烯腈</w:t>
            </w:r>
          </w:p>
        </w:tc>
        <w:tc>
          <w:tcPr>
            <w:tcW w:w="1297" w:type="dxa"/>
            <w:tcBorders>
              <w:tl2br w:val="nil"/>
              <w:tr2bl w:val="nil"/>
            </w:tcBorders>
            <w:shd w:val="clear" w:color="auto" w:fill="auto"/>
            <w:vAlign w:val="center"/>
          </w:tcPr>
          <w:p w14:paraId="1CA9C89F">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72CFB80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1A334F24">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1720" w:type="dxa"/>
            <w:tcBorders>
              <w:tl2br w:val="nil"/>
              <w:tr2bl w:val="nil"/>
            </w:tcBorders>
            <w:shd w:val="clear" w:color="auto" w:fill="auto"/>
            <w:vAlign w:val="center"/>
          </w:tcPr>
          <w:p w14:paraId="53A2C8C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73942A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14BF8A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总硒</w:t>
            </w:r>
          </w:p>
        </w:tc>
        <w:tc>
          <w:tcPr>
            <w:tcW w:w="1297" w:type="dxa"/>
            <w:tcBorders>
              <w:tl2br w:val="nil"/>
              <w:tr2bl w:val="nil"/>
            </w:tcBorders>
            <w:shd w:val="clear" w:color="auto" w:fill="auto"/>
            <w:vAlign w:val="center"/>
          </w:tcPr>
          <w:p w14:paraId="6417656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52ADD2F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3718DA9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w:t>
            </w:r>
          </w:p>
        </w:tc>
        <w:tc>
          <w:tcPr>
            <w:tcW w:w="1720" w:type="dxa"/>
            <w:tcBorders>
              <w:tl2br w:val="nil"/>
              <w:tr2bl w:val="nil"/>
            </w:tcBorders>
            <w:shd w:val="clear" w:color="auto" w:fill="auto"/>
            <w:vAlign w:val="center"/>
          </w:tcPr>
          <w:p w14:paraId="38E999C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1BE715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40E88DB9">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总有机碳</w:t>
            </w:r>
          </w:p>
        </w:tc>
        <w:tc>
          <w:tcPr>
            <w:tcW w:w="1297" w:type="dxa"/>
            <w:tcBorders>
              <w:tl2br w:val="nil"/>
              <w:tr2bl w:val="nil"/>
            </w:tcBorders>
            <w:shd w:val="clear" w:color="auto" w:fill="auto"/>
            <w:vAlign w:val="center"/>
          </w:tcPr>
          <w:p w14:paraId="6E3D005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191EF63B">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0.9</w:t>
            </w:r>
          </w:p>
        </w:tc>
        <w:tc>
          <w:tcPr>
            <w:tcW w:w="1720" w:type="dxa"/>
            <w:tcBorders>
              <w:tl2br w:val="nil"/>
              <w:tr2bl w:val="nil"/>
            </w:tcBorders>
            <w:shd w:val="clear" w:color="auto" w:fill="auto"/>
            <w:vAlign w:val="center"/>
          </w:tcPr>
          <w:p w14:paraId="33CCD0D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w:t>
            </w:r>
          </w:p>
        </w:tc>
        <w:tc>
          <w:tcPr>
            <w:tcW w:w="1720" w:type="dxa"/>
            <w:tcBorders>
              <w:tl2br w:val="nil"/>
              <w:tr2bl w:val="nil"/>
            </w:tcBorders>
            <w:shd w:val="clear" w:color="auto" w:fill="auto"/>
            <w:vAlign w:val="center"/>
          </w:tcPr>
          <w:p w14:paraId="4B9090E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符合</w:t>
            </w:r>
          </w:p>
        </w:tc>
      </w:tr>
      <w:tr w14:paraId="59A719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143" w:type="dxa"/>
            <w:tcBorders>
              <w:tl2br w:val="nil"/>
              <w:tr2bl w:val="nil"/>
            </w:tcBorders>
            <w:shd w:val="clear" w:color="auto" w:fill="auto"/>
            <w:vAlign w:val="center"/>
          </w:tcPr>
          <w:p w14:paraId="44B5359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粪大肠菌群数</w:t>
            </w:r>
          </w:p>
        </w:tc>
        <w:tc>
          <w:tcPr>
            <w:tcW w:w="1297" w:type="dxa"/>
            <w:tcBorders>
              <w:tl2br w:val="nil"/>
              <w:tr2bl w:val="nil"/>
            </w:tcBorders>
            <w:shd w:val="clear" w:color="auto" w:fill="auto"/>
            <w:vAlign w:val="center"/>
          </w:tcPr>
          <w:p w14:paraId="26B3B47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MPN/L</w:t>
            </w:r>
          </w:p>
        </w:tc>
        <w:tc>
          <w:tcPr>
            <w:tcW w:w="1720" w:type="dxa"/>
            <w:tcBorders>
              <w:tl2br w:val="nil"/>
              <w:tr2bl w:val="nil"/>
            </w:tcBorders>
            <w:shd w:val="clear" w:color="auto" w:fill="auto"/>
            <w:vAlign w:val="center"/>
          </w:tcPr>
          <w:p w14:paraId="58D9836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3.4×10</w:t>
            </w:r>
            <w:r>
              <w:rPr>
                <w:rFonts w:hint="default" w:ascii="Times New Roman" w:hAnsi="Times New Roman" w:cs="Times New Roman"/>
                <w:color w:val="auto"/>
                <w:highlight w:val="none"/>
                <w:vertAlign w:val="superscript"/>
                <w:lang w:val="en-US" w:eastAsia="zh-CN"/>
              </w:rPr>
              <w:t>2</w:t>
            </w:r>
          </w:p>
        </w:tc>
        <w:tc>
          <w:tcPr>
            <w:tcW w:w="1720" w:type="dxa"/>
            <w:tcBorders>
              <w:tl2br w:val="nil"/>
              <w:tr2bl w:val="nil"/>
            </w:tcBorders>
            <w:shd w:val="clear" w:color="auto" w:fill="auto"/>
            <w:vAlign w:val="center"/>
          </w:tcPr>
          <w:p w14:paraId="2E4D39E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5B2F281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05D56E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02BF9F1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总余氯</w:t>
            </w:r>
          </w:p>
        </w:tc>
        <w:tc>
          <w:tcPr>
            <w:tcW w:w="1297" w:type="dxa"/>
            <w:tcBorders>
              <w:tl2br w:val="nil"/>
              <w:tr2bl w:val="nil"/>
            </w:tcBorders>
            <w:shd w:val="clear" w:color="auto" w:fill="auto"/>
            <w:vAlign w:val="center"/>
          </w:tcPr>
          <w:p w14:paraId="7B93E64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02893F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42BEE1A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3D487263">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565896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trPr>
        <w:tc>
          <w:tcPr>
            <w:tcW w:w="2143" w:type="dxa"/>
            <w:tcBorders>
              <w:tl2br w:val="nil"/>
              <w:tr2bl w:val="nil"/>
            </w:tcBorders>
            <w:shd w:val="clear" w:color="auto" w:fill="auto"/>
            <w:vAlign w:val="center"/>
          </w:tcPr>
          <w:p w14:paraId="162A90B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有机质</w:t>
            </w:r>
          </w:p>
        </w:tc>
        <w:tc>
          <w:tcPr>
            <w:tcW w:w="1297" w:type="dxa"/>
            <w:tcBorders>
              <w:tl2br w:val="nil"/>
              <w:tr2bl w:val="nil"/>
            </w:tcBorders>
            <w:shd w:val="clear" w:color="auto" w:fill="auto"/>
            <w:vAlign w:val="center"/>
          </w:tcPr>
          <w:p w14:paraId="73808788">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5FF7FAF2">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1.34</w:t>
            </w:r>
          </w:p>
        </w:tc>
        <w:tc>
          <w:tcPr>
            <w:tcW w:w="1720" w:type="dxa"/>
            <w:tcBorders>
              <w:tl2br w:val="nil"/>
              <w:tr2bl w:val="nil"/>
            </w:tcBorders>
            <w:shd w:val="clear" w:color="auto" w:fill="auto"/>
            <w:vAlign w:val="center"/>
          </w:tcPr>
          <w:p w14:paraId="62462BED">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6704691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703845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2143" w:type="dxa"/>
            <w:tcBorders>
              <w:tl2br w:val="nil"/>
              <w:tr2bl w:val="nil"/>
            </w:tcBorders>
            <w:shd w:val="clear" w:color="auto" w:fill="auto"/>
            <w:vAlign w:val="center"/>
          </w:tcPr>
          <w:p w14:paraId="43F10D4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水溶性盐总量</w:t>
            </w:r>
          </w:p>
        </w:tc>
        <w:tc>
          <w:tcPr>
            <w:tcW w:w="1297" w:type="dxa"/>
            <w:tcBorders>
              <w:tl2br w:val="nil"/>
              <w:tr2bl w:val="nil"/>
            </w:tcBorders>
            <w:shd w:val="clear" w:color="auto" w:fill="auto"/>
            <w:vAlign w:val="center"/>
          </w:tcPr>
          <w:p w14:paraId="3C1DFF86">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g/kg</w:t>
            </w:r>
          </w:p>
        </w:tc>
        <w:tc>
          <w:tcPr>
            <w:tcW w:w="1720" w:type="dxa"/>
            <w:tcBorders>
              <w:tl2br w:val="nil"/>
              <w:tr2bl w:val="nil"/>
            </w:tcBorders>
            <w:shd w:val="clear" w:color="auto" w:fill="auto"/>
            <w:vAlign w:val="center"/>
          </w:tcPr>
          <w:p w14:paraId="4ED86C9E">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w:t>
            </w:r>
          </w:p>
        </w:tc>
        <w:tc>
          <w:tcPr>
            <w:tcW w:w="1720" w:type="dxa"/>
            <w:tcBorders>
              <w:tl2br w:val="nil"/>
              <w:tr2bl w:val="nil"/>
            </w:tcBorders>
            <w:shd w:val="clear" w:color="auto" w:fill="auto"/>
            <w:vAlign w:val="center"/>
          </w:tcPr>
          <w:p w14:paraId="78B8BE4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241CDE6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13D204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5" w:hRule="atLeast"/>
        </w:trPr>
        <w:tc>
          <w:tcPr>
            <w:tcW w:w="2143" w:type="dxa"/>
            <w:tcBorders>
              <w:tl2br w:val="nil"/>
              <w:tr2bl w:val="nil"/>
            </w:tcBorders>
            <w:shd w:val="clear" w:color="auto" w:fill="auto"/>
            <w:noWrap/>
            <w:vAlign w:val="center"/>
          </w:tcPr>
          <w:p w14:paraId="2B11E767">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元素磷</w:t>
            </w:r>
          </w:p>
        </w:tc>
        <w:tc>
          <w:tcPr>
            <w:tcW w:w="1297" w:type="dxa"/>
            <w:tcBorders>
              <w:tl2br w:val="nil"/>
              <w:tr2bl w:val="nil"/>
            </w:tcBorders>
            <w:shd w:val="clear" w:color="auto" w:fill="auto"/>
            <w:vAlign w:val="center"/>
          </w:tcPr>
          <w:p w14:paraId="330033EA">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1720" w:type="dxa"/>
            <w:tcBorders>
              <w:tl2br w:val="nil"/>
              <w:tr2bl w:val="nil"/>
            </w:tcBorders>
            <w:shd w:val="clear" w:color="auto" w:fill="auto"/>
            <w:vAlign w:val="center"/>
          </w:tcPr>
          <w:p w14:paraId="49DA3621">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1720" w:type="dxa"/>
            <w:tcBorders>
              <w:tl2br w:val="nil"/>
              <w:tr2bl w:val="nil"/>
            </w:tcBorders>
            <w:shd w:val="clear" w:color="auto" w:fill="auto"/>
            <w:vAlign w:val="center"/>
          </w:tcPr>
          <w:p w14:paraId="7C5D658C">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20" w:type="dxa"/>
            <w:tcBorders>
              <w:tl2br w:val="nil"/>
              <w:tr2bl w:val="nil"/>
            </w:tcBorders>
            <w:shd w:val="clear" w:color="auto" w:fill="auto"/>
            <w:vAlign w:val="center"/>
          </w:tcPr>
          <w:p w14:paraId="62F66CE0">
            <w:pPr>
              <w:pStyle w:val="4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bl>
    <w:p w14:paraId="5CDFA6E3">
      <w:pPr>
        <w:pStyle w:val="47"/>
        <w:jc w:val="left"/>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注：pH为无量纲；L表示小于方法检出限</w:t>
      </w:r>
    </w:p>
    <w:p w14:paraId="6FAD6C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color w:val="auto"/>
          <w:kern w:val="21"/>
          <w:sz w:val="24"/>
          <w:highlight w:val="none"/>
          <w:u w:val="none"/>
          <w:shd w:val="clear" w:color="auto" w:fill="auto"/>
          <w:lang w:val="en-US" w:eastAsia="zh-CN"/>
        </w:rPr>
        <w:t>项目回填所有材料为大唐鸡西第二热电有限公司产生的粉煤灰，经对照《国家危险废物名录（2025年版）》，其不属于危险废物，为一般工业固体废物。</w:t>
      </w:r>
    </w:p>
    <w:p w14:paraId="2F52E1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color w:val="auto"/>
          <w:kern w:val="21"/>
          <w:sz w:val="24"/>
          <w:highlight w:val="none"/>
          <w:u w:val="none"/>
          <w:shd w:val="clear" w:color="auto" w:fill="auto"/>
          <w:lang w:val="en-US" w:eastAsia="zh-CN"/>
        </w:rPr>
        <w:t>根据《一般工业固体废物贮存和填埋污染控制标准》（GB 18599-2020）相关内容，第I类一般工业固体废物是按照HJ 557规定方法获得的浸出液中任何一种特征污染物浓度均未超过GB 8978最高允许排放浓度（第二类污染物最高允许排放浓度按照一级标准执行），且pH值在6~9范围之内的一般工业固体废物。I类场是可接受a）第I类一般工业固体废物；b）有机质含量小于2%；c）水溶性盐总量小于2%的各类一般工业固体废物填埋场。</w:t>
      </w:r>
    </w:p>
    <w:p w14:paraId="50EB49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color w:val="auto"/>
          <w:kern w:val="21"/>
          <w:sz w:val="24"/>
          <w:highlight w:val="none"/>
          <w:u w:val="none"/>
          <w:shd w:val="clear" w:color="auto" w:fill="auto"/>
          <w:lang w:val="en-US" w:eastAsia="zh-CN"/>
        </w:rPr>
      </w:pPr>
      <w:r>
        <w:rPr>
          <w:rFonts w:hint="default" w:ascii="Times New Roman" w:hAnsi="Times New Roman" w:eastAsia="宋体" w:cs="Times New Roman"/>
          <w:b w:val="0"/>
          <w:bCs w:val="0"/>
          <w:color w:val="auto"/>
          <w:kern w:val="21"/>
          <w:sz w:val="24"/>
          <w:highlight w:val="none"/>
          <w:lang w:val="en-US" w:eastAsia="zh-CN"/>
        </w:rPr>
        <w:t>根据《固体废物 浸出毒性浸出方法 水平振荡法》（HJ 557-2010）相关内容，粉煤灰浸出液中各项指标均未超过《危险废物鉴别标准 浸出毒性鉴别》（GB 5085.3-2007）中浸出毒性鉴别标准值；任何一种污染物的浓度均未超过《污水综合排放标准》（GB 8978-1996）中最高允许排放浓度，且pH值在6~9范围之内。因此项目</w:t>
      </w:r>
      <w:r>
        <w:rPr>
          <w:rFonts w:hint="default" w:ascii="Times New Roman" w:hAnsi="Times New Roman" w:eastAsia="宋体" w:cs="Times New Roman"/>
          <w:b w:val="0"/>
          <w:color w:val="auto"/>
          <w:kern w:val="21"/>
          <w:sz w:val="24"/>
          <w:highlight w:val="none"/>
          <w:u w:val="none"/>
          <w:shd w:val="clear" w:color="auto" w:fill="auto"/>
          <w:lang w:val="en-US" w:eastAsia="zh-CN"/>
        </w:rPr>
        <w:t>工业固体废物类别为第I类一般工业固体废物。</w:t>
      </w:r>
    </w:p>
    <w:p w14:paraId="26AA786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④回填可行性</w:t>
      </w:r>
    </w:p>
    <w:p w14:paraId="5A4ACBD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本项目在回填活动前已开展环境本底调查，并按照《建设用地土壤污染风险评估技术导则》（HJ25.3-2019）等相关标准开展环境风险评估，形成了环境风险评估报告并通过专家评审（附件</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风险评估报告重点评估项目对地下水、地表水及周边土壤的环境污染风险，结合环境风险评估结果，回填材料粉煤灰属第I类一般工业固体废物，粉煤灰中可溶性重金属含量较低，对土壤和地下水水质的影响轻微，淋溶水不会对地下水和周边土壤环境造成明显影响，评估结论为对周边环境风险可接受。因此，本项目利用大唐鸡西第二热电有限公司的粉煤灰对废弃采坑进行回填复垦是可行的，对地下水、地表水及周边土壤的环境污染风险可接受。在回填复垦期和生态恢复期，加强对地下水和周边土壤的监测，监测计划见表8-2-1，当监测发现超出环境质量本底值后，应当采取相应的对策措施。</w:t>
      </w:r>
    </w:p>
    <w:p w14:paraId="459B8107">
      <w:pPr>
        <w:pStyle w:val="27"/>
        <w:numPr>
          <w:ilvl w:val="0"/>
          <w:numId w:val="2"/>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回填工程</w:t>
      </w:r>
    </w:p>
    <w:p w14:paraId="267CF81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1"/>
          <w:sz w:val="24"/>
          <w:highlight w:val="none"/>
          <w:u w:val="none"/>
          <w:lang w:val="en-US" w:eastAsia="zh-CN"/>
        </w:rPr>
        <w:t>依据原有地形坡度对废弃场地进行分区块回填，由南向北将回填作业区划分3个区域，然后按顺序逐区进行单元回填作业，三部分之间不做分区坝。标准单元由每天回填的粉煤灰量决定，为减少摊铺过程中产生的扬尘，并减少雨水渗透量，并方便施工机械及施工作业方便，单元大小一般以一日一层作业量计算，回填区域划分为近似矩形网格，拟定作业单元面积1200m</w:t>
      </w:r>
      <w:r>
        <w:rPr>
          <w:rFonts w:hint="default" w:ascii="Times New Roman" w:hAnsi="Times New Roman" w:eastAsia="宋体" w:cs="Times New Roman"/>
          <w:color w:val="auto"/>
          <w:kern w:val="21"/>
          <w:sz w:val="24"/>
          <w:highlight w:val="none"/>
          <w:u w:val="none"/>
          <w:vertAlign w:val="superscript"/>
          <w:lang w:val="en-US" w:eastAsia="zh-CN"/>
        </w:rPr>
        <w:t>2</w:t>
      </w:r>
      <w:r>
        <w:rPr>
          <w:rFonts w:hint="default" w:ascii="Times New Roman" w:hAnsi="Times New Roman" w:eastAsia="宋体" w:cs="Times New Roman"/>
          <w:color w:val="auto"/>
          <w:kern w:val="21"/>
          <w:sz w:val="24"/>
          <w:highlight w:val="none"/>
          <w:u w:val="none"/>
          <w:lang w:val="en-US" w:eastAsia="zh-CN"/>
        </w:rPr>
        <w:t>，回填第二单元时，一边紧靠已填高的第一单元外。操作顺序的总体规划为按单元按区依次每层推进，层层压实，每层摊铺厚度不大于1m，一个单元回填完成后，进入下个单元的回填，粉煤灰压实的主要作用在于增加回填区库容，延长使用年限，减少地表水向下渗入，有利于运输车辆进入作业面作业。已回填完成的分区应预先恢复，防止扬尘产生。由于粉煤灰含水率</w:t>
      </w:r>
      <w:r>
        <w:rPr>
          <w:rFonts w:hint="default" w:ascii="Times New Roman" w:hAnsi="Times New Roman" w:cs="Times New Roman"/>
          <w:color w:val="auto"/>
          <w:kern w:val="21"/>
          <w:sz w:val="24"/>
          <w:highlight w:val="none"/>
          <w:u w:val="none"/>
          <w:lang w:val="en-US" w:eastAsia="zh-CN"/>
        </w:rPr>
        <w:t>约</w:t>
      </w:r>
      <w:r>
        <w:rPr>
          <w:rFonts w:hint="default" w:ascii="Times New Roman" w:hAnsi="Times New Roman" w:eastAsia="宋体" w:cs="Times New Roman"/>
          <w:color w:val="auto"/>
          <w:kern w:val="21"/>
          <w:sz w:val="24"/>
          <w:highlight w:val="none"/>
          <w:u w:val="none"/>
          <w:lang w:val="en-US" w:eastAsia="zh-CN"/>
        </w:rPr>
        <w:t>20%，且压实系数不小于0.9，在此条件下可保证回填区地质的稳定性。根据水文地质调查结果，修复区域各阶段无涌水产生。</w:t>
      </w:r>
      <w:r>
        <w:rPr>
          <w:rFonts w:hint="default" w:ascii="Times New Roman" w:hAnsi="Times New Roman" w:eastAsia="宋体" w:cs="Times New Roman"/>
          <w:color w:val="auto"/>
          <w:kern w:val="21"/>
          <w:szCs w:val="24"/>
          <w:highlight w:val="none"/>
          <w:u w:val="none"/>
          <w:lang w:val="en-US" w:eastAsia="zh-CN"/>
        </w:rPr>
        <w:t>根据环境风险评估报告，</w:t>
      </w:r>
      <w:r>
        <w:rPr>
          <w:rFonts w:hint="default" w:ascii="Times New Roman" w:hAnsi="Times New Roman" w:eastAsia="宋体" w:cs="Times New Roman"/>
          <w:b w:val="0"/>
          <w:color w:val="auto"/>
          <w:kern w:val="21"/>
          <w:sz w:val="24"/>
          <w:szCs w:val="24"/>
          <w:highlight w:val="none"/>
          <w:u w:val="none"/>
          <w:lang w:val="en-US" w:eastAsia="zh-CN" w:bidi="ar-SA"/>
        </w:rPr>
        <w:t>现有</w:t>
      </w:r>
      <w:r>
        <w:rPr>
          <w:rFonts w:hint="default" w:ascii="Times New Roman" w:hAnsi="Times New Roman" w:cs="Times New Roman"/>
          <w:b w:val="0"/>
          <w:color w:val="auto"/>
          <w:kern w:val="21"/>
          <w:sz w:val="24"/>
          <w:szCs w:val="24"/>
          <w:highlight w:val="none"/>
          <w:u w:val="none"/>
          <w:lang w:val="en-US" w:eastAsia="zh-CN" w:bidi="ar-SA"/>
        </w:rPr>
        <w:t>采坑</w:t>
      </w:r>
      <w:r>
        <w:rPr>
          <w:rFonts w:hint="default" w:ascii="Times New Roman" w:hAnsi="Times New Roman" w:eastAsia="宋体" w:cs="Times New Roman"/>
          <w:b w:val="0"/>
          <w:color w:val="auto"/>
          <w:kern w:val="21"/>
          <w:sz w:val="24"/>
          <w:szCs w:val="24"/>
          <w:highlight w:val="none"/>
          <w:u w:val="none"/>
          <w:lang w:val="en-US" w:eastAsia="zh-CN" w:bidi="ar-SA"/>
        </w:rPr>
        <w:t>目前处于荒废状态，现</w:t>
      </w:r>
      <w:r>
        <w:rPr>
          <w:rFonts w:hint="default" w:ascii="Times New Roman" w:hAnsi="Times New Roman" w:cs="Times New Roman"/>
          <w:color w:val="auto"/>
          <w:highlight w:val="none"/>
          <w:u w:val="none"/>
          <w:lang w:val="en-US" w:eastAsia="zh-CN"/>
        </w:rPr>
        <w:t>已停止开采</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当前地质条件稳定，不会导致防渗层破损污染区域地下水。</w:t>
      </w:r>
    </w:p>
    <w:p w14:paraId="567D759A">
      <w:pPr>
        <w:pStyle w:val="27"/>
        <w:numPr>
          <w:ilvl w:val="0"/>
          <w:numId w:val="2"/>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土地复垦工程</w:t>
      </w:r>
    </w:p>
    <w:p w14:paraId="698CF0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结合周边环境现状，周边均为耕地和林地，可与周边环境相协调；且根据《土地复垦质量控制标准》（TD/T1036-2013）表B.1，东北山丘平原区复垦方向以耕地为主。因此，本项目最终土地复垦为耕地</w:t>
      </w:r>
      <w:r>
        <w:rPr>
          <w:rFonts w:hint="default" w:ascii="Times New Roman" w:hAnsi="Times New Roman" w:cs="Times New Roman"/>
          <w:color w:val="auto"/>
          <w:highlight w:val="none"/>
          <w:lang w:val="en-US" w:eastAsia="zh-CN"/>
        </w:rPr>
        <w:t>及林地</w:t>
      </w:r>
      <w:r>
        <w:rPr>
          <w:rFonts w:hint="default" w:ascii="Times New Roman" w:hAnsi="Times New Roman" w:cs="Times New Roman"/>
          <w:color w:val="auto"/>
          <w:highlight w:val="none"/>
        </w:rPr>
        <w:t>。</w:t>
      </w:r>
    </w:p>
    <w:p w14:paraId="06BDC72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回填结束后，在回填压实完成的基础上表层覆土，根据《土地复垦质量控制标准》（TD/T1036-2013）6.1.1.1露天采场（坑）自然沉实覆土厚度为50cm以上，需求量</w:t>
      </w:r>
      <w:r>
        <w:rPr>
          <w:rFonts w:hint="default" w:ascii="Times New Roman" w:hAnsi="Times New Roman" w:cs="Times New Roman"/>
          <w:color w:val="auto"/>
          <w:highlight w:val="none"/>
          <w:lang w:val="en-US" w:eastAsia="zh-CN"/>
        </w:rPr>
        <w:t>13300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；本项目在50cm的土层上再30cm表土，需求量</w:t>
      </w:r>
      <w:r>
        <w:rPr>
          <w:rFonts w:hint="default" w:ascii="Times New Roman" w:hAnsi="Times New Roman" w:cs="Times New Roman"/>
          <w:color w:val="auto"/>
          <w:highlight w:val="none"/>
          <w:lang w:val="en-US" w:eastAsia="zh-CN"/>
        </w:rPr>
        <w:t>7980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，共80cm，</w:t>
      </w:r>
      <w:r>
        <w:rPr>
          <w:rFonts w:hint="default" w:ascii="Times New Roman" w:hAnsi="Times New Roman" w:cs="Times New Roman"/>
          <w:color w:val="auto"/>
          <w:highlight w:val="none"/>
          <w:lang w:val="en-US" w:eastAsia="zh-CN"/>
        </w:rPr>
        <w:t>21280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val="en-US" w:eastAsia="zh-CN"/>
        </w:rPr>
        <w:t>；复垦为林地时覆表土厚度为30cm，需求量为17610.9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可满足《土地复垦质量控制标准》（TD/T1036-2013）表的要求。覆土后利用自然降水、机械压实等方法让土壤沉降，使土壤密实度达到80%左右。</w:t>
      </w:r>
    </w:p>
    <w:p w14:paraId="674DD2E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矿区建设时</w:t>
      </w:r>
      <w:r>
        <w:rPr>
          <w:rFonts w:hint="default" w:ascii="Times New Roman" w:hAnsi="Times New Roman" w:cs="Times New Roman"/>
          <w:color w:val="auto"/>
          <w:highlight w:val="none"/>
        </w:rPr>
        <w:t>剥离出来的耕作层表土</w:t>
      </w:r>
      <w:r>
        <w:rPr>
          <w:rFonts w:hint="default" w:ascii="Times New Roman" w:hAnsi="Times New Roman" w:cs="Times New Roman"/>
          <w:color w:val="auto"/>
          <w:highlight w:val="none"/>
          <w:lang w:val="en-US" w:eastAsia="zh-CN"/>
        </w:rPr>
        <w:t>量约为39000m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本项目回填复垦，需要回填土约</w:t>
      </w:r>
      <w:r>
        <w:rPr>
          <w:rFonts w:hint="default" w:ascii="Times New Roman" w:hAnsi="Times New Roman" w:cs="Times New Roman"/>
          <w:color w:val="auto"/>
          <w:highlight w:val="none"/>
          <w:lang w:val="en-US" w:eastAsia="zh-CN"/>
        </w:rPr>
        <w:t>38890.9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，土壤质量需满足《土地复垦质量控制标准》（TD/T1036-2013）相关要求后进行回填。</w:t>
      </w:r>
    </w:p>
    <w:p w14:paraId="294AD8BB">
      <w:pPr>
        <w:pStyle w:val="27"/>
        <w:numPr>
          <w:ilvl w:val="0"/>
          <w:numId w:val="2"/>
        </w:numPr>
        <w:bidi w:val="0"/>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入场物料管控措施</w:t>
      </w:r>
    </w:p>
    <w:p w14:paraId="4D3BA960">
      <w:pPr>
        <w:pStyle w:val="27"/>
        <w:bidi w:val="0"/>
        <w:rPr>
          <w:rFonts w:hint="default" w:ascii="Times New Roman" w:hAnsi="Times New Roman" w:cs="Times New Roman"/>
          <w:color w:val="auto"/>
          <w:highlight w:val="none"/>
          <w:lang w:val="en-US" w:eastAsia="zh-CN"/>
        </w:rPr>
      </w:pPr>
      <w:r>
        <w:rPr>
          <w:rFonts w:hint="default" w:ascii="Times New Roman" w:hAnsi="Times New Roman" w:eastAsia="宋体" w:cs="Times New Roman"/>
          <w:b w:val="0"/>
          <w:color w:val="auto"/>
          <w:kern w:val="21"/>
          <w:highlight w:val="none"/>
          <w:u w:val="none"/>
          <w:shd w:val="clear" w:color="auto" w:fill="auto"/>
          <w:lang w:val="en-US" w:eastAsia="zh-CN"/>
        </w:rPr>
        <w:t>物料收集、运输均</w:t>
      </w:r>
      <w:r>
        <w:rPr>
          <w:rFonts w:hint="default" w:ascii="Times New Roman" w:hAnsi="Times New Roman" w:eastAsia="宋体" w:cs="Times New Roman"/>
          <w:color w:val="auto"/>
          <w:kern w:val="21"/>
          <w:szCs w:val="24"/>
          <w:highlight w:val="none"/>
          <w:u w:val="none"/>
          <w:lang w:val="en-US" w:eastAsia="zh-CN"/>
        </w:rPr>
        <w:t>由建设单位委托专业运输公司，</w:t>
      </w:r>
      <w:r>
        <w:rPr>
          <w:rFonts w:hint="default" w:ascii="Times New Roman" w:hAnsi="Times New Roman" w:eastAsia="宋体" w:cs="Times New Roman"/>
          <w:b w:val="0"/>
          <w:bCs w:val="0"/>
          <w:color w:val="auto"/>
          <w:kern w:val="21"/>
          <w:highlight w:val="none"/>
          <w:lang w:val="en-US" w:eastAsia="zh-CN"/>
        </w:rPr>
        <w:t>粉煤灰来源为大唐鸡西第二热电有限公司两台2×300MW机组产生，不包含城市垃圾及其他废弃物残渣、煅烧工业或城市垃圾、循环流化床锅炉燃烧残渣，大唐鸡西第二热电有限公司将提供项目所需的粉煤灰用于</w:t>
      </w:r>
      <w:r>
        <w:rPr>
          <w:rFonts w:hint="default" w:ascii="Times New Roman" w:hAnsi="Times New Roman" w:eastAsia="宋体" w:cs="Times New Roman"/>
          <w:b w:val="0"/>
          <w:color w:val="auto"/>
          <w:kern w:val="21"/>
          <w:szCs w:val="24"/>
          <w:highlight w:val="none"/>
          <w:u w:val="none"/>
          <w:lang w:val="en-US" w:eastAsia="zh-CN" w:bidi="ar-SA"/>
        </w:rPr>
        <w:t>回填。需确保</w:t>
      </w:r>
      <w:r>
        <w:rPr>
          <w:rFonts w:hint="default" w:ascii="Times New Roman" w:hAnsi="Times New Roman" w:eastAsia="宋体" w:cs="Times New Roman"/>
          <w:b w:val="0"/>
          <w:color w:val="auto"/>
          <w:kern w:val="21"/>
          <w:highlight w:val="none"/>
          <w:u w:val="none"/>
          <w:shd w:val="clear" w:color="auto" w:fill="auto"/>
          <w:lang w:val="en-US" w:eastAsia="zh-CN"/>
        </w:rPr>
        <w:t>入场物料满足《一般工业固体废物贮存和填埋污染控制标准》（GB 18599-2020）中相关要求，不掺加除充填作业所需要的添加剂之外的其他固体废物，如</w:t>
      </w:r>
      <w:r>
        <w:rPr>
          <w:rFonts w:hint="default" w:ascii="Times New Roman" w:hAnsi="Times New Roman" w:eastAsia="宋体" w:cs="Times New Roman"/>
          <w:b w:val="0"/>
          <w:bCs w:val="0"/>
          <w:color w:val="auto"/>
          <w:kern w:val="21"/>
          <w:highlight w:val="none"/>
          <w:lang w:val="en-US" w:eastAsia="zh-CN"/>
        </w:rPr>
        <w:t>城市垃圾</w:t>
      </w:r>
      <w:r>
        <w:rPr>
          <w:rFonts w:hint="default" w:ascii="Times New Roman" w:hAnsi="Times New Roman" w:cs="Times New Roman"/>
          <w:color w:val="auto"/>
          <w:highlight w:val="none"/>
          <w:lang w:val="en-US" w:eastAsia="zh-CN"/>
        </w:rPr>
        <w:t>及其他废弃物残渣、煅烧工业或城市垃圾、循环流化床锅炉燃烧残渣等。</w:t>
      </w:r>
    </w:p>
    <w:p w14:paraId="7FD13D1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6、回填修复运行管理</w:t>
      </w:r>
    </w:p>
    <w:p w14:paraId="6A4D750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回填用粉煤灰运输采用封闭运输车，运至本项目场地，直接运入治理场地，不设置堆存区。经推摊铺平，再用压路机碾压。项目实施区域为滴道区南甸子碎石场采坑，不得在区域外进行回填修复。</w:t>
      </w:r>
    </w:p>
    <w:p w14:paraId="4C7255AC">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1）防尘措施</w:t>
      </w:r>
    </w:p>
    <w:p w14:paraId="54FF488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对暂不堆灰和已碾实的粉煤灰等表面，要定时洒水。洒水周期和水量应根据季节和天气，适时洒水，避免因风吹而扬尘。一般情况下，每天至少应洒水一次。</w:t>
      </w:r>
    </w:p>
    <w:p w14:paraId="37CE261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2）冬季运行</w:t>
      </w:r>
    </w:p>
    <w:p w14:paraId="3D5A1D27">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冬季结冰季节，运灰及摊铺过程宜快，以防止粉煤灰等在碾压前冻结而影响碾压质量；卸车后应及时清理车厢的残留粉煤灰等。粉煤灰摊铺过程中，若面层颗粒出现结冰现象，应增加碾压遍数，保证压实质量。冬季集中在较小的工作面，连续铺压是减轻冻害的有效措施。有关试验表明：冬季气温在零下10℃左右时，粉煤灰已在回填区冷却堆放，装车灰温约0℃，运输至卸车时实测温度约为0℃左右。</w:t>
      </w:r>
    </w:p>
    <w:p w14:paraId="1CC0AD5B">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冰冻季节，在有冻胀现象的灰面上继续摊灰前，应先用振动压路机不振动碾压和振动碾压各一遍，再开始新的摊碾程序。对于暂时不堆灰的灰面，形成冰层覆盖后，抑制飞灰非常明显。但表面水分蒸发风干后，质地疏松的灰极易产生飞灰。冬季应适时检查灰面，对风干的灰面及时洒水，洒水深度不宜超过5.0mm。</w:t>
      </w:r>
    </w:p>
    <w:p w14:paraId="659E311E">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3）雨季回填运行</w:t>
      </w:r>
    </w:p>
    <w:p w14:paraId="4D12DCE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般雨天不影响粉煤灰等的正常碾压，但对于雨后径流形成的冲蚀面需及时碾压堆筑粉煤灰，对于灰面上的积水需及时疏导，以免影响粉煤灰等堆筑施工。汛期前，疏浚排水沟，详细检查排水沟的安全情况，落实应急救援措施，及时了解和掌握水情和气象预报情况，并对施工现场通讯、供电及照明线路进行巡视，发现问题应及时修复。</w:t>
      </w:r>
    </w:p>
    <w:p w14:paraId="2A9919D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4）大风天气、重污染天气回填运行</w:t>
      </w:r>
    </w:p>
    <w:p w14:paraId="54487B6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当预大风天气、重污染天气时，当停止本项目的粉煤灰等的运输，同时暂停本项目回填运作，并对场地的粉煤灰等加强洒水降尘，灰堆进行苫盖。</w:t>
      </w:r>
    </w:p>
    <w:p w14:paraId="1C6D05F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5）设立警戒标志</w:t>
      </w:r>
    </w:p>
    <w:p w14:paraId="70289130">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进行回填作业时，应圈定危险范围，并设立警戒标志，无关人员不应进入危险范围内。</w:t>
      </w:r>
    </w:p>
    <w:p w14:paraId="729C706B">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6）回填作业工作人员原则</w:t>
      </w:r>
    </w:p>
    <w:p w14:paraId="2454893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机械堆置粉煤灰作业时，有专人指挥，非作业人员不应进入回填作业区，进入作业区内的工作人员、车辆、工程机械，应服从指挥人员的指挥。</w:t>
      </w:r>
    </w:p>
    <w:p w14:paraId="09E5C23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7）安全距离</w:t>
      </w:r>
    </w:p>
    <w:p w14:paraId="69A2032C">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按规定顺序排弃粉煤灰，在同一地段进行卸车和推上作业时，设备之间保持足够的安全距离。</w:t>
      </w:r>
    </w:p>
    <w:p w14:paraId="6A0F243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8）地类要求</w:t>
      </w:r>
    </w:p>
    <w:p w14:paraId="5D7FA3CF">
      <w:pPr>
        <w:pStyle w:val="27"/>
        <w:bidi w:val="0"/>
        <w:rPr>
          <w:rFonts w:hint="default" w:ascii="Times New Roman" w:hAnsi="Times New Roman" w:eastAsia="宋体" w:cs="Times New Roman"/>
          <w:b w:val="0"/>
          <w:color w:val="auto"/>
          <w:kern w:val="21"/>
          <w:szCs w:val="24"/>
          <w:highlight w:val="none"/>
          <w:u w:val="none"/>
          <w:lang w:val="en-US" w:eastAsia="zh-CN" w:bidi="ar-SA"/>
        </w:rPr>
      </w:pPr>
      <w:r>
        <w:rPr>
          <w:rFonts w:hint="default" w:ascii="Times New Roman" w:hAnsi="Times New Roman" w:cs="Times New Roman"/>
          <w:color w:val="auto"/>
          <w:highlight w:val="none"/>
          <w:lang w:val="en-US" w:eastAsia="zh-CN"/>
        </w:rPr>
        <w:t>本次回填修复面积8.5303hm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，将土地全部修复为林地及耕地，场地回填至设计标高327~346</w:t>
      </w: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lang w:val="en-US" w:eastAsia="zh-CN"/>
        </w:rPr>
        <w:t>后统一进行生态修复，与周边环境持平。需在回填期完成后立即进行生态修复，杜绝回填后场地闲置长期不能利用的情况发生，避免地表长期裸露.</w:t>
      </w:r>
    </w:p>
    <w:p w14:paraId="6541744B">
      <w:pPr>
        <w:pStyle w:val="41"/>
        <w:rPr>
          <w:rFonts w:hint="default" w:ascii="Times New Roman" w:hAnsi="Times New Roman" w:cs="Times New Roman"/>
          <w:color w:val="auto"/>
          <w:szCs w:val="32"/>
          <w:highlight w:val="none"/>
        </w:rPr>
      </w:pPr>
      <w:bookmarkStart w:id="163" w:name="_Toc31325"/>
      <w:r>
        <w:rPr>
          <w:rFonts w:hint="default" w:ascii="Times New Roman" w:hAnsi="Times New Roman" w:cs="Times New Roman"/>
          <w:color w:val="auto"/>
          <w:highlight w:val="none"/>
        </w:rPr>
        <w:t>3.1.5公用工程</w:t>
      </w:r>
      <w:bookmarkEnd w:id="163"/>
    </w:p>
    <w:p w14:paraId="1B17552A">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3.1.5.1给水</w:t>
      </w:r>
    </w:p>
    <w:p w14:paraId="7DC138F6">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用水环节主要为作业洒水抑尘用水、道路洒水用水，供水依托</w:t>
      </w:r>
      <w:r>
        <w:rPr>
          <w:rFonts w:hint="default" w:ascii="Times New Roman" w:hAnsi="Times New Roman" w:cs="Times New Roman"/>
          <w:color w:val="auto"/>
          <w:highlight w:val="none"/>
          <w:lang w:val="en-US" w:eastAsia="zh-CN"/>
        </w:rPr>
        <w:t>南甸子村</w:t>
      </w:r>
      <w:r>
        <w:rPr>
          <w:rFonts w:hint="default" w:ascii="Times New Roman" w:hAnsi="Times New Roman" w:cs="Times New Roman"/>
          <w:color w:val="auto"/>
          <w:highlight w:val="none"/>
        </w:rPr>
        <w:t>自来水；员工生活用水主要为饮用水，购买瓶装饮用水。</w:t>
      </w:r>
    </w:p>
    <w:p w14:paraId="7803972B">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（1）生活用水</w:t>
      </w:r>
    </w:p>
    <w:p w14:paraId="62BE24F1">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项目配置工作人员5人，生活用水按黑龙江省《用水定额》（DB23/T727-2021）中的农村居民生活，取80L/（人﹒d），则工作人员生活用水为</w:t>
      </w:r>
      <w:r>
        <w:rPr>
          <w:rFonts w:hint="default" w:ascii="Times New Roman" w:hAnsi="Times New Roman" w:cs="Times New Roman"/>
          <w:color w:val="auto"/>
          <w:highlight w:val="none"/>
          <w:lang w:val="en-US" w:eastAsia="zh-CN"/>
        </w:rPr>
        <w:t>0.4</w:t>
      </w:r>
      <w:r>
        <w:rPr>
          <w:rFonts w:hint="default" w:ascii="Times New Roman" w:hAnsi="Times New Roman" w:cs="Times New Roman"/>
          <w:color w:val="auto"/>
          <w:highlight w:val="none"/>
        </w:rPr>
        <w:t>t/d，</w:t>
      </w:r>
      <w:r>
        <w:rPr>
          <w:rFonts w:hint="default" w:ascii="Times New Roman" w:hAnsi="Times New Roman" w:cs="Times New Roman"/>
          <w:color w:val="auto"/>
          <w:highlight w:val="none"/>
          <w:lang w:val="en-US" w:eastAsia="zh-CN"/>
        </w:rPr>
        <w:t>132</w:t>
      </w:r>
      <w:r>
        <w:rPr>
          <w:rFonts w:hint="default" w:ascii="Times New Roman" w:hAnsi="Times New Roman" w:cs="Times New Roman"/>
          <w:color w:val="auto"/>
          <w:highlight w:val="none"/>
        </w:rPr>
        <w:t>t/a，用水来源为购买瓶装水。</w:t>
      </w:r>
    </w:p>
    <w:p w14:paraId="7511F61C">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（2）作业抑尘用水</w:t>
      </w:r>
    </w:p>
    <w:p w14:paraId="2C9068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highlight w:val="none"/>
        </w:rPr>
        <w:t>回填作业区每次洒水深度</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mm，按每天</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次计，洒水面积1200m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，则每天用水量为</w:t>
      </w:r>
      <w:r>
        <w:rPr>
          <w:rFonts w:hint="default" w:ascii="Times New Roman" w:hAnsi="Times New Roman" w:eastAsia="宋体" w:cs="Times New Roman"/>
          <w:color w:val="auto"/>
          <w:kern w:val="2"/>
          <w:sz w:val="24"/>
          <w:szCs w:val="24"/>
          <w:highlight w:val="none"/>
          <w:lang w:val="en-US" w:eastAsia="zh-CN" w:bidi="ar-SA"/>
        </w:rPr>
        <w:t>24t/d，7920t/a。雨季时利用暂存池收集的淋溶水和雨水，其余时间来自于新鲜水。</w:t>
      </w:r>
    </w:p>
    <w:p w14:paraId="08085969">
      <w:pPr>
        <w:pStyle w:val="48"/>
        <w:ind w:firstLine="48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（3）道路洒水用水</w:t>
      </w:r>
    </w:p>
    <w:p w14:paraId="60475F62">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本项目进场道路需定期洒水抑尘，本次评价参考黑龙江省《用水定额》(DB23/T727-2021)，道路洒水抑尘用水标准按2L/m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·d，道路面积为</w:t>
      </w:r>
      <w:r>
        <w:rPr>
          <w:rFonts w:hint="default" w:ascii="Times New Roman" w:hAnsi="Times New Roman" w:cs="Times New Roman"/>
          <w:color w:val="auto"/>
          <w:highlight w:val="none"/>
          <w:lang w:val="en-US" w:eastAsia="zh-CN"/>
        </w:rPr>
        <w:t>500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，则道路抑尘用水量为</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t/d，道路洒水每年按180天考虑，则全年用量</w:t>
      </w:r>
      <w:r>
        <w:rPr>
          <w:rFonts w:hint="default" w:ascii="Times New Roman" w:hAnsi="Times New Roman" w:cs="Times New Roman"/>
          <w:color w:val="auto"/>
          <w:highlight w:val="none"/>
          <w:lang w:val="en-US" w:eastAsia="zh-CN"/>
        </w:rPr>
        <w:t>180</w:t>
      </w:r>
      <w:r>
        <w:rPr>
          <w:rFonts w:hint="default" w:ascii="Times New Roman" w:hAnsi="Times New Roman" w:cs="Times New Roman"/>
          <w:color w:val="auto"/>
          <w:highlight w:val="none"/>
        </w:rPr>
        <w:t>t/a。</w:t>
      </w:r>
    </w:p>
    <w:p w14:paraId="454D6CF7">
      <w:pPr>
        <w:pStyle w:val="48"/>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综上所述，本项目用水量为</w:t>
      </w:r>
      <w:r>
        <w:rPr>
          <w:rFonts w:hint="default" w:ascii="Times New Roman" w:hAnsi="Times New Roman" w:cs="Times New Roman"/>
          <w:color w:val="auto"/>
          <w:highlight w:val="none"/>
          <w:lang w:val="en-US" w:eastAsia="zh-CN"/>
        </w:rPr>
        <w:t>25.4</w:t>
      </w:r>
      <w:r>
        <w:rPr>
          <w:rFonts w:hint="default" w:ascii="Times New Roman" w:hAnsi="Times New Roman" w:cs="Times New Roman"/>
          <w:color w:val="auto"/>
          <w:highlight w:val="none"/>
        </w:rPr>
        <w:t>t/d，</w:t>
      </w:r>
      <w:r>
        <w:rPr>
          <w:rFonts w:hint="default" w:ascii="Times New Roman" w:hAnsi="Times New Roman" w:cs="Times New Roman"/>
          <w:color w:val="auto"/>
          <w:highlight w:val="none"/>
          <w:lang w:val="en-US" w:eastAsia="zh-CN"/>
        </w:rPr>
        <w:t>8232</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p>
    <w:p w14:paraId="67300CBD">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根据雨季强降雨淋溶水计算，雨季最大降雨量产生的淋溶水为25.24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降尘用水量为25m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/d，淋溶水全部回用可行。雨季优先适用暂存池收集的淋溶水及雨水，水量不够时，</w:t>
      </w:r>
      <w:r>
        <w:rPr>
          <w:rFonts w:hint="default" w:ascii="Times New Roman" w:hAnsi="Times New Roman" w:cs="Times New Roman"/>
          <w:color w:val="auto"/>
          <w:highlight w:val="none"/>
        </w:rPr>
        <w:t>依托</w:t>
      </w:r>
      <w:r>
        <w:rPr>
          <w:rFonts w:hint="default" w:ascii="Times New Roman" w:hAnsi="Times New Roman" w:cs="Times New Roman"/>
          <w:color w:val="auto"/>
          <w:highlight w:val="none"/>
          <w:lang w:val="en-US" w:eastAsia="zh-CN"/>
        </w:rPr>
        <w:t>南甸子村</w:t>
      </w:r>
      <w:r>
        <w:rPr>
          <w:rFonts w:hint="default" w:ascii="Times New Roman" w:hAnsi="Times New Roman" w:cs="Times New Roman"/>
          <w:color w:val="auto"/>
          <w:highlight w:val="none"/>
        </w:rPr>
        <w:t>自来水，</w:t>
      </w:r>
      <w:r>
        <w:rPr>
          <w:rFonts w:hint="default" w:ascii="Times New Roman" w:hAnsi="Times New Roman" w:cs="Times New Roman"/>
          <w:color w:val="auto"/>
          <w:highlight w:val="none"/>
          <w:lang w:val="en-US" w:eastAsia="zh-CN"/>
        </w:rPr>
        <w:t>采</w:t>
      </w:r>
      <w:r>
        <w:rPr>
          <w:rFonts w:hint="default" w:ascii="Times New Roman" w:hAnsi="Times New Roman" w:cs="Times New Roman"/>
          <w:color w:val="auto"/>
          <w:highlight w:val="none"/>
        </w:rPr>
        <w:t>用自备洒水车拉运至厂区。</w:t>
      </w:r>
    </w:p>
    <w:p w14:paraId="5591AD73">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3.1.5.2排水</w:t>
      </w:r>
    </w:p>
    <w:p w14:paraId="0DF74393">
      <w:pPr>
        <w:pStyle w:val="48"/>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本项目不设置生产生活辅助管理区，不设置洗车区，不产生地面冲洗水及洗车废水。项目回填复垦期废水主要为工作人员生活污水。</w:t>
      </w:r>
    </w:p>
    <w:p w14:paraId="0AF32843">
      <w:pPr>
        <w:pStyle w:val="48"/>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生活污水按用水量的80%计算，则生活污水为</w:t>
      </w:r>
      <w:r>
        <w:rPr>
          <w:rFonts w:hint="default" w:ascii="Times New Roman" w:hAnsi="Times New Roman" w:eastAsia="宋体" w:cs="Times New Roman"/>
          <w:color w:val="auto"/>
          <w:highlight w:val="none"/>
          <w:lang w:val="en-US" w:eastAsia="zh-CN"/>
        </w:rPr>
        <w:t>0.32</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105.6</w:t>
      </w:r>
      <w:r>
        <w:rPr>
          <w:rFonts w:hint="default" w:ascii="Times New Roman" w:hAnsi="Times New Roman" w:eastAsia="宋体" w:cs="Times New Roman"/>
          <w:color w:val="auto"/>
          <w:highlight w:val="none"/>
        </w:rPr>
        <w:t>t/a。生活污水</w:t>
      </w:r>
      <w:r>
        <w:rPr>
          <w:rFonts w:hint="default" w:ascii="Times New Roman" w:hAnsi="Times New Roman" w:eastAsia="宋体" w:cs="Times New Roman"/>
          <w:color w:val="auto"/>
          <w:highlight w:val="none"/>
          <w:lang w:val="en-US" w:eastAsia="zh-CN"/>
        </w:rPr>
        <w:t>排入南甸子碎石场</w:t>
      </w:r>
      <w:r>
        <w:rPr>
          <w:rFonts w:hint="default" w:ascii="Times New Roman" w:hAnsi="Times New Roman" w:eastAsia="宋体" w:cs="Times New Roman"/>
          <w:color w:val="auto"/>
          <w:highlight w:val="none"/>
        </w:rPr>
        <w:t>的防渗旱厕，定期清掏，外运堆肥。</w:t>
      </w:r>
    </w:p>
    <w:p w14:paraId="657DF34B">
      <w:pPr>
        <w:pStyle w:val="48"/>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水平衡图见图3-1-1。</w:t>
      </w:r>
    </w:p>
    <w:p w14:paraId="6884C0A3">
      <w:pPr>
        <w:pStyle w:val="27"/>
        <w:spacing w:line="240" w:lineRule="auto"/>
        <w:ind w:firstLine="48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object>
          <v:shape id="_x0000_i1025" o:spt="75" type="#_x0000_t75" style="height:233.75pt;width:332.05pt;" o:ole="t" filled="f" o:preferrelative="t" stroked="f" coordsize="21600,21600">
            <v:path/>
            <v:fill on="f" focussize="0,0"/>
            <v:stroke on="f"/>
            <v:imagedata r:id="rId25" o:title=""/>
            <o:lock v:ext="edit" aspectratio="f"/>
            <w10:wrap type="none"/>
            <w10:anchorlock/>
          </v:shape>
          <o:OLEObject Type="Embed" ProgID="Visio.Drawing.11" ShapeID="_x0000_i1025" DrawAspect="Content" ObjectID="_1468075725" r:id="rId24">
            <o:LockedField>false</o:LockedField>
          </o:OLEObject>
        </w:object>
      </w:r>
    </w:p>
    <w:p w14:paraId="03C9EB45">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图3-1-1  水平衡图</w:t>
      </w:r>
    </w:p>
    <w:p w14:paraId="539424F2">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3.1.5.3供电</w:t>
      </w:r>
    </w:p>
    <w:p w14:paraId="755A32A6">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val="en-US" w:eastAsia="zh-CN"/>
        </w:rPr>
        <w:t>市政供电</w:t>
      </w:r>
      <w:r>
        <w:rPr>
          <w:rFonts w:hint="default" w:ascii="Times New Roman" w:hAnsi="Times New Roman" w:cs="Times New Roman"/>
          <w:color w:val="auto"/>
          <w:highlight w:val="none"/>
        </w:rPr>
        <w:t>提供。</w:t>
      </w:r>
    </w:p>
    <w:p w14:paraId="2056093C">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3.1.5.4供热</w:t>
      </w:r>
    </w:p>
    <w:p w14:paraId="1FAD114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场地内</w:t>
      </w:r>
      <w:r>
        <w:rPr>
          <w:rFonts w:hint="default" w:ascii="Times New Roman" w:hAnsi="Times New Roman" w:cs="Times New Roman"/>
          <w:color w:val="auto"/>
          <w:highlight w:val="none"/>
        </w:rPr>
        <w:t>无办公室等构筑物，无需采暖。</w:t>
      </w:r>
    </w:p>
    <w:p w14:paraId="7190B3F4">
      <w:pPr>
        <w:pStyle w:val="41"/>
        <w:bidi w:val="0"/>
        <w:rPr>
          <w:rFonts w:hint="default" w:ascii="Times New Roman" w:hAnsi="Times New Roman" w:cs="Times New Roman"/>
          <w:color w:val="auto"/>
          <w:highlight w:val="none"/>
          <w:lang w:val="en-US" w:eastAsia="zh-CN"/>
        </w:rPr>
      </w:pPr>
      <w:bookmarkStart w:id="164" w:name="_Toc9407"/>
      <w:r>
        <w:rPr>
          <w:rFonts w:hint="default" w:ascii="Times New Roman" w:hAnsi="Times New Roman" w:cs="Times New Roman"/>
          <w:color w:val="auto"/>
          <w:highlight w:val="none"/>
        </w:rPr>
        <w:t>3.1.6</w:t>
      </w:r>
      <w:r>
        <w:rPr>
          <w:rFonts w:hint="default" w:ascii="Times New Roman" w:hAnsi="Times New Roman" w:cs="Times New Roman"/>
          <w:color w:val="auto"/>
          <w:highlight w:val="none"/>
          <w:lang w:val="en-US" w:eastAsia="zh-CN"/>
        </w:rPr>
        <w:t>原辅材料</w:t>
      </w:r>
    </w:p>
    <w:p w14:paraId="3CCBE2E9">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本项目原辅材料见下表。</w:t>
      </w:r>
    </w:p>
    <w:p w14:paraId="5C0935F1">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表3-1-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 xml:space="preserve">  原辅材料表</w:t>
      </w:r>
    </w:p>
    <w:tbl>
      <w:tblPr>
        <w:tblStyle w:val="24"/>
        <w:tblW w:w="462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1499"/>
        <w:gridCol w:w="2671"/>
        <w:gridCol w:w="2599"/>
      </w:tblGrid>
      <w:tr w14:paraId="4688B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708" w:type="pct"/>
            <w:tcBorders>
              <w:tl2br w:val="nil"/>
              <w:tr2bl w:val="nil"/>
            </w:tcBorders>
            <w:vAlign w:val="center"/>
          </w:tcPr>
          <w:p w14:paraId="0744FC9F">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950" w:type="pct"/>
            <w:tcBorders>
              <w:tl2br w:val="nil"/>
              <w:tr2bl w:val="nil"/>
            </w:tcBorders>
            <w:vAlign w:val="center"/>
          </w:tcPr>
          <w:p w14:paraId="3CD8E02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693" w:type="pct"/>
            <w:tcBorders>
              <w:tl2br w:val="nil"/>
              <w:tr2bl w:val="nil"/>
            </w:tcBorders>
            <w:vAlign w:val="center"/>
          </w:tcPr>
          <w:p w14:paraId="33E2279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1647" w:type="pct"/>
            <w:tcBorders>
              <w:tl2br w:val="nil"/>
              <w:tr2bl w:val="nil"/>
            </w:tcBorders>
            <w:vAlign w:val="center"/>
          </w:tcPr>
          <w:p w14:paraId="704E98EB">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来源</w:t>
            </w:r>
          </w:p>
        </w:tc>
      </w:tr>
      <w:tr w14:paraId="2AAA9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08" w:type="pct"/>
            <w:tcBorders>
              <w:tl2br w:val="nil"/>
              <w:tr2bl w:val="nil"/>
            </w:tcBorders>
            <w:vAlign w:val="center"/>
          </w:tcPr>
          <w:p w14:paraId="6C7276EE">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1</w:t>
            </w:r>
          </w:p>
        </w:tc>
        <w:tc>
          <w:tcPr>
            <w:tcW w:w="950" w:type="pct"/>
            <w:tcBorders>
              <w:tl2br w:val="nil"/>
              <w:tr2bl w:val="nil"/>
            </w:tcBorders>
            <w:vAlign w:val="center"/>
          </w:tcPr>
          <w:p w14:paraId="35338BB1">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粉煤灰</w:t>
            </w:r>
          </w:p>
        </w:tc>
        <w:tc>
          <w:tcPr>
            <w:tcW w:w="1693" w:type="pct"/>
            <w:tcBorders>
              <w:tl2br w:val="nil"/>
              <w:tr2bl w:val="nil"/>
            </w:tcBorders>
            <w:vAlign w:val="center"/>
          </w:tcPr>
          <w:p w14:paraId="028B0742">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81.41万m</w:t>
            </w:r>
            <w:r>
              <w:rPr>
                <w:rFonts w:hint="default" w:ascii="Times New Roman" w:hAnsi="Times New Roman" w:cs="Times New Roman"/>
                <w:color w:val="auto"/>
                <w:highlight w:val="none"/>
                <w:vertAlign w:val="superscript"/>
                <w:lang w:val="en-US" w:eastAsia="zh-CN"/>
              </w:rPr>
              <w:t>3</w:t>
            </w:r>
          </w:p>
        </w:tc>
        <w:tc>
          <w:tcPr>
            <w:tcW w:w="1647" w:type="pct"/>
            <w:tcBorders>
              <w:tl2br w:val="nil"/>
              <w:tr2bl w:val="nil"/>
            </w:tcBorders>
            <w:vAlign w:val="center"/>
          </w:tcPr>
          <w:p w14:paraId="1885E56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平铺</w:t>
            </w:r>
          </w:p>
        </w:tc>
      </w:tr>
      <w:tr w14:paraId="643C0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708" w:type="pct"/>
            <w:tcBorders>
              <w:tl2br w:val="nil"/>
              <w:tr2bl w:val="nil"/>
            </w:tcBorders>
            <w:vAlign w:val="center"/>
          </w:tcPr>
          <w:p w14:paraId="5319113F">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2</w:t>
            </w:r>
          </w:p>
        </w:tc>
        <w:tc>
          <w:tcPr>
            <w:tcW w:w="950" w:type="pct"/>
            <w:tcBorders>
              <w:tl2br w:val="nil"/>
              <w:tr2bl w:val="nil"/>
            </w:tcBorders>
            <w:vAlign w:val="center"/>
          </w:tcPr>
          <w:p w14:paraId="4825AAE0">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表土</w:t>
            </w:r>
          </w:p>
        </w:tc>
        <w:tc>
          <w:tcPr>
            <w:tcW w:w="1693" w:type="pct"/>
            <w:tcBorders>
              <w:tl2br w:val="nil"/>
              <w:tr2bl w:val="nil"/>
            </w:tcBorders>
            <w:vAlign w:val="center"/>
          </w:tcPr>
          <w:p w14:paraId="569898AC">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vertAlign w:val="baseline"/>
                <w:lang w:val="en-US" w:eastAsia="zh-CN"/>
              </w:rPr>
              <w:t>25590.9</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p>
        </w:tc>
        <w:tc>
          <w:tcPr>
            <w:tcW w:w="1647" w:type="pct"/>
            <w:tcBorders>
              <w:tl2br w:val="nil"/>
              <w:tr2bl w:val="nil"/>
            </w:tcBorders>
            <w:vAlign w:val="center"/>
          </w:tcPr>
          <w:p w14:paraId="4E9B746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压实</w:t>
            </w:r>
          </w:p>
        </w:tc>
      </w:tr>
      <w:tr w14:paraId="44974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708" w:type="pct"/>
            <w:tcBorders>
              <w:tl2br w:val="nil"/>
              <w:tr2bl w:val="nil"/>
            </w:tcBorders>
            <w:vAlign w:val="center"/>
          </w:tcPr>
          <w:p w14:paraId="560F2158">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3</w:t>
            </w:r>
          </w:p>
        </w:tc>
        <w:tc>
          <w:tcPr>
            <w:tcW w:w="950" w:type="pct"/>
            <w:tcBorders>
              <w:tl2br w:val="nil"/>
              <w:tr2bl w:val="nil"/>
            </w:tcBorders>
            <w:vAlign w:val="center"/>
          </w:tcPr>
          <w:p w14:paraId="39A2B724">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黏土</w:t>
            </w:r>
          </w:p>
        </w:tc>
        <w:tc>
          <w:tcPr>
            <w:tcW w:w="1693" w:type="pct"/>
            <w:tcBorders>
              <w:tl2br w:val="nil"/>
              <w:tr2bl w:val="nil"/>
            </w:tcBorders>
            <w:vAlign w:val="center"/>
          </w:tcPr>
          <w:p w14:paraId="7EB1392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11536m</w:t>
            </w:r>
            <w:r>
              <w:rPr>
                <w:rFonts w:hint="default" w:ascii="Times New Roman" w:hAnsi="Times New Roman" w:cs="Times New Roman"/>
                <w:color w:val="auto"/>
                <w:highlight w:val="none"/>
                <w:vertAlign w:val="superscript"/>
              </w:rPr>
              <w:t>3</w:t>
            </w:r>
          </w:p>
        </w:tc>
        <w:tc>
          <w:tcPr>
            <w:tcW w:w="1647" w:type="pct"/>
            <w:tcBorders>
              <w:tl2br w:val="nil"/>
              <w:tr2bl w:val="nil"/>
            </w:tcBorders>
            <w:vAlign w:val="center"/>
          </w:tcPr>
          <w:p w14:paraId="7CEAC509">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运输</w:t>
            </w:r>
          </w:p>
        </w:tc>
      </w:tr>
      <w:tr w14:paraId="7089E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708" w:type="pct"/>
            <w:tcBorders>
              <w:tl2br w:val="nil"/>
              <w:tr2bl w:val="nil"/>
            </w:tcBorders>
            <w:vAlign w:val="center"/>
          </w:tcPr>
          <w:p w14:paraId="37A0D896">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4</w:t>
            </w:r>
          </w:p>
        </w:tc>
        <w:tc>
          <w:tcPr>
            <w:tcW w:w="950" w:type="pct"/>
            <w:tcBorders>
              <w:tl2br w:val="nil"/>
              <w:tr2bl w:val="nil"/>
            </w:tcBorders>
            <w:vAlign w:val="center"/>
          </w:tcPr>
          <w:p w14:paraId="7A5DBE58">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壤土</w:t>
            </w:r>
          </w:p>
        </w:tc>
        <w:tc>
          <w:tcPr>
            <w:tcW w:w="1693" w:type="pct"/>
            <w:tcBorders>
              <w:tl2br w:val="nil"/>
              <w:tr2bl w:val="nil"/>
            </w:tcBorders>
            <w:vAlign w:val="center"/>
          </w:tcPr>
          <w:p w14:paraId="46BF409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13300m</w:t>
            </w:r>
            <w:r>
              <w:rPr>
                <w:rFonts w:hint="default" w:ascii="Times New Roman" w:hAnsi="Times New Roman" w:cs="Times New Roman"/>
                <w:color w:val="auto"/>
                <w:highlight w:val="none"/>
                <w:vertAlign w:val="superscript"/>
                <w:lang w:val="en-US" w:eastAsia="zh-CN"/>
              </w:rPr>
              <w:t>3</w:t>
            </w:r>
          </w:p>
        </w:tc>
        <w:tc>
          <w:tcPr>
            <w:tcW w:w="1647" w:type="pct"/>
            <w:tcBorders>
              <w:tl2br w:val="nil"/>
              <w:tr2bl w:val="nil"/>
            </w:tcBorders>
            <w:vAlign w:val="center"/>
          </w:tcPr>
          <w:p w14:paraId="42ED306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铲运</w:t>
            </w:r>
          </w:p>
        </w:tc>
      </w:tr>
    </w:tbl>
    <w:p w14:paraId="4D7B7E8B">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3.1.7</w:t>
      </w:r>
      <w:r>
        <w:rPr>
          <w:rFonts w:hint="default" w:ascii="Times New Roman" w:hAnsi="Times New Roman" w:cs="Times New Roman"/>
          <w:color w:val="auto"/>
          <w:highlight w:val="none"/>
        </w:rPr>
        <w:t>主要设备</w:t>
      </w:r>
      <w:bookmarkEnd w:id="164"/>
    </w:p>
    <w:p w14:paraId="30482D2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本项目设置推土机、铲车等，具体设备见下表。</w:t>
      </w:r>
    </w:p>
    <w:p w14:paraId="60645637">
      <w:pPr>
        <w:pStyle w:val="29"/>
        <w:bidi w:val="0"/>
        <w:rPr>
          <w:rFonts w:hint="default" w:ascii="Times New Roman" w:hAnsi="Times New Roman" w:cs="Times New Roman"/>
          <w:color w:val="auto"/>
          <w:highlight w:val="none"/>
        </w:rPr>
      </w:pPr>
    </w:p>
    <w:p w14:paraId="15B2807A">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eastAsia" w:cs="Times New Roman"/>
          <w:color w:val="auto"/>
          <w:highlight w:val="none"/>
          <w:lang w:val="en-US" w:eastAsia="zh-CN"/>
        </w:rPr>
        <w:t>6</w:t>
      </w:r>
      <w:r>
        <w:rPr>
          <w:rFonts w:hint="default" w:ascii="Times New Roman" w:hAnsi="Times New Roman" w:cs="Times New Roman"/>
          <w:color w:val="auto"/>
          <w:highlight w:val="none"/>
        </w:rPr>
        <w:t>主要设备一览表</w:t>
      </w:r>
    </w:p>
    <w:tbl>
      <w:tblPr>
        <w:tblStyle w:val="24"/>
        <w:tblW w:w="84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1563"/>
        <w:gridCol w:w="2260"/>
        <w:gridCol w:w="1605"/>
        <w:gridCol w:w="1809"/>
      </w:tblGrid>
      <w:tr w14:paraId="39B2A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0" w:hRule="atLeast"/>
          <w:tblHeader/>
          <w:jc w:val="center"/>
        </w:trPr>
        <w:tc>
          <w:tcPr>
            <w:tcW w:w="712" w:type="pct"/>
            <w:tcBorders>
              <w:tl2br w:val="nil"/>
              <w:tr2bl w:val="nil"/>
            </w:tcBorders>
            <w:noWrap/>
            <w:vAlign w:val="center"/>
          </w:tcPr>
          <w:p w14:paraId="31144D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1"/>
                <w:sz w:val="21"/>
                <w:szCs w:val="21"/>
                <w:highlight w:val="none"/>
              </w:rPr>
            </w:pPr>
            <w:bookmarkStart w:id="165" w:name="_Toc982"/>
            <w:r>
              <w:rPr>
                <w:rFonts w:hint="default" w:ascii="Times New Roman" w:hAnsi="Times New Roman" w:eastAsia="宋体" w:cs="Times New Roman"/>
                <w:b w:val="0"/>
                <w:bCs/>
                <w:color w:val="auto"/>
                <w:kern w:val="21"/>
                <w:sz w:val="21"/>
                <w:szCs w:val="21"/>
                <w:highlight w:val="none"/>
              </w:rPr>
              <w:t>序号</w:t>
            </w:r>
          </w:p>
        </w:tc>
        <w:tc>
          <w:tcPr>
            <w:tcW w:w="926" w:type="pct"/>
            <w:tcBorders>
              <w:tl2br w:val="nil"/>
              <w:tr2bl w:val="nil"/>
            </w:tcBorders>
            <w:noWrap/>
            <w:vAlign w:val="center"/>
          </w:tcPr>
          <w:p w14:paraId="13AAFA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1"/>
                <w:sz w:val="21"/>
                <w:szCs w:val="21"/>
                <w:highlight w:val="none"/>
              </w:rPr>
            </w:pPr>
            <w:r>
              <w:rPr>
                <w:rFonts w:hint="default" w:ascii="Times New Roman" w:hAnsi="Times New Roman" w:eastAsia="宋体" w:cs="Times New Roman"/>
                <w:b w:val="0"/>
                <w:bCs/>
                <w:color w:val="auto"/>
                <w:kern w:val="21"/>
                <w:sz w:val="21"/>
                <w:szCs w:val="21"/>
                <w:highlight w:val="none"/>
              </w:rPr>
              <w:t>设备名称</w:t>
            </w:r>
          </w:p>
        </w:tc>
        <w:tc>
          <w:tcPr>
            <w:tcW w:w="1339" w:type="pct"/>
            <w:tcBorders>
              <w:tl2br w:val="nil"/>
              <w:tr2bl w:val="nil"/>
            </w:tcBorders>
            <w:noWrap/>
            <w:vAlign w:val="center"/>
          </w:tcPr>
          <w:p w14:paraId="1BB42E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1"/>
                <w:sz w:val="21"/>
                <w:szCs w:val="21"/>
                <w:highlight w:val="none"/>
              </w:rPr>
            </w:pPr>
            <w:r>
              <w:rPr>
                <w:rFonts w:hint="default" w:ascii="Times New Roman" w:hAnsi="Times New Roman" w:eastAsia="宋体" w:cs="Times New Roman"/>
                <w:b w:val="0"/>
                <w:bCs/>
                <w:color w:val="auto"/>
                <w:kern w:val="21"/>
                <w:sz w:val="21"/>
                <w:szCs w:val="21"/>
                <w:highlight w:val="none"/>
              </w:rPr>
              <w:t>数量</w:t>
            </w:r>
          </w:p>
        </w:tc>
        <w:tc>
          <w:tcPr>
            <w:tcW w:w="950" w:type="pct"/>
            <w:tcBorders>
              <w:tl2br w:val="nil"/>
              <w:tr2bl w:val="nil"/>
            </w:tcBorders>
            <w:noWrap/>
            <w:vAlign w:val="center"/>
          </w:tcPr>
          <w:p w14:paraId="5F468C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1"/>
                <w:sz w:val="21"/>
                <w:szCs w:val="21"/>
                <w:highlight w:val="none"/>
              </w:rPr>
            </w:pPr>
            <w:r>
              <w:rPr>
                <w:rFonts w:hint="default" w:ascii="Times New Roman" w:hAnsi="Times New Roman" w:eastAsia="宋体" w:cs="Times New Roman"/>
                <w:b w:val="0"/>
                <w:bCs/>
                <w:color w:val="auto"/>
                <w:kern w:val="21"/>
                <w:sz w:val="21"/>
                <w:szCs w:val="21"/>
                <w:highlight w:val="none"/>
              </w:rPr>
              <w:t>单位</w:t>
            </w:r>
          </w:p>
        </w:tc>
        <w:tc>
          <w:tcPr>
            <w:tcW w:w="1071" w:type="pct"/>
            <w:tcBorders>
              <w:tl2br w:val="nil"/>
              <w:tr2bl w:val="nil"/>
            </w:tcBorders>
            <w:noWrap/>
            <w:vAlign w:val="center"/>
          </w:tcPr>
          <w:p w14:paraId="09A78D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1"/>
                <w:sz w:val="21"/>
                <w:szCs w:val="21"/>
                <w:highlight w:val="none"/>
              </w:rPr>
            </w:pPr>
            <w:r>
              <w:rPr>
                <w:rFonts w:hint="default" w:ascii="Times New Roman" w:hAnsi="Times New Roman" w:eastAsia="宋体" w:cs="Times New Roman"/>
                <w:b w:val="0"/>
                <w:bCs/>
                <w:color w:val="auto"/>
                <w:kern w:val="21"/>
                <w:sz w:val="21"/>
                <w:szCs w:val="21"/>
                <w:highlight w:val="none"/>
              </w:rPr>
              <w:t>主要技术参数</w:t>
            </w:r>
          </w:p>
        </w:tc>
      </w:tr>
      <w:tr w14:paraId="48295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712" w:type="pct"/>
            <w:tcBorders>
              <w:tl2br w:val="nil"/>
              <w:tr2bl w:val="nil"/>
            </w:tcBorders>
            <w:noWrap/>
            <w:vAlign w:val="center"/>
          </w:tcPr>
          <w:p w14:paraId="6F74B5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1</w:t>
            </w:r>
          </w:p>
        </w:tc>
        <w:tc>
          <w:tcPr>
            <w:tcW w:w="926" w:type="pct"/>
            <w:tcBorders>
              <w:tl2br w:val="nil"/>
              <w:tr2bl w:val="nil"/>
            </w:tcBorders>
            <w:noWrap/>
            <w:vAlign w:val="center"/>
          </w:tcPr>
          <w:p w14:paraId="2C04F5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推土机</w:t>
            </w:r>
          </w:p>
        </w:tc>
        <w:tc>
          <w:tcPr>
            <w:tcW w:w="1339" w:type="pct"/>
            <w:tcBorders>
              <w:tl2br w:val="nil"/>
              <w:tr2bl w:val="nil"/>
            </w:tcBorders>
            <w:noWrap/>
            <w:vAlign w:val="center"/>
          </w:tcPr>
          <w:p w14:paraId="29B887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5</w:t>
            </w:r>
          </w:p>
        </w:tc>
        <w:tc>
          <w:tcPr>
            <w:tcW w:w="950" w:type="pct"/>
            <w:tcBorders>
              <w:tl2br w:val="nil"/>
              <w:tr2bl w:val="nil"/>
            </w:tcBorders>
            <w:noWrap/>
            <w:vAlign w:val="center"/>
          </w:tcPr>
          <w:p w14:paraId="3B233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台</w:t>
            </w:r>
          </w:p>
        </w:tc>
        <w:tc>
          <w:tcPr>
            <w:tcW w:w="1071" w:type="pct"/>
            <w:tcBorders>
              <w:tl2br w:val="nil"/>
              <w:tr2bl w:val="nil"/>
            </w:tcBorders>
            <w:noWrap/>
            <w:vAlign w:val="center"/>
          </w:tcPr>
          <w:p w14:paraId="59910E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w:t>
            </w:r>
          </w:p>
        </w:tc>
      </w:tr>
      <w:tr w14:paraId="4DDC9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712" w:type="pct"/>
            <w:tcBorders>
              <w:tl2br w:val="nil"/>
              <w:tr2bl w:val="nil"/>
            </w:tcBorders>
            <w:noWrap/>
            <w:vAlign w:val="center"/>
          </w:tcPr>
          <w:p w14:paraId="44D17C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2</w:t>
            </w:r>
          </w:p>
        </w:tc>
        <w:tc>
          <w:tcPr>
            <w:tcW w:w="926" w:type="pct"/>
            <w:tcBorders>
              <w:tl2br w:val="nil"/>
              <w:tr2bl w:val="nil"/>
            </w:tcBorders>
            <w:noWrap/>
            <w:vAlign w:val="center"/>
          </w:tcPr>
          <w:p w14:paraId="509C3B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压实机</w:t>
            </w:r>
          </w:p>
        </w:tc>
        <w:tc>
          <w:tcPr>
            <w:tcW w:w="1339" w:type="pct"/>
            <w:tcBorders>
              <w:tl2br w:val="nil"/>
              <w:tr2bl w:val="nil"/>
            </w:tcBorders>
            <w:noWrap/>
            <w:vAlign w:val="center"/>
          </w:tcPr>
          <w:p w14:paraId="72DC60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10</w:t>
            </w:r>
          </w:p>
        </w:tc>
        <w:tc>
          <w:tcPr>
            <w:tcW w:w="950" w:type="pct"/>
            <w:tcBorders>
              <w:tl2br w:val="nil"/>
              <w:tr2bl w:val="nil"/>
            </w:tcBorders>
            <w:noWrap/>
            <w:vAlign w:val="center"/>
          </w:tcPr>
          <w:p w14:paraId="1DB3C7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台</w:t>
            </w:r>
          </w:p>
        </w:tc>
        <w:tc>
          <w:tcPr>
            <w:tcW w:w="1071" w:type="pct"/>
            <w:tcBorders>
              <w:tl2br w:val="nil"/>
              <w:tr2bl w:val="nil"/>
            </w:tcBorders>
            <w:noWrap/>
            <w:vAlign w:val="center"/>
          </w:tcPr>
          <w:p w14:paraId="586ADF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lang w:val="en-US" w:eastAsia="zh-CN"/>
              </w:rPr>
              <w:t>/</w:t>
            </w:r>
          </w:p>
        </w:tc>
      </w:tr>
      <w:tr w14:paraId="4B956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712" w:type="pct"/>
            <w:tcBorders>
              <w:tl2br w:val="nil"/>
              <w:tr2bl w:val="nil"/>
            </w:tcBorders>
            <w:noWrap/>
            <w:vAlign w:val="center"/>
          </w:tcPr>
          <w:p w14:paraId="401699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3</w:t>
            </w:r>
          </w:p>
        </w:tc>
        <w:tc>
          <w:tcPr>
            <w:tcW w:w="926" w:type="pct"/>
            <w:tcBorders>
              <w:tl2br w:val="nil"/>
              <w:tr2bl w:val="nil"/>
            </w:tcBorders>
            <w:noWrap/>
            <w:vAlign w:val="center"/>
          </w:tcPr>
          <w:p w14:paraId="4090D4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自卸翻斗车</w:t>
            </w:r>
          </w:p>
        </w:tc>
        <w:tc>
          <w:tcPr>
            <w:tcW w:w="1339" w:type="pct"/>
            <w:tcBorders>
              <w:tl2br w:val="nil"/>
              <w:tr2bl w:val="nil"/>
            </w:tcBorders>
            <w:noWrap/>
            <w:vAlign w:val="center"/>
          </w:tcPr>
          <w:p w14:paraId="00E93A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15</w:t>
            </w:r>
          </w:p>
        </w:tc>
        <w:tc>
          <w:tcPr>
            <w:tcW w:w="950" w:type="pct"/>
            <w:tcBorders>
              <w:tl2br w:val="nil"/>
              <w:tr2bl w:val="nil"/>
            </w:tcBorders>
            <w:noWrap/>
            <w:vAlign w:val="center"/>
          </w:tcPr>
          <w:p w14:paraId="20D9E9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辆</w:t>
            </w:r>
          </w:p>
        </w:tc>
        <w:tc>
          <w:tcPr>
            <w:tcW w:w="1071" w:type="pct"/>
            <w:tcBorders>
              <w:tl2br w:val="nil"/>
              <w:tr2bl w:val="nil"/>
            </w:tcBorders>
            <w:noWrap/>
            <w:vAlign w:val="center"/>
          </w:tcPr>
          <w:p w14:paraId="048A1C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lang w:val="en-US" w:eastAsia="zh-CN"/>
              </w:rPr>
              <w:t>/</w:t>
            </w:r>
          </w:p>
        </w:tc>
      </w:tr>
      <w:tr w14:paraId="147D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712" w:type="pct"/>
            <w:tcBorders>
              <w:tl2br w:val="nil"/>
              <w:tr2bl w:val="nil"/>
            </w:tcBorders>
            <w:noWrap/>
            <w:vAlign w:val="center"/>
          </w:tcPr>
          <w:p w14:paraId="7D4BC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4</w:t>
            </w:r>
          </w:p>
        </w:tc>
        <w:tc>
          <w:tcPr>
            <w:tcW w:w="926" w:type="pct"/>
            <w:tcBorders>
              <w:tl2br w:val="nil"/>
              <w:tr2bl w:val="nil"/>
            </w:tcBorders>
            <w:noWrap/>
            <w:vAlign w:val="center"/>
          </w:tcPr>
          <w:p w14:paraId="32CE7C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铲车</w:t>
            </w:r>
          </w:p>
        </w:tc>
        <w:tc>
          <w:tcPr>
            <w:tcW w:w="1339" w:type="pct"/>
            <w:tcBorders>
              <w:tl2br w:val="nil"/>
              <w:tr2bl w:val="nil"/>
            </w:tcBorders>
            <w:noWrap/>
            <w:vAlign w:val="center"/>
          </w:tcPr>
          <w:p w14:paraId="3D8DB9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5</w:t>
            </w:r>
          </w:p>
        </w:tc>
        <w:tc>
          <w:tcPr>
            <w:tcW w:w="950" w:type="pct"/>
            <w:tcBorders>
              <w:tl2br w:val="nil"/>
              <w:tr2bl w:val="nil"/>
            </w:tcBorders>
            <w:noWrap/>
            <w:vAlign w:val="center"/>
          </w:tcPr>
          <w:p w14:paraId="2293D7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辆</w:t>
            </w:r>
          </w:p>
        </w:tc>
        <w:tc>
          <w:tcPr>
            <w:tcW w:w="1071" w:type="pct"/>
            <w:tcBorders>
              <w:tl2br w:val="nil"/>
              <w:tr2bl w:val="nil"/>
            </w:tcBorders>
            <w:noWrap/>
            <w:vAlign w:val="center"/>
          </w:tcPr>
          <w:p w14:paraId="16E81E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lang w:val="en-US" w:eastAsia="zh-CN"/>
              </w:rPr>
              <w:t>/</w:t>
            </w:r>
          </w:p>
        </w:tc>
      </w:tr>
      <w:tr w14:paraId="24EA7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3" w:hRule="atLeast"/>
          <w:jc w:val="center"/>
        </w:trPr>
        <w:tc>
          <w:tcPr>
            <w:tcW w:w="712" w:type="pct"/>
            <w:tcBorders>
              <w:tl2br w:val="nil"/>
              <w:tr2bl w:val="nil"/>
            </w:tcBorders>
            <w:noWrap/>
            <w:vAlign w:val="center"/>
          </w:tcPr>
          <w:p w14:paraId="7A25CB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lang w:val="en-US" w:eastAsia="zh-CN"/>
              </w:rPr>
            </w:pPr>
            <w:r>
              <w:rPr>
                <w:rFonts w:hint="default" w:ascii="Times New Roman" w:hAnsi="Times New Roman" w:eastAsia="宋体" w:cs="Times New Roman"/>
                <w:b w:val="0"/>
                <w:color w:val="auto"/>
                <w:kern w:val="21"/>
                <w:sz w:val="21"/>
                <w:szCs w:val="21"/>
                <w:highlight w:val="none"/>
                <w:lang w:val="en-US" w:eastAsia="zh-CN"/>
              </w:rPr>
              <w:t>5</w:t>
            </w:r>
          </w:p>
        </w:tc>
        <w:tc>
          <w:tcPr>
            <w:tcW w:w="926" w:type="pct"/>
            <w:tcBorders>
              <w:tl2br w:val="nil"/>
              <w:tr2bl w:val="nil"/>
            </w:tcBorders>
            <w:noWrap/>
            <w:vAlign w:val="center"/>
          </w:tcPr>
          <w:p w14:paraId="59C78F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洒水车</w:t>
            </w:r>
          </w:p>
        </w:tc>
        <w:tc>
          <w:tcPr>
            <w:tcW w:w="1339" w:type="pct"/>
            <w:tcBorders>
              <w:tl2br w:val="nil"/>
              <w:tr2bl w:val="nil"/>
            </w:tcBorders>
            <w:noWrap/>
            <w:vAlign w:val="center"/>
          </w:tcPr>
          <w:p w14:paraId="76A504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根据实际需要租赁</w:t>
            </w:r>
          </w:p>
        </w:tc>
        <w:tc>
          <w:tcPr>
            <w:tcW w:w="950" w:type="pct"/>
            <w:tcBorders>
              <w:tl2br w:val="nil"/>
              <w:tr2bl w:val="nil"/>
            </w:tcBorders>
            <w:noWrap/>
            <w:vAlign w:val="center"/>
          </w:tcPr>
          <w:p w14:paraId="281384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rPr>
              <w:t>辆</w:t>
            </w:r>
          </w:p>
        </w:tc>
        <w:tc>
          <w:tcPr>
            <w:tcW w:w="1071" w:type="pct"/>
            <w:tcBorders>
              <w:tl2br w:val="nil"/>
              <w:tr2bl w:val="nil"/>
            </w:tcBorders>
            <w:noWrap/>
            <w:vAlign w:val="center"/>
          </w:tcPr>
          <w:p w14:paraId="4BEFA7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1"/>
                <w:sz w:val="21"/>
                <w:szCs w:val="21"/>
                <w:highlight w:val="none"/>
              </w:rPr>
            </w:pPr>
            <w:r>
              <w:rPr>
                <w:rFonts w:hint="default" w:ascii="Times New Roman" w:hAnsi="Times New Roman" w:eastAsia="宋体" w:cs="Times New Roman"/>
                <w:b w:val="0"/>
                <w:color w:val="auto"/>
                <w:kern w:val="21"/>
                <w:sz w:val="21"/>
                <w:szCs w:val="21"/>
                <w:highlight w:val="none"/>
                <w:lang w:val="en-US" w:eastAsia="zh-CN"/>
              </w:rPr>
              <w:t>/</w:t>
            </w:r>
          </w:p>
        </w:tc>
      </w:tr>
    </w:tbl>
    <w:p w14:paraId="2B766E4B">
      <w:pPr>
        <w:pStyle w:val="41"/>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总平面布置合理性</w:t>
      </w:r>
      <w:bookmarkEnd w:id="165"/>
    </w:p>
    <w:p w14:paraId="645F5433">
      <w:pPr>
        <w:pStyle w:val="27"/>
        <w:bidi w:val="0"/>
        <w:rPr>
          <w:rFonts w:hint="default" w:ascii="Times New Roman" w:hAnsi="Times New Roman" w:cs="Times New Roman"/>
          <w:color w:val="auto"/>
          <w:highlight w:val="none"/>
          <w:lang w:val="en-US" w:eastAsia="zh-CN"/>
        </w:rPr>
      </w:pPr>
      <w:bookmarkStart w:id="166" w:name="_Toc15312"/>
      <w:r>
        <w:rPr>
          <w:rFonts w:hint="default" w:ascii="Times New Roman" w:hAnsi="Times New Roman" w:cs="Times New Roman"/>
          <w:color w:val="auto"/>
          <w:highlight w:val="none"/>
          <w:lang w:val="en-US" w:eastAsia="zh-CN"/>
        </w:rPr>
        <w:t>按照现有国家的方针、政策，并结合当地情况，在满足使用的要求下，做到经济、合理，尽量减少投资、降低造价，并应切实注意节约用地。总图布置中做到合理布置人流、车流的运输路线，以减少能源消耗，确保交通运输安全。</w:t>
      </w:r>
    </w:p>
    <w:p w14:paraId="0710558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入口位于场区南侧，进场道路依托项目区现有碎石道路。回填采坑为不规则长方形，采坑西高东低、北高南低，各项目区总平面布置图见附图3。</w:t>
      </w:r>
    </w:p>
    <w:p w14:paraId="47B0E804">
      <w:pPr>
        <w:pStyle w:val="41"/>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r>
        <w:rPr>
          <w:rFonts w:hint="eastAsia" w:cs="Times New Roman"/>
          <w:color w:val="auto"/>
          <w:highlight w:val="none"/>
          <w:lang w:val="en-US" w:eastAsia="zh-CN"/>
        </w:rPr>
        <w:t>9</w:t>
      </w:r>
      <w:r>
        <w:rPr>
          <w:rFonts w:hint="default" w:ascii="Times New Roman" w:hAnsi="Times New Roman" w:cs="Times New Roman"/>
          <w:color w:val="auto"/>
          <w:highlight w:val="none"/>
        </w:rPr>
        <w:t>劳动定员与工作制度</w:t>
      </w:r>
      <w:bookmarkEnd w:id="166"/>
    </w:p>
    <w:p w14:paraId="68C1C3C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（1）劳动定员</w:t>
      </w:r>
    </w:p>
    <w:p w14:paraId="6C7FCF4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约5</w:t>
      </w:r>
      <w:r>
        <w:rPr>
          <w:rFonts w:hint="default" w:ascii="Times New Roman" w:hAnsi="Times New Roman" w:cs="Times New Roman"/>
          <w:color w:val="auto"/>
          <w:highlight w:val="none"/>
        </w:rPr>
        <w:t>人。</w:t>
      </w:r>
    </w:p>
    <w:p w14:paraId="7E40B76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（2）工作制度</w:t>
      </w:r>
    </w:p>
    <w:p w14:paraId="13C8E321">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年工作</w:t>
      </w:r>
      <w:r>
        <w:rPr>
          <w:rFonts w:hint="default" w:ascii="Times New Roman" w:hAnsi="Times New Roman" w:cs="Times New Roman"/>
          <w:color w:val="auto"/>
          <w:highlight w:val="none"/>
          <w:lang w:val="en-US" w:eastAsia="zh-CN"/>
        </w:rPr>
        <w:t>330天</w:t>
      </w:r>
      <w:r>
        <w:rPr>
          <w:rFonts w:hint="default" w:ascii="Times New Roman" w:hAnsi="Times New Roman" w:cs="Times New Roman"/>
          <w:color w:val="auto"/>
          <w:highlight w:val="none"/>
        </w:rPr>
        <w:t>，日工作</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w:t>
      </w:r>
    </w:p>
    <w:p w14:paraId="159A02D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生态恢复期：回填复垦结束后。</w:t>
      </w:r>
    </w:p>
    <w:p w14:paraId="506AA2EE">
      <w:pPr>
        <w:pStyle w:val="41"/>
        <w:rPr>
          <w:rFonts w:hint="default" w:ascii="Times New Roman" w:hAnsi="Times New Roman" w:cs="Times New Roman"/>
          <w:color w:val="auto"/>
          <w:highlight w:val="none"/>
        </w:rPr>
      </w:pPr>
      <w:bookmarkStart w:id="167" w:name="_Toc1111"/>
      <w:r>
        <w:rPr>
          <w:rFonts w:hint="default" w:ascii="Times New Roman" w:hAnsi="Times New Roman" w:cs="Times New Roman"/>
          <w:color w:val="auto"/>
          <w:highlight w:val="none"/>
        </w:rPr>
        <w:t>3.1.</w:t>
      </w:r>
      <w:r>
        <w:rPr>
          <w:rFonts w:hint="eastAsia" w:cs="Times New Roman"/>
          <w:color w:val="auto"/>
          <w:highlight w:val="none"/>
          <w:lang w:val="en-US" w:eastAsia="zh-CN"/>
        </w:rPr>
        <w:t>10</w:t>
      </w:r>
      <w:r>
        <w:rPr>
          <w:rFonts w:hint="default" w:ascii="Times New Roman" w:hAnsi="Times New Roman" w:cs="Times New Roman"/>
          <w:color w:val="auto"/>
          <w:highlight w:val="none"/>
        </w:rPr>
        <w:t>土石方平衡</w:t>
      </w:r>
      <w:bookmarkEnd w:id="167"/>
    </w:p>
    <w:p w14:paraId="0218C178">
      <w:pPr>
        <w:pStyle w:val="29"/>
        <w:bidi w:val="0"/>
        <w:rPr>
          <w:rFonts w:hint="default" w:ascii="Times New Roman" w:hAnsi="Times New Roman" w:cs="Times New Roman"/>
          <w:color w:val="auto"/>
          <w:highlight w:val="none"/>
          <w:lang w:eastAsia="zh-CN"/>
        </w:rPr>
      </w:pPr>
      <w:bookmarkStart w:id="168" w:name="_Toc18642"/>
      <w:bookmarkStart w:id="169" w:name="_Toc140149421"/>
      <w:bookmarkStart w:id="170" w:name="_Toc152926816"/>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本工程土方平衡一览表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eastAsia="zh-CN"/>
        </w:rPr>
        <w:t>）</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845"/>
        <w:gridCol w:w="703"/>
        <w:gridCol w:w="1004"/>
        <w:gridCol w:w="972"/>
        <w:gridCol w:w="768"/>
        <w:gridCol w:w="918"/>
        <w:gridCol w:w="948"/>
        <w:gridCol w:w="807"/>
        <w:gridCol w:w="884"/>
      </w:tblGrid>
      <w:tr w14:paraId="61A9F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895" w:type="pct"/>
            <w:gridSpan w:val="2"/>
            <w:vMerge w:val="restart"/>
            <w:tcBorders>
              <w:tl2br w:val="nil"/>
              <w:tr2bl w:val="nil"/>
            </w:tcBorders>
            <w:vAlign w:val="center"/>
          </w:tcPr>
          <w:p w14:paraId="3333F7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工程名称</w:t>
            </w:r>
          </w:p>
        </w:tc>
        <w:tc>
          <w:tcPr>
            <w:tcW w:w="414" w:type="pct"/>
            <w:vMerge w:val="restart"/>
            <w:tcBorders>
              <w:tl2br w:val="nil"/>
              <w:tr2bl w:val="nil"/>
            </w:tcBorders>
            <w:vAlign w:val="center"/>
          </w:tcPr>
          <w:p w14:paraId="6E2E80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挖方</w:t>
            </w:r>
          </w:p>
        </w:tc>
        <w:tc>
          <w:tcPr>
            <w:tcW w:w="572" w:type="pct"/>
            <w:vMerge w:val="restart"/>
            <w:tcBorders>
              <w:tl2br w:val="nil"/>
              <w:tr2bl w:val="nil"/>
            </w:tcBorders>
            <w:vAlign w:val="center"/>
          </w:tcPr>
          <w:p w14:paraId="238397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填方</w:t>
            </w:r>
          </w:p>
        </w:tc>
        <w:tc>
          <w:tcPr>
            <w:tcW w:w="572" w:type="pct"/>
            <w:vMerge w:val="restart"/>
            <w:tcBorders>
              <w:tl2br w:val="nil"/>
              <w:tr2bl w:val="nil"/>
            </w:tcBorders>
            <w:vAlign w:val="center"/>
          </w:tcPr>
          <w:p w14:paraId="36BAA3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外借方</w:t>
            </w:r>
          </w:p>
        </w:tc>
        <w:tc>
          <w:tcPr>
            <w:tcW w:w="452" w:type="pct"/>
            <w:vMerge w:val="restart"/>
            <w:tcBorders>
              <w:tl2br w:val="nil"/>
              <w:tr2bl w:val="nil"/>
            </w:tcBorders>
            <w:vAlign w:val="center"/>
          </w:tcPr>
          <w:p w14:paraId="421484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弃方</w:t>
            </w:r>
          </w:p>
        </w:tc>
        <w:tc>
          <w:tcPr>
            <w:tcW w:w="1098" w:type="pct"/>
            <w:gridSpan w:val="2"/>
            <w:tcBorders>
              <w:tl2br w:val="nil"/>
              <w:tr2bl w:val="nil"/>
            </w:tcBorders>
            <w:vAlign w:val="center"/>
          </w:tcPr>
          <w:p w14:paraId="51C505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调入方</w:t>
            </w:r>
          </w:p>
        </w:tc>
        <w:tc>
          <w:tcPr>
            <w:tcW w:w="995" w:type="pct"/>
            <w:gridSpan w:val="2"/>
            <w:tcBorders>
              <w:tl2br w:val="nil"/>
              <w:tr2bl w:val="nil"/>
            </w:tcBorders>
            <w:vAlign w:val="center"/>
          </w:tcPr>
          <w:p w14:paraId="28EC40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调出方</w:t>
            </w:r>
          </w:p>
        </w:tc>
      </w:tr>
      <w:tr w14:paraId="62788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895" w:type="pct"/>
            <w:gridSpan w:val="2"/>
            <w:vMerge w:val="continue"/>
            <w:tcBorders>
              <w:tl2br w:val="nil"/>
              <w:tr2bl w:val="nil"/>
            </w:tcBorders>
            <w:vAlign w:val="center"/>
          </w:tcPr>
          <w:p w14:paraId="302EEA21">
            <w:pPr>
              <w:pStyle w:val="46"/>
              <w:bidi w:val="0"/>
              <w:rPr>
                <w:rFonts w:hint="default" w:ascii="Times New Roman" w:hAnsi="Times New Roman" w:cs="Times New Roman"/>
                <w:color w:val="auto"/>
                <w:highlight w:val="none"/>
              </w:rPr>
            </w:pPr>
          </w:p>
        </w:tc>
        <w:tc>
          <w:tcPr>
            <w:tcW w:w="414" w:type="pct"/>
            <w:vMerge w:val="continue"/>
            <w:tcBorders>
              <w:tl2br w:val="nil"/>
              <w:tr2bl w:val="nil"/>
            </w:tcBorders>
            <w:vAlign w:val="center"/>
          </w:tcPr>
          <w:p w14:paraId="4A95F9FE">
            <w:pPr>
              <w:pStyle w:val="46"/>
              <w:bidi w:val="0"/>
              <w:rPr>
                <w:rFonts w:hint="default" w:ascii="Times New Roman" w:hAnsi="Times New Roman" w:cs="Times New Roman"/>
                <w:color w:val="auto"/>
                <w:highlight w:val="none"/>
              </w:rPr>
            </w:pPr>
          </w:p>
        </w:tc>
        <w:tc>
          <w:tcPr>
            <w:tcW w:w="572" w:type="pct"/>
            <w:vMerge w:val="continue"/>
            <w:tcBorders>
              <w:tl2br w:val="nil"/>
              <w:tr2bl w:val="nil"/>
            </w:tcBorders>
            <w:vAlign w:val="center"/>
          </w:tcPr>
          <w:p w14:paraId="54CB7D96">
            <w:pPr>
              <w:pStyle w:val="46"/>
              <w:bidi w:val="0"/>
              <w:rPr>
                <w:rFonts w:hint="default" w:ascii="Times New Roman" w:hAnsi="Times New Roman" w:cs="Times New Roman"/>
                <w:color w:val="auto"/>
                <w:highlight w:val="none"/>
              </w:rPr>
            </w:pPr>
          </w:p>
        </w:tc>
        <w:tc>
          <w:tcPr>
            <w:tcW w:w="572" w:type="pct"/>
            <w:vMerge w:val="continue"/>
            <w:tcBorders>
              <w:tl2br w:val="nil"/>
              <w:tr2bl w:val="nil"/>
            </w:tcBorders>
            <w:vAlign w:val="center"/>
          </w:tcPr>
          <w:p w14:paraId="76A37872">
            <w:pPr>
              <w:pStyle w:val="46"/>
              <w:bidi w:val="0"/>
              <w:rPr>
                <w:rFonts w:hint="default" w:ascii="Times New Roman" w:hAnsi="Times New Roman" w:cs="Times New Roman"/>
                <w:color w:val="auto"/>
                <w:highlight w:val="none"/>
              </w:rPr>
            </w:pPr>
          </w:p>
        </w:tc>
        <w:tc>
          <w:tcPr>
            <w:tcW w:w="452" w:type="pct"/>
            <w:vMerge w:val="continue"/>
            <w:tcBorders>
              <w:tl2br w:val="nil"/>
              <w:tr2bl w:val="nil"/>
            </w:tcBorders>
            <w:vAlign w:val="center"/>
          </w:tcPr>
          <w:p w14:paraId="3593259C">
            <w:pPr>
              <w:pStyle w:val="46"/>
              <w:bidi w:val="0"/>
              <w:rPr>
                <w:rFonts w:hint="default" w:ascii="Times New Roman" w:hAnsi="Times New Roman" w:cs="Times New Roman"/>
                <w:color w:val="auto"/>
                <w:highlight w:val="none"/>
              </w:rPr>
            </w:pPr>
          </w:p>
        </w:tc>
        <w:tc>
          <w:tcPr>
            <w:tcW w:w="540" w:type="pct"/>
            <w:tcBorders>
              <w:tl2br w:val="nil"/>
              <w:tr2bl w:val="nil"/>
            </w:tcBorders>
            <w:vAlign w:val="center"/>
          </w:tcPr>
          <w:p w14:paraId="3668D1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557" w:type="pct"/>
            <w:tcBorders>
              <w:tl2br w:val="nil"/>
              <w:tr2bl w:val="nil"/>
            </w:tcBorders>
            <w:vAlign w:val="center"/>
          </w:tcPr>
          <w:p w14:paraId="6C4C1B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来源</w:t>
            </w:r>
          </w:p>
        </w:tc>
        <w:tc>
          <w:tcPr>
            <w:tcW w:w="475" w:type="pct"/>
            <w:tcBorders>
              <w:tl2br w:val="nil"/>
              <w:tr2bl w:val="nil"/>
            </w:tcBorders>
            <w:vAlign w:val="center"/>
          </w:tcPr>
          <w:p w14:paraId="058C4E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520" w:type="pct"/>
            <w:tcBorders>
              <w:tl2br w:val="nil"/>
              <w:tr2bl w:val="nil"/>
            </w:tcBorders>
            <w:vAlign w:val="center"/>
          </w:tcPr>
          <w:p w14:paraId="4FAB84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去向</w:t>
            </w:r>
          </w:p>
        </w:tc>
      </w:tr>
      <w:tr w14:paraId="0365C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397" w:type="pct"/>
            <w:vMerge w:val="restart"/>
            <w:tcBorders>
              <w:tl2br w:val="nil"/>
              <w:tr2bl w:val="nil"/>
            </w:tcBorders>
            <w:vAlign w:val="center"/>
          </w:tcPr>
          <w:p w14:paraId="4FB83768">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施工期</w:t>
            </w:r>
          </w:p>
        </w:tc>
        <w:tc>
          <w:tcPr>
            <w:tcW w:w="498" w:type="pct"/>
            <w:tcBorders>
              <w:tl2br w:val="nil"/>
              <w:tr2bl w:val="nil"/>
            </w:tcBorders>
            <w:vAlign w:val="center"/>
          </w:tcPr>
          <w:p w14:paraId="057C9A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排水沟</w:t>
            </w:r>
          </w:p>
        </w:tc>
        <w:tc>
          <w:tcPr>
            <w:tcW w:w="414" w:type="pct"/>
            <w:tcBorders>
              <w:tl2br w:val="nil"/>
              <w:tr2bl w:val="nil"/>
            </w:tcBorders>
            <w:vAlign w:val="center"/>
          </w:tcPr>
          <w:p w14:paraId="0141434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572" w:type="pct"/>
            <w:tcBorders>
              <w:tl2br w:val="nil"/>
              <w:tr2bl w:val="nil"/>
            </w:tcBorders>
            <w:vAlign w:val="center"/>
          </w:tcPr>
          <w:p w14:paraId="772BE4BA">
            <w:pPr>
              <w:pStyle w:val="46"/>
              <w:bidi w:val="0"/>
              <w:rPr>
                <w:rFonts w:hint="default" w:ascii="Times New Roman" w:hAnsi="Times New Roman" w:cs="Times New Roman"/>
                <w:color w:val="auto"/>
                <w:highlight w:val="none"/>
              </w:rPr>
            </w:pPr>
          </w:p>
        </w:tc>
        <w:tc>
          <w:tcPr>
            <w:tcW w:w="572" w:type="pct"/>
            <w:tcBorders>
              <w:tl2br w:val="nil"/>
              <w:tr2bl w:val="nil"/>
            </w:tcBorders>
            <w:vAlign w:val="center"/>
          </w:tcPr>
          <w:p w14:paraId="0C7DA7E9">
            <w:pPr>
              <w:pStyle w:val="46"/>
              <w:bidi w:val="0"/>
              <w:rPr>
                <w:rFonts w:hint="default" w:ascii="Times New Roman" w:hAnsi="Times New Roman" w:cs="Times New Roman"/>
                <w:color w:val="auto"/>
                <w:highlight w:val="none"/>
              </w:rPr>
            </w:pPr>
          </w:p>
        </w:tc>
        <w:tc>
          <w:tcPr>
            <w:tcW w:w="452" w:type="pct"/>
            <w:tcBorders>
              <w:tl2br w:val="nil"/>
              <w:tr2bl w:val="nil"/>
            </w:tcBorders>
            <w:vAlign w:val="center"/>
          </w:tcPr>
          <w:p w14:paraId="6F78FACC">
            <w:pPr>
              <w:pStyle w:val="46"/>
              <w:bidi w:val="0"/>
              <w:rPr>
                <w:rFonts w:hint="default" w:ascii="Times New Roman" w:hAnsi="Times New Roman" w:cs="Times New Roman"/>
                <w:color w:val="auto"/>
                <w:highlight w:val="none"/>
              </w:rPr>
            </w:pPr>
          </w:p>
        </w:tc>
        <w:tc>
          <w:tcPr>
            <w:tcW w:w="540" w:type="pct"/>
            <w:tcBorders>
              <w:tl2br w:val="nil"/>
              <w:tr2bl w:val="nil"/>
            </w:tcBorders>
            <w:vAlign w:val="center"/>
          </w:tcPr>
          <w:p w14:paraId="0DA159A2">
            <w:pPr>
              <w:pStyle w:val="46"/>
              <w:bidi w:val="0"/>
              <w:rPr>
                <w:rFonts w:hint="default" w:ascii="Times New Roman" w:hAnsi="Times New Roman" w:cs="Times New Roman"/>
                <w:color w:val="auto"/>
                <w:highlight w:val="none"/>
              </w:rPr>
            </w:pPr>
          </w:p>
        </w:tc>
        <w:tc>
          <w:tcPr>
            <w:tcW w:w="557" w:type="pct"/>
            <w:tcBorders>
              <w:tl2br w:val="nil"/>
              <w:tr2bl w:val="nil"/>
            </w:tcBorders>
            <w:vAlign w:val="center"/>
          </w:tcPr>
          <w:p w14:paraId="617324AC">
            <w:pPr>
              <w:pStyle w:val="46"/>
              <w:bidi w:val="0"/>
              <w:rPr>
                <w:rFonts w:hint="default" w:ascii="Times New Roman" w:hAnsi="Times New Roman" w:cs="Times New Roman"/>
                <w:color w:val="auto"/>
                <w:highlight w:val="none"/>
              </w:rPr>
            </w:pPr>
          </w:p>
        </w:tc>
        <w:tc>
          <w:tcPr>
            <w:tcW w:w="475" w:type="pct"/>
            <w:tcBorders>
              <w:tl2br w:val="nil"/>
              <w:tr2bl w:val="nil"/>
            </w:tcBorders>
            <w:vAlign w:val="center"/>
          </w:tcPr>
          <w:p w14:paraId="337006BC">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520" w:type="pct"/>
            <w:tcBorders>
              <w:tl2br w:val="nil"/>
              <w:tr2bl w:val="nil"/>
            </w:tcBorders>
            <w:vAlign w:val="center"/>
          </w:tcPr>
          <w:p w14:paraId="3A368CFF">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回填工程</w:t>
            </w:r>
          </w:p>
        </w:tc>
      </w:tr>
      <w:tr w14:paraId="693B47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97" w:type="pct"/>
            <w:vMerge w:val="continue"/>
            <w:tcBorders>
              <w:tl2br w:val="nil"/>
              <w:tr2bl w:val="nil"/>
            </w:tcBorders>
            <w:vAlign w:val="center"/>
          </w:tcPr>
          <w:p w14:paraId="332A84D7">
            <w:pPr>
              <w:pStyle w:val="46"/>
              <w:bidi w:val="0"/>
              <w:rPr>
                <w:rFonts w:hint="default" w:ascii="Times New Roman" w:hAnsi="Times New Roman" w:cs="Times New Roman"/>
                <w:color w:val="auto"/>
                <w:highlight w:val="none"/>
              </w:rPr>
            </w:pPr>
          </w:p>
        </w:tc>
        <w:tc>
          <w:tcPr>
            <w:tcW w:w="498" w:type="pct"/>
            <w:tcBorders>
              <w:tl2br w:val="nil"/>
              <w:tr2bl w:val="nil"/>
            </w:tcBorders>
            <w:vAlign w:val="center"/>
          </w:tcPr>
          <w:p w14:paraId="3C40D61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回填工程</w:t>
            </w:r>
          </w:p>
        </w:tc>
        <w:tc>
          <w:tcPr>
            <w:tcW w:w="414" w:type="pct"/>
            <w:tcBorders>
              <w:tl2br w:val="nil"/>
              <w:tr2bl w:val="nil"/>
            </w:tcBorders>
            <w:vAlign w:val="center"/>
          </w:tcPr>
          <w:p w14:paraId="47C4D7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72" w:type="pct"/>
            <w:tcBorders>
              <w:tl2br w:val="nil"/>
              <w:tr2bl w:val="nil"/>
            </w:tcBorders>
            <w:vAlign w:val="center"/>
          </w:tcPr>
          <w:p w14:paraId="3E7761ED">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814139.1（包括调入240）</w:t>
            </w:r>
          </w:p>
        </w:tc>
        <w:tc>
          <w:tcPr>
            <w:tcW w:w="572" w:type="pct"/>
            <w:tcBorders>
              <w:tl2br w:val="nil"/>
              <w:tr2bl w:val="nil"/>
            </w:tcBorders>
            <w:vAlign w:val="center"/>
          </w:tcPr>
          <w:p w14:paraId="00068156">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452" w:type="pct"/>
            <w:tcBorders>
              <w:tl2br w:val="nil"/>
              <w:tr2bl w:val="nil"/>
            </w:tcBorders>
            <w:vAlign w:val="center"/>
          </w:tcPr>
          <w:p w14:paraId="48BC07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40" w:type="pct"/>
            <w:tcBorders>
              <w:tl2br w:val="nil"/>
              <w:tr2bl w:val="nil"/>
            </w:tcBorders>
            <w:vAlign w:val="center"/>
          </w:tcPr>
          <w:p w14:paraId="0984AD6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557" w:type="pct"/>
            <w:tcBorders>
              <w:tl2br w:val="nil"/>
              <w:tr2bl w:val="nil"/>
            </w:tcBorders>
            <w:vAlign w:val="center"/>
          </w:tcPr>
          <w:p w14:paraId="4F3D7F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75" w:type="pct"/>
            <w:tcBorders>
              <w:tl2br w:val="nil"/>
              <w:tr2bl w:val="nil"/>
            </w:tcBorders>
            <w:vAlign w:val="center"/>
          </w:tcPr>
          <w:p w14:paraId="068FAC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20" w:type="pct"/>
            <w:tcBorders>
              <w:tl2br w:val="nil"/>
              <w:tr2bl w:val="nil"/>
            </w:tcBorders>
            <w:vAlign w:val="center"/>
          </w:tcPr>
          <w:p w14:paraId="465C5E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344F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97" w:type="pct"/>
            <w:vMerge w:val="continue"/>
            <w:tcBorders>
              <w:tl2br w:val="nil"/>
              <w:tr2bl w:val="nil"/>
            </w:tcBorders>
            <w:vAlign w:val="center"/>
          </w:tcPr>
          <w:p w14:paraId="72E2F237">
            <w:pPr>
              <w:pStyle w:val="46"/>
              <w:bidi w:val="0"/>
              <w:rPr>
                <w:rFonts w:hint="default" w:ascii="Times New Roman" w:hAnsi="Times New Roman" w:cs="Times New Roman"/>
                <w:color w:val="auto"/>
                <w:highlight w:val="none"/>
              </w:rPr>
            </w:pPr>
          </w:p>
        </w:tc>
        <w:tc>
          <w:tcPr>
            <w:tcW w:w="498" w:type="pct"/>
            <w:tcBorders>
              <w:tl2br w:val="nil"/>
              <w:tr2bl w:val="nil"/>
            </w:tcBorders>
            <w:shd w:val="clear" w:color="auto" w:fill="auto"/>
            <w:vAlign w:val="center"/>
          </w:tcPr>
          <w:p w14:paraId="40A9E43D">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覆土复垦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表土+壤土</w:t>
            </w:r>
            <w:r>
              <w:rPr>
                <w:rFonts w:hint="default" w:ascii="Times New Roman" w:hAnsi="Times New Roman" w:cs="Times New Roman"/>
                <w:color w:val="auto"/>
                <w:highlight w:val="none"/>
                <w:lang w:eastAsia="zh-CN"/>
              </w:rPr>
              <w:t>）</w:t>
            </w:r>
          </w:p>
        </w:tc>
        <w:tc>
          <w:tcPr>
            <w:tcW w:w="414" w:type="pct"/>
            <w:tcBorders>
              <w:tl2br w:val="nil"/>
              <w:tr2bl w:val="nil"/>
            </w:tcBorders>
            <w:shd w:val="clear" w:color="auto" w:fill="auto"/>
            <w:vAlign w:val="center"/>
          </w:tcPr>
          <w:p w14:paraId="67925338">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0</w:t>
            </w:r>
          </w:p>
        </w:tc>
        <w:tc>
          <w:tcPr>
            <w:tcW w:w="572" w:type="pct"/>
            <w:tcBorders>
              <w:tl2br w:val="nil"/>
              <w:tr2bl w:val="nil"/>
            </w:tcBorders>
            <w:shd w:val="clear" w:color="auto" w:fill="auto"/>
            <w:vAlign w:val="center"/>
          </w:tcPr>
          <w:p w14:paraId="335A6F0B">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38890.9</w:t>
            </w:r>
          </w:p>
        </w:tc>
        <w:tc>
          <w:tcPr>
            <w:tcW w:w="572" w:type="pct"/>
            <w:tcBorders>
              <w:tl2br w:val="nil"/>
              <w:tr2bl w:val="nil"/>
            </w:tcBorders>
            <w:shd w:val="clear" w:color="auto" w:fill="auto"/>
            <w:vAlign w:val="center"/>
          </w:tcPr>
          <w:p w14:paraId="40C44C70">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0</w:t>
            </w:r>
          </w:p>
        </w:tc>
        <w:tc>
          <w:tcPr>
            <w:tcW w:w="452" w:type="pct"/>
            <w:tcBorders>
              <w:tl2br w:val="nil"/>
              <w:tr2bl w:val="nil"/>
            </w:tcBorders>
            <w:shd w:val="clear" w:color="auto" w:fill="auto"/>
            <w:vAlign w:val="center"/>
          </w:tcPr>
          <w:p w14:paraId="7353E414">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0</w:t>
            </w:r>
          </w:p>
        </w:tc>
        <w:tc>
          <w:tcPr>
            <w:tcW w:w="540" w:type="pct"/>
            <w:tcBorders>
              <w:tl2br w:val="nil"/>
              <w:tr2bl w:val="nil"/>
            </w:tcBorders>
            <w:shd w:val="clear" w:color="auto" w:fill="auto"/>
            <w:vAlign w:val="center"/>
          </w:tcPr>
          <w:p w14:paraId="73645E8D">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0</w:t>
            </w:r>
          </w:p>
        </w:tc>
        <w:tc>
          <w:tcPr>
            <w:tcW w:w="557" w:type="pct"/>
            <w:tcBorders>
              <w:tl2br w:val="nil"/>
              <w:tr2bl w:val="nil"/>
            </w:tcBorders>
            <w:shd w:val="clear" w:color="auto" w:fill="auto"/>
            <w:vAlign w:val="center"/>
          </w:tcPr>
          <w:p w14:paraId="660F6A2C">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w:t>
            </w:r>
          </w:p>
        </w:tc>
        <w:tc>
          <w:tcPr>
            <w:tcW w:w="475" w:type="pct"/>
            <w:tcBorders>
              <w:tl2br w:val="nil"/>
              <w:tr2bl w:val="nil"/>
            </w:tcBorders>
            <w:shd w:val="clear" w:color="auto" w:fill="auto"/>
            <w:vAlign w:val="center"/>
          </w:tcPr>
          <w:p w14:paraId="436DC8A3">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0</w:t>
            </w:r>
          </w:p>
        </w:tc>
        <w:tc>
          <w:tcPr>
            <w:tcW w:w="520" w:type="pct"/>
            <w:tcBorders>
              <w:tl2br w:val="nil"/>
              <w:tr2bl w:val="nil"/>
            </w:tcBorders>
            <w:shd w:val="clear" w:color="auto" w:fill="auto"/>
            <w:vAlign w:val="center"/>
          </w:tcPr>
          <w:p w14:paraId="56852EE9">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w:t>
            </w:r>
          </w:p>
        </w:tc>
      </w:tr>
      <w:tr w14:paraId="0AE80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97" w:type="pct"/>
            <w:tcBorders>
              <w:tl2br w:val="nil"/>
              <w:tr2bl w:val="nil"/>
            </w:tcBorders>
            <w:vAlign w:val="center"/>
          </w:tcPr>
          <w:p w14:paraId="06AEB8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w:t>
            </w:r>
          </w:p>
        </w:tc>
        <w:tc>
          <w:tcPr>
            <w:tcW w:w="498" w:type="pct"/>
            <w:tcBorders>
              <w:tl2br w:val="nil"/>
              <w:tr2bl w:val="nil"/>
            </w:tcBorders>
            <w:vAlign w:val="center"/>
          </w:tcPr>
          <w:p w14:paraId="1D1390B4">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生态恢复</w:t>
            </w:r>
          </w:p>
        </w:tc>
        <w:tc>
          <w:tcPr>
            <w:tcW w:w="414" w:type="pct"/>
            <w:tcBorders>
              <w:tl2br w:val="nil"/>
              <w:tr2bl w:val="nil"/>
            </w:tcBorders>
            <w:vAlign w:val="center"/>
          </w:tcPr>
          <w:p w14:paraId="3BC360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72" w:type="pct"/>
            <w:tcBorders>
              <w:tl2br w:val="nil"/>
              <w:tr2bl w:val="nil"/>
            </w:tcBorders>
            <w:vAlign w:val="center"/>
          </w:tcPr>
          <w:p w14:paraId="02E47CEE">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0</w:t>
            </w:r>
          </w:p>
        </w:tc>
        <w:tc>
          <w:tcPr>
            <w:tcW w:w="572" w:type="pct"/>
            <w:tcBorders>
              <w:tl2br w:val="nil"/>
              <w:tr2bl w:val="nil"/>
            </w:tcBorders>
            <w:vAlign w:val="center"/>
          </w:tcPr>
          <w:p w14:paraId="0E19C8A9">
            <w:pPr>
              <w:pStyle w:val="46"/>
              <w:bidi w:val="0"/>
              <w:rPr>
                <w:rFonts w:hint="default" w:ascii="Times New Roman" w:hAnsi="Times New Roman" w:cs="Times New Roman"/>
                <w:color w:val="auto"/>
                <w:highlight w:val="none"/>
              </w:rPr>
            </w:pPr>
          </w:p>
        </w:tc>
        <w:tc>
          <w:tcPr>
            <w:tcW w:w="452" w:type="pct"/>
            <w:tcBorders>
              <w:tl2br w:val="nil"/>
              <w:tr2bl w:val="nil"/>
            </w:tcBorders>
            <w:vAlign w:val="center"/>
          </w:tcPr>
          <w:p w14:paraId="05C809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40" w:type="pct"/>
            <w:tcBorders>
              <w:tl2br w:val="nil"/>
              <w:tr2bl w:val="nil"/>
            </w:tcBorders>
            <w:vAlign w:val="center"/>
          </w:tcPr>
          <w:p w14:paraId="724231E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57" w:type="pct"/>
            <w:tcBorders>
              <w:tl2br w:val="nil"/>
              <w:tr2bl w:val="nil"/>
            </w:tcBorders>
            <w:vAlign w:val="center"/>
          </w:tcPr>
          <w:p w14:paraId="02DD3B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75" w:type="pct"/>
            <w:tcBorders>
              <w:tl2br w:val="nil"/>
              <w:tr2bl w:val="nil"/>
            </w:tcBorders>
            <w:vAlign w:val="center"/>
          </w:tcPr>
          <w:p w14:paraId="018BEF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20" w:type="pct"/>
            <w:tcBorders>
              <w:tl2br w:val="nil"/>
              <w:tr2bl w:val="nil"/>
            </w:tcBorders>
            <w:vAlign w:val="center"/>
          </w:tcPr>
          <w:p w14:paraId="02A861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4E06B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895" w:type="pct"/>
            <w:gridSpan w:val="2"/>
            <w:tcBorders>
              <w:tl2br w:val="nil"/>
              <w:tr2bl w:val="nil"/>
            </w:tcBorders>
            <w:vAlign w:val="center"/>
          </w:tcPr>
          <w:p w14:paraId="6FB90074">
            <w:pPr>
              <w:pStyle w:val="46"/>
              <w:bidi w:val="0"/>
              <w:rPr>
                <w:rFonts w:hint="default" w:ascii="Times New Roman" w:hAnsi="Times New Roman" w:cs="Times New Roman"/>
                <w:color w:val="auto"/>
                <w:highlight w:val="none"/>
              </w:rPr>
            </w:pPr>
            <w:bookmarkStart w:id="171" w:name="_Hlk148536501"/>
            <w:r>
              <w:rPr>
                <w:rFonts w:hint="default" w:ascii="Times New Roman" w:hAnsi="Times New Roman" w:cs="Times New Roman"/>
                <w:color w:val="auto"/>
                <w:highlight w:val="none"/>
              </w:rPr>
              <w:t>合计</w:t>
            </w:r>
          </w:p>
        </w:tc>
        <w:tc>
          <w:tcPr>
            <w:tcW w:w="414" w:type="pct"/>
            <w:tcBorders>
              <w:tl2br w:val="nil"/>
              <w:tr2bl w:val="nil"/>
            </w:tcBorders>
            <w:shd w:val="clear" w:color="auto" w:fill="auto"/>
            <w:vAlign w:val="center"/>
          </w:tcPr>
          <w:p w14:paraId="2C717C6B">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572" w:type="pct"/>
            <w:tcBorders>
              <w:tl2br w:val="nil"/>
              <w:tr2bl w:val="nil"/>
            </w:tcBorders>
            <w:shd w:val="clear" w:color="auto" w:fill="auto"/>
            <w:vAlign w:val="center"/>
          </w:tcPr>
          <w:p w14:paraId="3743F394">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853030</w:t>
            </w:r>
          </w:p>
        </w:tc>
        <w:tc>
          <w:tcPr>
            <w:tcW w:w="975" w:type="dxa"/>
            <w:tcBorders>
              <w:tl2br w:val="nil"/>
              <w:tr2bl w:val="nil"/>
            </w:tcBorders>
            <w:shd w:val="clear" w:color="auto" w:fill="auto"/>
            <w:vAlign w:val="center"/>
          </w:tcPr>
          <w:p w14:paraId="53EC4C8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71" w:type="dxa"/>
            <w:tcBorders>
              <w:tl2br w:val="nil"/>
              <w:tr2bl w:val="nil"/>
            </w:tcBorders>
            <w:shd w:val="clear" w:color="auto" w:fill="auto"/>
            <w:vAlign w:val="center"/>
          </w:tcPr>
          <w:p w14:paraId="6D58E18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921" w:type="dxa"/>
            <w:tcBorders>
              <w:tl2br w:val="nil"/>
              <w:tr2bl w:val="nil"/>
            </w:tcBorders>
            <w:shd w:val="clear" w:color="auto" w:fill="auto"/>
            <w:vAlign w:val="center"/>
          </w:tcPr>
          <w:p w14:paraId="5119ADEC">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951" w:type="dxa"/>
            <w:tcBorders>
              <w:tl2br w:val="nil"/>
              <w:tr2bl w:val="nil"/>
            </w:tcBorders>
            <w:shd w:val="clear" w:color="auto" w:fill="auto"/>
            <w:vAlign w:val="center"/>
          </w:tcPr>
          <w:p w14:paraId="6C03211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0" w:type="dxa"/>
            <w:tcBorders>
              <w:tl2br w:val="nil"/>
              <w:tr2bl w:val="nil"/>
            </w:tcBorders>
            <w:shd w:val="clear" w:color="auto" w:fill="auto"/>
            <w:vAlign w:val="center"/>
          </w:tcPr>
          <w:p w14:paraId="79029B23">
            <w:pPr>
              <w:pStyle w:val="46"/>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520" w:type="pct"/>
            <w:tcBorders>
              <w:tl2br w:val="nil"/>
              <w:tr2bl w:val="nil"/>
            </w:tcBorders>
            <w:shd w:val="clear" w:color="auto" w:fill="auto"/>
            <w:vAlign w:val="center"/>
          </w:tcPr>
          <w:p w14:paraId="3CE462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r>
      <w:bookmarkEnd w:id="171"/>
    </w:tbl>
    <w:p w14:paraId="61EAE22D">
      <w:pPr>
        <w:pStyle w:val="48"/>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由上表可知，本工程开挖土方量约为</w:t>
      </w:r>
      <w:r>
        <w:rPr>
          <w:rFonts w:hint="default" w:ascii="Times New Roman" w:hAnsi="Times New Roman" w:cs="Times New Roman"/>
          <w:color w:val="auto"/>
          <w:highlight w:val="none"/>
          <w:lang w:val="en-US" w:eastAsia="zh-CN"/>
        </w:rPr>
        <w:t>240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，填方量约为</w:t>
      </w:r>
      <w:r>
        <w:rPr>
          <w:rFonts w:hint="default" w:ascii="Times New Roman" w:hAnsi="Times New Roman" w:cs="Times New Roman"/>
          <w:color w:val="auto"/>
          <w:highlight w:val="none"/>
          <w:lang w:val="en-US" w:eastAsia="zh-CN"/>
        </w:rPr>
        <w:t>853030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，无弃方，所需覆土（包含表土）全部</w:t>
      </w:r>
      <w:r>
        <w:rPr>
          <w:rFonts w:hint="default" w:ascii="Times New Roman" w:hAnsi="Times New Roman" w:cs="Times New Roman"/>
          <w:color w:val="auto"/>
          <w:highlight w:val="none"/>
          <w:lang w:val="en-US" w:eastAsia="zh-CN"/>
        </w:rPr>
        <w:t>为碎石场剥离的表土</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无需外购。</w:t>
      </w:r>
    </w:p>
    <w:p w14:paraId="59A644B2">
      <w:pPr>
        <w:pStyle w:val="43"/>
        <w:rPr>
          <w:rFonts w:hint="default" w:ascii="Times New Roman" w:hAnsi="Times New Roman" w:cs="Times New Roman"/>
          <w:color w:val="auto"/>
          <w:highlight w:val="none"/>
        </w:rPr>
      </w:pPr>
      <w:bookmarkStart w:id="172" w:name="_Toc17118"/>
      <w:r>
        <w:rPr>
          <w:rFonts w:hint="default" w:ascii="Times New Roman" w:hAnsi="Times New Roman" w:cs="Times New Roman"/>
          <w:color w:val="auto"/>
          <w:highlight w:val="none"/>
        </w:rPr>
        <w:t>3.2工艺流程及产污环节</w:t>
      </w:r>
      <w:bookmarkEnd w:id="168"/>
      <w:bookmarkEnd w:id="169"/>
      <w:bookmarkEnd w:id="170"/>
      <w:bookmarkEnd w:id="172"/>
    </w:p>
    <w:p w14:paraId="5AA655C7">
      <w:pPr>
        <w:pStyle w:val="41"/>
        <w:rPr>
          <w:rFonts w:hint="default" w:ascii="Times New Roman" w:hAnsi="Times New Roman" w:eastAsia="黑体" w:cs="Times New Roman"/>
          <w:color w:val="auto"/>
          <w:szCs w:val="32"/>
          <w:highlight w:val="none"/>
          <w:lang w:val="en-US" w:eastAsia="zh-CN"/>
        </w:rPr>
      </w:pPr>
      <w:bookmarkStart w:id="173" w:name="_Toc4830"/>
      <w:r>
        <w:rPr>
          <w:rFonts w:hint="default" w:ascii="Times New Roman" w:hAnsi="Times New Roman" w:cs="Times New Roman"/>
          <w:color w:val="auto"/>
          <w:szCs w:val="32"/>
          <w:highlight w:val="none"/>
        </w:rPr>
        <w:t>3.2.1施工</w:t>
      </w:r>
      <w:bookmarkEnd w:id="173"/>
      <w:r>
        <w:rPr>
          <w:rFonts w:hint="default" w:ascii="Times New Roman" w:hAnsi="Times New Roman" w:cs="Times New Roman"/>
          <w:color w:val="auto"/>
          <w:szCs w:val="32"/>
          <w:highlight w:val="none"/>
          <w:lang w:val="en-US" w:eastAsia="zh-CN"/>
        </w:rPr>
        <w:t>工艺流程</w:t>
      </w:r>
    </w:p>
    <w:p w14:paraId="20182726">
      <w:pPr>
        <w:pStyle w:val="48"/>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本项目施工期主要进行</w:t>
      </w:r>
      <w:r>
        <w:rPr>
          <w:rFonts w:hint="default" w:ascii="Times New Roman" w:hAnsi="Times New Roman" w:cs="Times New Roman"/>
          <w:color w:val="auto"/>
          <w:highlight w:val="none"/>
          <w:lang w:val="en-US" w:eastAsia="zh-CN"/>
        </w:rPr>
        <w:t>基础层建设、</w:t>
      </w:r>
      <w:r>
        <w:rPr>
          <w:rFonts w:hint="default" w:ascii="Times New Roman" w:hAnsi="Times New Roman" w:cs="Times New Roman"/>
          <w:color w:val="auto"/>
          <w:highlight w:val="none"/>
        </w:rPr>
        <w:t>场地清理、</w:t>
      </w:r>
      <w:r>
        <w:rPr>
          <w:rFonts w:hint="default" w:ascii="Times New Roman" w:hAnsi="Times New Roman" w:cs="Times New Roman"/>
          <w:color w:val="auto"/>
          <w:highlight w:val="none"/>
          <w:lang w:val="en-US" w:eastAsia="zh-CN"/>
        </w:rPr>
        <w:t>回填</w:t>
      </w:r>
      <w:r>
        <w:rPr>
          <w:rFonts w:hint="default" w:ascii="Times New Roman" w:hAnsi="Times New Roman" w:cs="Times New Roman"/>
          <w:color w:val="auto"/>
          <w:highlight w:val="none"/>
        </w:rPr>
        <w:t>和排水沟的建设。现场无崩塌、滑坡、地面沉陷等地质环境问题，因此，不需要进行边坡削坡、加固工程和护坡工程。在实施回填修复前，先进行场地清理，清理矿坑内的所有杂草、草木根茎、杂物等，处理后的场底基础面达到平整、坚实、无裂缝、无松土，坡面稳定，过渡平缓。</w:t>
      </w:r>
      <w:r>
        <w:rPr>
          <w:rFonts w:hint="default" w:ascii="Times New Roman" w:hAnsi="Times New Roman" w:cs="Times New Roman"/>
          <w:color w:val="auto"/>
          <w:highlight w:val="none"/>
          <w:lang w:val="en-US" w:eastAsia="zh-CN"/>
        </w:rPr>
        <w:t>在</w:t>
      </w:r>
      <w:r>
        <w:rPr>
          <w:rFonts w:hint="default" w:ascii="Times New Roman" w:hAnsi="Times New Roman" w:cs="Times New Roman"/>
          <w:color w:val="auto"/>
          <w:highlight w:val="none"/>
        </w:rPr>
        <w:t>回填区库底设置1条梯形断面淋溶水导排沟，</w:t>
      </w:r>
      <w:r>
        <w:rPr>
          <w:rFonts w:hint="default" w:ascii="Times New Roman" w:hAnsi="Times New Roman" w:cs="Times New Roman"/>
          <w:color w:val="auto"/>
          <w:highlight w:val="none"/>
          <w:lang w:val="en-US" w:eastAsia="zh-CN"/>
        </w:rPr>
        <w:t>在回填区东侧配套建设1座暂存池（200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实际场地整平</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地形情况，在主导排沟纵线上敷设导排支沟，支沟以45度斜角插入导排主沟，</w:t>
      </w:r>
      <w:r>
        <w:rPr>
          <w:rFonts w:hint="default" w:ascii="Times New Roman" w:hAnsi="Times New Roman" w:cs="Times New Roman"/>
          <w:color w:val="auto"/>
          <w:highlight w:val="none"/>
          <w:lang w:val="en-US" w:eastAsia="zh-CN"/>
        </w:rPr>
        <w:t>用于施工期极端天气强降雨时期产生的淋溶水收集。淋溶水收集后用于降尘。</w:t>
      </w:r>
    </w:p>
    <w:p w14:paraId="66AE0E9B">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本项目建筑材料由当地购买，不设置预制场和拌合场。施工人员为附近的村庄居民，不另设施工生产生活区。运输车辆的清洗和维修依托</w:t>
      </w:r>
      <w:r>
        <w:rPr>
          <w:rFonts w:hint="default" w:ascii="Times New Roman" w:hAnsi="Times New Roman" w:cs="Times New Roman"/>
          <w:color w:val="auto"/>
          <w:highlight w:val="none"/>
          <w:lang w:val="en-US" w:eastAsia="zh-CN"/>
        </w:rPr>
        <w:t>碎石厂</w:t>
      </w:r>
      <w:r>
        <w:rPr>
          <w:rFonts w:hint="default" w:ascii="Times New Roman" w:hAnsi="Times New Roman" w:cs="Times New Roman"/>
          <w:color w:val="auto"/>
          <w:highlight w:val="none"/>
        </w:rPr>
        <w:t>设施，不设置洗车区。本项目无弃方产生，因此不设置弃土场。</w:t>
      </w:r>
    </w:p>
    <w:p w14:paraId="01C81E32">
      <w:pPr>
        <w:pStyle w:val="48"/>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项目场底</w:t>
      </w:r>
      <w:r>
        <w:rPr>
          <w:rFonts w:hint="default" w:ascii="Times New Roman" w:hAnsi="Times New Roman" w:cs="Times New Roman"/>
          <w:color w:val="auto"/>
          <w:highlight w:val="none"/>
          <w:lang w:val="en-US" w:eastAsia="zh-CN"/>
        </w:rPr>
        <w:t>由于渗透系数大于 1.0×10</w:t>
      </w:r>
      <w:r>
        <w:rPr>
          <w:rFonts w:hint="default" w:ascii="Times New Roman" w:hAnsi="Times New Roman" w:cs="Times New Roman"/>
          <w:color w:val="auto"/>
          <w:highlight w:val="none"/>
          <w:vertAlign w:val="superscript"/>
          <w:lang w:val="en-US" w:eastAsia="zh-CN"/>
        </w:rPr>
        <w:t xml:space="preserve">-5 </w:t>
      </w:r>
      <w:r>
        <w:rPr>
          <w:rFonts w:hint="default" w:ascii="Times New Roman" w:hAnsi="Times New Roman" w:cs="Times New Roman"/>
          <w:color w:val="auto"/>
          <w:highlight w:val="none"/>
          <w:lang w:val="en-US" w:eastAsia="zh-CN"/>
        </w:rPr>
        <w:t>cm/s，不满足《一般工业固体废物贮存和填埋污染控制标准》，</w:t>
      </w:r>
      <w:r>
        <w:rPr>
          <w:rFonts w:hint="default" w:ascii="Times New Roman" w:hAnsi="Times New Roman" w:cs="Times New Roman"/>
          <w:color w:val="auto"/>
          <w:highlight w:val="none"/>
        </w:rPr>
        <w:t>清理后场底铺设进行30cm厚的改性压实粘土压实作为基础层，并定期由勘测单位对其检测，其防渗性能满足渗透系数为1.0×10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cm/s且厚度为0.75m的天然基础层后方可回填。粘土压实量为11536m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黏土为外购。</w:t>
      </w:r>
    </w:p>
    <w:p w14:paraId="4D061A1C">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边坡防渗结构自下而上分别为基础层、无纺长丝土工布（600g/m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）、1.5mm厚HDPE防渗膜。具体为：采用粘土填筑压实，防渗材料采用600g/m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长纤无纺土工布+1.5mm厚HDPE防渗膜作为人工合成衬层，保证防渗膜渗透系数满足《火力发电厂干式贮灰场设计规程》（DL/T5488-2014）中的要求。</w:t>
      </w:r>
    </w:p>
    <w:p w14:paraId="4820A6F0">
      <w:pPr>
        <w:pStyle w:val="27"/>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903980" cy="3470275"/>
            <wp:effectExtent l="0" t="0" r="1270" b="1587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3903980" cy="3470275"/>
                    </a:xfrm>
                    <a:prstGeom prst="rect">
                      <a:avLst/>
                    </a:prstGeom>
                    <a:noFill/>
                    <a:ln>
                      <a:noFill/>
                    </a:ln>
                  </pic:spPr>
                </pic:pic>
              </a:graphicData>
            </a:graphic>
          </wp:inline>
        </w:drawing>
      </w:r>
    </w:p>
    <w:p w14:paraId="27B112E4">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图3-2-1施</w:t>
      </w:r>
      <w:r>
        <w:rPr>
          <w:rFonts w:hint="default" w:ascii="Times New Roman" w:hAnsi="Times New Roman" w:cs="Times New Roman"/>
          <w:color w:val="auto"/>
          <w:highlight w:val="none"/>
          <w:lang w:val="en-US" w:eastAsia="zh-CN"/>
        </w:rPr>
        <w:t>工艺</w:t>
      </w:r>
      <w:r>
        <w:rPr>
          <w:rFonts w:hint="default" w:ascii="Times New Roman" w:hAnsi="Times New Roman" w:cs="Times New Roman"/>
          <w:color w:val="auto"/>
          <w:highlight w:val="none"/>
        </w:rPr>
        <w:t>流程图</w:t>
      </w:r>
    </w:p>
    <w:p w14:paraId="4F2E762A">
      <w:pPr>
        <w:pStyle w:val="41"/>
        <w:rPr>
          <w:rFonts w:hint="default" w:ascii="Times New Roman" w:hAnsi="Times New Roman" w:cs="Times New Roman"/>
          <w:color w:val="auto"/>
          <w:highlight w:val="none"/>
        </w:rPr>
      </w:pPr>
      <w:bookmarkStart w:id="174" w:name="_Toc119316797"/>
      <w:bookmarkStart w:id="175" w:name="_Toc22833"/>
      <w:r>
        <w:rPr>
          <w:rFonts w:hint="default" w:ascii="Times New Roman" w:hAnsi="Times New Roman" w:cs="Times New Roman"/>
          <w:color w:val="auto"/>
          <w:highlight w:val="none"/>
        </w:rPr>
        <w:t>3.2.2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回填作业工艺</w:t>
      </w:r>
      <w:bookmarkEnd w:id="174"/>
      <w:bookmarkEnd w:id="175"/>
    </w:p>
    <w:p w14:paraId="2B067E9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本项目粉煤灰由建设单位指派专门的运输单位负责运输至回填区堆填作业面。环评要求粉煤灰收运</w:t>
      </w:r>
      <w:r>
        <w:rPr>
          <w:rFonts w:hint="default" w:ascii="Times New Roman" w:hAnsi="Times New Roman" w:cs="Times New Roman"/>
          <w:color w:val="auto"/>
          <w:highlight w:val="none"/>
          <w:lang w:eastAsia="zh-CN"/>
        </w:rPr>
        <w:t>时</w:t>
      </w:r>
      <w:r>
        <w:rPr>
          <w:rFonts w:hint="default" w:ascii="Times New Roman" w:hAnsi="Times New Roman" w:cs="Times New Roman"/>
          <w:color w:val="auto"/>
          <w:highlight w:val="none"/>
        </w:rPr>
        <w:t>由密闭运输车完成。根据固废减量化、资源化、无害化原则，本项目一般工业固体废物处理采用场内分区回填的方式进行作业。</w:t>
      </w:r>
    </w:p>
    <w:p w14:paraId="5978C30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的回填作业工艺流程为：卸料、推铺、洒水、压实、覆盖。粉煤灰运输车将废物运输进入回填区，在管理人员的指挥下，进行卸料，推土机将废物摊铺推平后，由洒水车进行洒水降尘作业，之后压实机进行压实处理，可防止废物水分过快挥发并起到降尘作用。</w:t>
      </w:r>
    </w:p>
    <w:p w14:paraId="755F260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（1）粉煤灰等的运输、装卸</w:t>
      </w:r>
    </w:p>
    <w:p w14:paraId="13AFEB1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粉煤灰出厂前会进行调湿，调湿至含水率20%左右，由运输车封闭运至本项目回填区。运输车辆进入场地后按指定地点卸灰，卸灰时洒水降尘，控制卸灰速度；运来的粉煤灰及时推平，碾压平整，保证不留存。</w:t>
      </w:r>
    </w:p>
    <w:p w14:paraId="42366FB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（2）碾压</w:t>
      </w:r>
    </w:p>
    <w:p w14:paraId="0862EA2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采用汽车将</w:t>
      </w:r>
      <w:r>
        <w:rPr>
          <w:rFonts w:hint="default" w:ascii="Times New Roman" w:hAnsi="Times New Roman" w:cs="Times New Roman"/>
          <w:color w:val="auto"/>
          <w:highlight w:val="none"/>
          <w:lang w:eastAsia="zh-CN"/>
        </w:rPr>
        <w:t>掺和</w:t>
      </w:r>
      <w:r>
        <w:rPr>
          <w:rFonts w:hint="default" w:ascii="Times New Roman" w:hAnsi="Times New Roman" w:cs="Times New Roman"/>
          <w:color w:val="auto"/>
          <w:highlight w:val="none"/>
        </w:rPr>
        <w:t>一定水分的固废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调湿灰含水率为20%左右</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从厂区直接运入治理区，汽车将粉煤灰由入场口进入，通过场内临时道路运至作业区，汽车将调湿的粉煤灰缓慢卸至作业区，采用推土机推摊碾平，堆而贮之。整个填筑应根据碾压设备，事先做现场碾压试验，确定铺层厚度，碾压遍数。根据试验结论，方可大面积施工。压实机采用进退错距法和振静结合碾压，碾压质量按设计要求严格控制。</w:t>
      </w:r>
    </w:p>
    <w:p w14:paraId="099E665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（3）摊铺</w:t>
      </w:r>
    </w:p>
    <w:p w14:paraId="0ADE6564">
      <w:pPr>
        <w:pStyle w:val="27"/>
        <w:bidi w:val="0"/>
        <w:rPr>
          <w:rFonts w:hint="default" w:ascii="Times New Roman" w:hAnsi="Times New Roman" w:cs="Times New Roman"/>
          <w:color w:val="auto"/>
          <w:highlight w:val="none"/>
        </w:rPr>
      </w:pPr>
      <w:bookmarkStart w:id="176" w:name="_Hlk40135273"/>
      <w:r>
        <w:rPr>
          <w:rFonts w:hint="default" w:ascii="Times New Roman" w:hAnsi="Times New Roman" w:cs="Times New Roman"/>
          <w:color w:val="auto"/>
          <w:highlight w:val="none"/>
        </w:rPr>
        <w:t>可依据原有地形坡度对废弃采坑进行分区块回填</w:t>
      </w:r>
      <w:bookmarkEnd w:id="176"/>
      <w:r>
        <w:rPr>
          <w:rFonts w:hint="default" w:ascii="Times New Roman" w:hAnsi="Times New Roman" w:cs="Times New Roman"/>
          <w:color w:val="auto"/>
          <w:highlight w:val="none"/>
        </w:rPr>
        <w:t>，由南向北将回填作业区划分区域，然后按顺序逐区进行单元回填作业，三部分之间不做分区坝。标准单元由每天回填的粉煤灰量决定，为减少摊铺过程中产生的扬尘，并减少雨水渗透量，并方便施工机械及施工作业方便，单元大小一般以一日一层作业量计算，回填区域划分为近似矩形网格，拟定作业单元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CN"/>
        </w:rPr>
        <w:t>回填第二单元时，一边紧靠已填高的第一单元外。</w:t>
      </w:r>
    </w:p>
    <w:p w14:paraId="1D099A84">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操作顺序的总体规划为按单元按区依次每层推进，层层压实，每层摊铺厚度不大于1m，一个单元回填完成后，进入下个单元的回填，粉煤灰压实的主要作用在于增加回填区库容，延长使用年限，减少地表水向下渗入，有利于运输车辆进入作业面作业。由于粉煤灰已加湿至含水率20%，且</w:t>
      </w:r>
      <w:r>
        <w:rPr>
          <w:rFonts w:hint="default" w:ascii="Times New Roman" w:hAnsi="Times New Roman" w:cs="Times New Roman"/>
          <w:color w:val="auto"/>
          <w:highlight w:val="none"/>
          <w:lang w:val="zh-CN"/>
        </w:rPr>
        <w:t>压实系数不小于0.9，在此条件下可保证回填区地质的稳定性，因此，在回填至设计标高</w:t>
      </w:r>
      <w:r>
        <w:rPr>
          <w:rFonts w:hint="default" w:ascii="Times New Roman" w:hAnsi="Times New Roman" w:cs="Times New Roman"/>
          <w:color w:val="auto"/>
          <w:highlight w:val="none"/>
          <w:lang w:val="en-US" w:eastAsia="zh-CN"/>
        </w:rPr>
        <w:t>327~346</w:t>
      </w: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lang w:val="zh-CN"/>
        </w:rPr>
        <w:t>后统一进行覆土，可以与周边地面持平。</w:t>
      </w:r>
    </w:p>
    <w:p w14:paraId="2262101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物在摊铺碾压过程中，根据现场气候条件进行洒水碾压。铺筑的作业面坡度1:5~1:7，以方便运灰车辆在灰面上的行驶。进入粉煤灰场的运灰车辆应沿临时作业道路行驶，且车辆转弯时应尽量加大转弯半径。临时作业道路采用推铺粉煤灰的方式在场底建造，场底临时作业道路厚度不小于2m，表面铺设粉煤灰、碎石等材料。</w:t>
      </w:r>
    </w:p>
    <w:p w14:paraId="5A12AB0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从卸车平台倾卸后由推土机向下推，其推距控制在20m以内，并将粉煤灰层分层摊铺，铺匀后用压实机进行4～6次压实，第一遍为平碾，第二、三遍为振动碾，第四遍为平碾，以使作业完成后的灰表面平整光滑，压实系数不小于0.9（压实系数是指现场单位体积压实后重量与实验室作出的单位体积最大击实重量的比值，土方回填的压实系数具体范围值0.9到0.98，普通房建工程基础一般是0.95，房心和室外一般是0.93，本项目属于一般回填复垦项目，压实系数不低于0.9）。对于边角部位及其它不易碾压的部位，应使用手扶夯实机进行碾压，其碾压控制参数需经现场试验确定，碾压后的灰面应注意保护，避免扰动。</w:t>
      </w:r>
    </w:p>
    <w:p w14:paraId="10A78AF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每天在回填作业结束时在作业面洒水降尘。回填作业过程分层压实图见图3-2-2：粉煤灰摊铺作业方法示意图（下推法）见图3-2-3。</w:t>
      </w:r>
    </w:p>
    <w:p w14:paraId="255A6EFA">
      <w:pPr>
        <w:pStyle w:val="48"/>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448175" cy="952500"/>
            <wp:effectExtent l="0" t="0" r="9525" b="0"/>
            <wp:docPr id="462" name="图片 462" descr="QQ截图2018020115422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QQ截图20180201154225副本"/>
                    <pic:cNvPicPr>
                      <a:picLocks noChangeAspect="1" noChangeArrowheads="1"/>
                    </pic:cNvPicPr>
                  </pic:nvPicPr>
                  <pic:blipFill>
                    <a:blip r:embed="rId27">
                      <a:extLst>
                        <a:ext uri="{28A0092B-C50C-407E-A947-70E740481C1C}">
                          <a14:useLocalDpi xmlns:a14="http://schemas.microsoft.com/office/drawing/2010/main" val="0"/>
                        </a:ext>
                      </a:extLst>
                    </a:blip>
                    <a:srcRect b="28571"/>
                    <a:stretch>
                      <a:fillRect/>
                    </a:stretch>
                  </pic:blipFill>
                  <pic:spPr>
                    <a:xfrm>
                      <a:off x="0" y="0"/>
                      <a:ext cx="4448175" cy="952500"/>
                    </a:xfrm>
                    <a:prstGeom prst="rect">
                      <a:avLst/>
                    </a:prstGeom>
                    <a:noFill/>
                    <a:ln>
                      <a:noFill/>
                    </a:ln>
                  </pic:spPr>
                </pic:pic>
              </a:graphicData>
            </a:graphic>
          </wp:inline>
        </w:drawing>
      </w:r>
    </w:p>
    <w:p w14:paraId="6068F15A">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图3-2-2回填作业过程分层压实图</w:t>
      </w:r>
    </w:p>
    <w:p w14:paraId="01B7BF87">
      <w:pPr>
        <w:pStyle w:val="48"/>
        <w:spacing w:line="240" w:lineRule="auto"/>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drawing>
          <wp:inline distT="0" distB="0" distL="0" distR="0">
            <wp:extent cx="4600575" cy="1438275"/>
            <wp:effectExtent l="0" t="0" r="9525" b="9525"/>
            <wp:docPr id="461" name="图片 461" descr="QQ截图2018020115423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QQ截图20180201154235副本"/>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600575" cy="1438275"/>
                    </a:xfrm>
                    <a:prstGeom prst="rect">
                      <a:avLst/>
                    </a:prstGeom>
                    <a:noFill/>
                    <a:ln>
                      <a:noFill/>
                    </a:ln>
                  </pic:spPr>
                </pic:pic>
              </a:graphicData>
            </a:graphic>
          </wp:inline>
        </w:drawing>
      </w:r>
    </w:p>
    <w:p w14:paraId="02A3F752">
      <w:pPr>
        <w:pStyle w:val="29"/>
        <w:bidi w:val="0"/>
        <w:rPr>
          <w:rFonts w:hint="default" w:ascii="Times New Roman" w:hAnsi="Times New Roman" w:eastAsia="宋体" w:cs="Times New Roman"/>
          <w:color w:val="auto"/>
          <w:highlight w:val="none"/>
        </w:rPr>
      </w:pPr>
      <w:bookmarkStart w:id="177" w:name="_Hlk40135512"/>
      <w:r>
        <w:rPr>
          <w:rFonts w:hint="default" w:ascii="Times New Roman" w:hAnsi="Times New Roman" w:eastAsia="宋体" w:cs="Times New Roman"/>
          <w:color w:val="auto"/>
          <w:highlight w:val="none"/>
        </w:rPr>
        <w:t>图3-2-3粉煤灰摊铺作业方法示意图（下推法）</w:t>
      </w:r>
      <w:bookmarkEnd w:id="177"/>
    </w:p>
    <w:p w14:paraId="01B62341">
      <w:pPr>
        <w:pStyle w:val="41"/>
        <w:rPr>
          <w:rFonts w:hint="default" w:ascii="Times New Roman" w:hAnsi="Times New Roman" w:cs="Times New Roman"/>
          <w:color w:val="auto"/>
          <w:highlight w:val="none"/>
        </w:rPr>
      </w:pPr>
      <w:bookmarkStart w:id="178" w:name="_Toc6150"/>
      <w:r>
        <w:rPr>
          <w:rFonts w:hint="default" w:ascii="Times New Roman" w:hAnsi="Times New Roman" w:cs="Times New Roman"/>
          <w:color w:val="auto"/>
          <w:highlight w:val="none"/>
        </w:rPr>
        <w:t>3.2.3回填结束后土地复垦方案</w:t>
      </w:r>
      <w:bookmarkEnd w:id="178"/>
    </w:p>
    <w:p w14:paraId="5128A63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回填结束后，根据《一般工业固体废物贮存和填埋污染控制标准》（GB 18599-2020）及《土地复垦质量控制标准》（TD/T1036-2013）规定的相关土地复垦质量控制要求，在回填压实完成的基础上表层覆土，厚度80cm（包含表土层厚30cm），覆土后利用自然降水、机械压实等方法让土壤沉降，使土壤密实度达到80%左右，最终恢复成</w:t>
      </w:r>
      <w:r>
        <w:rPr>
          <w:rFonts w:hint="default" w:ascii="Times New Roman" w:hAnsi="Times New Roman" w:cs="Times New Roman"/>
          <w:color w:val="auto"/>
          <w:highlight w:val="none"/>
          <w:lang w:val="en-US" w:eastAsia="zh-CN"/>
        </w:rPr>
        <w:t>林</w:t>
      </w:r>
      <w:r>
        <w:rPr>
          <w:rFonts w:hint="default" w:ascii="Times New Roman" w:hAnsi="Times New Roman" w:cs="Times New Roman"/>
          <w:color w:val="auto"/>
          <w:highlight w:val="none"/>
        </w:rPr>
        <w:t>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highlight w:val="none"/>
        </w:rPr>
        <w:t>。本工程开挖土方量约为</w:t>
      </w:r>
      <w:r>
        <w:rPr>
          <w:rFonts w:hint="default" w:ascii="Times New Roman" w:hAnsi="Times New Roman" w:cs="Times New Roman"/>
          <w:color w:val="auto"/>
          <w:highlight w:val="none"/>
          <w:lang w:val="en-US" w:eastAsia="zh-CN"/>
        </w:rPr>
        <w:t>240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，填方量约为</w:t>
      </w:r>
      <w:r>
        <w:rPr>
          <w:rFonts w:hint="default" w:ascii="Times New Roman" w:hAnsi="Times New Roman" w:cs="Times New Roman"/>
          <w:color w:val="auto"/>
          <w:highlight w:val="none"/>
          <w:lang w:val="en-US" w:eastAsia="zh-CN"/>
        </w:rPr>
        <w:t>853030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，所需包含表土全部</w:t>
      </w:r>
      <w:r>
        <w:rPr>
          <w:rFonts w:hint="default" w:ascii="Times New Roman" w:hAnsi="Times New Roman" w:cs="Times New Roman"/>
          <w:color w:val="auto"/>
          <w:highlight w:val="none"/>
          <w:lang w:val="en-US" w:eastAsia="zh-CN"/>
        </w:rPr>
        <w:t>为碎石场剥离的表土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壤土部分外购。</w:t>
      </w:r>
    </w:p>
    <w:p w14:paraId="70934700">
      <w:pPr>
        <w:pStyle w:val="43"/>
        <w:bidi w:val="0"/>
        <w:rPr>
          <w:rFonts w:hint="default" w:ascii="Times New Roman" w:hAnsi="Times New Roman" w:cs="Times New Roman"/>
          <w:color w:val="auto"/>
          <w:highlight w:val="none"/>
        </w:rPr>
      </w:pPr>
      <w:bookmarkStart w:id="179" w:name="_Toc26766"/>
      <w:bookmarkStart w:id="180" w:name="_Toc32651"/>
      <w:bookmarkStart w:id="181" w:name="_Toc152926817"/>
      <w:bookmarkStart w:id="182" w:name="_Toc140149422"/>
      <w:r>
        <w:rPr>
          <w:rFonts w:hint="default" w:ascii="Times New Roman" w:hAnsi="Times New Roman" w:cs="Times New Roman"/>
          <w:color w:val="auto"/>
          <w:highlight w:val="none"/>
        </w:rPr>
        <w:t>3.3工程污染源强分析</w:t>
      </w:r>
      <w:bookmarkEnd w:id="179"/>
      <w:bookmarkEnd w:id="180"/>
      <w:bookmarkEnd w:id="181"/>
      <w:bookmarkEnd w:id="182"/>
    </w:p>
    <w:p w14:paraId="3ADAF72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1、施工期</w:t>
      </w:r>
    </w:p>
    <w:p w14:paraId="6776C157">
      <w:pPr>
        <w:pStyle w:val="2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主要为</w:t>
      </w:r>
      <w:r>
        <w:rPr>
          <w:rFonts w:hint="default" w:ascii="Times New Roman" w:hAnsi="Times New Roman" w:cs="Times New Roman"/>
          <w:color w:val="auto"/>
          <w:highlight w:val="none"/>
        </w:rPr>
        <w:t>施工期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生态恢复期两</w:t>
      </w:r>
      <w:r>
        <w:rPr>
          <w:rFonts w:hint="default" w:ascii="Times New Roman" w:hAnsi="Times New Roman" w:cs="Times New Roman"/>
          <w:color w:val="auto"/>
          <w:highlight w:val="none"/>
        </w:rPr>
        <w:t>个时段。施工期主要工程内容为</w:t>
      </w:r>
      <w:r>
        <w:rPr>
          <w:rFonts w:hint="default" w:ascii="Times New Roman" w:hAnsi="Times New Roman" w:cs="Times New Roman"/>
          <w:color w:val="auto"/>
          <w:sz w:val="24"/>
          <w:szCs w:val="22"/>
          <w:highlight w:val="none"/>
        </w:rPr>
        <w:t>进行场地清理、排水沟</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粉煤灰填埋等工程</w:t>
      </w:r>
      <w:r>
        <w:rPr>
          <w:rFonts w:hint="default" w:ascii="Times New Roman" w:hAnsi="Times New Roman" w:cs="Times New Roman"/>
          <w:color w:val="auto"/>
          <w:highlight w:val="none"/>
          <w:lang w:eastAsia="zh-CN"/>
        </w:rPr>
        <w:t>。</w:t>
      </w:r>
    </w:p>
    <w:p w14:paraId="69E50F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施工过程中将产生扬尘（均为无组织排放）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机械和车辆尾气、施工期噪声源主要有运输车辆、作业区的机械引起。</w:t>
      </w:r>
    </w:p>
    <w:p w14:paraId="0FD947E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本项目施工期产生固废为建筑垃圾、场地清理废物。</w:t>
      </w:r>
    </w:p>
    <w:p w14:paraId="5785A27A">
      <w:pPr>
        <w:pStyle w:val="27"/>
        <w:bidi w:val="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回填期间由于回填过程为露天作业，如遇雨季，</w:t>
      </w:r>
      <w:r>
        <w:rPr>
          <w:rFonts w:hint="default" w:ascii="Times New Roman" w:hAnsi="Times New Roman" w:cs="Times New Roman"/>
          <w:color w:val="auto"/>
          <w:highlight w:val="none"/>
          <w:lang w:val="en-US" w:eastAsia="zh-CN"/>
        </w:rPr>
        <w:t>粉煤灰</w:t>
      </w:r>
      <w:r>
        <w:rPr>
          <w:rFonts w:hint="default" w:ascii="Times New Roman" w:hAnsi="Times New Roman" w:eastAsia="宋体" w:cs="Times New Roman"/>
          <w:color w:val="auto"/>
          <w:highlight w:val="none"/>
          <w:lang w:val="en-US" w:eastAsia="zh-CN"/>
        </w:rPr>
        <w:t>经降雨淋溶后，其中的可溶性元素可随雨水迁移渗出后成为淋溶水，淋溶水进入土壤和地下水后，会对土壤、以及地下水产生一定的影响。</w:t>
      </w:r>
    </w:p>
    <w:p w14:paraId="4268E76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随着</w:t>
      </w: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rPr>
        <w:t>期的结束，</w:t>
      </w:r>
      <w:r>
        <w:rPr>
          <w:rFonts w:hint="default" w:ascii="Times New Roman" w:hAnsi="Times New Roman" w:cs="Times New Roman"/>
          <w:color w:val="auto"/>
          <w:highlight w:val="none"/>
          <w:lang w:val="en-US" w:eastAsia="zh-CN"/>
        </w:rPr>
        <w:t>以上这些</w:t>
      </w:r>
      <w:r>
        <w:rPr>
          <w:rFonts w:hint="default" w:ascii="Times New Roman" w:hAnsi="Times New Roman" w:cs="Times New Roman"/>
          <w:color w:val="auto"/>
          <w:highlight w:val="none"/>
        </w:rPr>
        <w:t>污染将随之消失。</w:t>
      </w:r>
    </w:p>
    <w:p w14:paraId="288A8E29">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2、生态恢复期</w:t>
      </w:r>
      <w:r>
        <w:rPr>
          <w:rFonts w:hint="default" w:ascii="Times New Roman" w:hAnsi="Times New Roman" w:cs="Times New Roman"/>
          <w:color w:val="auto"/>
          <w:highlight w:val="none"/>
        </w:rPr>
        <w:t>主要工程内容为</w:t>
      </w:r>
      <w:r>
        <w:rPr>
          <w:rFonts w:hint="default" w:ascii="Times New Roman" w:hAnsi="Times New Roman" w:cs="Times New Roman"/>
          <w:color w:val="auto"/>
          <w:highlight w:val="none"/>
          <w:lang w:val="en-US" w:eastAsia="zh-CN"/>
        </w:rPr>
        <w:t>植被养护，无环境污染</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对环境影响较小</w:t>
      </w:r>
    </w:p>
    <w:p w14:paraId="5D17ACDB">
      <w:pPr>
        <w:pStyle w:val="41"/>
        <w:bidi w:val="0"/>
        <w:rPr>
          <w:rFonts w:hint="default" w:ascii="Times New Roman" w:hAnsi="Times New Roman" w:cs="Times New Roman"/>
          <w:color w:val="auto"/>
          <w:highlight w:val="none"/>
        </w:rPr>
      </w:pPr>
      <w:bookmarkStart w:id="183" w:name="_Toc18579"/>
      <w:r>
        <w:rPr>
          <w:rFonts w:hint="default" w:ascii="Times New Roman" w:hAnsi="Times New Roman" w:cs="Times New Roman"/>
          <w:color w:val="auto"/>
          <w:highlight w:val="none"/>
        </w:rPr>
        <w:t>3.3.1施工期污染源及源强分析</w:t>
      </w:r>
      <w:bookmarkEnd w:id="183"/>
    </w:p>
    <w:p w14:paraId="24D48485">
      <w:pPr>
        <w:pStyle w:val="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3.3.1.1</w:t>
      </w:r>
      <w:r>
        <w:rPr>
          <w:rFonts w:hint="default" w:ascii="Times New Roman" w:hAnsi="Times New Roman" w:cs="Times New Roman"/>
          <w:color w:val="auto"/>
          <w:highlight w:val="none"/>
          <w:lang w:val="zh-CN"/>
        </w:rPr>
        <w:t>废气</w:t>
      </w:r>
    </w:p>
    <w:p w14:paraId="39EA859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废气污染源主要为施工机械和车辆尾气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施工作业扬尘</w:t>
      </w:r>
      <w:r>
        <w:rPr>
          <w:rFonts w:hint="default" w:ascii="Times New Roman" w:hAnsi="Times New Roman" w:cs="Times New Roman"/>
          <w:color w:val="auto"/>
          <w:highlight w:val="none"/>
        </w:rPr>
        <w:t>。</w:t>
      </w:r>
    </w:p>
    <w:p w14:paraId="766FD06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）作业机械尾气</w:t>
      </w:r>
    </w:p>
    <w:p w14:paraId="3A9A4F2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作业时的废气主要由推土机、压实机、铲车、自卸车和洒水车运行时产生。参照《环境保护实用数据手册》“汽车发动机废气中有害物质量”，每燃烧1t燃料机动车废气中主要污染物排放系数如下表所示。</w:t>
      </w:r>
    </w:p>
    <w:p w14:paraId="4CDBD8FF">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机动车消耗单位燃料大气污染物排放系数（kg/t）</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7"/>
        <w:gridCol w:w="1972"/>
        <w:gridCol w:w="1974"/>
        <w:gridCol w:w="1969"/>
      </w:tblGrid>
      <w:tr w14:paraId="42D57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30" w:type="pct"/>
            <w:tcBorders>
              <w:tl2br w:val="nil"/>
              <w:tr2bl w:val="nil"/>
            </w:tcBorders>
            <w:vAlign w:val="center"/>
          </w:tcPr>
          <w:p w14:paraId="2920873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zh-CN"/>
              </w:rPr>
              <w:t>污染物</w:t>
            </w:r>
          </w:p>
          <w:p w14:paraId="5FEFA43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车种（燃料）</w:t>
            </w:r>
          </w:p>
        </w:tc>
        <w:tc>
          <w:tcPr>
            <w:tcW w:w="1157" w:type="pct"/>
            <w:tcBorders>
              <w:tl2br w:val="nil"/>
              <w:tr2bl w:val="nil"/>
            </w:tcBorders>
            <w:vAlign w:val="center"/>
          </w:tcPr>
          <w:p w14:paraId="077ABE8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1158" w:type="pct"/>
            <w:tcBorders>
              <w:tl2br w:val="nil"/>
              <w:tr2bl w:val="nil"/>
            </w:tcBorders>
            <w:vAlign w:val="center"/>
          </w:tcPr>
          <w:p w14:paraId="0AEBE28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NOx</w:t>
            </w:r>
          </w:p>
        </w:tc>
        <w:tc>
          <w:tcPr>
            <w:tcW w:w="1156" w:type="pct"/>
            <w:tcBorders>
              <w:tl2br w:val="nil"/>
              <w:tr2bl w:val="nil"/>
            </w:tcBorders>
            <w:vAlign w:val="center"/>
          </w:tcPr>
          <w:p w14:paraId="165E830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w:t>
            </w:r>
          </w:p>
        </w:tc>
      </w:tr>
      <w:tr w14:paraId="408E2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530" w:type="pct"/>
            <w:tcBorders>
              <w:tl2br w:val="nil"/>
              <w:tr2bl w:val="nil"/>
            </w:tcBorders>
            <w:vAlign w:val="center"/>
          </w:tcPr>
          <w:p w14:paraId="11E4B98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汽车（柴油）</w:t>
            </w:r>
          </w:p>
        </w:tc>
        <w:tc>
          <w:tcPr>
            <w:tcW w:w="1157" w:type="pct"/>
            <w:tcBorders>
              <w:tl2br w:val="nil"/>
              <w:tr2bl w:val="nil"/>
            </w:tcBorders>
            <w:vAlign w:val="center"/>
          </w:tcPr>
          <w:p w14:paraId="0EAE89B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28.4</w:t>
            </w:r>
          </w:p>
        </w:tc>
        <w:tc>
          <w:tcPr>
            <w:tcW w:w="1158" w:type="pct"/>
            <w:tcBorders>
              <w:tl2br w:val="nil"/>
              <w:tr2bl w:val="nil"/>
            </w:tcBorders>
            <w:vAlign w:val="center"/>
          </w:tcPr>
          <w:p w14:paraId="58E6469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40.8</w:t>
            </w:r>
          </w:p>
        </w:tc>
        <w:tc>
          <w:tcPr>
            <w:tcW w:w="1156" w:type="pct"/>
            <w:tcBorders>
              <w:tl2br w:val="nil"/>
              <w:tr2bl w:val="nil"/>
            </w:tcBorders>
            <w:vAlign w:val="center"/>
          </w:tcPr>
          <w:p w14:paraId="152ED42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9.1</w:t>
            </w:r>
          </w:p>
        </w:tc>
      </w:tr>
    </w:tbl>
    <w:p w14:paraId="28E5549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1台推土机、1台压实机、1台铲车、1辆自卸车和1台洒水车同时作业时，作业机械在回填的平均行车距离为0.2km，车辆耗油量为0.02L/辆（按平均车辆油耗每百公里10L计），耗柴油量0.1L/d，柴油的密度为0.83kg/L，则车辆耗油量为柴油0.066kg/d，继而得出大气污染物排放量为：CO 0.00</w:t>
      </w:r>
      <w:r>
        <w:rPr>
          <w:rFonts w:hint="default" w:ascii="Times New Roman" w:hAnsi="Times New Roman" w:cs="Times New Roman"/>
          <w:color w:val="auto"/>
          <w:highlight w:val="none"/>
          <w:lang w:val="en-US" w:eastAsia="zh-CN"/>
        </w:rPr>
        <w:t>047</w:t>
      </w:r>
      <w:r>
        <w:rPr>
          <w:rFonts w:hint="default" w:ascii="Times New Roman" w:hAnsi="Times New Roman" w:cs="Times New Roman"/>
          <w:color w:val="auto"/>
          <w:highlight w:val="none"/>
        </w:rPr>
        <w:t>kg/d，HC 0.00</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4kg/d，NOx 0.0</w:t>
      </w:r>
      <w:r>
        <w:rPr>
          <w:rFonts w:hint="default" w:ascii="Times New Roman" w:hAnsi="Times New Roman" w:cs="Times New Roman"/>
          <w:color w:val="auto"/>
          <w:highlight w:val="none"/>
          <w:lang w:val="en-US" w:eastAsia="zh-CN"/>
        </w:rPr>
        <w:t>67</w:t>
      </w:r>
      <w:r>
        <w:rPr>
          <w:rFonts w:hint="default" w:ascii="Times New Roman" w:hAnsi="Times New Roman" w:cs="Times New Roman"/>
          <w:color w:val="auto"/>
          <w:highlight w:val="none"/>
        </w:rPr>
        <w:t>kg/d。每天工作小时数按</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小时计，年工作天数按</w:t>
      </w:r>
      <w:r>
        <w:rPr>
          <w:rFonts w:hint="default" w:ascii="Times New Roman" w:hAnsi="Times New Roman" w:cs="Times New Roman"/>
          <w:color w:val="auto"/>
          <w:highlight w:val="none"/>
          <w:lang w:val="en-US" w:eastAsia="zh-CN"/>
        </w:rPr>
        <w:t>330天</w:t>
      </w:r>
      <w:r>
        <w:rPr>
          <w:rFonts w:hint="default" w:ascii="Times New Roman" w:hAnsi="Times New Roman" w:cs="Times New Roman"/>
          <w:color w:val="auto"/>
          <w:highlight w:val="none"/>
        </w:rPr>
        <w:t>计，则作业机械年产生的污染物排放量为：</w:t>
      </w:r>
      <w:bookmarkStart w:id="184" w:name="_Hlk69974169"/>
      <w:r>
        <w:rPr>
          <w:rFonts w:hint="default" w:ascii="Times New Roman" w:hAnsi="Times New Roman" w:cs="Times New Roman"/>
          <w:color w:val="auto"/>
          <w:highlight w:val="none"/>
        </w:rPr>
        <w:t>CO</w:t>
      </w:r>
      <w:r>
        <w:rPr>
          <w:rFonts w:hint="default" w:ascii="Times New Roman" w:hAnsi="Times New Roman" w:cs="Times New Roman"/>
          <w:color w:val="auto"/>
          <w:highlight w:val="none"/>
          <w:lang w:val="en-US" w:eastAsia="zh-CN"/>
        </w:rPr>
        <w:t>0.00059</w:t>
      </w:r>
      <w:r>
        <w:rPr>
          <w:rFonts w:hint="default" w:ascii="Times New Roman" w:hAnsi="Times New Roman" w:cs="Times New Roman"/>
          <w:color w:val="auto"/>
          <w:highlight w:val="none"/>
        </w:rPr>
        <w:t>kg/h，HC 0.000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kg/h，NOx 0.000</w:t>
      </w:r>
      <w:r>
        <w:rPr>
          <w:rFonts w:hint="default" w:ascii="Times New Roman" w:hAnsi="Times New Roman" w:cs="Times New Roman"/>
          <w:color w:val="auto"/>
          <w:highlight w:val="none"/>
          <w:lang w:val="en-US" w:eastAsia="zh-CN"/>
        </w:rPr>
        <w:t>84</w:t>
      </w:r>
      <w:r>
        <w:rPr>
          <w:rFonts w:hint="default" w:ascii="Times New Roman" w:hAnsi="Times New Roman" w:cs="Times New Roman"/>
          <w:color w:val="auto"/>
          <w:highlight w:val="none"/>
        </w:rPr>
        <w:t>kg/h；CO 0.00</w:t>
      </w:r>
      <w:r>
        <w:rPr>
          <w:rFonts w:hint="default" w:ascii="Times New Roman" w:hAnsi="Times New Roman" w:cs="Times New Roman"/>
          <w:color w:val="auto"/>
          <w:highlight w:val="none"/>
          <w:lang w:val="en-US" w:eastAsia="zh-CN"/>
        </w:rPr>
        <w:t>172</w:t>
      </w:r>
      <w:r>
        <w:rPr>
          <w:rFonts w:hint="default" w:ascii="Times New Roman" w:hAnsi="Times New Roman" w:cs="Times New Roman"/>
          <w:color w:val="auto"/>
          <w:highlight w:val="none"/>
        </w:rPr>
        <w:t>t，HC 0.000</w:t>
      </w:r>
      <w:r>
        <w:rPr>
          <w:rFonts w:hint="default" w:ascii="Times New Roman" w:hAnsi="Times New Roman" w:cs="Times New Roman"/>
          <w:color w:val="auto"/>
          <w:highlight w:val="none"/>
          <w:lang w:val="en-US" w:eastAsia="zh-CN"/>
        </w:rPr>
        <w:t>55</w:t>
      </w:r>
      <w:r>
        <w:rPr>
          <w:rFonts w:hint="default" w:ascii="Times New Roman" w:hAnsi="Times New Roman" w:cs="Times New Roman"/>
          <w:color w:val="auto"/>
          <w:highlight w:val="none"/>
        </w:rPr>
        <w:t>t，NOx 0.00</w:t>
      </w:r>
      <w:r>
        <w:rPr>
          <w:rFonts w:hint="default" w:ascii="Times New Roman" w:hAnsi="Times New Roman" w:cs="Times New Roman"/>
          <w:color w:val="auto"/>
          <w:highlight w:val="none"/>
          <w:lang w:val="en-US" w:eastAsia="zh-CN"/>
        </w:rPr>
        <w:t>274</w:t>
      </w:r>
      <w:r>
        <w:rPr>
          <w:rFonts w:hint="default" w:ascii="Times New Roman" w:hAnsi="Times New Roman" w:cs="Times New Roman"/>
          <w:color w:val="auto"/>
          <w:highlight w:val="none"/>
        </w:rPr>
        <w:t>t</w:t>
      </w:r>
      <w:bookmarkEnd w:id="184"/>
      <w:r>
        <w:rPr>
          <w:rFonts w:hint="default" w:ascii="Times New Roman" w:hAnsi="Times New Roman" w:cs="Times New Roman"/>
          <w:color w:val="auto"/>
          <w:highlight w:val="none"/>
        </w:rPr>
        <w:t>。</w:t>
      </w:r>
    </w:p>
    <w:p w14:paraId="00EAFF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（2）施工</w:t>
      </w:r>
      <w:r>
        <w:rPr>
          <w:rFonts w:hint="default" w:ascii="Times New Roman" w:hAnsi="Times New Roman" w:cs="Times New Roman"/>
          <w:color w:val="auto"/>
          <w:highlight w:val="none"/>
        </w:rPr>
        <w:t>作业扬尘</w:t>
      </w:r>
    </w:p>
    <w:p w14:paraId="4640E7F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施工扬尘主要来自土方挖掘及现场堆放扬尘，施工垃圾的清理及堆放扬尘，运输车辆造成的道路扬尘，属无组织排放。</w:t>
      </w:r>
    </w:p>
    <w:p w14:paraId="525962E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作业扬尘</w:t>
      </w:r>
    </w:p>
    <w:p w14:paraId="4A347D6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根据《扬尘源颗粒物排放清单编制技术指南》（试行），堆场的扬尘源排放量是装卸、运输引起的扬尘与堆积存放期间风蚀的加和，计算公式如下：</w:t>
      </w:r>
    </w:p>
    <w:p w14:paraId="5ABCC2C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476625" cy="533400"/>
            <wp:effectExtent l="0" t="0" r="9525" b="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476625" cy="533400"/>
                    </a:xfrm>
                    <a:prstGeom prst="rect">
                      <a:avLst/>
                    </a:prstGeom>
                    <a:noFill/>
                    <a:ln>
                      <a:noFill/>
                    </a:ln>
                    <a:effectLst/>
                  </pic:spPr>
                </pic:pic>
              </a:graphicData>
            </a:graphic>
          </wp:inline>
        </w:drawing>
      </w:r>
    </w:p>
    <w:p w14:paraId="1688E94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式中：WY——堆场扬尘源中颗粒物总排放量，t/a；</w:t>
      </w:r>
    </w:p>
    <w:p w14:paraId="1D6AA10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Eh——堆场装卸运输过程的扬尘颗粒物排放系数，kg/t；</w:t>
      </w:r>
    </w:p>
    <w:p w14:paraId="1EB0B85A">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m——每年料堆物料装卸总次数；</w:t>
      </w:r>
      <w:r>
        <w:rPr>
          <w:rFonts w:hint="default" w:ascii="Times New Roman" w:hAnsi="Times New Roman" w:cs="Times New Roman"/>
          <w:color w:val="auto"/>
          <w:highlight w:val="none"/>
          <w:lang w:val="en-US" w:eastAsia="zh-CN"/>
        </w:rPr>
        <w:t>取5250次</w:t>
      </w:r>
    </w:p>
    <w:p w14:paraId="7C9D259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GYi——第i次装卸过程的物料装卸量，取50t；</w:t>
      </w:r>
    </w:p>
    <w:p w14:paraId="33B8FED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Ew——料堆受到风蚀作用的颗粒物排放系数，kg/m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根据计算，本项目为0.0037kg/m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w:t>
      </w:r>
    </w:p>
    <w:p w14:paraId="5B1502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AY——料堆表面积</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500EC40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装卸、运输物料过程扬尘排放系数的估算：</w:t>
      </w:r>
    </w:p>
    <w:p w14:paraId="6182B8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438525" cy="1076325"/>
            <wp:effectExtent l="0" t="0" r="9525" b="952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noChangeArrowheads="1"/>
                    </pic:cNvPicPr>
                  </pic:nvPicPr>
                  <pic:blipFill>
                    <a:blip r:embed="rId30">
                      <a:lum bright="12000" contrast="12000"/>
                      <a:extLst>
                        <a:ext uri="{28A0092B-C50C-407E-A947-70E740481C1C}">
                          <a14:useLocalDpi xmlns:a14="http://schemas.microsoft.com/office/drawing/2010/main" val="0"/>
                        </a:ext>
                      </a:extLst>
                    </a:blip>
                    <a:srcRect/>
                    <a:stretch>
                      <a:fillRect/>
                    </a:stretch>
                  </pic:blipFill>
                  <pic:spPr>
                    <a:xfrm>
                      <a:off x="0" y="0"/>
                      <a:ext cx="3438525" cy="1076325"/>
                    </a:xfrm>
                    <a:prstGeom prst="rect">
                      <a:avLst/>
                    </a:prstGeom>
                    <a:noFill/>
                    <a:ln>
                      <a:noFill/>
                    </a:ln>
                    <a:effectLst/>
                  </pic:spPr>
                </pic:pic>
              </a:graphicData>
            </a:graphic>
          </wp:inline>
        </w:drawing>
      </w:r>
    </w:p>
    <w:p w14:paraId="6EEDDC2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式中：Eh为堆场装卸扬尘的排放系数，kg/t。</w:t>
      </w:r>
    </w:p>
    <w:p w14:paraId="3624689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ki为物料的粒度乘数，见表3-3-3。</w:t>
      </w:r>
    </w:p>
    <w:p w14:paraId="2DCE26C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u为平均风速，取3.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m/s。</w:t>
      </w:r>
    </w:p>
    <w:p w14:paraId="58B26EA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M为物料含水率，%，取20%。</w:t>
      </w:r>
    </w:p>
    <w:p w14:paraId="504C6FC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η为污染控制技术对扬尘的去除效率%，本项目取74%。</w:t>
      </w:r>
    </w:p>
    <w:p w14:paraId="1F6A424D">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rPr>
        <w:t>装卸过程中产生的颗粒物粒度乘数</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2"/>
        <w:gridCol w:w="4270"/>
      </w:tblGrid>
      <w:tr w14:paraId="6C460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95" w:type="pct"/>
            <w:tcBorders>
              <w:tl2br w:val="nil"/>
              <w:tr2bl w:val="nil"/>
            </w:tcBorders>
          </w:tcPr>
          <w:p w14:paraId="4A7E3F3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粒径</w:t>
            </w:r>
          </w:p>
        </w:tc>
        <w:tc>
          <w:tcPr>
            <w:tcW w:w="2505" w:type="pct"/>
            <w:tcBorders>
              <w:tl2br w:val="nil"/>
              <w:tr2bl w:val="nil"/>
            </w:tcBorders>
          </w:tcPr>
          <w:p w14:paraId="684CFAF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r>
      <w:tr w14:paraId="51A2E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95" w:type="pct"/>
            <w:tcBorders>
              <w:tl2br w:val="nil"/>
              <w:tr2bl w:val="nil"/>
            </w:tcBorders>
          </w:tcPr>
          <w:p w14:paraId="54BFBDE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粒度乘数/无量纲</w:t>
            </w:r>
          </w:p>
        </w:tc>
        <w:tc>
          <w:tcPr>
            <w:tcW w:w="2505" w:type="pct"/>
            <w:tcBorders>
              <w:tl2br w:val="nil"/>
              <w:tr2bl w:val="nil"/>
            </w:tcBorders>
          </w:tcPr>
          <w:p w14:paraId="5AE656F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0.74</w:t>
            </w:r>
          </w:p>
        </w:tc>
      </w:tr>
    </w:tbl>
    <w:p w14:paraId="7260F289">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堆场操作扬尘控制措施的控制效率</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77"/>
        <w:gridCol w:w="3845"/>
      </w:tblGrid>
      <w:tr w14:paraId="2327C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44" w:type="pct"/>
            <w:vAlign w:val="center"/>
          </w:tcPr>
          <w:p w14:paraId="0C4576D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控制措施</w:t>
            </w:r>
          </w:p>
        </w:tc>
        <w:tc>
          <w:tcPr>
            <w:tcW w:w="2256" w:type="pct"/>
            <w:vAlign w:val="center"/>
          </w:tcPr>
          <w:p w14:paraId="5FED06B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TSP控制效率</w:t>
            </w:r>
          </w:p>
        </w:tc>
      </w:tr>
      <w:tr w14:paraId="4B8E5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44" w:type="pct"/>
            <w:vAlign w:val="center"/>
          </w:tcPr>
          <w:p w14:paraId="472E5AA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输送点位连续洒水操作</w:t>
            </w:r>
          </w:p>
        </w:tc>
        <w:tc>
          <w:tcPr>
            <w:tcW w:w="2256" w:type="pct"/>
            <w:vAlign w:val="center"/>
          </w:tcPr>
          <w:p w14:paraId="585838F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74%</w:t>
            </w:r>
          </w:p>
        </w:tc>
      </w:tr>
    </w:tbl>
    <w:p w14:paraId="2DD743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经计算本项目Eh（TSP）为</w:t>
      </w:r>
      <w:r>
        <w:rPr>
          <w:rFonts w:hint="default" w:ascii="Times New Roman" w:hAnsi="Times New Roman" w:cs="Times New Roman"/>
          <w:color w:val="auto"/>
          <w:highlight w:val="none"/>
          <w:lang w:val="en-US" w:eastAsia="zh-CN"/>
        </w:rPr>
        <w:t>0.000024</w:t>
      </w:r>
      <w:r>
        <w:rPr>
          <w:rFonts w:hint="default" w:ascii="Times New Roman" w:hAnsi="Times New Roman" w:cs="Times New Roman"/>
          <w:color w:val="auto"/>
          <w:highlight w:val="none"/>
        </w:rPr>
        <w:t>kg/t。</w:t>
      </w:r>
    </w:p>
    <w:p w14:paraId="364945D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堆场风蚀扬尘排放系数的计算方法：</w:t>
      </w:r>
    </w:p>
    <w:p w14:paraId="3408E2E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rPr>
        <w:drawing>
          <wp:inline distT="0" distB="0" distL="0" distR="0">
            <wp:extent cx="4038600" cy="1476375"/>
            <wp:effectExtent l="0" t="0" r="0"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038600" cy="1476375"/>
                    </a:xfrm>
                    <a:prstGeom prst="rect">
                      <a:avLst/>
                    </a:prstGeom>
                    <a:noFill/>
                    <a:ln>
                      <a:noFill/>
                    </a:ln>
                  </pic:spPr>
                </pic:pic>
              </a:graphicData>
            </a:graphic>
          </wp:inline>
        </w:drawing>
      </w:r>
    </w:p>
    <w:p w14:paraId="53F4BE2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rPr>
        <w:drawing>
          <wp:inline distT="0" distB="0" distL="0" distR="0">
            <wp:extent cx="2686050" cy="514350"/>
            <wp:effectExtent l="0" t="0" r="0" b="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686050" cy="514350"/>
                    </a:xfrm>
                    <a:prstGeom prst="rect">
                      <a:avLst/>
                    </a:prstGeom>
                    <a:noFill/>
                    <a:ln>
                      <a:noFill/>
                    </a:ln>
                  </pic:spPr>
                </pic:pic>
              </a:graphicData>
            </a:graphic>
          </wp:inline>
        </w:drawing>
      </w:r>
    </w:p>
    <w:p w14:paraId="6F2FFE5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式中：Ew——堆场风蚀扬尘的排放系数，kg/m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1F3E1CF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ki——物料的粒度乘数，见表3-3-5；</w:t>
      </w:r>
    </w:p>
    <w:p w14:paraId="2CE9E7D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n——料堆每年受扰动的次数，本次单元作业面积对应的扰动次数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取</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w:t>
      </w:r>
    </w:p>
    <w:p w14:paraId="247071E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Pi——第i次扰动中观测的最大风速的风蚀潜势，g/m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，经计算得</w:t>
      </w:r>
      <w:r>
        <w:rPr>
          <w:rFonts w:hint="default" w:ascii="Times New Roman" w:hAnsi="Times New Roman" w:cs="Times New Roman"/>
          <w:color w:val="auto"/>
          <w:highlight w:val="none"/>
          <w:lang w:val="en-US" w:eastAsia="zh-CN"/>
        </w:rPr>
        <w:t>9.41</w:t>
      </w:r>
      <w:r>
        <w:rPr>
          <w:rFonts w:hint="default" w:ascii="Times New Roman" w:hAnsi="Times New Roman" w:cs="Times New Roman"/>
          <w:color w:val="auto"/>
          <w:highlight w:val="none"/>
        </w:rPr>
        <w:t>；</w:t>
      </w:r>
    </w:p>
    <w:p w14:paraId="08CEB7B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23825" cy="209550"/>
            <wp:effectExtent l="0" t="0" r="9525" b="0"/>
            <wp:docPr id="17590790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2" name="图片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23825" cy="209550"/>
                    </a:xfrm>
                    <a:prstGeom prst="rect">
                      <a:avLst/>
                    </a:prstGeom>
                    <a:noFill/>
                    <a:ln>
                      <a:noFill/>
                    </a:ln>
                  </pic:spPr>
                </pic:pic>
              </a:graphicData>
            </a:graphic>
          </wp:inline>
        </w:drawing>
      </w:r>
      <w:r>
        <w:rPr>
          <w:rFonts w:hint="default" w:ascii="Times New Roman" w:hAnsi="Times New Roman" w:cs="Times New Roman"/>
          <w:color w:val="auto"/>
          <w:highlight w:val="none"/>
        </w:rPr>
        <w:t>——污染控制技术对扬尘的去除效率，本项目采取定期洒水；</w:t>
      </w:r>
    </w:p>
    <w:p w14:paraId="7D6A803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u*——摩擦风速，m/s，经计算得</w:t>
      </w:r>
      <w:r>
        <w:rPr>
          <w:rFonts w:hint="default" w:ascii="Times New Roman" w:hAnsi="Times New Roman" w:cs="Times New Roman"/>
          <w:color w:val="auto"/>
          <w:highlight w:val="none"/>
          <w:lang w:val="en-US" w:eastAsia="zh-CN"/>
        </w:rPr>
        <w:t>0.781</w:t>
      </w:r>
      <w:r>
        <w:rPr>
          <w:rFonts w:hint="default" w:ascii="Times New Roman" w:hAnsi="Times New Roman" w:cs="Times New Roman"/>
          <w:color w:val="auto"/>
          <w:highlight w:val="none"/>
        </w:rPr>
        <w:t>；</w:t>
      </w:r>
    </w:p>
    <w:p w14:paraId="79C548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ut*——阈值摩擦风速，即起尘的临界摩擦风速，m/s，取0.54；</w:t>
      </w:r>
    </w:p>
    <w:p w14:paraId="20886D5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u（z）——地面风速，取3.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m/s；</w:t>
      </w:r>
    </w:p>
    <w:p w14:paraId="2CD7B1F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z——地面风速检测高度，取1.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m；</w:t>
      </w:r>
    </w:p>
    <w:p w14:paraId="69D256B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z0——地面粗糙度，m，郊区取值0.2；</w:t>
      </w:r>
    </w:p>
    <w:p w14:paraId="4556C2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0.4——冯卡门常数，无量纲。</w:t>
      </w:r>
    </w:p>
    <w:p w14:paraId="36C44212">
      <w:pPr>
        <w:pStyle w:val="27"/>
        <w:bidi w:val="0"/>
        <w:rPr>
          <w:rFonts w:hint="default" w:ascii="Times New Roman" w:hAnsi="Times New Roman" w:cs="Times New Roman"/>
          <w:color w:val="auto"/>
          <w:highlight w:val="none"/>
        </w:rPr>
      </w:pPr>
    </w:p>
    <w:p w14:paraId="2C696A9A">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rPr>
        <w:t>风蚀过程中产生的颗粒物粒度乘数</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63"/>
        <w:gridCol w:w="4159"/>
      </w:tblGrid>
      <w:tr w14:paraId="6914B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exact"/>
        </w:trPr>
        <w:tc>
          <w:tcPr>
            <w:tcW w:w="2560" w:type="pct"/>
            <w:tcBorders>
              <w:tl2br w:val="nil"/>
              <w:tr2bl w:val="nil"/>
            </w:tcBorders>
            <w:vAlign w:val="center"/>
          </w:tcPr>
          <w:p w14:paraId="632B733B">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粒径</w:t>
            </w:r>
          </w:p>
        </w:tc>
        <w:tc>
          <w:tcPr>
            <w:tcW w:w="2440" w:type="pct"/>
            <w:tcBorders>
              <w:tl2br w:val="nil"/>
              <w:tr2bl w:val="nil"/>
            </w:tcBorders>
            <w:vAlign w:val="center"/>
          </w:tcPr>
          <w:p w14:paraId="14F07DBF">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TSP</w:t>
            </w:r>
          </w:p>
        </w:tc>
      </w:tr>
      <w:tr w14:paraId="18A813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560" w:type="pct"/>
            <w:tcBorders>
              <w:tl2br w:val="nil"/>
              <w:tr2bl w:val="nil"/>
            </w:tcBorders>
            <w:vAlign w:val="center"/>
          </w:tcPr>
          <w:p w14:paraId="5BBCDBDA">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粒度乘数/无量纲</w:t>
            </w:r>
          </w:p>
        </w:tc>
        <w:tc>
          <w:tcPr>
            <w:tcW w:w="2440" w:type="pct"/>
            <w:tcBorders>
              <w:tl2br w:val="nil"/>
              <w:tr2bl w:val="nil"/>
            </w:tcBorders>
            <w:vAlign w:val="center"/>
          </w:tcPr>
          <w:p w14:paraId="774B23C4">
            <w:pPr>
              <w:pStyle w:val="27"/>
              <w:bidi w:val="0"/>
              <w:jc w:val="center"/>
              <w:rPr>
                <w:rFonts w:hint="default" w:ascii="Times New Roman" w:hAnsi="Times New Roman" w:eastAsia="宋体" w:cs="Times New Roman"/>
                <w:color w:val="auto"/>
                <w:szCs w:val="22"/>
                <w:highlight w:val="none"/>
                <w:lang w:val="en-US" w:eastAsia="zh-CN"/>
              </w:rPr>
            </w:pPr>
            <w:r>
              <w:rPr>
                <w:rFonts w:hint="default" w:ascii="Times New Roman" w:hAnsi="Times New Roman" w:cs="Times New Roman"/>
                <w:color w:val="auto"/>
                <w:highlight w:val="none"/>
                <w:lang w:val="en-US" w:eastAsia="zh-CN"/>
              </w:rPr>
              <w:t>1.0</w:t>
            </w:r>
          </w:p>
        </w:tc>
      </w:tr>
    </w:tbl>
    <w:p w14:paraId="030BC9FC">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堆场风蚀扬尘控制措施的控制效率</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3"/>
        <w:gridCol w:w="2090"/>
        <w:gridCol w:w="4159"/>
      </w:tblGrid>
      <w:tr w14:paraId="3B951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560" w:type="pct"/>
            <w:gridSpan w:val="2"/>
            <w:vAlign w:val="center"/>
          </w:tcPr>
          <w:p w14:paraId="7650725B">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控制措施</w:t>
            </w:r>
          </w:p>
        </w:tc>
        <w:tc>
          <w:tcPr>
            <w:tcW w:w="2440" w:type="pct"/>
            <w:vAlign w:val="center"/>
          </w:tcPr>
          <w:p w14:paraId="073FF48A">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TSP控制效率</w:t>
            </w:r>
          </w:p>
        </w:tc>
      </w:tr>
      <w:tr w14:paraId="42FF7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34" w:type="pct"/>
            <w:vAlign w:val="center"/>
          </w:tcPr>
          <w:p w14:paraId="619465DB">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堆场</w:t>
            </w:r>
          </w:p>
        </w:tc>
        <w:tc>
          <w:tcPr>
            <w:tcW w:w="1226" w:type="pct"/>
            <w:vAlign w:val="center"/>
          </w:tcPr>
          <w:p w14:paraId="15146F6F">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定期洒水</w:t>
            </w:r>
          </w:p>
        </w:tc>
        <w:tc>
          <w:tcPr>
            <w:tcW w:w="2440" w:type="pct"/>
            <w:vAlign w:val="center"/>
          </w:tcPr>
          <w:p w14:paraId="4C03A5E1">
            <w:pPr>
              <w:pStyle w:val="27"/>
              <w:bidi w:val="0"/>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highlight w:val="none"/>
                <w:lang w:val="zh-CN"/>
              </w:rPr>
              <w:t>61%</w:t>
            </w:r>
          </w:p>
        </w:tc>
      </w:tr>
    </w:tbl>
    <w:p w14:paraId="5D8C4D1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经计算本项目Ew（TSP）为</w:t>
      </w:r>
      <w:r>
        <w:rPr>
          <w:rFonts w:hint="default" w:ascii="Times New Roman" w:hAnsi="Times New Roman" w:cs="Times New Roman"/>
          <w:color w:val="auto"/>
          <w:highlight w:val="none"/>
          <w:lang w:val="en-US" w:eastAsia="zh-CN"/>
        </w:rPr>
        <w:t>0.0036</w:t>
      </w:r>
      <w:r>
        <w:rPr>
          <w:rFonts w:hint="default" w:ascii="Times New Roman" w:hAnsi="Times New Roman" w:cs="Times New Roman"/>
          <w:color w:val="auto"/>
          <w:highlight w:val="none"/>
        </w:rPr>
        <w:t>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，堆场起尘量排放量WY（TSP）为</w:t>
      </w:r>
      <w:r>
        <w:rPr>
          <w:rFonts w:hint="default" w:ascii="Times New Roman" w:hAnsi="Times New Roman" w:cs="Times New Roman"/>
          <w:color w:val="auto"/>
          <w:highlight w:val="none"/>
          <w:lang w:val="en-US" w:eastAsia="zh-CN"/>
        </w:rPr>
        <w:t>0.011</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0.0039kg/h</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6A7677B2">
      <w:pPr>
        <w:pStyle w:val="27"/>
        <w:bidi w:val="0"/>
        <w:rPr>
          <w:rFonts w:hint="default" w:ascii="Times New Roman" w:hAnsi="Times New Roman" w:cs="Times New Roman"/>
          <w:color w:val="auto"/>
          <w:highlight w:val="none"/>
        </w:rPr>
      </w:pPr>
      <w:r>
        <w:rPr>
          <w:rFonts w:hint="default" w:ascii="Times New Roman" w:hAnsi="Times New Roman" w:eastAsia="宋体" w:cs="Times New Roman"/>
          <w:b w:val="0"/>
          <w:bCs w:val="0"/>
          <w:i w:val="0"/>
          <w:iCs w:val="0"/>
          <w:color w:val="auto"/>
          <w:kern w:val="21"/>
          <w:sz w:val="24"/>
          <w:highlight w:val="none"/>
          <w:u w:val="none"/>
          <w:lang w:eastAsia="zh-CN"/>
        </w:rPr>
        <w:t>本项目采用分区、分块运行方式（每次作业面积按40×30m计算）</w:t>
      </w:r>
      <w:r>
        <w:rPr>
          <w:rFonts w:hint="default" w:ascii="Times New Roman" w:hAnsi="Times New Roman" w:cs="Times New Roman"/>
          <w:color w:val="auto"/>
          <w:highlight w:val="none"/>
        </w:rPr>
        <w:t>，运行过程中使暴露面最小，堆满一块覆盖一块从而一次形成永久性覆盖面，最大限度地减小扬尘。评价要求本项目作业时要及时进行铺平、碾压。碾压方向平行于分区填充的长边，碾压搭接长度不得小于25cm，不得漏压和欠压，减少二次扬尘的产生。另外表面的含水量是制约二次扬尘的主要因素，评价要求建设单位在碾压表面及时掌握</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的表面含水情况，根据天气情况适时调整加大洒水强度。环评要求在场地设置一辆洒水车，以保证洒水面积能覆盖整个工作面。</w:t>
      </w:r>
    </w:p>
    <w:p w14:paraId="5DDAC9A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运输扬尘</w:t>
      </w:r>
    </w:p>
    <w:p w14:paraId="2D779571">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根据《扬尘源颗粒物排放清单编制技术指南（试行）》，计算本项目进场运输道路产生的粉尘公式：</w:t>
      </w:r>
    </w:p>
    <w:p w14:paraId="5FACCE3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276600" cy="367665"/>
            <wp:effectExtent l="19050" t="0" r="0" b="0"/>
            <wp:docPr id="17590790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3" name="图片 21"/>
                    <pic:cNvPicPr>
                      <a:picLocks noChangeAspect="1" noChangeArrowheads="1"/>
                    </pic:cNvPicPr>
                  </pic:nvPicPr>
                  <pic:blipFill>
                    <a:blip r:embed="rId34"/>
                    <a:srcRect/>
                    <a:stretch>
                      <a:fillRect/>
                    </a:stretch>
                  </pic:blipFill>
                  <pic:spPr>
                    <a:xfrm>
                      <a:off x="0" y="0"/>
                      <a:ext cx="3329918" cy="373885"/>
                    </a:xfrm>
                    <a:prstGeom prst="rect">
                      <a:avLst/>
                    </a:prstGeom>
                    <a:noFill/>
                    <a:ln w="9525">
                      <a:noFill/>
                      <a:miter lim="800000"/>
                      <a:headEnd/>
                      <a:tailEnd/>
                    </a:ln>
                  </pic:spPr>
                </pic:pic>
              </a:graphicData>
            </a:graphic>
          </wp:inline>
        </w:drawing>
      </w:r>
    </w:p>
    <w:p w14:paraId="0370F13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式中：E</w:t>
      </w:r>
      <w:r>
        <w:rPr>
          <w:rFonts w:hint="default" w:ascii="Times New Roman" w:hAnsi="Times New Roman" w:cs="Times New Roman"/>
          <w:color w:val="auto"/>
          <w:highlight w:val="none"/>
          <w:vertAlign w:val="subscript"/>
        </w:rPr>
        <w:t>Pi</w:t>
      </w:r>
      <w:r>
        <w:rPr>
          <w:rFonts w:hint="default" w:ascii="Times New Roman" w:hAnsi="Times New Roman" w:cs="Times New Roman"/>
          <w:color w:val="auto"/>
          <w:highlight w:val="none"/>
        </w:rPr>
        <w:t>—铺装道路扬尘中P</w:t>
      </w:r>
      <w:r>
        <w:rPr>
          <w:rFonts w:hint="default" w:ascii="Times New Roman" w:hAnsi="Times New Roman" w:cs="Times New Roman"/>
          <w:color w:val="auto"/>
          <w:highlight w:val="none"/>
          <w:vertAlign w:val="subscript"/>
        </w:rPr>
        <w:t>Mi</w:t>
      </w:r>
      <w:r>
        <w:rPr>
          <w:rFonts w:hint="default" w:ascii="Times New Roman" w:hAnsi="Times New Roman" w:cs="Times New Roman"/>
          <w:color w:val="auto"/>
          <w:highlight w:val="none"/>
        </w:rPr>
        <w:t>排放系数，g/km；</w:t>
      </w:r>
    </w:p>
    <w:p w14:paraId="1EE2E33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—产生的扬尘中P</w:t>
      </w:r>
      <w:r>
        <w:rPr>
          <w:rFonts w:hint="default" w:ascii="Times New Roman" w:hAnsi="Times New Roman" w:cs="Times New Roman"/>
          <w:color w:val="auto"/>
          <w:highlight w:val="none"/>
          <w:vertAlign w:val="subscript"/>
        </w:rPr>
        <w:t>Mi</w:t>
      </w:r>
      <w:r>
        <w:rPr>
          <w:rFonts w:hint="default" w:ascii="Times New Roman" w:hAnsi="Times New Roman" w:cs="Times New Roman"/>
          <w:color w:val="auto"/>
          <w:highlight w:val="none"/>
        </w:rPr>
        <w:t>的粒度乘数，TSP取3.23g/km；</w:t>
      </w:r>
    </w:p>
    <w:p w14:paraId="0134523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sL—道路积尘负荷，g/m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；取1g/m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4F438EA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W—平均车重，50t。</w:t>
      </w:r>
    </w:p>
    <w:p w14:paraId="6DC57C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23825" cy="209550"/>
            <wp:effectExtent l="19050" t="0" r="9525" b="0"/>
            <wp:docPr id="17590790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4" name="图片 18"/>
                    <pic:cNvPicPr>
                      <a:picLocks noChangeAspect="1" noChangeArrowheads="1"/>
                    </pic:cNvPicPr>
                  </pic:nvPicPr>
                  <pic:blipFill>
                    <a:blip r:embed="rId33"/>
                    <a:srcRect/>
                    <a:stretch>
                      <a:fillRect/>
                    </a:stretch>
                  </pic:blipFill>
                  <pic:spPr>
                    <a:xfrm>
                      <a:off x="0" y="0"/>
                      <a:ext cx="123825" cy="209550"/>
                    </a:xfrm>
                    <a:prstGeom prst="rect">
                      <a:avLst/>
                    </a:prstGeom>
                    <a:noFill/>
                    <a:ln w="9525">
                      <a:noFill/>
                      <a:miter lim="800000"/>
                      <a:headEnd/>
                      <a:tailEnd/>
                    </a:ln>
                  </pic:spPr>
                </pic:pic>
              </a:graphicData>
            </a:graphic>
          </wp:inline>
        </w:drawing>
      </w:r>
      <w:r>
        <w:rPr>
          <w:rFonts w:hint="default" w:ascii="Times New Roman" w:hAnsi="Times New Roman" w:cs="Times New Roman"/>
          <w:color w:val="auto"/>
          <w:highlight w:val="none"/>
        </w:rPr>
        <w:t>—污染控制技术对扬尘的去除效率，根据《扬尘源颗粒物排放清单编制技术指南（试行）》，TSP洒水控制效率为66%。</w:t>
      </w:r>
    </w:p>
    <w:p w14:paraId="556C44C5">
      <w:pPr>
        <w:pStyle w:val="27"/>
        <w:bidi w:val="0"/>
        <w:rPr>
          <w:rFonts w:hint="default" w:ascii="Times New Roman" w:hAnsi="Times New Roman" w:cs="Times New Roman"/>
          <w:color w:val="auto"/>
          <w:szCs w:val="22"/>
          <w:highlight w:val="none"/>
        </w:rPr>
      </w:pPr>
      <w:r>
        <w:rPr>
          <w:rFonts w:hint="default" w:ascii="Times New Roman" w:hAnsi="Times New Roman" w:cs="Times New Roman"/>
          <w:color w:val="auto"/>
          <w:highlight w:val="none"/>
        </w:rPr>
        <w:t>通过上式计算，EPi为59.4g/km，进场道路长度约</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m，运输次数约为</w:t>
      </w:r>
      <w:r>
        <w:rPr>
          <w:rFonts w:hint="default" w:ascii="Times New Roman" w:hAnsi="Times New Roman" w:cs="Times New Roman"/>
          <w:color w:val="auto"/>
          <w:highlight w:val="none"/>
          <w:lang w:val="en-US" w:eastAsia="zh-CN"/>
        </w:rPr>
        <w:t>5295</w:t>
      </w:r>
      <w:r>
        <w:rPr>
          <w:rFonts w:hint="default" w:ascii="Times New Roman" w:hAnsi="Times New Roman" w:cs="Times New Roman"/>
          <w:color w:val="auto"/>
          <w:highlight w:val="none"/>
        </w:rPr>
        <w:t>次/a，产生道路扬尘</w:t>
      </w:r>
      <w:r>
        <w:rPr>
          <w:rFonts w:hint="default" w:ascii="Times New Roman" w:hAnsi="Times New Roman" w:cs="Times New Roman"/>
          <w:color w:val="auto"/>
          <w:highlight w:val="none"/>
          <w:lang w:val="en-US" w:eastAsia="zh-CN"/>
        </w:rPr>
        <w:t>0.012</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0.0041</w:t>
      </w:r>
      <w:r>
        <w:rPr>
          <w:rFonts w:hint="default" w:ascii="Times New Roman" w:hAnsi="Times New Roman" w:cs="Times New Roman"/>
          <w:color w:val="auto"/>
          <w:highlight w:val="none"/>
        </w:rPr>
        <w:t>kg/h）。</w:t>
      </w:r>
    </w:p>
    <w:p w14:paraId="7C1B84E9">
      <w:pPr>
        <w:pStyle w:val="27"/>
        <w:bidi w:val="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348867F">
      <w:pPr>
        <w:pStyle w:val="29"/>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zh-CN"/>
        </w:rPr>
        <w:t>废气污染物源强核算结果及相关参数一览表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0"/>
        <w:gridCol w:w="549"/>
        <w:gridCol w:w="762"/>
        <w:gridCol w:w="727"/>
        <w:gridCol w:w="566"/>
        <w:gridCol w:w="1300"/>
        <w:gridCol w:w="1091"/>
        <w:gridCol w:w="1013"/>
        <w:gridCol w:w="1349"/>
        <w:gridCol w:w="813"/>
        <w:gridCol w:w="630"/>
        <w:gridCol w:w="1067"/>
        <w:gridCol w:w="1091"/>
        <w:gridCol w:w="1019"/>
        <w:gridCol w:w="637"/>
      </w:tblGrid>
      <w:tr w14:paraId="1704C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Merge w:val="restart"/>
            <w:tcBorders>
              <w:tl2br w:val="nil"/>
              <w:tr2bl w:val="nil"/>
            </w:tcBorders>
            <w:vAlign w:val="center"/>
          </w:tcPr>
          <w:p w14:paraId="105C61C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工序</w:t>
            </w:r>
          </w:p>
        </w:tc>
        <w:tc>
          <w:tcPr>
            <w:tcW w:w="204" w:type="pct"/>
            <w:vMerge w:val="restart"/>
            <w:tcBorders>
              <w:tl2br w:val="nil"/>
              <w:tr2bl w:val="nil"/>
            </w:tcBorders>
            <w:vAlign w:val="center"/>
          </w:tcPr>
          <w:p w14:paraId="431EAB4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装置</w:t>
            </w:r>
          </w:p>
        </w:tc>
        <w:tc>
          <w:tcPr>
            <w:tcW w:w="283" w:type="pct"/>
            <w:vMerge w:val="restart"/>
            <w:tcBorders>
              <w:tl2br w:val="nil"/>
              <w:tr2bl w:val="nil"/>
            </w:tcBorders>
            <w:vAlign w:val="center"/>
          </w:tcPr>
          <w:p w14:paraId="0A9E0AA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污染源</w:t>
            </w:r>
          </w:p>
        </w:tc>
        <w:tc>
          <w:tcPr>
            <w:tcW w:w="270" w:type="pct"/>
            <w:vMerge w:val="restart"/>
            <w:tcBorders>
              <w:tl2br w:val="nil"/>
              <w:tr2bl w:val="nil"/>
            </w:tcBorders>
            <w:vAlign w:val="center"/>
          </w:tcPr>
          <w:p w14:paraId="6C0A86A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w:t>
            </w:r>
          </w:p>
        </w:tc>
        <w:tc>
          <w:tcPr>
            <w:tcW w:w="1475" w:type="pct"/>
            <w:gridSpan w:val="4"/>
            <w:tcBorders>
              <w:tl2br w:val="nil"/>
              <w:tr2bl w:val="nil"/>
            </w:tcBorders>
            <w:vAlign w:val="center"/>
          </w:tcPr>
          <w:p w14:paraId="6ADD598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污染物产生</w:t>
            </w:r>
          </w:p>
        </w:tc>
        <w:tc>
          <w:tcPr>
            <w:tcW w:w="803" w:type="pct"/>
            <w:gridSpan w:val="2"/>
            <w:tcBorders>
              <w:tl2br w:val="nil"/>
              <w:tr2bl w:val="nil"/>
            </w:tcBorders>
            <w:vAlign w:val="center"/>
          </w:tcPr>
          <w:p w14:paraId="48C1C48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治理措施</w:t>
            </w:r>
          </w:p>
        </w:tc>
        <w:tc>
          <w:tcPr>
            <w:tcW w:w="1414" w:type="pct"/>
            <w:gridSpan w:val="4"/>
            <w:tcBorders>
              <w:tl2br w:val="nil"/>
              <w:tr2bl w:val="nil"/>
            </w:tcBorders>
            <w:vAlign w:val="center"/>
          </w:tcPr>
          <w:p w14:paraId="4C9C3E9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污染物排放</w:t>
            </w:r>
          </w:p>
        </w:tc>
        <w:tc>
          <w:tcPr>
            <w:tcW w:w="236" w:type="pct"/>
            <w:vMerge w:val="restart"/>
            <w:tcBorders>
              <w:tl2br w:val="nil"/>
              <w:tr2bl w:val="nil"/>
            </w:tcBorders>
            <w:vAlign w:val="center"/>
          </w:tcPr>
          <w:p w14:paraId="2119E36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w:t>
            </w:r>
          </w:p>
          <w:p w14:paraId="793590E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时间h</w:t>
            </w:r>
          </w:p>
        </w:tc>
      </w:tr>
      <w:tr w14:paraId="76A11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Merge w:val="continue"/>
            <w:tcBorders>
              <w:tl2br w:val="nil"/>
              <w:tr2bl w:val="nil"/>
            </w:tcBorders>
            <w:vAlign w:val="center"/>
          </w:tcPr>
          <w:p w14:paraId="2D61CFF2">
            <w:pPr>
              <w:pStyle w:val="46"/>
              <w:bidi w:val="0"/>
              <w:jc w:val="center"/>
              <w:rPr>
                <w:rFonts w:hint="default" w:ascii="Times New Roman" w:hAnsi="Times New Roman" w:cs="Times New Roman"/>
                <w:color w:val="auto"/>
                <w:highlight w:val="none"/>
                <w:lang w:val="zh-CN"/>
              </w:rPr>
            </w:pPr>
          </w:p>
        </w:tc>
        <w:tc>
          <w:tcPr>
            <w:tcW w:w="204" w:type="pct"/>
            <w:vMerge w:val="continue"/>
            <w:tcBorders>
              <w:tl2br w:val="nil"/>
              <w:tr2bl w:val="nil"/>
            </w:tcBorders>
            <w:vAlign w:val="center"/>
          </w:tcPr>
          <w:p w14:paraId="1C734C7C">
            <w:pPr>
              <w:pStyle w:val="46"/>
              <w:bidi w:val="0"/>
              <w:jc w:val="center"/>
              <w:rPr>
                <w:rFonts w:hint="default" w:ascii="Times New Roman" w:hAnsi="Times New Roman" w:cs="Times New Roman"/>
                <w:color w:val="auto"/>
                <w:highlight w:val="none"/>
                <w:lang w:val="zh-CN"/>
              </w:rPr>
            </w:pPr>
          </w:p>
        </w:tc>
        <w:tc>
          <w:tcPr>
            <w:tcW w:w="283" w:type="pct"/>
            <w:vMerge w:val="continue"/>
            <w:tcBorders>
              <w:tl2br w:val="nil"/>
              <w:tr2bl w:val="nil"/>
            </w:tcBorders>
            <w:vAlign w:val="center"/>
          </w:tcPr>
          <w:p w14:paraId="0E49F529">
            <w:pPr>
              <w:pStyle w:val="46"/>
              <w:bidi w:val="0"/>
              <w:jc w:val="center"/>
              <w:rPr>
                <w:rFonts w:hint="default" w:ascii="Times New Roman" w:hAnsi="Times New Roman" w:cs="Times New Roman"/>
                <w:color w:val="auto"/>
                <w:highlight w:val="none"/>
                <w:lang w:val="zh-CN"/>
              </w:rPr>
            </w:pPr>
          </w:p>
        </w:tc>
        <w:tc>
          <w:tcPr>
            <w:tcW w:w="270" w:type="pct"/>
            <w:vMerge w:val="continue"/>
            <w:tcBorders>
              <w:tl2br w:val="nil"/>
              <w:tr2bl w:val="nil"/>
            </w:tcBorders>
            <w:vAlign w:val="center"/>
          </w:tcPr>
          <w:p w14:paraId="464EDDA4">
            <w:pPr>
              <w:pStyle w:val="46"/>
              <w:bidi w:val="0"/>
              <w:jc w:val="center"/>
              <w:rPr>
                <w:rFonts w:hint="default" w:ascii="Times New Roman" w:hAnsi="Times New Roman" w:cs="Times New Roman"/>
                <w:color w:val="auto"/>
                <w:highlight w:val="none"/>
                <w:lang w:val="zh-CN"/>
              </w:rPr>
            </w:pPr>
          </w:p>
        </w:tc>
        <w:tc>
          <w:tcPr>
            <w:tcW w:w="210" w:type="pct"/>
            <w:tcBorders>
              <w:tl2br w:val="nil"/>
              <w:tr2bl w:val="nil"/>
            </w:tcBorders>
            <w:vAlign w:val="center"/>
          </w:tcPr>
          <w:p w14:paraId="5A99BBD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483" w:type="pct"/>
            <w:tcBorders>
              <w:tl2br w:val="nil"/>
              <w:tr2bl w:val="nil"/>
            </w:tcBorders>
            <w:vAlign w:val="center"/>
          </w:tcPr>
          <w:p w14:paraId="56C6EF3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废气产生量（m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/h）</w:t>
            </w:r>
          </w:p>
        </w:tc>
        <w:tc>
          <w:tcPr>
            <w:tcW w:w="405" w:type="pct"/>
            <w:tcBorders>
              <w:tl2br w:val="nil"/>
              <w:tr2bl w:val="nil"/>
            </w:tcBorders>
            <w:vAlign w:val="center"/>
          </w:tcPr>
          <w:p w14:paraId="28D48E0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产生浓度（mg/m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7D58F24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产生量（kg/h)</w:t>
            </w:r>
          </w:p>
        </w:tc>
        <w:tc>
          <w:tcPr>
            <w:tcW w:w="501" w:type="pct"/>
            <w:tcBorders>
              <w:tl2br w:val="nil"/>
              <w:tr2bl w:val="nil"/>
            </w:tcBorders>
            <w:vAlign w:val="center"/>
          </w:tcPr>
          <w:p w14:paraId="5853DB9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工艺</w:t>
            </w:r>
          </w:p>
        </w:tc>
        <w:tc>
          <w:tcPr>
            <w:tcW w:w="302" w:type="pct"/>
            <w:tcBorders>
              <w:tl2br w:val="nil"/>
              <w:tr2bl w:val="nil"/>
            </w:tcBorders>
            <w:vAlign w:val="center"/>
          </w:tcPr>
          <w:p w14:paraId="241D3B6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处理效率（%）</w:t>
            </w:r>
          </w:p>
        </w:tc>
        <w:tc>
          <w:tcPr>
            <w:tcW w:w="234" w:type="pct"/>
            <w:tcBorders>
              <w:tl2br w:val="nil"/>
              <w:tr2bl w:val="nil"/>
            </w:tcBorders>
            <w:vAlign w:val="center"/>
          </w:tcPr>
          <w:p w14:paraId="107CB3B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396" w:type="pct"/>
            <w:tcBorders>
              <w:tl2br w:val="nil"/>
              <w:tr2bl w:val="nil"/>
            </w:tcBorders>
            <w:vAlign w:val="center"/>
          </w:tcPr>
          <w:p w14:paraId="1B06358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废气排放量（m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/h）</w:t>
            </w:r>
          </w:p>
        </w:tc>
        <w:tc>
          <w:tcPr>
            <w:tcW w:w="405" w:type="pct"/>
            <w:tcBorders>
              <w:tl2br w:val="nil"/>
              <w:tr2bl w:val="nil"/>
            </w:tcBorders>
            <w:vAlign w:val="center"/>
          </w:tcPr>
          <w:p w14:paraId="5840B75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排放浓度（mg/m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45C7488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排放量（kg/h）</w:t>
            </w:r>
          </w:p>
        </w:tc>
        <w:tc>
          <w:tcPr>
            <w:tcW w:w="236" w:type="pct"/>
            <w:vMerge w:val="continue"/>
            <w:tcBorders>
              <w:tl2br w:val="nil"/>
              <w:tr2bl w:val="nil"/>
            </w:tcBorders>
            <w:vAlign w:val="center"/>
          </w:tcPr>
          <w:p w14:paraId="0935F913">
            <w:pPr>
              <w:pStyle w:val="46"/>
              <w:bidi w:val="0"/>
              <w:jc w:val="center"/>
              <w:rPr>
                <w:rFonts w:hint="default" w:ascii="Times New Roman" w:hAnsi="Times New Roman" w:cs="Times New Roman"/>
                <w:color w:val="auto"/>
                <w:highlight w:val="none"/>
                <w:lang w:val="zh-CN"/>
              </w:rPr>
            </w:pPr>
          </w:p>
        </w:tc>
      </w:tr>
      <w:tr w14:paraId="469B4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12" w:type="pct"/>
            <w:vMerge w:val="restart"/>
            <w:tcBorders>
              <w:tl2br w:val="nil"/>
              <w:tr2bl w:val="nil"/>
            </w:tcBorders>
            <w:vAlign w:val="center"/>
          </w:tcPr>
          <w:p w14:paraId="1C0EDD4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回填、装卸、运输</w:t>
            </w:r>
          </w:p>
        </w:tc>
        <w:tc>
          <w:tcPr>
            <w:tcW w:w="204" w:type="pct"/>
            <w:vMerge w:val="restart"/>
            <w:tcBorders>
              <w:tl2br w:val="nil"/>
              <w:tr2bl w:val="nil"/>
            </w:tcBorders>
            <w:vAlign w:val="center"/>
          </w:tcPr>
          <w:p w14:paraId="014B748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83" w:type="pct"/>
            <w:vMerge w:val="restart"/>
            <w:tcBorders>
              <w:tl2br w:val="nil"/>
              <w:tr2bl w:val="nil"/>
            </w:tcBorders>
            <w:vAlign w:val="center"/>
          </w:tcPr>
          <w:p w14:paraId="46C1944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70" w:type="pct"/>
            <w:tcBorders>
              <w:tl2br w:val="nil"/>
              <w:tr2bl w:val="nil"/>
            </w:tcBorders>
            <w:vAlign w:val="center"/>
          </w:tcPr>
          <w:p w14:paraId="0B61C3E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210" w:type="pct"/>
            <w:vMerge w:val="restart"/>
            <w:tcBorders>
              <w:tl2br w:val="nil"/>
              <w:tr2bl w:val="nil"/>
            </w:tcBorders>
            <w:vAlign w:val="center"/>
          </w:tcPr>
          <w:p w14:paraId="40A559FF">
            <w:pPr>
              <w:pStyle w:val="46"/>
              <w:bidi w:val="0"/>
              <w:jc w:val="center"/>
              <w:rPr>
                <w:rFonts w:hint="default" w:cs="Times New Roman"/>
                <w:color w:val="auto"/>
                <w:highlight w:val="none"/>
                <w:lang w:val="en-US" w:eastAsia="zh-CN"/>
              </w:rPr>
            </w:pPr>
            <w:r>
              <w:rPr>
                <w:rFonts w:hint="eastAsia" w:cs="Times New Roman"/>
                <w:color w:val="auto"/>
                <w:highlight w:val="none"/>
                <w:lang w:val="en-US" w:eastAsia="zh-CN"/>
              </w:rPr>
              <w:t>系数法</w:t>
            </w:r>
          </w:p>
        </w:tc>
        <w:tc>
          <w:tcPr>
            <w:tcW w:w="483" w:type="pct"/>
            <w:vMerge w:val="restart"/>
            <w:tcBorders>
              <w:tl2br w:val="nil"/>
              <w:tr2bl w:val="nil"/>
            </w:tcBorders>
            <w:vAlign w:val="center"/>
          </w:tcPr>
          <w:p w14:paraId="227A66C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4CC4A8C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2F8C53CE">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59</w:t>
            </w:r>
          </w:p>
        </w:tc>
        <w:tc>
          <w:tcPr>
            <w:tcW w:w="501" w:type="pct"/>
            <w:vMerge w:val="restart"/>
            <w:tcBorders>
              <w:tl2br w:val="nil"/>
              <w:tr2bl w:val="nil"/>
            </w:tcBorders>
            <w:vAlign w:val="center"/>
          </w:tcPr>
          <w:p w14:paraId="3577DA6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自然扩散</w:t>
            </w:r>
          </w:p>
        </w:tc>
        <w:tc>
          <w:tcPr>
            <w:tcW w:w="302" w:type="pct"/>
            <w:tcBorders>
              <w:tl2br w:val="nil"/>
              <w:tr2bl w:val="nil"/>
            </w:tcBorders>
            <w:vAlign w:val="center"/>
          </w:tcPr>
          <w:p w14:paraId="52038A9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restart"/>
            <w:tcBorders>
              <w:tl2br w:val="nil"/>
              <w:tr2bl w:val="nil"/>
            </w:tcBorders>
            <w:vAlign w:val="center"/>
          </w:tcPr>
          <w:p w14:paraId="6CE7F05B">
            <w:pPr>
              <w:pStyle w:val="46"/>
              <w:bidi w:val="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系数法</w:t>
            </w:r>
          </w:p>
        </w:tc>
        <w:tc>
          <w:tcPr>
            <w:tcW w:w="396" w:type="pct"/>
            <w:vMerge w:val="restart"/>
            <w:tcBorders>
              <w:tl2br w:val="nil"/>
              <w:tr2bl w:val="nil"/>
            </w:tcBorders>
            <w:vAlign w:val="center"/>
          </w:tcPr>
          <w:p w14:paraId="18FCD3C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3655A24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0E3E8875">
            <w:pPr>
              <w:pStyle w:val="46"/>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59</w:t>
            </w:r>
          </w:p>
        </w:tc>
        <w:tc>
          <w:tcPr>
            <w:tcW w:w="236" w:type="pct"/>
            <w:vMerge w:val="restart"/>
            <w:tcBorders>
              <w:tl2br w:val="nil"/>
              <w:tr2bl w:val="nil"/>
            </w:tcBorders>
            <w:vAlign w:val="center"/>
          </w:tcPr>
          <w:p w14:paraId="1005B91D">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2640</w:t>
            </w:r>
          </w:p>
        </w:tc>
      </w:tr>
      <w:tr w14:paraId="216FD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312" w:type="pct"/>
            <w:vMerge w:val="continue"/>
            <w:tcBorders>
              <w:tl2br w:val="nil"/>
              <w:tr2bl w:val="nil"/>
            </w:tcBorders>
            <w:vAlign w:val="center"/>
          </w:tcPr>
          <w:p w14:paraId="4D28411D">
            <w:pPr>
              <w:pStyle w:val="46"/>
              <w:bidi w:val="0"/>
              <w:jc w:val="center"/>
              <w:rPr>
                <w:rFonts w:hint="default" w:ascii="Times New Roman" w:hAnsi="Times New Roman" w:cs="Times New Roman"/>
                <w:color w:val="auto"/>
                <w:highlight w:val="none"/>
                <w:lang w:val="zh-CN"/>
              </w:rPr>
            </w:pPr>
          </w:p>
        </w:tc>
        <w:tc>
          <w:tcPr>
            <w:tcW w:w="204" w:type="pct"/>
            <w:vMerge w:val="continue"/>
            <w:tcBorders>
              <w:tl2br w:val="nil"/>
              <w:tr2bl w:val="nil"/>
            </w:tcBorders>
            <w:vAlign w:val="center"/>
          </w:tcPr>
          <w:p w14:paraId="1C56E0AF">
            <w:pPr>
              <w:pStyle w:val="46"/>
              <w:bidi w:val="0"/>
              <w:jc w:val="center"/>
              <w:rPr>
                <w:rFonts w:hint="default" w:ascii="Times New Roman" w:hAnsi="Times New Roman" w:cs="Times New Roman"/>
                <w:color w:val="auto"/>
                <w:highlight w:val="none"/>
                <w:lang w:val="zh-CN"/>
              </w:rPr>
            </w:pPr>
          </w:p>
        </w:tc>
        <w:tc>
          <w:tcPr>
            <w:tcW w:w="283" w:type="pct"/>
            <w:vMerge w:val="continue"/>
            <w:tcBorders>
              <w:tl2br w:val="nil"/>
              <w:tr2bl w:val="nil"/>
            </w:tcBorders>
            <w:vAlign w:val="center"/>
          </w:tcPr>
          <w:p w14:paraId="4BF669AC">
            <w:pPr>
              <w:pStyle w:val="46"/>
              <w:bidi w:val="0"/>
              <w:jc w:val="center"/>
              <w:rPr>
                <w:rFonts w:hint="default" w:ascii="Times New Roman" w:hAnsi="Times New Roman" w:cs="Times New Roman"/>
                <w:color w:val="auto"/>
                <w:highlight w:val="none"/>
                <w:lang w:val="zh-CN"/>
              </w:rPr>
            </w:pPr>
          </w:p>
        </w:tc>
        <w:tc>
          <w:tcPr>
            <w:tcW w:w="270" w:type="pct"/>
            <w:tcBorders>
              <w:tl2br w:val="nil"/>
              <w:tr2bl w:val="nil"/>
            </w:tcBorders>
            <w:vAlign w:val="center"/>
          </w:tcPr>
          <w:p w14:paraId="4740CBF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NOx</w:t>
            </w:r>
          </w:p>
        </w:tc>
        <w:tc>
          <w:tcPr>
            <w:tcW w:w="210" w:type="pct"/>
            <w:vMerge w:val="continue"/>
            <w:tcBorders>
              <w:tl2br w:val="nil"/>
              <w:tr2bl w:val="nil"/>
            </w:tcBorders>
            <w:vAlign w:val="center"/>
          </w:tcPr>
          <w:p w14:paraId="1BDEA751">
            <w:pPr>
              <w:pStyle w:val="46"/>
              <w:bidi w:val="0"/>
              <w:jc w:val="center"/>
              <w:rPr>
                <w:rFonts w:hint="default" w:cs="Times New Roman"/>
                <w:color w:val="auto"/>
                <w:highlight w:val="none"/>
                <w:lang w:val="zh-CN" w:eastAsia="zh-CN"/>
              </w:rPr>
            </w:pPr>
          </w:p>
        </w:tc>
        <w:tc>
          <w:tcPr>
            <w:tcW w:w="483" w:type="pct"/>
            <w:vMerge w:val="continue"/>
            <w:tcBorders>
              <w:tl2br w:val="nil"/>
              <w:tr2bl w:val="nil"/>
            </w:tcBorders>
            <w:vAlign w:val="center"/>
          </w:tcPr>
          <w:p w14:paraId="47C59250">
            <w:pPr>
              <w:pStyle w:val="46"/>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018AD04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4564AC4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84</w:t>
            </w:r>
          </w:p>
        </w:tc>
        <w:tc>
          <w:tcPr>
            <w:tcW w:w="501" w:type="pct"/>
            <w:vMerge w:val="continue"/>
            <w:tcBorders>
              <w:tl2br w:val="nil"/>
              <w:tr2bl w:val="nil"/>
            </w:tcBorders>
            <w:vAlign w:val="center"/>
          </w:tcPr>
          <w:p w14:paraId="4232D985">
            <w:pPr>
              <w:pStyle w:val="46"/>
              <w:bidi w:val="0"/>
              <w:jc w:val="center"/>
              <w:rPr>
                <w:rFonts w:hint="default" w:ascii="Times New Roman" w:hAnsi="Times New Roman" w:cs="Times New Roman"/>
                <w:color w:val="auto"/>
                <w:highlight w:val="none"/>
                <w:lang w:val="zh-CN"/>
              </w:rPr>
            </w:pPr>
          </w:p>
        </w:tc>
        <w:tc>
          <w:tcPr>
            <w:tcW w:w="302" w:type="pct"/>
            <w:tcBorders>
              <w:tl2br w:val="nil"/>
              <w:tr2bl w:val="nil"/>
            </w:tcBorders>
            <w:vAlign w:val="center"/>
          </w:tcPr>
          <w:p w14:paraId="33CF969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continue"/>
            <w:tcBorders>
              <w:tl2br w:val="nil"/>
              <w:tr2bl w:val="nil"/>
            </w:tcBorders>
            <w:vAlign w:val="center"/>
          </w:tcPr>
          <w:p w14:paraId="3DCFE496">
            <w:pPr>
              <w:pStyle w:val="46"/>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6B8112E6">
            <w:pPr>
              <w:pStyle w:val="46"/>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51BEFB8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26C4ABE2">
            <w:pPr>
              <w:pStyle w:val="46"/>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84</w:t>
            </w:r>
          </w:p>
        </w:tc>
        <w:tc>
          <w:tcPr>
            <w:tcW w:w="236" w:type="pct"/>
            <w:vMerge w:val="continue"/>
            <w:tcBorders>
              <w:tl2br w:val="nil"/>
              <w:tr2bl w:val="nil"/>
            </w:tcBorders>
            <w:vAlign w:val="center"/>
          </w:tcPr>
          <w:p w14:paraId="6202D344">
            <w:pPr>
              <w:pStyle w:val="46"/>
              <w:bidi w:val="0"/>
              <w:jc w:val="center"/>
              <w:rPr>
                <w:rFonts w:hint="default" w:ascii="Times New Roman" w:hAnsi="Times New Roman" w:cs="Times New Roman"/>
                <w:color w:val="auto"/>
                <w:highlight w:val="none"/>
                <w:lang w:val="zh-CN"/>
              </w:rPr>
            </w:pPr>
          </w:p>
        </w:tc>
      </w:tr>
      <w:tr w14:paraId="27B0F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Merge w:val="continue"/>
            <w:tcBorders>
              <w:tl2br w:val="nil"/>
              <w:tr2bl w:val="nil"/>
            </w:tcBorders>
            <w:vAlign w:val="center"/>
          </w:tcPr>
          <w:p w14:paraId="5A13F874">
            <w:pPr>
              <w:pStyle w:val="46"/>
              <w:bidi w:val="0"/>
              <w:jc w:val="center"/>
              <w:rPr>
                <w:rFonts w:hint="default" w:ascii="Times New Roman" w:hAnsi="Times New Roman" w:cs="Times New Roman"/>
                <w:color w:val="auto"/>
                <w:highlight w:val="none"/>
                <w:lang w:val="zh-CN"/>
              </w:rPr>
            </w:pPr>
          </w:p>
        </w:tc>
        <w:tc>
          <w:tcPr>
            <w:tcW w:w="204" w:type="pct"/>
            <w:vMerge w:val="continue"/>
            <w:tcBorders>
              <w:tl2br w:val="nil"/>
              <w:tr2bl w:val="nil"/>
            </w:tcBorders>
            <w:vAlign w:val="center"/>
          </w:tcPr>
          <w:p w14:paraId="4B2F5C5F">
            <w:pPr>
              <w:pStyle w:val="46"/>
              <w:bidi w:val="0"/>
              <w:jc w:val="center"/>
              <w:rPr>
                <w:rFonts w:hint="default" w:ascii="Times New Roman" w:hAnsi="Times New Roman" w:cs="Times New Roman"/>
                <w:color w:val="auto"/>
                <w:highlight w:val="none"/>
                <w:lang w:val="zh-CN"/>
              </w:rPr>
            </w:pPr>
          </w:p>
        </w:tc>
        <w:tc>
          <w:tcPr>
            <w:tcW w:w="283" w:type="pct"/>
            <w:vMerge w:val="continue"/>
            <w:tcBorders>
              <w:tl2br w:val="nil"/>
              <w:tr2bl w:val="nil"/>
            </w:tcBorders>
            <w:vAlign w:val="center"/>
          </w:tcPr>
          <w:p w14:paraId="72F7875E">
            <w:pPr>
              <w:pStyle w:val="46"/>
              <w:bidi w:val="0"/>
              <w:jc w:val="center"/>
              <w:rPr>
                <w:rFonts w:hint="default" w:ascii="Times New Roman" w:hAnsi="Times New Roman" w:cs="Times New Roman"/>
                <w:color w:val="auto"/>
                <w:highlight w:val="none"/>
                <w:lang w:val="zh-CN"/>
              </w:rPr>
            </w:pPr>
          </w:p>
        </w:tc>
        <w:tc>
          <w:tcPr>
            <w:tcW w:w="270" w:type="pct"/>
            <w:tcBorders>
              <w:tl2br w:val="nil"/>
              <w:tr2bl w:val="nil"/>
            </w:tcBorders>
            <w:vAlign w:val="center"/>
          </w:tcPr>
          <w:p w14:paraId="1D111FB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w:t>
            </w:r>
          </w:p>
        </w:tc>
        <w:tc>
          <w:tcPr>
            <w:tcW w:w="210" w:type="pct"/>
            <w:vMerge w:val="continue"/>
            <w:tcBorders>
              <w:tl2br w:val="nil"/>
              <w:tr2bl w:val="nil"/>
            </w:tcBorders>
            <w:vAlign w:val="center"/>
          </w:tcPr>
          <w:p w14:paraId="34FA0E4A">
            <w:pPr>
              <w:pStyle w:val="46"/>
              <w:bidi w:val="0"/>
              <w:jc w:val="center"/>
              <w:rPr>
                <w:rFonts w:hint="default" w:cs="Times New Roman"/>
                <w:color w:val="auto"/>
                <w:highlight w:val="none"/>
                <w:lang w:val="zh-CN" w:eastAsia="zh-CN"/>
              </w:rPr>
            </w:pPr>
          </w:p>
        </w:tc>
        <w:tc>
          <w:tcPr>
            <w:tcW w:w="483" w:type="pct"/>
            <w:vMerge w:val="continue"/>
            <w:tcBorders>
              <w:tl2br w:val="nil"/>
              <w:tr2bl w:val="nil"/>
            </w:tcBorders>
            <w:vAlign w:val="center"/>
          </w:tcPr>
          <w:p w14:paraId="7802F4D0">
            <w:pPr>
              <w:pStyle w:val="46"/>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2476B7C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79758D55">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w:t>
            </w:r>
            <w:r>
              <w:rPr>
                <w:rFonts w:hint="default" w:ascii="Times New Roman" w:hAnsi="Times New Roman" w:cs="Times New Roman"/>
                <w:color w:val="auto"/>
                <w:highlight w:val="none"/>
                <w:lang w:val="en-US" w:eastAsia="zh-CN"/>
              </w:rPr>
              <w:t>019</w:t>
            </w:r>
          </w:p>
        </w:tc>
        <w:tc>
          <w:tcPr>
            <w:tcW w:w="501" w:type="pct"/>
            <w:vMerge w:val="continue"/>
            <w:tcBorders>
              <w:tl2br w:val="nil"/>
              <w:tr2bl w:val="nil"/>
            </w:tcBorders>
            <w:vAlign w:val="center"/>
          </w:tcPr>
          <w:p w14:paraId="2DBBE4A0">
            <w:pPr>
              <w:pStyle w:val="46"/>
              <w:bidi w:val="0"/>
              <w:jc w:val="center"/>
              <w:rPr>
                <w:rFonts w:hint="default" w:ascii="Times New Roman" w:hAnsi="Times New Roman" w:cs="Times New Roman"/>
                <w:color w:val="auto"/>
                <w:highlight w:val="none"/>
                <w:lang w:val="zh-CN"/>
              </w:rPr>
            </w:pPr>
          </w:p>
        </w:tc>
        <w:tc>
          <w:tcPr>
            <w:tcW w:w="302" w:type="pct"/>
            <w:tcBorders>
              <w:tl2br w:val="nil"/>
              <w:tr2bl w:val="nil"/>
            </w:tcBorders>
            <w:vAlign w:val="center"/>
          </w:tcPr>
          <w:p w14:paraId="1C3E939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continue"/>
            <w:tcBorders>
              <w:tl2br w:val="nil"/>
              <w:tr2bl w:val="nil"/>
            </w:tcBorders>
            <w:vAlign w:val="center"/>
          </w:tcPr>
          <w:p w14:paraId="27B0A395">
            <w:pPr>
              <w:pStyle w:val="46"/>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3E80468C">
            <w:pPr>
              <w:pStyle w:val="46"/>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5A1F444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7C8AFBFB">
            <w:pPr>
              <w:pStyle w:val="46"/>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w:t>
            </w:r>
            <w:r>
              <w:rPr>
                <w:rFonts w:hint="default" w:ascii="Times New Roman" w:hAnsi="Times New Roman" w:cs="Times New Roman"/>
                <w:color w:val="auto"/>
                <w:highlight w:val="none"/>
                <w:lang w:val="en-US" w:eastAsia="zh-CN"/>
              </w:rPr>
              <w:t>019</w:t>
            </w:r>
          </w:p>
        </w:tc>
        <w:tc>
          <w:tcPr>
            <w:tcW w:w="236" w:type="pct"/>
            <w:vMerge w:val="continue"/>
            <w:tcBorders>
              <w:tl2br w:val="nil"/>
              <w:tr2bl w:val="nil"/>
            </w:tcBorders>
            <w:vAlign w:val="center"/>
          </w:tcPr>
          <w:p w14:paraId="7AF1C21E">
            <w:pPr>
              <w:pStyle w:val="46"/>
              <w:bidi w:val="0"/>
              <w:jc w:val="center"/>
              <w:rPr>
                <w:rFonts w:hint="default" w:ascii="Times New Roman" w:hAnsi="Times New Roman" w:cs="Times New Roman"/>
                <w:color w:val="auto"/>
                <w:highlight w:val="none"/>
                <w:lang w:val="zh-CN"/>
              </w:rPr>
            </w:pPr>
          </w:p>
        </w:tc>
      </w:tr>
      <w:tr w14:paraId="74624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Merge w:val="restart"/>
            <w:tcBorders>
              <w:tl2br w:val="nil"/>
              <w:tr2bl w:val="nil"/>
            </w:tcBorders>
            <w:vAlign w:val="center"/>
          </w:tcPr>
          <w:p w14:paraId="4AC73266">
            <w:pPr>
              <w:pStyle w:val="46"/>
              <w:bidi w:val="0"/>
              <w:jc w:val="center"/>
              <w:rPr>
                <w:rFonts w:hint="default" w:ascii="Times New Roman" w:hAnsi="Times New Roman" w:cs="Times New Roman"/>
                <w:color w:val="auto"/>
                <w:highlight w:val="none"/>
                <w:lang w:val="zh-CN"/>
              </w:rPr>
            </w:pPr>
            <w:bookmarkStart w:id="185" w:name="_Hlk85555981"/>
            <w:r>
              <w:rPr>
                <w:rFonts w:hint="default" w:ascii="Times New Roman" w:hAnsi="Times New Roman" w:cs="Times New Roman"/>
                <w:color w:val="auto"/>
                <w:highlight w:val="none"/>
                <w:lang w:val="zh-CN"/>
              </w:rPr>
              <w:t>回填、装卸、运输</w:t>
            </w:r>
          </w:p>
        </w:tc>
        <w:tc>
          <w:tcPr>
            <w:tcW w:w="204" w:type="pct"/>
            <w:vMerge w:val="restart"/>
            <w:tcBorders>
              <w:tl2br w:val="nil"/>
              <w:tr2bl w:val="nil"/>
            </w:tcBorders>
            <w:vAlign w:val="center"/>
          </w:tcPr>
          <w:p w14:paraId="56E5596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83" w:type="pct"/>
            <w:tcBorders>
              <w:tl2br w:val="nil"/>
              <w:tr2bl w:val="nil"/>
            </w:tcBorders>
            <w:vAlign w:val="center"/>
          </w:tcPr>
          <w:p w14:paraId="37A3C94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装卸、运输、堆积</w:t>
            </w:r>
          </w:p>
        </w:tc>
        <w:tc>
          <w:tcPr>
            <w:tcW w:w="270" w:type="pct"/>
            <w:tcBorders>
              <w:tl2br w:val="nil"/>
              <w:tr2bl w:val="nil"/>
            </w:tcBorders>
            <w:vAlign w:val="center"/>
          </w:tcPr>
          <w:p w14:paraId="216D116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210" w:type="pct"/>
            <w:tcBorders>
              <w:tl2br w:val="nil"/>
              <w:tr2bl w:val="nil"/>
            </w:tcBorders>
            <w:vAlign w:val="center"/>
          </w:tcPr>
          <w:p w14:paraId="7041F5EF">
            <w:pPr>
              <w:pStyle w:val="46"/>
              <w:bidi w:val="0"/>
              <w:jc w:val="center"/>
              <w:rPr>
                <w:rFonts w:hint="default" w:cs="Times New Roman"/>
                <w:color w:val="auto"/>
                <w:highlight w:val="none"/>
                <w:lang w:val="zh-CN" w:eastAsia="zh-CN"/>
              </w:rPr>
            </w:pPr>
            <w:r>
              <w:rPr>
                <w:rFonts w:hint="eastAsia" w:cs="Times New Roman"/>
                <w:color w:val="auto"/>
                <w:highlight w:val="none"/>
                <w:lang w:val="en-US" w:eastAsia="zh-CN"/>
              </w:rPr>
              <w:t>系数法</w:t>
            </w:r>
          </w:p>
        </w:tc>
        <w:tc>
          <w:tcPr>
            <w:tcW w:w="483" w:type="pct"/>
            <w:tcBorders>
              <w:tl2br w:val="nil"/>
              <w:tr2bl w:val="nil"/>
            </w:tcBorders>
            <w:vAlign w:val="center"/>
          </w:tcPr>
          <w:p w14:paraId="2D84B74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5777F68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3039B425">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0.015</w:t>
            </w:r>
          </w:p>
        </w:tc>
        <w:tc>
          <w:tcPr>
            <w:tcW w:w="501" w:type="pct"/>
            <w:tcBorders>
              <w:tl2br w:val="nil"/>
              <w:tr2bl w:val="nil"/>
            </w:tcBorders>
            <w:vAlign w:val="center"/>
          </w:tcPr>
          <w:p w14:paraId="30C0C92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洒水抑尘、及时苫盖、分区作业</w:t>
            </w:r>
          </w:p>
        </w:tc>
        <w:tc>
          <w:tcPr>
            <w:tcW w:w="302" w:type="pct"/>
            <w:tcBorders>
              <w:tl2br w:val="nil"/>
              <w:tr2bl w:val="nil"/>
            </w:tcBorders>
            <w:vAlign w:val="center"/>
          </w:tcPr>
          <w:p w14:paraId="6EF0E116">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74</w:t>
            </w:r>
          </w:p>
        </w:tc>
        <w:tc>
          <w:tcPr>
            <w:tcW w:w="234" w:type="pct"/>
            <w:tcBorders>
              <w:tl2br w:val="nil"/>
              <w:tr2bl w:val="nil"/>
            </w:tcBorders>
            <w:vAlign w:val="center"/>
          </w:tcPr>
          <w:p w14:paraId="29F7EAA0">
            <w:pPr>
              <w:pStyle w:val="46"/>
              <w:bidi w:val="0"/>
              <w:jc w:val="center"/>
              <w:rPr>
                <w:rFonts w:hint="default" w:ascii="Times New Roman" w:hAnsi="Times New Roman" w:cs="Times New Roman"/>
                <w:color w:val="auto"/>
                <w:highlight w:val="none"/>
                <w:lang w:val="zh-CN"/>
              </w:rPr>
            </w:pPr>
            <w:r>
              <w:rPr>
                <w:rFonts w:hint="eastAsia" w:cs="Times New Roman"/>
                <w:color w:val="auto"/>
                <w:highlight w:val="none"/>
                <w:lang w:val="en-US" w:eastAsia="zh-CN"/>
              </w:rPr>
              <w:t>系数法</w:t>
            </w:r>
          </w:p>
        </w:tc>
        <w:tc>
          <w:tcPr>
            <w:tcW w:w="396" w:type="pct"/>
            <w:tcBorders>
              <w:tl2br w:val="nil"/>
              <w:tr2bl w:val="nil"/>
            </w:tcBorders>
            <w:vAlign w:val="center"/>
          </w:tcPr>
          <w:p w14:paraId="26F0C9A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7E75CB9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081110BE">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0.0039</w:t>
            </w:r>
          </w:p>
        </w:tc>
        <w:tc>
          <w:tcPr>
            <w:tcW w:w="236" w:type="pct"/>
            <w:tcBorders>
              <w:tl2br w:val="nil"/>
              <w:tr2bl w:val="nil"/>
            </w:tcBorders>
            <w:vAlign w:val="center"/>
          </w:tcPr>
          <w:p w14:paraId="11BC0040">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2640</w:t>
            </w:r>
          </w:p>
        </w:tc>
      </w:tr>
      <w:bookmarkEnd w:id="185"/>
      <w:tr w14:paraId="65883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Merge w:val="continue"/>
            <w:tcBorders>
              <w:tl2br w:val="nil"/>
              <w:tr2bl w:val="nil"/>
            </w:tcBorders>
            <w:vAlign w:val="center"/>
          </w:tcPr>
          <w:p w14:paraId="7918FBE7">
            <w:pPr>
              <w:pStyle w:val="46"/>
              <w:bidi w:val="0"/>
              <w:jc w:val="center"/>
              <w:rPr>
                <w:rFonts w:hint="default" w:ascii="Times New Roman" w:hAnsi="Times New Roman" w:cs="Times New Roman"/>
                <w:color w:val="auto"/>
                <w:highlight w:val="none"/>
                <w:lang w:val="zh-CN"/>
              </w:rPr>
            </w:pPr>
          </w:p>
        </w:tc>
        <w:tc>
          <w:tcPr>
            <w:tcW w:w="204" w:type="pct"/>
            <w:vMerge w:val="continue"/>
            <w:tcBorders>
              <w:tl2br w:val="nil"/>
              <w:tr2bl w:val="nil"/>
            </w:tcBorders>
            <w:vAlign w:val="center"/>
          </w:tcPr>
          <w:p w14:paraId="4E84D450">
            <w:pPr>
              <w:pStyle w:val="46"/>
              <w:bidi w:val="0"/>
              <w:jc w:val="center"/>
              <w:rPr>
                <w:rFonts w:hint="default" w:ascii="Times New Roman" w:hAnsi="Times New Roman" w:cs="Times New Roman"/>
                <w:color w:val="auto"/>
                <w:highlight w:val="none"/>
                <w:lang w:val="zh-CN"/>
              </w:rPr>
            </w:pPr>
          </w:p>
        </w:tc>
        <w:tc>
          <w:tcPr>
            <w:tcW w:w="283" w:type="pct"/>
            <w:tcBorders>
              <w:tl2br w:val="nil"/>
              <w:tr2bl w:val="nil"/>
            </w:tcBorders>
            <w:vAlign w:val="center"/>
          </w:tcPr>
          <w:p w14:paraId="58D1E39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进场运输道路</w:t>
            </w:r>
          </w:p>
        </w:tc>
        <w:tc>
          <w:tcPr>
            <w:tcW w:w="270" w:type="pct"/>
            <w:tcBorders>
              <w:tl2br w:val="nil"/>
              <w:tr2bl w:val="nil"/>
            </w:tcBorders>
            <w:vAlign w:val="center"/>
          </w:tcPr>
          <w:p w14:paraId="0715129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210" w:type="pct"/>
            <w:tcBorders>
              <w:tl2br w:val="nil"/>
              <w:tr2bl w:val="nil"/>
            </w:tcBorders>
            <w:vAlign w:val="center"/>
          </w:tcPr>
          <w:p w14:paraId="4E76F290">
            <w:pPr>
              <w:pStyle w:val="46"/>
              <w:bidi w:val="0"/>
              <w:jc w:val="center"/>
              <w:rPr>
                <w:rFonts w:hint="default" w:cs="Times New Roman"/>
                <w:color w:val="auto"/>
                <w:highlight w:val="none"/>
                <w:lang w:val="zh-CN" w:eastAsia="zh-CN"/>
              </w:rPr>
            </w:pPr>
            <w:r>
              <w:rPr>
                <w:rFonts w:hint="eastAsia" w:cs="Times New Roman"/>
                <w:color w:val="auto"/>
                <w:highlight w:val="none"/>
                <w:lang w:val="en-US" w:eastAsia="zh-CN"/>
              </w:rPr>
              <w:t>系数法</w:t>
            </w:r>
          </w:p>
        </w:tc>
        <w:tc>
          <w:tcPr>
            <w:tcW w:w="483" w:type="pct"/>
            <w:tcBorders>
              <w:tl2br w:val="nil"/>
              <w:tr2bl w:val="nil"/>
            </w:tcBorders>
            <w:vAlign w:val="center"/>
          </w:tcPr>
          <w:p w14:paraId="444451A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0BFC8D1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6" w:type="pct"/>
            <w:tcBorders>
              <w:tl2br w:val="nil"/>
              <w:tr2bl w:val="nil"/>
            </w:tcBorders>
            <w:vAlign w:val="center"/>
          </w:tcPr>
          <w:p w14:paraId="72BD9201">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0.012</w:t>
            </w:r>
          </w:p>
        </w:tc>
        <w:tc>
          <w:tcPr>
            <w:tcW w:w="501" w:type="pct"/>
            <w:tcBorders>
              <w:tl2br w:val="nil"/>
              <w:tr2bl w:val="nil"/>
            </w:tcBorders>
            <w:vAlign w:val="center"/>
          </w:tcPr>
          <w:p w14:paraId="6D972AB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密闭运输、减速慢行、洒水抑尘</w:t>
            </w:r>
          </w:p>
        </w:tc>
        <w:tc>
          <w:tcPr>
            <w:tcW w:w="302" w:type="pct"/>
            <w:tcBorders>
              <w:tl2br w:val="nil"/>
              <w:tr2bl w:val="nil"/>
            </w:tcBorders>
            <w:vAlign w:val="center"/>
          </w:tcPr>
          <w:p w14:paraId="5B4EC68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66</w:t>
            </w:r>
          </w:p>
        </w:tc>
        <w:tc>
          <w:tcPr>
            <w:tcW w:w="234" w:type="pct"/>
            <w:tcBorders>
              <w:tl2br w:val="nil"/>
              <w:tr2bl w:val="nil"/>
            </w:tcBorders>
            <w:vAlign w:val="center"/>
          </w:tcPr>
          <w:p w14:paraId="78225831">
            <w:pPr>
              <w:pStyle w:val="46"/>
              <w:bidi w:val="0"/>
              <w:jc w:val="center"/>
              <w:rPr>
                <w:rFonts w:hint="default" w:ascii="Times New Roman" w:hAnsi="Times New Roman" w:cs="Times New Roman"/>
                <w:color w:val="auto"/>
                <w:highlight w:val="none"/>
                <w:lang w:val="zh-CN"/>
              </w:rPr>
            </w:pPr>
            <w:r>
              <w:rPr>
                <w:rFonts w:hint="eastAsia" w:cs="Times New Roman"/>
                <w:color w:val="auto"/>
                <w:highlight w:val="none"/>
                <w:lang w:val="en-US" w:eastAsia="zh-CN"/>
              </w:rPr>
              <w:t>系数法</w:t>
            </w:r>
          </w:p>
        </w:tc>
        <w:tc>
          <w:tcPr>
            <w:tcW w:w="396" w:type="pct"/>
            <w:tcBorders>
              <w:tl2br w:val="nil"/>
              <w:tr2bl w:val="nil"/>
            </w:tcBorders>
            <w:vAlign w:val="center"/>
          </w:tcPr>
          <w:p w14:paraId="589E506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4C7E676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8" w:type="pct"/>
            <w:tcBorders>
              <w:tl2br w:val="nil"/>
              <w:tr2bl w:val="nil"/>
            </w:tcBorders>
            <w:vAlign w:val="center"/>
          </w:tcPr>
          <w:p w14:paraId="28512C1D">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0.0041</w:t>
            </w:r>
          </w:p>
        </w:tc>
        <w:tc>
          <w:tcPr>
            <w:tcW w:w="236" w:type="pct"/>
            <w:tcBorders>
              <w:tl2br w:val="nil"/>
              <w:tr2bl w:val="nil"/>
            </w:tcBorders>
            <w:vAlign w:val="center"/>
          </w:tcPr>
          <w:p w14:paraId="4D1624A2">
            <w:pPr>
              <w:pStyle w:val="46"/>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2640</w:t>
            </w:r>
          </w:p>
        </w:tc>
      </w:tr>
    </w:tbl>
    <w:p w14:paraId="4AA92AA6">
      <w:pPr>
        <w:pStyle w:val="27"/>
        <w:bidi w:val="0"/>
        <w:rPr>
          <w:rFonts w:hint="default" w:ascii="Times New Roman" w:hAnsi="Times New Roman" w:cs="Times New Roman"/>
          <w:color w:val="auto"/>
          <w:highlight w:val="none"/>
        </w:rPr>
      </w:pPr>
    </w:p>
    <w:p w14:paraId="6361618B">
      <w:pPr>
        <w:pStyle w:val="27"/>
        <w:bidi w:val="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A6B6D1B">
      <w:pPr>
        <w:pStyle w:val="6"/>
        <w:bidi w:val="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3.3.1.2</w:t>
      </w:r>
      <w:r>
        <w:rPr>
          <w:rFonts w:hint="default" w:ascii="Times New Roman" w:hAnsi="Times New Roman" w:eastAsia="宋体" w:cs="Times New Roman"/>
          <w:color w:val="auto"/>
          <w:highlight w:val="none"/>
          <w:lang w:val="zh-CN" w:eastAsia="zh-CN"/>
        </w:rPr>
        <w:t>废水</w:t>
      </w:r>
    </w:p>
    <w:p w14:paraId="26456A0B">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本项目生产用水包括道路洒水和回填工作面抑尘洒水，本项目区内不单独建设车辆冲洗平台，无生产废水产生。</w:t>
      </w:r>
      <w:r>
        <w:rPr>
          <w:rFonts w:hint="default" w:ascii="Times New Roman" w:hAnsi="Times New Roman" w:cs="Times New Roman"/>
          <w:color w:val="auto"/>
          <w:highlight w:val="none"/>
          <w:lang w:val="en-US" w:eastAsia="zh-CN"/>
        </w:rPr>
        <w:t>本项目生活污水排入碎石厂防渗旱厕，定期清掏外运。</w:t>
      </w:r>
    </w:p>
    <w:p w14:paraId="266B4704">
      <w:pPr>
        <w:pStyle w:val="27"/>
        <w:numPr>
          <w:ilvl w:val="0"/>
          <w:numId w:val="9"/>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生活污水</w:t>
      </w:r>
    </w:p>
    <w:p w14:paraId="31CEE9BB">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生活污水按用水量的80%计算，则生活污水为0.32t/d，116.8t/a。生活污水排入南甸子碎石场的防渗旱厕，定期清掏，外运堆肥。</w:t>
      </w:r>
    </w:p>
    <w:p w14:paraId="395EDB9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2）降雨时淋溶水下渗的产生量 </w:t>
      </w:r>
    </w:p>
    <w:p w14:paraId="29E54B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①正常情况下产生量 </w:t>
      </w:r>
    </w:p>
    <w:p w14:paraId="4800EAA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属于温带大陆性季风气候，多年平均降水量542mm，最大日降水量97.3mm（7月），降水多集中在6、7、8三个月，多年平均蒸发量1329.4mm。由于蒸发量较大，回填区内的降水能够自然蒸发，在正常降雨的情况下，雨水渗入粉煤灰堆体，随之逐渐蒸发消失，堆存粉煤灰一般达不到充分浸泡的状态，正常情况下不会产生大量淋溶水。</w:t>
      </w:r>
    </w:p>
    <w:p w14:paraId="2CD3152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②强降雨下</w:t>
      </w:r>
      <w:r>
        <w:rPr>
          <w:rFonts w:hint="eastAsia" w:cs="Times New Roman"/>
          <w:color w:val="auto"/>
          <w:highlight w:val="none"/>
          <w:lang w:val="en-US" w:eastAsia="zh-CN"/>
        </w:rPr>
        <w:t>淋溶水</w:t>
      </w:r>
      <w:r>
        <w:rPr>
          <w:rFonts w:hint="default" w:ascii="Times New Roman" w:hAnsi="Times New Roman" w:cs="Times New Roman"/>
          <w:color w:val="auto"/>
          <w:highlight w:val="none"/>
        </w:rPr>
        <w:t>产生量</w:t>
      </w:r>
    </w:p>
    <w:p w14:paraId="2597B0C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粉煤灰内仅含有调湿用水，在无外水汇入的情况下，回填区内仅为大气降水。粉煤灰经强降雨淋溶后，其中的可溶性元素可随雨水迁移渗出后成为淋溶水，淋溶水进入土壤和水体后，会对土壤</w:t>
      </w:r>
      <w:r>
        <w:rPr>
          <w:rFonts w:hint="default" w:ascii="Times New Roman" w:hAnsi="Times New Roman" w:cs="Times New Roman"/>
          <w:color w:val="auto"/>
          <w:highlight w:val="none"/>
          <w:lang w:eastAsia="zh-CN"/>
        </w:rPr>
        <w:t>，以及</w:t>
      </w:r>
      <w:r>
        <w:rPr>
          <w:rFonts w:hint="default" w:ascii="Times New Roman" w:hAnsi="Times New Roman" w:cs="Times New Roman"/>
          <w:color w:val="auto"/>
          <w:highlight w:val="none"/>
        </w:rPr>
        <w:t>地下水产生一定的影响。根据渗滤液产生量的经验公式法（浸出系数法）计算，公式如下：</w:t>
      </w:r>
    </w:p>
    <w:p w14:paraId="3FFA59A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Q=I×C×A/1000</w:t>
      </w:r>
    </w:p>
    <w:p w14:paraId="289944A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14:paraId="214ADAC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Q一淋溶水产生量，m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p w14:paraId="398D9B2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I一多年平均日降雨量，mm/d，按照多年平均降水量542mm，则多年平均日降雨量为1.48mm/d；</w:t>
      </w:r>
    </w:p>
    <w:p w14:paraId="27836740">
      <w:pPr>
        <w:pStyle w:val="4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A—回填区面积，m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3C98E070">
      <w:pPr>
        <w:pStyle w:val="4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C—渗出系数，一般宜取0.1-0.8，本项目边回填边复垦，根据本项目回填的粉煤灰的含水率，并</w:t>
      </w:r>
      <w:r>
        <w:rPr>
          <w:rFonts w:hint="default" w:ascii="Times New Roman" w:hAnsi="Times New Roman" w:cs="Times New Roman"/>
          <w:color w:val="auto"/>
          <w:highlight w:val="none"/>
          <w:lang w:eastAsia="zh-CN"/>
        </w:rPr>
        <w:t>对比</w:t>
      </w:r>
      <w:r>
        <w:rPr>
          <w:rFonts w:hint="default" w:ascii="Times New Roman" w:hAnsi="Times New Roman" w:cs="Times New Roman"/>
          <w:color w:val="auto"/>
          <w:highlight w:val="none"/>
        </w:rPr>
        <w:t>同类项目经验系数，本次渗出系数取0.2。</w:t>
      </w:r>
    </w:p>
    <w:p w14:paraId="331A6AC6">
      <w:pPr>
        <w:pStyle w:val="4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根据计算，本项目强降雨情况下，淋溶水日产生量约为</w:t>
      </w:r>
      <w:r>
        <w:rPr>
          <w:rFonts w:hint="default" w:ascii="Times New Roman" w:hAnsi="Times New Roman" w:cs="Times New Roman"/>
          <w:color w:val="auto"/>
          <w:highlight w:val="none"/>
          <w:lang w:val="en-US" w:eastAsia="zh-CN"/>
        </w:rPr>
        <w:t>25.24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9616.1</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/a，本次建议企业在项目区设置1座</w:t>
      </w:r>
      <w:r>
        <w:rPr>
          <w:rFonts w:hint="default" w:ascii="Times New Roman" w:hAnsi="Times New Roman" w:cs="Times New Roman"/>
          <w:color w:val="auto"/>
          <w:highlight w:val="none"/>
          <w:lang w:val="en-US" w:eastAsia="zh-CN"/>
        </w:rPr>
        <w:t>淋溶水收集池</w:t>
      </w:r>
      <w:r>
        <w:rPr>
          <w:rFonts w:hint="default" w:ascii="Times New Roman" w:hAnsi="Times New Roman" w:cs="Times New Roman"/>
          <w:color w:val="auto"/>
          <w:highlight w:val="none"/>
        </w:rPr>
        <w:t>用于收</w:t>
      </w:r>
      <w:r>
        <w:rPr>
          <w:rFonts w:hint="default" w:ascii="Times New Roman" w:hAnsi="Times New Roman" w:cs="Times New Roman"/>
          <w:color w:val="auto"/>
          <w:highlight w:val="none"/>
          <w:lang w:val="en-US" w:eastAsia="zh-CN"/>
        </w:rPr>
        <w:t>集强降雨产生的</w:t>
      </w:r>
      <w:r>
        <w:rPr>
          <w:rFonts w:hint="default" w:ascii="Times New Roman" w:hAnsi="Times New Roman" w:cs="Times New Roman"/>
          <w:color w:val="auto"/>
          <w:highlight w:val="none"/>
        </w:rPr>
        <w:t>淋溶水，设计容积为</w:t>
      </w:r>
      <w:r>
        <w:rPr>
          <w:rFonts w:hint="default" w:ascii="Times New Roman" w:hAnsi="Times New Roman" w:cs="Times New Roman"/>
          <w:color w:val="auto"/>
          <w:highlight w:val="none"/>
          <w:lang w:val="en-US" w:eastAsia="zh-CN"/>
        </w:rPr>
        <w:t>200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收集后用于洒水降尘</w:t>
      </w:r>
      <w:r>
        <w:rPr>
          <w:rFonts w:hint="default" w:ascii="Times New Roman" w:hAnsi="Times New Roman" w:cs="Times New Roman"/>
          <w:color w:val="auto"/>
          <w:highlight w:val="none"/>
        </w:rPr>
        <w:t>。</w:t>
      </w:r>
    </w:p>
    <w:p w14:paraId="7A5F7A7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highlight w:val="none"/>
          <w:lang w:val="en-US" w:eastAsia="zh-CN"/>
        </w:rPr>
        <w:t>根据本项目固体废物淋溶检测结果，项目粉煤灰中可溶性重金属含量较低，对土壤和地下水水质的影响轻微，因此项目正常情况下产生的淋溶水经矿坑底部粘土层阻隔，经淋溶水导排系统收集后排入暂存池，沉淀后回用于项目区洒水抑尘使用，不外排。</w:t>
      </w:r>
    </w:p>
    <w:p w14:paraId="4E04C567">
      <w:pPr>
        <w:pStyle w:val="27"/>
        <w:bidi w:val="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EBBDC8F">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表3-3-</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项目废水源强一览表</w:t>
      </w:r>
    </w:p>
    <w:tbl>
      <w:tblPr>
        <w:tblStyle w:val="4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673"/>
        <w:gridCol w:w="684"/>
        <w:gridCol w:w="1082"/>
        <w:gridCol w:w="568"/>
        <w:gridCol w:w="859"/>
        <w:gridCol w:w="1136"/>
        <w:gridCol w:w="1295"/>
        <w:gridCol w:w="1933"/>
        <w:gridCol w:w="875"/>
        <w:gridCol w:w="447"/>
        <w:gridCol w:w="996"/>
        <w:gridCol w:w="1190"/>
        <w:gridCol w:w="1048"/>
      </w:tblGrid>
      <w:tr w14:paraId="22B01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vMerge w:val="restart"/>
            <w:vAlign w:val="center"/>
          </w:tcPr>
          <w:p w14:paraId="28E193D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工序</w:t>
            </w:r>
          </w:p>
        </w:tc>
        <w:tc>
          <w:tcPr>
            <w:tcW w:w="250" w:type="pct"/>
            <w:vMerge w:val="restart"/>
            <w:vAlign w:val="center"/>
          </w:tcPr>
          <w:p w14:paraId="45D190A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装置</w:t>
            </w:r>
          </w:p>
        </w:tc>
        <w:tc>
          <w:tcPr>
            <w:tcW w:w="254" w:type="pct"/>
            <w:vMerge w:val="restart"/>
            <w:vAlign w:val="center"/>
          </w:tcPr>
          <w:p w14:paraId="46A2D57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污染源</w:t>
            </w:r>
          </w:p>
        </w:tc>
        <w:tc>
          <w:tcPr>
            <w:tcW w:w="402" w:type="pct"/>
            <w:vMerge w:val="restart"/>
            <w:vAlign w:val="center"/>
          </w:tcPr>
          <w:p w14:paraId="450BFCA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w:t>
            </w:r>
          </w:p>
        </w:tc>
        <w:tc>
          <w:tcPr>
            <w:tcW w:w="1433" w:type="pct"/>
            <w:gridSpan w:val="4"/>
            <w:vAlign w:val="center"/>
          </w:tcPr>
          <w:p w14:paraId="37F170F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污染物产生</w:t>
            </w:r>
          </w:p>
        </w:tc>
        <w:tc>
          <w:tcPr>
            <w:tcW w:w="1043" w:type="pct"/>
            <w:gridSpan w:val="2"/>
            <w:vAlign w:val="center"/>
          </w:tcPr>
          <w:p w14:paraId="79E3849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治理措施</w:t>
            </w:r>
          </w:p>
        </w:tc>
        <w:tc>
          <w:tcPr>
            <w:tcW w:w="1367" w:type="pct"/>
            <w:gridSpan w:val="4"/>
            <w:vAlign w:val="center"/>
          </w:tcPr>
          <w:p w14:paraId="797BD41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污染物排放</w:t>
            </w:r>
          </w:p>
        </w:tc>
      </w:tr>
      <w:tr w14:paraId="78A61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vMerge w:val="continue"/>
            <w:vAlign w:val="center"/>
          </w:tcPr>
          <w:p w14:paraId="647ED042">
            <w:pPr>
              <w:pStyle w:val="46"/>
              <w:bidi w:val="0"/>
              <w:rPr>
                <w:rFonts w:hint="default" w:ascii="Times New Roman" w:hAnsi="Times New Roman" w:cs="Times New Roman"/>
                <w:color w:val="auto"/>
                <w:highlight w:val="none"/>
              </w:rPr>
            </w:pPr>
          </w:p>
        </w:tc>
        <w:tc>
          <w:tcPr>
            <w:tcW w:w="250" w:type="pct"/>
            <w:vMerge w:val="continue"/>
            <w:vAlign w:val="center"/>
          </w:tcPr>
          <w:p w14:paraId="1EA47147">
            <w:pPr>
              <w:pStyle w:val="46"/>
              <w:bidi w:val="0"/>
              <w:rPr>
                <w:rFonts w:hint="default" w:ascii="Times New Roman" w:hAnsi="Times New Roman" w:cs="Times New Roman"/>
                <w:color w:val="auto"/>
                <w:highlight w:val="none"/>
              </w:rPr>
            </w:pPr>
          </w:p>
        </w:tc>
        <w:tc>
          <w:tcPr>
            <w:tcW w:w="254" w:type="pct"/>
            <w:vMerge w:val="continue"/>
            <w:vAlign w:val="center"/>
          </w:tcPr>
          <w:p w14:paraId="4C1865E5">
            <w:pPr>
              <w:pStyle w:val="46"/>
              <w:bidi w:val="0"/>
              <w:rPr>
                <w:rFonts w:hint="default" w:ascii="Times New Roman" w:hAnsi="Times New Roman" w:cs="Times New Roman"/>
                <w:color w:val="auto"/>
                <w:highlight w:val="none"/>
              </w:rPr>
            </w:pPr>
          </w:p>
        </w:tc>
        <w:tc>
          <w:tcPr>
            <w:tcW w:w="402" w:type="pct"/>
            <w:vMerge w:val="continue"/>
            <w:vAlign w:val="center"/>
          </w:tcPr>
          <w:p w14:paraId="7BC0947E">
            <w:pPr>
              <w:pStyle w:val="46"/>
              <w:bidi w:val="0"/>
              <w:rPr>
                <w:rFonts w:hint="default" w:ascii="Times New Roman" w:hAnsi="Times New Roman" w:cs="Times New Roman"/>
                <w:color w:val="auto"/>
                <w:highlight w:val="none"/>
                <w:lang w:val="zh-CN"/>
              </w:rPr>
            </w:pPr>
          </w:p>
        </w:tc>
        <w:tc>
          <w:tcPr>
            <w:tcW w:w="211" w:type="pct"/>
            <w:vAlign w:val="center"/>
          </w:tcPr>
          <w:p w14:paraId="4005F3E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319" w:type="pct"/>
            <w:vAlign w:val="center"/>
          </w:tcPr>
          <w:p w14:paraId="09EE7D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废水产生量（t/a）</w:t>
            </w:r>
          </w:p>
        </w:tc>
        <w:tc>
          <w:tcPr>
            <w:tcW w:w="422" w:type="pct"/>
            <w:vAlign w:val="center"/>
          </w:tcPr>
          <w:p w14:paraId="124616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481" w:type="pct"/>
            <w:vAlign w:val="center"/>
          </w:tcPr>
          <w:p w14:paraId="71213FB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产生量t/a</w:t>
            </w:r>
          </w:p>
        </w:tc>
        <w:tc>
          <w:tcPr>
            <w:tcW w:w="718" w:type="pct"/>
            <w:vAlign w:val="center"/>
          </w:tcPr>
          <w:p w14:paraId="02A6F89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工艺</w:t>
            </w:r>
          </w:p>
        </w:tc>
        <w:tc>
          <w:tcPr>
            <w:tcW w:w="325" w:type="pct"/>
            <w:vAlign w:val="center"/>
          </w:tcPr>
          <w:p w14:paraId="124EC40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处理效率%</w:t>
            </w:r>
          </w:p>
        </w:tc>
        <w:tc>
          <w:tcPr>
            <w:tcW w:w="166" w:type="pct"/>
            <w:vAlign w:val="center"/>
          </w:tcPr>
          <w:p w14:paraId="121662B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370" w:type="pct"/>
            <w:vAlign w:val="center"/>
          </w:tcPr>
          <w:p w14:paraId="09CC32D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废水排放量（t/a）</w:t>
            </w:r>
          </w:p>
        </w:tc>
        <w:tc>
          <w:tcPr>
            <w:tcW w:w="442" w:type="pct"/>
            <w:vAlign w:val="center"/>
          </w:tcPr>
          <w:p w14:paraId="77964F4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排放浓度</w:t>
            </w:r>
            <w:r>
              <w:rPr>
                <w:rFonts w:hint="default" w:ascii="Times New Roman" w:hAnsi="Times New Roman" w:cs="Times New Roman"/>
                <w:color w:val="auto"/>
                <w:highlight w:val="none"/>
              </w:rPr>
              <w:t>mg/L</w:t>
            </w:r>
          </w:p>
        </w:tc>
        <w:tc>
          <w:tcPr>
            <w:tcW w:w="389" w:type="pct"/>
            <w:vAlign w:val="center"/>
          </w:tcPr>
          <w:p w14:paraId="1F52A96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排放量</w:t>
            </w:r>
            <w:r>
              <w:rPr>
                <w:rFonts w:hint="default" w:ascii="Times New Roman" w:hAnsi="Times New Roman" w:cs="Times New Roman"/>
                <w:color w:val="auto"/>
                <w:highlight w:val="none"/>
              </w:rPr>
              <w:t>t/a</w:t>
            </w:r>
          </w:p>
        </w:tc>
      </w:tr>
      <w:tr w14:paraId="35387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248" w:type="pct"/>
            <w:vMerge w:val="restart"/>
            <w:vAlign w:val="center"/>
          </w:tcPr>
          <w:p w14:paraId="0D0163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回填作业</w:t>
            </w:r>
          </w:p>
        </w:tc>
        <w:tc>
          <w:tcPr>
            <w:tcW w:w="250" w:type="pct"/>
            <w:vMerge w:val="restart"/>
            <w:vAlign w:val="center"/>
          </w:tcPr>
          <w:p w14:paraId="5AAA75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暂存池</w:t>
            </w:r>
          </w:p>
        </w:tc>
        <w:tc>
          <w:tcPr>
            <w:tcW w:w="254" w:type="pct"/>
            <w:vMerge w:val="restart"/>
            <w:vAlign w:val="center"/>
          </w:tcPr>
          <w:p w14:paraId="4E66E4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非正常工况下</w:t>
            </w:r>
            <w:r>
              <w:rPr>
                <w:rFonts w:hint="default" w:ascii="Times New Roman" w:hAnsi="Times New Roman" w:cs="Times New Roman"/>
                <w:color w:val="auto"/>
                <w:highlight w:val="none"/>
              </w:rPr>
              <w:t>淋溶水</w:t>
            </w:r>
          </w:p>
        </w:tc>
        <w:tc>
          <w:tcPr>
            <w:tcW w:w="402" w:type="pct"/>
            <w:vAlign w:val="center"/>
          </w:tcPr>
          <w:p w14:paraId="5D6379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211" w:type="pct"/>
            <w:vMerge w:val="restart"/>
            <w:shd w:val="clear" w:color="auto" w:fill="auto"/>
            <w:vAlign w:val="center"/>
          </w:tcPr>
          <w:p w14:paraId="3F444551">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highlight w:val="none"/>
                <w:lang w:val="en-US" w:eastAsia="zh-CN"/>
              </w:rPr>
              <w:t>实测法</w:t>
            </w:r>
          </w:p>
        </w:tc>
        <w:tc>
          <w:tcPr>
            <w:tcW w:w="319" w:type="pct"/>
            <w:vMerge w:val="restart"/>
            <w:vAlign w:val="center"/>
          </w:tcPr>
          <w:p w14:paraId="5592DEE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9616.1</w:t>
            </w:r>
          </w:p>
        </w:tc>
        <w:tc>
          <w:tcPr>
            <w:tcW w:w="422" w:type="pct"/>
            <w:vAlign w:val="center"/>
          </w:tcPr>
          <w:p w14:paraId="1FAF4F9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1295" w:type="dxa"/>
            <w:vAlign w:val="bottom"/>
          </w:tcPr>
          <w:p w14:paraId="2361A9D0">
            <w:pPr>
              <w:pStyle w:val="46"/>
              <w:bidi w:val="0"/>
              <w:rPr>
                <w:rFonts w:hint="default"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 xml:space="preserve">0.01923 </w:t>
            </w:r>
          </w:p>
        </w:tc>
        <w:tc>
          <w:tcPr>
            <w:tcW w:w="718" w:type="pct"/>
            <w:vMerge w:val="restart"/>
            <w:vAlign w:val="center"/>
          </w:tcPr>
          <w:p w14:paraId="1C41DC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沉淀后用于厂区洒水降尘</w:t>
            </w:r>
          </w:p>
        </w:tc>
        <w:tc>
          <w:tcPr>
            <w:tcW w:w="325" w:type="pct"/>
            <w:vMerge w:val="restart"/>
            <w:vAlign w:val="center"/>
          </w:tcPr>
          <w:p w14:paraId="430ABAA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66" w:type="pct"/>
            <w:vMerge w:val="restart"/>
            <w:vAlign w:val="center"/>
          </w:tcPr>
          <w:p w14:paraId="4F86D270">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实测法</w:t>
            </w:r>
          </w:p>
        </w:tc>
        <w:tc>
          <w:tcPr>
            <w:tcW w:w="370" w:type="pct"/>
            <w:vMerge w:val="restart"/>
            <w:vAlign w:val="center"/>
          </w:tcPr>
          <w:p w14:paraId="241730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442" w:type="pct"/>
            <w:vAlign w:val="center"/>
          </w:tcPr>
          <w:p w14:paraId="414A665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389" w:type="pct"/>
            <w:vAlign w:val="center"/>
          </w:tcPr>
          <w:p w14:paraId="7F797B0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r>
      <w:tr w14:paraId="187DA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vMerge w:val="continue"/>
            <w:vAlign w:val="center"/>
          </w:tcPr>
          <w:p w14:paraId="51ACD33A">
            <w:pPr>
              <w:pStyle w:val="46"/>
              <w:bidi w:val="0"/>
              <w:rPr>
                <w:rFonts w:hint="default" w:ascii="Times New Roman" w:hAnsi="Times New Roman" w:cs="Times New Roman"/>
                <w:color w:val="auto"/>
                <w:highlight w:val="none"/>
              </w:rPr>
            </w:pPr>
          </w:p>
        </w:tc>
        <w:tc>
          <w:tcPr>
            <w:tcW w:w="250" w:type="pct"/>
            <w:vMerge w:val="continue"/>
            <w:vAlign w:val="center"/>
          </w:tcPr>
          <w:p w14:paraId="260829EE">
            <w:pPr>
              <w:pStyle w:val="46"/>
              <w:bidi w:val="0"/>
              <w:rPr>
                <w:rFonts w:hint="default" w:ascii="Times New Roman" w:hAnsi="Times New Roman" w:cs="Times New Roman"/>
                <w:color w:val="auto"/>
                <w:highlight w:val="none"/>
              </w:rPr>
            </w:pPr>
          </w:p>
        </w:tc>
        <w:tc>
          <w:tcPr>
            <w:tcW w:w="254" w:type="pct"/>
            <w:vMerge w:val="continue"/>
            <w:vAlign w:val="center"/>
          </w:tcPr>
          <w:p w14:paraId="370435EC">
            <w:pPr>
              <w:pStyle w:val="46"/>
              <w:bidi w:val="0"/>
              <w:rPr>
                <w:rFonts w:hint="default" w:ascii="Times New Roman" w:hAnsi="Times New Roman" w:cs="Times New Roman"/>
                <w:color w:val="auto"/>
                <w:highlight w:val="none"/>
              </w:rPr>
            </w:pPr>
          </w:p>
        </w:tc>
        <w:tc>
          <w:tcPr>
            <w:tcW w:w="402" w:type="pct"/>
            <w:vAlign w:val="center"/>
          </w:tcPr>
          <w:p w14:paraId="48EADD6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211" w:type="pct"/>
            <w:vMerge w:val="continue"/>
            <w:shd w:val="clear" w:color="auto" w:fill="auto"/>
            <w:vAlign w:val="center"/>
          </w:tcPr>
          <w:p w14:paraId="7E9F02F2">
            <w:pPr>
              <w:pStyle w:val="46"/>
              <w:bidi w:val="0"/>
              <w:rPr>
                <w:rFonts w:hint="default" w:ascii="Times New Roman" w:hAnsi="Times New Roman" w:cs="Times New Roman"/>
                <w:color w:val="auto"/>
                <w:highlight w:val="none"/>
              </w:rPr>
            </w:pPr>
          </w:p>
        </w:tc>
        <w:tc>
          <w:tcPr>
            <w:tcW w:w="319" w:type="pct"/>
            <w:vMerge w:val="continue"/>
            <w:vAlign w:val="center"/>
          </w:tcPr>
          <w:p w14:paraId="2E4B3219">
            <w:pPr>
              <w:pStyle w:val="46"/>
              <w:bidi w:val="0"/>
              <w:rPr>
                <w:rFonts w:hint="default" w:ascii="Times New Roman" w:hAnsi="Times New Roman" w:cs="Times New Roman"/>
                <w:color w:val="auto"/>
                <w:highlight w:val="none"/>
                <w:lang w:val="zh-CN"/>
              </w:rPr>
            </w:pPr>
          </w:p>
        </w:tc>
        <w:tc>
          <w:tcPr>
            <w:tcW w:w="422" w:type="pct"/>
            <w:vAlign w:val="center"/>
          </w:tcPr>
          <w:p w14:paraId="01D7B69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1295" w:type="dxa"/>
            <w:vAlign w:val="bottom"/>
          </w:tcPr>
          <w:p w14:paraId="4E7F4CDD">
            <w:pPr>
              <w:pStyle w:val="46"/>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0.11539 </w:t>
            </w:r>
          </w:p>
        </w:tc>
        <w:tc>
          <w:tcPr>
            <w:tcW w:w="718" w:type="pct"/>
            <w:vMerge w:val="continue"/>
            <w:vAlign w:val="center"/>
          </w:tcPr>
          <w:p w14:paraId="33B051E9">
            <w:pPr>
              <w:pStyle w:val="46"/>
              <w:bidi w:val="0"/>
              <w:rPr>
                <w:rFonts w:hint="default" w:ascii="Times New Roman" w:hAnsi="Times New Roman" w:cs="Times New Roman"/>
                <w:color w:val="auto"/>
                <w:highlight w:val="none"/>
              </w:rPr>
            </w:pPr>
          </w:p>
        </w:tc>
        <w:tc>
          <w:tcPr>
            <w:tcW w:w="325" w:type="pct"/>
            <w:vMerge w:val="continue"/>
            <w:vAlign w:val="center"/>
          </w:tcPr>
          <w:p w14:paraId="45F481A0">
            <w:pPr>
              <w:pStyle w:val="46"/>
              <w:bidi w:val="0"/>
              <w:rPr>
                <w:rFonts w:hint="default" w:ascii="Times New Roman" w:hAnsi="Times New Roman" w:cs="Times New Roman"/>
                <w:color w:val="auto"/>
                <w:highlight w:val="none"/>
              </w:rPr>
            </w:pPr>
          </w:p>
        </w:tc>
        <w:tc>
          <w:tcPr>
            <w:tcW w:w="166" w:type="pct"/>
            <w:vMerge w:val="continue"/>
            <w:vAlign w:val="center"/>
          </w:tcPr>
          <w:p w14:paraId="49C38A5A">
            <w:pPr>
              <w:pStyle w:val="46"/>
              <w:bidi w:val="0"/>
              <w:rPr>
                <w:rFonts w:hint="default" w:ascii="Times New Roman" w:hAnsi="Times New Roman" w:cs="Times New Roman"/>
                <w:color w:val="auto"/>
                <w:highlight w:val="none"/>
              </w:rPr>
            </w:pPr>
          </w:p>
        </w:tc>
        <w:tc>
          <w:tcPr>
            <w:tcW w:w="370" w:type="pct"/>
            <w:vMerge w:val="continue"/>
            <w:vAlign w:val="center"/>
          </w:tcPr>
          <w:p w14:paraId="6D2BE78D">
            <w:pPr>
              <w:pStyle w:val="46"/>
              <w:bidi w:val="0"/>
              <w:rPr>
                <w:rFonts w:hint="default" w:ascii="Times New Roman" w:hAnsi="Times New Roman" w:cs="Times New Roman"/>
                <w:color w:val="auto"/>
                <w:highlight w:val="none"/>
              </w:rPr>
            </w:pPr>
          </w:p>
        </w:tc>
        <w:tc>
          <w:tcPr>
            <w:tcW w:w="442" w:type="pct"/>
            <w:vAlign w:val="center"/>
          </w:tcPr>
          <w:p w14:paraId="7C45D7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389" w:type="pct"/>
            <w:vAlign w:val="center"/>
          </w:tcPr>
          <w:p w14:paraId="703504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r>
      <w:tr w14:paraId="257FFE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248" w:type="pct"/>
            <w:vMerge w:val="continue"/>
            <w:vAlign w:val="center"/>
          </w:tcPr>
          <w:p w14:paraId="0B503F73">
            <w:pPr>
              <w:pStyle w:val="46"/>
              <w:bidi w:val="0"/>
              <w:rPr>
                <w:rFonts w:hint="default" w:ascii="Times New Roman" w:hAnsi="Times New Roman" w:cs="Times New Roman"/>
                <w:color w:val="auto"/>
                <w:highlight w:val="none"/>
              </w:rPr>
            </w:pPr>
          </w:p>
        </w:tc>
        <w:tc>
          <w:tcPr>
            <w:tcW w:w="250" w:type="pct"/>
            <w:vMerge w:val="continue"/>
            <w:vAlign w:val="center"/>
          </w:tcPr>
          <w:p w14:paraId="34CF7D84">
            <w:pPr>
              <w:pStyle w:val="46"/>
              <w:bidi w:val="0"/>
              <w:rPr>
                <w:rFonts w:hint="default" w:ascii="Times New Roman" w:hAnsi="Times New Roman" w:cs="Times New Roman"/>
                <w:color w:val="auto"/>
                <w:highlight w:val="none"/>
              </w:rPr>
            </w:pPr>
          </w:p>
        </w:tc>
        <w:tc>
          <w:tcPr>
            <w:tcW w:w="254" w:type="pct"/>
            <w:vMerge w:val="continue"/>
            <w:vAlign w:val="center"/>
          </w:tcPr>
          <w:p w14:paraId="633954DB">
            <w:pPr>
              <w:pStyle w:val="46"/>
              <w:bidi w:val="0"/>
              <w:rPr>
                <w:rFonts w:hint="default" w:ascii="Times New Roman" w:hAnsi="Times New Roman" w:cs="Times New Roman"/>
                <w:color w:val="auto"/>
                <w:highlight w:val="none"/>
              </w:rPr>
            </w:pPr>
          </w:p>
        </w:tc>
        <w:tc>
          <w:tcPr>
            <w:tcW w:w="402" w:type="pct"/>
            <w:vAlign w:val="center"/>
          </w:tcPr>
          <w:p w14:paraId="613B33C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w:t>
            </w:r>
          </w:p>
        </w:tc>
        <w:tc>
          <w:tcPr>
            <w:tcW w:w="211" w:type="pct"/>
            <w:vMerge w:val="continue"/>
            <w:shd w:val="clear" w:color="auto" w:fill="auto"/>
            <w:vAlign w:val="center"/>
          </w:tcPr>
          <w:p w14:paraId="1875F450">
            <w:pPr>
              <w:pStyle w:val="46"/>
              <w:bidi w:val="0"/>
              <w:ind w:firstLine="0" w:firstLineChars="0"/>
              <w:rPr>
                <w:rFonts w:hint="default" w:ascii="Times New Roman" w:hAnsi="Times New Roman" w:eastAsia="宋体" w:cs="Times New Roman"/>
                <w:color w:val="auto"/>
                <w:kern w:val="0"/>
                <w:sz w:val="21"/>
                <w:szCs w:val="20"/>
                <w:highlight w:val="none"/>
                <w:lang w:val="zh-CN" w:eastAsia="zh-CN" w:bidi="ar-SA"/>
              </w:rPr>
            </w:pPr>
          </w:p>
        </w:tc>
        <w:tc>
          <w:tcPr>
            <w:tcW w:w="319" w:type="pct"/>
            <w:vMerge w:val="continue"/>
            <w:vAlign w:val="center"/>
          </w:tcPr>
          <w:p w14:paraId="7F193F43">
            <w:pPr>
              <w:pStyle w:val="46"/>
              <w:bidi w:val="0"/>
              <w:rPr>
                <w:rFonts w:hint="default" w:ascii="Times New Roman" w:hAnsi="Times New Roman" w:cs="Times New Roman"/>
                <w:color w:val="auto"/>
                <w:highlight w:val="none"/>
                <w:lang w:val="zh-CN"/>
              </w:rPr>
            </w:pPr>
          </w:p>
        </w:tc>
        <w:tc>
          <w:tcPr>
            <w:tcW w:w="422" w:type="pct"/>
            <w:vAlign w:val="center"/>
          </w:tcPr>
          <w:p w14:paraId="5DE40B7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0.048</w:t>
            </w:r>
          </w:p>
        </w:tc>
        <w:tc>
          <w:tcPr>
            <w:tcW w:w="1295" w:type="dxa"/>
            <w:vAlign w:val="bottom"/>
          </w:tcPr>
          <w:p w14:paraId="703C5879">
            <w:pPr>
              <w:pStyle w:val="46"/>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0.00046 </w:t>
            </w:r>
          </w:p>
        </w:tc>
        <w:tc>
          <w:tcPr>
            <w:tcW w:w="718" w:type="pct"/>
            <w:vMerge w:val="continue"/>
            <w:vAlign w:val="center"/>
          </w:tcPr>
          <w:p w14:paraId="3410E77C">
            <w:pPr>
              <w:pStyle w:val="46"/>
              <w:bidi w:val="0"/>
              <w:rPr>
                <w:rFonts w:hint="default" w:ascii="Times New Roman" w:hAnsi="Times New Roman" w:cs="Times New Roman"/>
                <w:color w:val="auto"/>
                <w:highlight w:val="none"/>
                <w:lang w:val="zh-CN"/>
              </w:rPr>
            </w:pPr>
          </w:p>
        </w:tc>
        <w:tc>
          <w:tcPr>
            <w:tcW w:w="325" w:type="pct"/>
            <w:vMerge w:val="continue"/>
            <w:vAlign w:val="center"/>
          </w:tcPr>
          <w:p w14:paraId="2B59BE21">
            <w:pPr>
              <w:pStyle w:val="46"/>
              <w:bidi w:val="0"/>
              <w:rPr>
                <w:rFonts w:hint="default" w:ascii="Times New Roman" w:hAnsi="Times New Roman" w:cs="Times New Roman"/>
                <w:color w:val="auto"/>
                <w:highlight w:val="none"/>
              </w:rPr>
            </w:pPr>
          </w:p>
        </w:tc>
        <w:tc>
          <w:tcPr>
            <w:tcW w:w="166" w:type="pct"/>
            <w:vMerge w:val="continue"/>
            <w:vAlign w:val="center"/>
          </w:tcPr>
          <w:p w14:paraId="01D217C3">
            <w:pPr>
              <w:pStyle w:val="46"/>
              <w:bidi w:val="0"/>
              <w:rPr>
                <w:rFonts w:hint="default" w:ascii="Times New Roman" w:hAnsi="Times New Roman" w:cs="Times New Roman"/>
                <w:color w:val="auto"/>
                <w:highlight w:val="none"/>
                <w:lang w:val="zh-CN"/>
              </w:rPr>
            </w:pPr>
          </w:p>
        </w:tc>
        <w:tc>
          <w:tcPr>
            <w:tcW w:w="370" w:type="pct"/>
            <w:vMerge w:val="continue"/>
            <w:vAlign w:val="center"/>
          </w:tcPr>
          <w:p w14:paraId="0310AC66">
            <w:pPr>
              <w:pStyle w:val="46"/>
              <w:bidi w:val="0"/>
              <w:rPr>
                <w:rFonts w:hint="default" w:ascii="Times New Roman" w:hAnsi="Times New Roman" w:cs="Times New Roman"/>
                <w:color w:val="auto"/>
                <w:highlight w:val="none"/>
                <w:lang w:val="zh-CN"/>
              </w:rPr>
            </w:pPr>
          </w:p>
        </w:tc>
        <w:tc>
          <w:tcPr>
            <w:tcW w:w="442" w:type="pct"/>
            <w:vAlign w:val="center"/>
          </w:tcPr>
          <w:p w14:paraId="6589BB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389" w:type="pct"/>
            <w:vAlign w:val="center"/>
          </w:tcPr>
          <w:p w14:paraId="58A189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r>
      <w:tr w14:paraId="02E1E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248" w:type="pct"/>
            <w:vMerge w:val="continue"/>
            <w:vAlign w:val="center"/>
          </w:tcPr>
          <w:p w14:paraId="3A06A1DE">
            <w:pPr>
              <w:pStyle w:val="46"/>
              <w:bidi w:val="0"/>
              <w:rPr>
                <w:rFonts w:hint="default" w:ascii="Times New Roman" w:hAnsi="Times New Roman" w:cs="Times New Roman"/>
                <w:color w:val="auto"/>
                <w:highlight w:val="none"/>
              </w:rPr>
            </w:pPr>
          </w:p>
        </w:tc>
        <w:tc>
          <w:tcPr>
            <w:tcW w:w="250" w:type="pct"/>
            <w:vMerge w:val="continue"/>
            <w:vAlign w:val="center"/>
          </w:tcPr>
          <w:p w14:paraId="3ACE1241">
            <w:pPr>
              <w:pStyle w:val="46"/>
              <w:bidi w:val="0"/>
              <w:rPr>
                <w:rFonts w:hint="default" w:ascii="Times New Roman" w:hAnsi="Times New Roman" w:cs="Times New Roman"/>
                <w:color w:val="auto"/>
                <w:highlight w:val="none"/>
              </w:rPr>
            </w:pPr>
          </w:p>
        </w:tc>
        <w:tc>
          <w:tcPr>
            <w:tcW w:w="254" w:type="pct"/>
            <w:vMerge w:val="continue"/>
            <w:vAlign w:val="center"/>
          </w:tcPr>
          <w:p w14:paraId="591E1A58">
            <w:pPr>
              <w:pStyle w:val="46"/>
              <w:bidi w:val="0"/>
              <w:rPr>
                <w:rFonts w:hint="default" w:ascii="Times New Roman" w:hAnsi="Times New Roman" w:cs="Times New Roman"/>
                <w:color w:val="auto"/>
                <w:highlight w:val="none"/>
              </w:rPr>
            </w:pPr>
          </w:p>
        </w:tc>
        <w:tc>
          <w:tcPr>
            <w:tcW w:w="402" w:type="pct"/>
            <w:vAlign w:val="center"/>
          </w:tcPr>
          <w:p w14:paraId="3425AB9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氟化物</w:t>
            </w:r>
          </w:p>
        </w:tc>
        <w:tc>
          <w:tcPr>
            <w:tcW w:w="211" w:type="pct"/>
            <w:vMerge w:val="continue"/>
            <w:vAlign w:val="center"/>
          </w:tcPr>
          <w:p w14:paraId="7EDACC4F">
            <w:pPr>
              <w:pStyle w:val="46"/>
              <w:bidi w:val="0"/>
              <w:rPr>
                <w:rFonts w:hint="default" w:ascii="Times New Roman" w:hAnsi="Times New Roman" w:cs="Times New Roman"/>
                <w:color w:val="auto"/>
                <w:highlight w:val="none"/>
                <w:lang w:val="zh-CN"/>
              </w:rPr>
            </w:pPr>
          </w:p>
        </w:tc>
        <w:tc>
          <w:tcPr>
            <w:tcW w:w="319" w:type="pct"/>
            <w:vMerge w:val="continue"/>
            <w:vAlign w:val="center"/>
          </w:tcPr>
          <w:p w14:paraId="5824C6A1">
            <w:pPr>
              <w:pStyle w:val="46"/>
              <w:bidi w:val="0"/>
              <w:rPr>
                <w:rFonts w:hint="default" w:ascii="Times New Roman" w:hAnsi="Times New Roman" w:cs="Times New Roman"/>
                <w:color w:val="auto"/>
                <w:highlight w:val="none"/>
                <w:lang w:val="zh-CN"/>
              </w:rPr>
            </w:pPr>
          </w:p>
        </w:tc>
        <w:tc>
          <w:tcPr>
            <w:tcW w:w="422" w:type="pct"/>
            <w:vAlign w:val="center"/>
          </w:tcPr>
          <w:p w14:paraId="253B0DC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1295" w:type="dxa"/>
            <w:vAlign w:val="bottom"/>
          </w:tcPr>
          <w:p w14:paraId="27846411">
            <w:pPr>
              <w:pStyle w:val="46"/>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0.00327 </w:t>
            </w:r>
          </w:p>
        </w:tc>
        <w:tc>
          <w:tcPr>
            <w:tcW w:w="718" w:type="pct"/>
            <w:vMerge w:val="continue"/>
            <w:vAlign w:val="center"/>
          </w:tcPr>
          <w:p w14:paraId="2759580E">
            <w:pPr>
              <w:pStyle w:val="46"/>
              <w:bidi w:val="0"/>
              <w:rPr>
                <w:rFonts w:hint="default" w:ascii="Times New Roman" w:hAnsi="Times New Roman" w:cs="Times New Roman"/>
                <w:color w:val="auto"/>
                <w:highlight w:val="none"/>
                <w:lang w:val="zh-CN"/>
              </w:rPr>
            </w:pPr>
          </w:p>
        </w:tc>
        <w:tc>
          <w:tcPr>
            <w:tcW w:w="325" w:type="pct"/>
            <w:vMerge w:val="continue"/>
            <w:vAlign w:val="center"/>
          </w:tcPr>
          <w:p w14:paraId="5D64230D">
            <w:pPr>
              <w:pStyle w:val="46"/>
              <w:bidi w:val="0"/>
              <w:rPr>
                <w:rFonts w:hint="default" w:ascii="Times New Roman" w:hAnsi="Times New Roman" w:cs="Times New Roman"/>
                <w:color w:val="auto"/>
                <w:highlight w:val="none"/>
              </w:rPr>
            </w:pPr>
          </w:p>
        </w:tc>
        <w:tc>
          <w:tcPr>
            <w:tcW w:w="166" w:type="pct"/>
            <w:vMerge w:val="continue"/>
            <w:vAlign w:val="center"/>
          </w:tcPr>
          <w:p w14:paraId="4B51C4FB">
            <w:pPr>
              <w:pStyle w:val="46"/>
              <w:bidi w:val="0"/>
              <w:rPr>
                <w:rFonts w:hint="default" w:ascii="Times New Roman" w:hAnsi="Times New Roman" w:cs="Times New Roman"/>
                <w:color w:val="auto"/>
                <w:highlight w:val="none"/>
                <w:lang w:val="zh-CN"/>
              </w:rPr>
            </w:pPr>
          </w:p>
        </w:tc>
        <w:tc>
          <w:tcPr>
            <w:tcW w:w="370" w:type="pct"/>
            <w:vMerge w:val="continue"/>
            <w:vAlign w:val="center"/>
          </w:tcPr>
          <w:p w14:paraId="2EAC9D50">
            <w:pPr>
              <w:pStyle w:val="46"/>
              <w:bidi w:val="0"/>
              <w:rPr>
                <w:rFonts w:hint="default" w:ascii="Times New Roman" w:hAnsi="Times New Roman" w:cs="Times New Roman"/>
                <w:color w:val="auto"/>
                <w:highlight w:val="none"/>
                <w:lang w:val="zh-CN"/>
              </w:rPr>
            </w:pPr>
          </w:p>
        </w:tc>
        <w:tc>
          <w:tcPr>
            <w:tcW w:w="1190" w:type="dxa"/>
            <w:vAlign w:val="center"/>
          </w:tcPr>
          <w:p w14:paraId="60286B62">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48" w:type="dxa"/>
            <w:vAlign w:val="center"/>
          </w:tcPr>
          <w:p w14:paraId="78823D94">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39811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248" w:type="pct"/>
            <w:vMerge w:val="continue"/>
            <w:vAlign w:val="center"/>
          </w:tcPr>
          <w:p w14:paraId="27D5D728">
            <w:pPr>
              <w:pStyle w:val="46"/>
              <w:bidi w:val="0"/>
              <w:rPr>
                <w:rFonts w:hint="default" w:ascii="Times New Roman" w:hAnsi="Times New Roman" w:cs="Times New Roman"/>
                <w:color w:val="auto"/>
                <w:highlight w:val="none"/>
              </w:rPr>
            </w:pPr>
          </w:p>
        </w:tc>
        <w:tc>
          <w:tcPr>
            <w:tcW w:w="250" w:type="pct"/>
            <w:vMerge w:val="continue"/>
            <w:vAlign w:val="center"/>
          </w:tcPr>
          <w:p w14:paraId="4D963260">
            <w:pPr>
              <w:pStyle w:val="46"/>
              <w:bidi w:val="0"/>
              <w:rPr>
                <w:rFonts w:hint="default" w:ascii="Times New Roman" w:hAnsi="Times New Roman" w:cs="Times New Roman"/>
                <w:color w:val="auto"/>
                <w:highlight w:val="none"/>
              </w:rPr>
            </w:pPr>
          </w:p>
        </w:tc>
        <w:tc>
          <w:tcPr>
            <w:tcW w:w="254" w:type="pct"/>
            <w:vMerge w:val="continue"/>
            <w:vAlign w:val="center"/>
          </w:tcPr>
          <w:p w14:paraId="04E1CF9C">
            <w:pPr>
              <w:pStyle w:val="46"/>
              <w:bidi w:val="0"/>
              <w:rPr>
                <w:rFonts w:hint="default" w:ascii="Times New Roman" w:hAnsi="Times New Roman" w:cs="Times New Roman"/>
                <w:color w:val="auto"/>
                <w:highlight w:val="none"/>
              </w:rPr>
            </w:pPr>
          </w:p>
        </w:tc>
        <w:tc>
          <w:tcPr>
            <w:tcW w:w="402" w:type="pct"/>
            <w:vAlign w:val="center"/>
          </w:tcPr>
          <w:p w14:paraId="454D50B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总砷</w:t>
            </w:r>
          </w:p>
        </w:tc>
        <w:tc>
          <w:tcPr>
            <w:tcW w:w="211" w:type="pct"/>
            <w:vMerge w:val="continue"/>
            <w:vAlign w:val="center"/>
          </w:tcPr>
          <w:p w14:paraId="269CD9DC">
            <w:pPr>
              <w:pStyle w:val="46"/>
              <w:bidi w:val="0"/>
              <w:rPr>
                <w:rFonts w:hint="default" w:ascii="Times New Roman" w:hAnsi="Times New Roman" w:cs="Times New Roman"/>
                <w:color w:val="auto"/>
                <w:highlight w:val="none"/>
                <w:lang w:val="zh-CN"/>
              </w:rPr>
            </w:pPr>
          </w:p>
        </w:tc>
        <w:tc>
          <w:tcPr>
            <w:tcW w:w="319" w:type="pct"/>
            <w:vMerge w:val="continue"/>
            <w:vAlign w:val="center"/>
          </w:tcPr>
          <w:p w14:paraId="39B81C60">
            <w:pPr>
              <w:pStyle w:val="46"/>
              <w:bidi w:val="0"/>
              <w:rPr>
                <w:rFonts w:hint="default" w:ascii="Times New Roman" w:hAnsi="Times New Roman" w:cs="Times New Roman"/>
                <w:color w:val="auto"/>
                <w:highlight w:val="none"/>
                <w:lang w:val="zh-CN"/>
              </w:rPr>
            </w:pPr>
          </w:p>
        </w:tc>
        <w:tc>
          <w:tcPr>
            <w:tcW w:w="422" w:type="pct"/>
            <w:vAlign w:val="center"/>
          </w:tcPr>
          <w:p w14:paraId="1BAB2802">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0.0182</w:t>
            </w:r>
          </w:p>
        </w:tc>
        <w:tc>
          <w:tcPr>
            <w:tcW w:w="1295" w:type="dxa"/>
            <w:vAlign w:val="bottom"/>
          </w:tcPr>
          <w:p w14:paraId="398ECF67">
            <w:pPr>
              <w:pStyle w:val="46"/>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0.00018 </w:t>
            </w:r>
          </w:p>
        </w:tc>
        <w:tc>
          <w:tcPr>
            <w:tcW w:w="718" w:type="pct"/>
            <w:vMerge w:val="continue"/>
            <w:vAlign w:val="center"/>
          </w:tcPr>
          <w:p w14:paraId="627F7EF6">
            <w:pPr>
              <w:pStyle w:val="46"/>
              <w:bidi w:val="0"/>
              <w:rPr>
                <w:rFonts w:hint="default" w:ascii="Times New Roman" w:hAnsi="Times New Roman" w:cs="Times New Roman"/>
                <w:color w:val="auto"/>
                <w:highlight w:val="none"/>
                <w:lang w:val="zh-CN"/>
              </w:rPr>
            </w:pPr>
          </w:p>
        </w:tc>
        <w:tc>
          <w:tcPr>
            <w:tcW w:w="325" w:type="pct"/>
            <w:vMerge w:val="continue"/>
            <w:vAlign w:val="center"/>
          </w:tcPr>
          <w:p w14:paraId="64AAC5F2">
            <w:pPr>
              <w:pStyle w:val="46"/>
              <w:bidi w:val="0"/>
              <w:rPr>
                <w:rFonts w:hint="default" w:ascii="Times New Roman" w:hAnsi="Times New Roman" w:cs="Times New Roman"/>
                <w:color w:val="auto"/>
                <w:highlight w:val="none"/>
              </w:rPr>
            </w:pPr>
          </w:p>
        </w:tc>
        <w:tc>
          <w:tcPr>
            <w:tcW w:w="166" w:type="pct"/>
            <w:vMerge w:val="continue"/>
            <w:vAlign w:val="center"/>
          </w:tcPr>
          <w:p w14:paraId="21F06BA9">
            <w:pPr>
              <w:pStyle w:val="46"/>
              <w:bidi w:val="0"/>
              <w:rPr>
                <w:rFonts w:hint="default" w:ascii="Times New Roman" w:hAnsi="Times New Roman" w:cs="Times New Roman"/>
                <w:color w:val="auto"/>
                <w:highlight w:val="none"/>
                <w:lang w:val="zh-CN"/>
              </w:rPr>
            </w:pPr>
          </w:p>
        </w:tc>
        <w:tc>
          <w:tcPr>
            <w:tcW w:w="370" w:type="pct"/>
            <w:vMerge w:val="continue"/>
            <w:vAlign w:val="center"/>
          </w:tcPr>
          <w:p w14:paraId="41C21ABF">
            <w:pPr>
              <w:pStyle w:val="46"/>
              <w:bidi w:val="0"/>
              <w:rPr>
                <w:rFonts w:hint="default" w:ascii="Times New Roman" w:hAnsi="Times New Roman" w:cs="Times New Roman"/>
                <w:color w:val="auto"/>
                <w:highlight w:val="none"/>
                <w:lang w:val="zh-CN"/>
              </w:rPr>
            </w:pPr>
          </w:p>
        </w:tc>
        <w:tc>
          <w:tcPr>
            <w:tcW w:w="1190" w:type="dxa"/>
            <w:vAlign w:val="center"/>
          </w:tcPr>
          <w:p w14:paraId="54C0E48D">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48" w:type="dxa"/>
            <w:vAlign w:val="center"/>
          </w:tcPr>
          <w:p w14:paraId="70516CE1">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22C77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248" w:type="pct"/>
            <w:vMerge w:val="continue"/>
            <w:vAlign w:val="center"/>
          </w:tcPr>
          <w:p w14:paraId="55614819">
            <w:pPr>
              <w:pStyle w:val="46"/>
              <w:bidi w:val="0"/>
              <w:rPr>
                <w:rFonts w:hint="default" w:ascii="Times New Roman" w:hAnsi="Times New Roman" w:cs="Times New Roman"/>
                <w:color w:val="auto"/>
                <w:highlight w:val="none"/>
              </w:rPr>
            </w:pPr>
          </w:p>
        </w:tc>
        <w:tc>
          <w:tcPr>
            <w:tcW w:w="250" w:type="pct"/>
            <w:vMerge w:val="continue"/>
            <w:vAlign w:val="center"/>
          </w:tcPr>
          <w:p w14:paraId="11B1CD43">
            <w:pPr>
              <w:pStyle w:val="46"/>
              <w:bidi w:val="0"/>
              <w:rPr>
                <w:rFonts w:hint="default" w:ascii="Times New Roman" w:hAnsi="Times New Roman" w:cs="Times New Roman"/>
                <w:color w:val="auto"/>
                <w:highlight w:val="none"/>
              </w:rPr>
            </w:pPr>
          </w:p>
        </w:tc>
        <w:tc>
          <w:tcPr>
            <w:tcW w:w="254" w:type="pct"/>
            <w:vMerge w:val="continue"/>
            <w:vAlign w:val="center"/>
          </w:tcPr>
          <w:p w14:paraId="01C9EDC1">
            <w:pPr>
              <w:pStyle w:val="46"/>
              <w:bidi w:val="0"/>
              <w:rPr>
                <w:rFonts w:hint="default" w:ascii="Times New Roman" w:hAnsi="Times New Roman" w:cs="Times New Roman"/>
                <w:color w:val="auto"/>
                <w:highlight w:val="none"/>
              </w:rPr>
            </w:pPr>
          </w:p>
        </w:tc>
        <w:tc>
          <w:tcPr>
            <w:tcW w:w="402" w:type="pct"/>
            <w:vAlign w:val="center"/>
          </w:tcPr>
          <w:p w14:paraId="31D4A2EA">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总铍</w:t>
            </w:r>
          </w:p>
        </w:tc>
        <w:tc>
          <w:tcPr>
            <w:tcW w:w="211" w:type="pct"/>
            <w:vMerge w:val="continue"/>
            <w:vAlign w:val="center"/>
          </w:tcPr>
          <w:p w14:paraId="7032EC08">
            <w:pPr>
              <w:pStyle w:val="46"/>
              <w:bidi w:val="0"/>
              <w:rPr>
                <w:rFonts w:hint="default" w:ascii="Times New Roman" w:hAnsi="Times New Roman" w:cs="Times New Roman"/>
                <w:color w:val="auto"/>
                <w:highlight w:val="none"/>
                <w:lang w:val="zh-CN"/>
              </w:rPr>
            </w:pPr>
          </w:p>
        </w:tc>
        <w:tc>
          <w:tcPr>
            <w:tcW w:w="319" w:type="pct"/>
            <w:vMerge w:val="continue"/>
            <w:vAlign w:val="center"/>
          </w:tcPr>
          <w:p w14:paraId="1C4C6DE5">
            <w:pPr>
              <w:pStyle w:val="46"/>
              <w:bidi w:val="0"/>
              <w:rPr>
                <w:rFonts w:hint="default" w:ascii="Times New Roman" w:hAnsi="Times New Roman" w:cs="Times New Roman"/>
                <w:color w:val="auto"/>
                <w:highlight w:val="none"/>
                <w:lang w:val="zh-CN"/>
              </w:rPr>
            </w:pPr>
          </w:p>
        </w:tc>
        <w:tc>
          <w:tcPr>
            <w:tcW w:w="422" w:type="pct"/>
            <w:vAlign w:val="center"/>
          </w:tcPr>
          <w:p w14:paraId="22C09D0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0.00014</w:t>
            </w:r>
          </w:p>
        </w:tc>
        <w:tc>
          <w:tcPr>
            <w:tcW w:w="1295" w:type="dxa"/>
            <w:vAlign w:val="bottom"/>
          </w:tcPr>
          <w:p w14:paraId="1BD1534A">
            <w:pPr>
              <w:pStyle w:val="46"/>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0.000001 </w:t>
            </w:r>
          </w:p>
        </w:tc>
        <w:tc>
          <w:tcPr>
            <w:tcW w:w="718" w:type="pct"/>
            <w:vMerge w:val="continue"/>
            <w:vAlign w:val="center"/>
          </w:tcPr>
          <w:p w14:paraId="730E0A6A">
            <w:pPr>
              <w:pStyle w:val="46"/>
              <w:bidi w:val="0"/>
              <w:rPr>
                <w:rFonts w:hint="default" w:ascii="Times New Roman" w:hAnsi="Times New Roman" w:cs="Times New Roman"/>
                <w:color w:val="auto"/>
                <w:highlight w:val="none"/>
                <w:lang w:val="zh-CN"/>
              </w:rPr>
            </w:pPr>
          </w:p>
        </w:tc>
        <w:tc>
          <w:tcPr>
            <w:tcW w:w="325" w:type="pct"/>
            <w:vMerge w:val="continue"/>
            <w:vAlign w:val="center"/>
          </w:tcPr>
          <w:p w14:paraId="53EE43AE">
            <w:pPr>
              <w:pStyle w:val="46"/>
              <w:bidi w:val="0"/>
              <w:rPr>
                <w:rFonts w:hint="default" w:ascii="Times New Roman" w:hAnsi="Times New Roman" w:cs="Times New Roman"/>
                <w:color w:val="auto"/>
                <w:highlight w:val="none"/>
              </w:rPr>
            </w:pPr>
          </w:p>
        </w:tc>
        <w:tc>
          <w:tcPr>
            <w:tcW w:w="166" w:type="pct"/>
            <w:vMerge w:val="continue"/>
            <w:vAlign w:val="center"/>
          </w:tcPr>
          <w:p w14:paraId="5EA5BD44">
            <w:pPr>
              <w:pStyle w:val="46"/>
              <w:bidi w:val="0"/>
              <w:rPr>
                <w:rFonts w:hint="default" w:ascii="Times New Roman" w:hAnsi="Times New Roman" w:cs="Times New Roman"/>
                <w:color w:val="auto"/>
                <w:highlight w:val="none"/>
                <w:lang w:val="zh-CN"/>
              </w:rPr>
            </w:pPr>
          </w:p>
        </w:tc>
        <w:tc>
          <w:tcPr>
            <w:tcW w:w="370" w:type="pct"/>
            <w:vMerge w:val="continue"/>
            <w:vAlign w:val="center"/>
          </w:tcPr>
          <w:p w14:paraId="40DF6103">
            <w:pPr>
              <w:pStyle w:val="46"/>
              <w:bidi w:val="0"/>
              <w:rPr>
                <w:rFonts w:hint="default" w:ascii="Times New Roman" w:hAnsi="Times New Roman" w:cs="Times New Roman"/>
                <w:color w:val="auto"/>
                <w:highlight w:val="none"/>
                <w:lang w:val="zh-CN"/>
              </w:rPr>
            </w:pPr>
          </w:p>
        </w:tc>
        <w:tc>
          <w:tcPr>
            <w:tcW w:w="1190" w:type="dxa"/>
            <w:vAlign w:val="center"/>
          </w:tcPr>
          <w:p w14:paraId="4A45382D">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48" w:type="dxa"/>
            <w:vAlign w:val="center"/>
          </w:tcPr>
          <w:p w14:paraId="76ACE5D3">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6AF02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248" w:type="pct"/>
            <w:vMerge w:val="continue"/>
            <w:vAlign w:val="center"/>
          </w:tcPr>
          <w:p w14:paraId="04D03E66">
            <w:pPr>
              <w:pStyle w:val="46"/>
              <w:bidi w:val="0"/>
              <w:rPr>
                <w:rFonts w:hint="default" w:ascii="Times New Roman" w:hAnsi="Times New Roman" w:cs="Times New Roman"/>
                <w:color w:val="auto"/>
                <w:highlight w:val="none"/>
              </w:rPr>
            </w:pPr>
          </w:p>
        </w:tc>
        <w:tc>
          <w:tcPr>
            <w:tcW w:w="250" w:type="pct"/>
            <w:vMerge w:val="continue"/>
            <w:vAlign w:val="center"/>
          </w:tcPr>
          <w:p w14:paraId="4C9E3006">
            <w:pPr>
              <w:pStyle w:val="46"/>
              <w:bidi w:val="0"/>
              <w:rPr>
                <w:rFonts w:hint="default" w:ascii="Times New Roman" w:hAnsi="Times New Roman" w:cs="Times New Roman"/>
                <w:color w:val="auto"/>
                <w:highlight w:val="none"/>
              </w:rPr>
            </w:pPr>
          </w:p>
        </w:tc>
        <w:tc>
          <w:tcPr>
            <w:tcW w:w="254" w:type="pct"/>
            <w:vMerge w:val="continue"/>
            <w:vAlign w:val="center"/>
          </w:tcPr>
          <w:p w14:paraId="48571B04">
            <w:pPr>
              <w:pStyle w:val="46"/>
              <w:bidi w:val="0"/>
              <w:rPr>
                <w:rFonts w:hint="default" w:ascii="Times New Roman" w:hAnsi="Times New Roman" w:cs="Times New Roman"/>
                <w:color w:val="auto"/>
                <w:highlight w:val="none"/>
              </w:rPr>
            </w:pPr>
          </w:p>
        </w:tc>
        <w:tc>
          <w:tcPr>
            <w:tcW w:w="402" w:type="pct"/>
            <w:vAlign w:val="center"/>
          </w:tcPr>
          <w:p w14:paraId="4305B358">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总锌</w:t>
            </w:r>
          </w:p>
        </w:tc>
        <w:tc>
          <w:tcPr>
            <w:tcW w:w="211" w:type="pct"/>
            <w:vMerge w:val="continue"/>
            <w:vAlign w:val="center"/>
          </w:tcPr>
          <w:p w14:paraId="56BFFE43">
            <w:pPr>
              <w:pStyle w:val="46"/>
              <w:bidi w:val="0"/>
              <w:rPr>
                <w:rFonts w:hint="default" w:ascii="Times New Roman" w:hAnsi="Times New Roman" w:cs="Times New Roman"/>
                <w:color w:val="auto"/>
                <w:highlight w:val="none"/>
                <w:lang w:val="zh-CN"/>
              </w:rPr>
            </w:pPr>
          </w:p>
        </w:tc>
        <w:tc>
          <w:tcPr>
            <w:tcW w:w="319" w:type="pct"/>
            <w:vMerge w:val="continue"/>
            <w:vAlign w:val="center"/>
          </w:tcPr>
          <w:p w14:paraId="1BBAC528">
            <w:pPr>
              <w:pStyle w:val="46"/>
              <w:bidi w:val="0"/>
              <w:rPr>
                <w:rFonts w:hint="default" w:ascii="Times New Roman" w:hAnsi="Times New Roman" w:cs="Times New Roman"/>
                <w:color w:val="auto"/>
                <w:highlight w:val="none"/>
                <w:lang w:val="zh-CN"/>
              </w:rPr>
            </w:pPr>
          </w:p>
        </w:tc>
        <w:tc>
          <w:tcPr>
            <w:tcW w:w="422" w:type="pct"/>
            <w:vAlign w:val="center"/>
          </w:tcPr>
          <w:p w14:paraId="138E458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481" w:type="pct"/>
            <w:vAlign w:val="bottom"/>
          </w:tcPr>
          <w:p w14:paraId="7971A630">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0.00019</w:t>
            </w:r>
          </w:p>
        </w:tc>
        <w:tc>
          <w:tcPr>
            <w:tcW w:w="718" w:type="pct"/>
            <w:vMerge w:val="continue"/>
            <w:vAlign w:val="center"/>
          </w:tcPr>
          <w:p w14:paraId="727569A5">
            <w:pPr>
              <w:pStyle w:val="46"/>
              <w:bidi w:val="0"/>
              <w:rPr>
                <w:rFonts w:hint="default" w:ascii="Times New Roman" w:hAnsi="Times New Roman" w:cs="Times New Roman"/>
                <w:color w:val="auto"/>
                <w:highlight w:val="none"/>
                <w:lang w:val="zh-CN"/>
              </w:rPr>
            </w:pPr>
          </w:p>
        </w:tc>
        <w:tc>
          <w:tcPr>
            <w:tcW w:w="325" w:type="pct"/>
            <w:vMerge w:val="continue"/>
            <w:vAlign w:val="center"/>
          </w:tcPr>
          <w:p w14:paraId="52C1AA4E">
            <w:pPr>
              <w:pStyle w:val="46"/>
              <w:bidi w:val="0"/>
              <w:rPr>
                <w:rFonts w:hint="default" w:ascii="Times New Roman" w:hAnsi="Times New Roman" w:cs="Times New Roman"/>
                <w:color w:val="auto"/>
                <w:highlight w:val="none"/>
              </w:rPr>
            </w:pPr>
          </w:p>
        </w:tc>
        <w:tc>
          <w:tcPr>
            <w:tcW w:w="166" w:type="pct"/>
            <w:vMerge w:val="continue"/>
            <w:vAlign w:val="center"/>
          </w:tcPr>
          <w:p w14:paraId="7B6ACF1A">
            <w:pPr>
              <w:pStyle w:val="46"/>
              <w:bidi w:val="0"/>
              <w:rPr>
                <w:rFonts w:hint="default" w:ascii="Times New Roman" w:hAnsi="Times New Roman" w:cs="Times New Roman"/>
                <w:color w:val="auto"/>
                <w:highlight w:val="none"/>
                <w:lang w:val="zh-CN"/>
              </w:rPr>
            </w:pPr>
          </w:p>
        </w:tc>
        <w:tc>
          <w:tcPr>
            <w:tcW w:w="370" w:type="pct"/>
            <w:vMerge w:val="continue"/>
            <w:vAlign w:val="center"/>
          </w:tcPr>
          <w:p w14:paraId="53CBBCA1">
            <w:pPr>
              <w:pStyle w:val="46"/>
              <w:bidi w:val="0"/>
              <w:rPr>
                <w:rFonts w:hint="default" w:ascii="Times New Roman" w:hAnsi="Times New Roman" w:cs="Times New Roman"/>
                <w:color w:val="auto"/>
                <w:highlight w:val="none"/>
                <w:lang w:val="zh-CN"/>
              </w:rPr>
            </w:pPr>
          </w:p>
        </w:tc>
        <w:tc>
          <w:tcPr>
            <w:tcW w:w="1190" w:type="dxa"/>
            <w:vAlign w:val="center"/>
          </w:tcPr>
          <w:p w14:paraId="48C82930">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48" w:type="dxa"/>
            <w:vAlign w:val="center"/>
          </w:tcPr>
          <w:p w14:paraId="3A787743">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77939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2C5C97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工作人员生活</w:t>
            </w:r>
          </w:p>
        </w:tc>
        <w:tc>
          <w:tcPr>
            <w:tcW w:w="0" w:type="auto"/>
            <w:vMerge w:val="restart"/>
            <w:vAlign w:val="center"/>
          </w:tcPr>
          <w:p w14:paraId="3DAE5E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工作人员生活</w:t>
            </w:r>
          </w:p>
        </w:tc>
        <w:tc>
          <w:tcPr>
            <w:tcW w:w="0" w:type="auto"/>
            <w:vMerge w:val="restart"/>
            <w:vAlign w:val="center"/>
          </w:tcPr>
          <w:p w14:paraId="05C8A9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工作人员生活</w:t>
            </w:r>
          </w:p>
        </w:tc>
        <w:tc>
          <w:tcPr>
            <w:tcW w:w="402" w:type="pct"/>
            <w:vAlign w:val="center"/>
          </w:tcPr>
          <w:p w14:paraId="046A9E8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CODcr</w:t>
            </w:r>
          </w:p>
        </w:tc>
        <w:tc>
          <w:tcPr>
            <w:tcW w:w="211" w:type="pct"/>
            <w:vMerge w:val="restart"/>
            <w:vAlign w:val="center"/>
          </w:tcPr>
          <w:p w14:paraId="22F8254C">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类比法</w:t>
            </w:r>
          </w:p>
        </w:tc>
        <w:tc>
          <w:tcPr>
            <w:tcW w:w="319" w:type="pct"/>
            <w:vMerge w:val="restart"/>
            <w:vAlign w:val="center"/>
          </w:tcPr>
          <w:p w14:paraId="494ADBE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105.6</w:t>
            </w:r>
          </w:p>
        </w:tc>
        <w:tc>
          <w:tcPr>
            <w:tcW w:w="422" w:type="pct"/>
            <w:vAlign w:val="center"/>
          </w:tcPr>
          <w:p w14:paraId="4C68F8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481" w:type="pct"/>
            <w:vAlign w:val="center"/>
          </w:tcPr>
          <w:p w14:paraId="2A9C2B5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35</w:t>
            </w:r>
          </w:p>
        </w:tc>
        <w:tc>
          <w:tcPr>
            <w:tcW w:w="718" w:type="pct"/>
            <w:vMerge w:val="restart"/>
            <w:vAlign w:val="center"/>
          </w:tcPr>
          <w:p w14:paraId="22C3230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排入</w:t>
            </w:r>
            <w:r>
              <w:rPr>
                <w:rFonts w:hint="default" w:ascii="Times New Roman" w:hAnsi="Times New Roman" w:cs="Times New Roman"/>
                <w:color w:val="auto"/>
                <w:highlight w:val="none"/>
                <w:lang w:val="en-US" w:eastAsia="zh-CN"/>
              </w:rPr>
              <w:t>碎石厂的</w:t>
            </w:r>
            <w:r>
              <w:rPr>
                <w:rFonts w:hint="default" w:ascii="Times New Roman" w:hAnsi="Times New Roman" w:cs="Times New Roman"/>
                <w:color w:val="auto"/>
                <w:highlight w:val="none"/>
                <w:lang w:val="zh-CN"/>
              </w:rPr>
              <w:t>的防渗旱厕，定期清掏，外运积肥</w:t>
            </w:r>
          </w:p>
        </w:tc>
        <w:tc>
          <w:tcPr>
            <w:tcW w:w="325" w:type="pct"/>
            <w:vMerge w:val="restart"/>
            <w:vAlign w:val="center"/>
          </w:tcPr>
          <w:p w14:paraId="685376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6" w:type="pct"/>
            <w:vMerge w:val="restart"/>
            <w:vAlign w:val="center"/>
          </w:tcPr>
          <w:p w14:paraId="5179BF6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类比法</w:t>
            </w:r>
          </w:p>
        </w:tc>
        <w:tc>
          <w:tcPr>
            <w:tcW w:w="370" w:type="pct"/>
            <w:vMerge w:val="restart"/>
            <w:vAlign w:val="center"/>
          </w:tcPr>
          <w:p w14:paraId="59AE3F79">
            <w:pPr>
              <w:pStyle w:val="46"/>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42" w:type="pct"/>
            <w:vMerge w:val="restart"/>
            <w:vAlign w:val="center"/>
          </w:tcPr>
          <w:p w14:paraId="76371C2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389" w:type="pct"/>
            <w:vMerge w:val="restart"/>
            <w:vAlign w:val="center"/>
          </w:tcPr>
          <w:p w14:paraId="3260609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r>
      <w:tr w14:paraId="7860F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7B31669">
            <w:pPr>
              <w:pStyle w:val="46"/>
              <w:bidi w:val="0"/>
              <w:rPr>
                <w:rFonts w:hint="default" w:ascii="Times New Roman" w:hAnsi="Times New Roman" w:cs="Times New Roman"/>
                <w:color w:val="auto"/>
                <w:highlight w:val="none"/>
              </w:rPr>
            </w:pPr>
          </w:p>
        </w:tc>
        <w:tc>
          <w:tcPr>
            <w:tcW w:w="0" w:type="auto"/>
            <w:vMerge w:val="continue"/>
            <w:vAlign w:val="center"/>
          </w:tcPr>
          <w:p w14:paraId="6224FB1C">
            <w:pPr>
              <w:pStyle w:val="46"/>
              <w:bidi w:val="0"/>
              <w:rPr>
                <w:rFonts w:hint="default" w:ascii="Times New Roman" w:hAnsi="Times New Roman" w:cs="Times New Roman"/>
                <w:color w:val="auto"/>
                <w:highlight w:val="none"/>
              </w:rPr>
            </w:pPr>
          </w:p>
        </w:tc>
        <w:tc>
          <w:tcPr>
            <w:tcW w:w="0" w:type="auto"/>
            <w:vMerge w:val="continue"/>
            <w:vAlign w:val="center"/>
          </w:tcPr>
          <w:p w14:paraId="1BDB8B87">
            <w:pPr>
              <w:pStyle w:val="46"/>
              <w:bidi w:val="0"/>
              <w:rPr>
                <w:rFonts w:hint="default" w:ascii="Times New Roman" w:hAnsi="Times New Roman" w:cs="Times New Roman"/>
                <w:color w:val="auto"/>
                <w:highlight w:val="none"/>
              </w:rPr>
            </w:pPr>
          </w:p>
        </w:tc>
        <w:tc>
          <w:tcPr>
            <w:tcW w:w="402" w:type="pct"/>
            <w:vAlign w:val="center"/>
          </w:tcPr>
          <w:p w14:paraId="125D8BC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BOD5</w:t>
            </w:r>
          </w:p>
        </w:tc>
        <w:tc>
          <w:tcPr>
            <w:tcW w:w="211" w:type="pct"/>
            <w:vMerge w:val="continue"/>
            <w:vAlign w:val="center"/>
          </w:tcPr>
          <w:p w14:paraId="3D957EEB">
            <w:pPr>
              <w:pStyle w:val="46"/>
              <w:bidi w:val="0"/>
              <w:rPr>
                <w:rFonts w:hint="default" w:ascii="Times New Roman" w:hAnsi="Times New Roman" w:cs="Times New Roman"/>
                <w:color w:val="auto"/>
                <w:highlight w:val="none"/>
                <w:lang w:val="zh-CN"/>
              </w:rPr>
            </w:pPr>
          </w:p>
        </w:tc>
        <w:tc>
          <w:tcPr>
            <w:tcW w:w="319" w:type="pct"/>
            <w:vMerge w:val="continue"/>
            <w:vAlign w:val="center"/>
          </w:tcPr>
          <w:p w14:paraId="18A7EA16">
            <w:pPr>
              <w:pStyle w:val="46"/>
              <w:bidi w:val="0"/>
              <w:rPr>
                <w:rFonts w:hint="default" w:ascii="Times New Roman" w:hAnsi="Times New Roman" w:cs="Times New Roman"/>
                <w:color w:val="auto"/>
                <w:highlight w:val="none"/>
                <w:lang w:val="zh-CN"/>
              </w:rPr>
            </w:pPr>
          </w:p>
        </w:tc>
        <w:tc>
          <w:tcPr>
            <w:tcW w:w="422" w:type="pct"/>
            <w:vAlign w:val="center"/>
          </w:tcPr>
          <w:p w14:paraId="3AB6D6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481" w:type="pct"/>
            <w:vAlign w:val="center"/>
          </w:tcPr>
          <w:p w14:paraId="179532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23</w:t>
            </w:r>
          </w:p>
        </w:tc>
        <w:tc>
          <w:tcPr>
            <w:tcW w:w="718" w:type="pct"/>
            <w:vMerge w:val="continue"/>
            <w:vAlign w:val="center"/>
          </w:tcPr>
          <w:p w14:paraId="35234494">
            <w:pPr>
              <w:pStyle w:val="46"/>
              <w:bidi w:val="0"/>
              <w:rPr>
                <w:rFonts w:hint="default" w:ascii="Times New Roman" w:hAnsi="Times New Roman" w:cs="Times New Roman"/>
                <w:color w:val="auto"/>
                <w:highlight w:val="none"/>
                <w:lang w:val="zh-CN"/>
              </w:rPr>
            </w:pPr>
          </w:p>
        </w:tc>
        <w:tc>
          <w:tcPr>
            <w:tcW w:w="325" w:type="pct"/>
            <w:vMerge w:val="continue"/>
            <w:vAlign w:val="center"/>
          </w:tcPr>
          <w:p w14:paraId="4CB6DB28">
            <w:pPr>
              <w:pStyle w:val="46"/>
              <w:bidi w:val="0"/>
              <w:rPr>
                <w:rFonts w:hint="default" w:ascii="Times New Roman" w:hAnsi="Times New Roman" w:cs="Times New Roman"/>
                <w:color w:val="auto"/>
                <w:highlight w:val="none"/>
              </w:rPr>
            </w:pPr>
          </w:p>
        </w:tc>
        <w:tc>
          <w:tcPr>
            <w:tcW w:w="166" w:type="pct"/>
            <w:vMerge w:val="continue"/>
            <w:vAlign w:val="center"/>
          </w:tcPr>
          <w:p w14:paraId="36A14F82">
            <w:pPr>
              <w:pStyle w:val="46"/>
              <w:bidi w:val="0"/>
              <w:rPr>
                <w:rFonts w:hint="default" w:ascii="Times New Roman" w:hAnsi="Times New Roman" w:cs="Times New Roman"/>
                <w:color w:val="auto"/>
                <w:highlight w:val="none"/>
                <w:lang w:val="zh-CN"/>
              </w:rPr>
            </w:pPr>
          </w:p>
        </w:tc>
        <w:tc>
          <w:tcPr>
            <w:tcW w:w="370" w:type="pct"/>
            <w:vMerge w:val="continue"/>
            <w:vAlign w:val="center"/>
          </w:tcPr>
          <w:p w14:paraId="09EF4A4E">
            <w:pPr>
              <w:pStyle w:val="46"/>
              <w:bidi w:val="0"/>
              <w:rPr>
                <w:rFonts w:hint="default" w:ascii="Times New Roman" w:hAnsi="Times New Roman" w:cs="Times New Roman"/>
                <w:color w:val="auto"/>
                <w:highlight w:val="none"/>
                <w:lang w:val="zh-CN"/>
              </w:rPr>
            </w:pPr>
          </w:p>
        </w:tc>
        <w:tc>
          <w:tcPr>
            <w:tcW w:w="442" w:type="pct"/>
            <w:vMerge w:val="continue"/>
            <w:vAlign w:val="center"/>
          </w:tcPr>
          <w:p w14:paraId="57F8A52F">
            <w:pPr>
              <w:pStyle w:val="46"/>
              <w:bidi w:val="0"/>
              <w:rPr>
                <w:rFonts w:hint="default" w:ascii="Times New Roman" w:hAnsi="Times New Roman" w:cs="Times New Roman"/>
                <w:color w:val="auto"/>
                <w:highlight w:val="none"/>
              </w:rPr>
            </w:pPr>
          </w:p>
        </w:tc>
        <w:tc>
          <w:tcPr>
            <w:tcW w:w="389" w:type="pct"/>
            <w:vMerge w:val="continue"/>
            <w:vAlign w:val="center"/>
          </w:tcPr>
          <w:p w14:paraId="3B4BA9E3">
            <w:pPr>
              <w:pStyle w:val="46"/>
              <w:bidi w:val="0"/>
              <w:rPr>
                <w:rFonts w:hint="default" w:ascii="Times New Roman" w:hAnsi="Times New Roman" w:cs="Times New Roman"/>
                <w:color w:val="auto"/>
                <w:highlight w:val="none"/>
              </w:rPr>
            </w:pPr>
          </w:p>
        </w:tc>
      </w:tr>
      <w:tr w14:paraId="6D0BD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261344CF">
            <w:pPr>
              <w:pStyle w:val="46"/>
              <w:bidi w:val="0"/>
              <w:rPr>
                <w:rFonts w:hint="default" w:ascii="Times New Roman" w:hAnsi="Times New Roman" w:cs="Times New Roman"/>
                <w:color w:val="auto"/>
                <w:highlight w:val="none"/>
              </w:rPr>
            </w:pPr>
          </w:p>
        </w:tc>
        <w:tc>
          <w:tcPr>
            <w:tcW w:w="0" w:type="auto"/>
            <w:vMerge w:val="continue"/>
            <w:vAlign w:val="center"/>
          </w:tcPr>
          <w:p w14:paraId="6C9EB6E2">
            <w:pPr>
              <w:pStyle w:val="46"/>
              <w:bidi w:val="0"/>
              <w:rPr>
                <w:rFonts w:hint="default" w:ascii="Times New Roman" w:hAnsi="Times New Roman" w:cs="Times New Roman"/>
                <w:color w:val="auto"/>
                <w:highlight w:val="none"/>
              </w:rPr>
            </w:pPr>
          </w:p>
        </w:tc>
        <w:tc>
          <w:tcPr>
            <w:tcW w:w="0" w:type="auto"/>
            <w:vMerge w:val="continue"/>
            <w:vAlign w:val="center"/>
          </w:tcPr>
          <w:p w14:paraId="2009D049">
            <w:pPr>
              <w:pStyle w:val="46"/>
              <w:bidi w:val="0"/>
              <w:rPr>
                <w:rFonts w:hint="default" w:ascii="Times New Roman" w:hAnsi="Times New Roman" w:cs="Times New Roman"/>
                <w:color w:val="auto"/>
                <w:highlight w:val="none"/>
              </w:rPr>
            </w:pPr>
          </w:p>
        </w:tc>
        <w:tc>
          <w:tcPr>
            <w:tcW w:w="402" w:type="pct"/>
            <w:vAlign w:val="center"/>
          </w:tcPr>
          <w:p w14:paraId="2B57358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SS</w:t>
            </w:r>
          </w:p>
        </w:tc>
        <w:tc>
          <w:tcPr>
            <w:tcW w:w="211" w:type="pct"/>
            <w:vMerge w:val="continue"/>
            <w:vAlign w:val="center"/>
          </w:tcPr>
          <w:p w14:paraId="34F0BE44">
            <w:pPr>
              <w:pStyle w:val="46"/>
              <w:bidi w:val="0"/>
              <w:rPr>
                <w:rFonts w:hint="default" w:ascii="Times New Roman" w:hAnsi="Times New Roman" w:cs="Times New Roman"/>
                <w:color w:val="auto"/>
                <w:highlight w:val="none"/>
                <w:lang w:val="zh-CN"/>
              </w:rPr>
            </w:pPr>
          </w:p>
        </w:tc>
        <w:tc>
          <w:tcPr>
            <w:tcW w:w="319" w:type="pct"/>
            <w:vMerge w:val="continue"/>
            <w:vAlign w:val="center"/>
          </w:tcPr>
          <w:p w14:paraId="71EA36FC">
            <w:pPr>
              <w:pStyle w:val="46"/>
              <w:bidi w:val="0"/>
              <w:rPr>
                <w:rFonts w:hint="default" w:ascii="Times New Roman" w:hAnsi="Times New Roman" w:cs="Times New Roman"/>
                <w:color w:val="auto"/>
                <w:highlight w:val="none"/>
                <w:lang w:val="zh-CN"/>
              </w:rPr>
            </w:pPr>
          </w:p>
        </w:tc>
        <w:tc>
          <w:tcPr>
            <w:tcW w:w="422" w:type="pct"/>
            <w:vAlign w:val="center"/>
          </w:tcPr>
          <w:p w14:paraId="2FE895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481" w:type="pct"/>
            <w:vAlign w:val="center"/>
          </w:tcPr>
          <w:p w14:paraId="0E14775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23</w:t>
            </w:r>
          </w:p>
        </w:tc>
        <w:tc>
          <w:tcPr>
            <w:tcW w:w="718" w:type="pct"/>
            <w:vMerge w:val="continue"/>
            <w:vAlign w:val="center"/>
          </w:tcPr>
          <w:p w14:paraId="7723F1D3">
            <w:pPr>
              <w:pStyle w:val="46"/>
              <w:bidi w:val="0"/>
              <w:rPr>
                <w:rFonts w:hint="default" w:ascii="Times New Roman" w:hAnsi="Times New Roman" w:cs="Times New Roman"/>
                <w:color w:val="auto"/>
                <w:highlight w:val="none"/>
                <w:lang w:val="zh-CN"/>
              </w:rPr>
            </w:pPr>
          </w:p>
        </w:tc>
        <w:tc>
          <w:tcPr>
            <w:tcW w:w="325" w:type="pct"/>
            <w:vMerge w:val="continue"/>
            <w:vAlign w:val="center"/>
          </w:tcPr>
          <w:p w14:paraId="6339AB90">
            <w:pPr>
              <w:pStyle w:val="46"/>
              <w:bidi w:val="0"/>
              <w:rPr>
                <w:rFonts w:hint="default" w:ascii="Times New Roman" w:hAnsi="Times New Roman" w:cs="Times New Roman"/>
                <w:color w:val="auto"/>
                <w:highlight w:val="none"/>
              </w:rPr>
            </w:pPr>
          </w:p>
        </w:tc>
        <w:tc>
          <w:tcPr>
            <w:tcW w:w="166" w:type="pct"/>
            <w:vMerge w:val="continue"/>
            <w:vAlign w:val="center"/>
          </w:tcPr>
          <w:p w14:paraId="76067C73">
            <w:pPr>
              <w:pStyle w:val="46"/>
              <w:bidi w:val="0"/>
              <w:rPr>
                <w:rFonts w:hint="default" w:ascii="Times New Roman" w:hAnsi="Times New Roman" w:cs="Times New Roman"/>
                <w:color w:val="auto"/>
                <w:highlight w:val="none"/>
                <w:lang w:val="zh-CN"/>
              </w:rPr>
            </w:pPr>
          </w:p>
        </w:tc>
        <w:tc>
          <w:tcPr>
            <w:tcW w:w="370" w:type="pct"/>
            <w:vMerge w:val="continue"/>
            <w:vAlign w:val="center"/>
          </w:tcPr>
          <w:p w14:paraId="793B7E8B">
            <w:pPr>
              <w:pStyle w:val="46"/>
              <w:bidi w:val="0"/>
              <w:rPr>
                <w:rFonts w:hint="default" w:ascii="Times New Roman" w:hAnsi="Times New Roman" w:cs="Times New Roman"/>
                <w:color w:val="auto"/>
                <w:highlight w:val="none"/>
                <w:lang w:val="zh-CN"/>
              </w:rPr>
            </w:pPr>
          </w:p>
        </w:tc>
        <w:tc>
          <w:tcPr>
            <w:tcW w:w="442" w:type="pct"/>
            <w:vMerge w:val="continue"/>
            <w:vAlign w:val="center"/>
          </w:tcPr>
          <w:p w14:paraId="49F3B93E">
            <w:pPr>
              <w:pStyle w:val="46"/>
              <w:bidi w:val="0"/>
              <w:rPr>
                <w:rFonts w:hint="default" w:ascii="Times New Roman" w:hAnsi="Times New Roman" w:cs="Times New Roman"/>
                <w:color w:val="auto"/>
                <w:highlight w:val="none"/>
              </w:rPr>
            </w:pPr>
          </w:p>
        </w:tc>
        <w:tc>
          <w:tcPr>
            <w:tcW w:w="389" w:type="pct"/>
            <w:vMerge w:val="continue"/>
            <w:vAlign w:val="center"/>
          </w:tcPr>
          <w:p w14:paraId="06178FD3">
            <w:pPr>
              <w:pStyle w:val="46"/>
              <w:bidi w:val="0"/>
              <w:rPr>
                <w:rFonts w:hint="default" w:ascii="Times New Roman" w:hAnsi="Times New Roman" w:cs="Times New Roman"/>
                <w:color w:val="auto"/>
                <w:highlight w:val="none"/>
              </w:rPr>
            </w:pPr>
          </w:p>
        </w:tc>
      </w:tr>
      <w:tr w14:paraId="523EE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72E1396">
            <w:pPr>
              <w:pStyle w:val="46"/>
              <w:bidi w:val="0"/>
              <w:rPr>
                <w:rFonts w:hint="default" w:ascii="Times New Roman" w:hAnsi="Times New Roman" w:cs="Times New Roman"/>
                <w:color w:val="auto"/>
                <w:highlight w:val="none"/>
              </w:rPr>
            </w:pPr>
          </w:p>
        </w:tc>
        <w:tc>
          <w:tcPr>
            <w:tcW w:w="0" w:type="auto"/>
            <w:vMerge w:val="continue"/>
            <w:vAlign w:val="center"/>
          </w:tcPr>
          <w:p w14:paraId="3D8110B0">
            <w:pPr>
              <w:pStyle w:val="46"/>
              <w:bidi w:val="0"/>
              <w:rPr>
                <w:rFonts w:hint="default" w:ascii="Times New Roman" w:hAnsi="Times New Roman" w:cs="Times New Roman"/>
                <w:color w:val="auto"/>
                <w:highlight w:val="none"/>
              </w:rPr>
            </w:pPr>
          </w:p>
        </w:tc>
        <w:tc>
          <w:tcPr>
            <w:tcW w:w="0" w:type="auto"/>
            <w:vMerge w:val="continue"/>
            <w:vAlign w:val="center"/>
          </w:tcPr>
          <w:p w14:paraId="2BBDC34E">
            <w:pPr>
              <w:pStyle w:val="46"/>
              <w:bidi w:val="0"/>
              <w:rPr>
                <w:rFonts w:hint="default" w:ascii="Times New Roman" w:hAnsi="Times New Roman" w:cs="Times New Roman"/>
                <w:color w:val="auto"/>
                <w:highlight w:val="none"/>
              </w:rPr>
            </w:pPr>
          </w:p>
        </w:tc>
        <w:tc>
          <w:tcPr>
            <w:tcW w:w="402" w:type="pct"/>
            <w:vAlign w:val="center"/>
          </w:tcPr>
          <w:p w14:paraId="6F2D9F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211" w:type="pct"/>
            <w:vMerge w:val="continue"/>
            <w:vAlign w:val="center"/>
          </w:tcPr>
          <w:p w14:paraId="47F0E21C">
            <w:pPr>
              <w:pStyle w:val="46"/>
              <w:bidi w:val="0"/>
              <w:rPr>
                <w:rFonts w:hint="default" w:ascii="Times New Roman" w:hAnsi="Times New Roman" w:cs="Times New Roman"/>
                <w:color w:val="auto"/>
                <w:highlight w:val="none"/>
                <w:lang w:val="zh-CN"/>
              </w:rPr>
            </w:pPr>
          </w:p>
        </w:tc>
        <w:tc>
          <w:tcPr>
            <w:tcW w:w="319" w:type="pct"/>
            <w:vMerge w:val="continue"/>
            <w:vAlign w:val="center"/>
          </w:tcPr>
          <w:p w14:paraId="07ABA3D2">
            <w:pPr>
              <w:pStyle w:val="46"/>
              <w:bidi w:val="0"/>
              <w:rPr>
                <w:rFonts w:hint="default" w:ascii="Times New Roman" w:hAnsi="Times New Roman" w:cs="Times New Roman"/>
                <w:color w:val="auto"/>
                <w:highlight w:val="none"/>
                <w:lang w:val="zh-CN"/>
              </w:rPr>
            </w:pPr>
          </w:p>
        </w:tc>
        <w:tc>
          <w:tcPr>
            <w:tcW w:w="422" w:type="pct"/>
            <w:vAlign w:val="center"/>
          </w:tcPr>
          <w:p w14:paraId="363CA3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481" w:type="pct"/>
            <w:vAlign w:val="center"/>
          </w:tcPr>
          <w:p w14:paraId="11FFD55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0.00</w:t>
            </w:r>
            <w:r>
              <w:rPr>
                <w:rFonts w:hint="default" w:ascii="Times New Roman" w:hAnsi="Times New Roman" w:cs="Times New Roman"/>
                <w:color w:val="auto"/>
                <w:highlight w:val="none"/>
                <w:lang w:val="en-US" w:eastAsia="zh-CN"/>
              </w:rPr>
              <w:t>035</w:t>
            </w:r>
          </w:p>
        </w:tc>
        <w:tc>
          <w:tcPr>
            <w:tcW w:w="718" w:type="pct"/>
            <w:vMerge w:val="continue"/>
            <w:vAlign w:val="center"/>
          </w:tcPr>
          <w:p w14:paraId="6A3BEEAC">
            <w:pPr>
              <w:pStyle w:val="46"/>
              <w:bidi w:val="0"/>
              <w:rPr>
                <w:rFonts w:hint="default" w:ascii="Times New Roman" w:hAnsi="Times New Roman" w:cs="Times New Roman"/>
                <w:color w:val="auto"/>
                <w:highlight w:val="none"/>
                <w:lang w:val="zh-CN"/>
              </w:rPr>
            </w:pPr>
          </w:p>
        </w:tc>
        <w:tc>
          <w:tcPr>
            <w:tcW w:w="325" w:type="pct"/>
            <w:vMerge w:val="continue"/>
            <w:vAlign w:val="center"/>
          </w:tcPr>
          <w:p w14:paraId="6279CFB0">
            <w:pPr>
              <w:pStyle w:val="46"/>
              <w:bidi w:val="0"/>
              <w:rPr>
                <w:rFonts w:hint="default" w:ascii="Times New Roman" w:hAnsi="Times New Roman" w:cs="Times New Roman"/>
                <w:color w:val="auto"/>
                <w:highlight w:val="none"/>
              </w:rPr>
            </w:pPr>
          </w:p>
        </w:tc>
        <w:tc>
          <w:tcPr>
            <w:tcW w:w="166" w:type="pct"/>
            <w:vMerge w:val="continue"/>
            <w:vAlign w:val="center"/>
          </w:tcPr>
          <w:p w14:paraId="2C953F98">
            <w:pPr>
              <w:pStyle w:val="46"/>
              <w:bidi w:val="0"/>
              <w:rPr>
                <w:rFonts w:hint="default" w:ascii="Times New Roman" w:hAnsi="Times New Roman" w:cs="Times New Roman"/>
                <w:color w:val="auto"/>
                <w:highlight w:val="none"/>
                <w:lang w:val="zh-CN"/>
              </w:rPr>
            </w:pPr>
          </w:p>
        </w:tc>
        <w:tc>
          <w:tcPr>
            <w:tcW w:w="370" w:type="pct"/>
            <w:vMerge w:val="continue"/>
            <w:vAlign w:val="center"/>
          </w:tcPr>
          <w:p w14:paraId="6855A9FB">
            <w:pPr>
              <w:pStyle w:val="46"/>
              <w:bidi w:val="0"/>
              <w:rPr>
                <w:rFonts w:hint="default" w:ascii="Times New Roman" w:hAnsi="Times New Roman" w:cs="Times New Roman"/>
                <w:color w:val="auto"/>
                <w:highlight w:val="none"/>
                <w:lang w:val="zh-CN"/>
              </w:rPr>
            </w:pPr>
          </w:p>
        </w:tc>
        <w:tc>
          <w:tcPr>
            <w:tcW w:w="442" w:type="pct"/>
            <w:vMerge w:val="continue"/>
            <w:vAlign w:val="center"/>
          </w:tcPr>
          <w:p w14:paraId="3A45350D">
            <w:pPr>
              <w:pStyle w:val="46"/>
              <w:bidi w:val="0"/>
              <w:rPr>
                <w:rFonts w:hint="default" w:ascii="Times New Roman" w:hAnsi="Times New Roman" w:cs="Times New Roman"/>
                <w:color w:val="auto"/>
                <w:highlight w:val="none"/>
              </w:rPr>
            </w:pPr>
          </w:p>
        </w:tc>
        <w:tc>
          <w:tcPr>
            <w:tcW w:w="389" w:type="pct"/>
            <w:vMerge w:val="continue"/>
            <w:vAlign w:val="center"/>
          </w:tcPr>
          <w:p w14:paraId="4347DD9D">
            <w:pPr>
              <w:pStyle w:val="46"/>
              <w:bidi w:val="0"/>
              <w:rPr>
                <w:rFonts w:hint="default" w:ascii="Times New Roman" w:hAnsi="Times New Roman" w:cs="Times New Roman"/>
                <w:color w:val="auto"/>
                <w:highlight w:val="none"/>
              </w:rPr>
            </w:pPr>
          </w:p>
        </w:tc>
      </w:tr>
    </w:tbl>
    <w:p w14:paraId="4D2467D7">
      <w:pPr>
        <w:pStyle w:val="27"/>
        <w:ind w:firstLine="48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6ED4AF1">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3.3.1.3噪声</w:t>
      </w:r>
    </w:p>
    <w:p w14:paraId="209FE711">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施工期噪声源主</w:t>
      </w:r>
      <w:r>
        <w:rPr>
          <w:rFonts w:hint="default" w:ascii="Times New Roman" w:hAnsi="Times New Roman" w:eastAsia="宋体" w:cs="Times New Roman"/>
          <w:b w:val="0"/>
          <w:bCs w:val="0"/>
          <w:color w:val="auto"/>
          <w:kern w:val="21"/>
          <w:sz w:val="24"/>
          <w:szCs w:val="24"/>
          <w:highlight w:val="none"/>
          <w:u w:val="none"/>
        </w:rPr>
        <w:t>要为洒水车和作业机械时产生的噪声</w:t>
      </w:r>
      <w:r>
        <w:rPr>
          <w:rFonts w:hint="default" w:ascii="Times New Roman" w:hAnsi="Times New Roman" w:cs="Times New Roman"/>
          <w:color w:val="auto"/>
          <w:highlight w:val="none"/>
          <w:lang w:val="en-US" w:eastAsia="zh-CN"/>
        </w:rPr>
        <w:t>，其噪声功率级为85-90dB（A），详见表3-3-8。</w:t>
      </w:r>
    </w:p>
    <w:p w14:paraId="7FAFF67B">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lang w:val="en-US" w:eastAsia="en-US"/>
        </w:rPr>
        <w:t>3</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en-US"/>
        </w:rPr>
        <w:t>3-</w:t>
      </w:r>
      <w:r>
        <w:rPr>
          <w:rFonts w:hint="default"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 xml:space="preserve">  噪声源强调查清单（室外声源移动源）</w:t>
      </w:r>
    </w:p>
    <w:tbl>
      <w:tblPr>
        <w:tblStyle w:val="25"/>
        <w:tblW w:w="91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438"/>
        <w:gridCol w:w="772"/>
        <w:gridCol w:w="888"/>
        <w:gridCol w:w="888"/>
        <w:gridCol w:w="889"/>
        <w:gridCol w:w="1196"/>
        <w:gridCol w:w="1529"/>
        <w:gridCol w:w="783"/>
      </w:tblGrid>
      <w:tr w14:paraId="38843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21" w:type="pct"/>
            <w:vMerge w:val="restart"/>
            <w:tcBorders>
              <w:tl2br w:val="nil"/>
              <w:tr2bl w:val="nil"/>
            </w:tcBorders>
            <w:noWrap w:val="0"/>
            <w:vAlign w:val="center"/>
          </w:tcPr>
          <w:p w14:paraId="0255E4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785" w:type="pct"/>
            <w:vMerge w:val="restart"/>
            <w:tcBorders>
              <w:tl2br w:val="nil"/>
              <w:tr2bl w:val="nil"/>
            </w:tcBorders>
            <w:noWrap w:val="0"/>
            <w:vAlign w:val="center"/>
          </w:tcPr>
          <w:p w14:paraId="3E074C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声源名称</w:t>
            </w:r>
          </w:p>
        </w:tc>
        <w:tc>
          <w:tcPr>
            <w:tcW w:w="421" w:type="pct"/>
            <w:vMerge w:val="restart"/>
            <w:tcBorders>
              <w:tl2br w:val="nil"/>
              <w:tr2bl w:val="nil"/>
            </w:tcBorders>
            <w:noWrap w:val="0"/>
            <w:vAlign w:val="center"/>
          </w:tcPr>
          <w:p w14:paraId="5717522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型号</w:t>
            </w:r>
          </w:p>
        </w:tc>
        <w:tc>
          <w:tcPr>
            <w:tcW w:w="1455" w:type="pct"/>
            <w:gridSpan w:val="3"/>
            <w:tcBorders>
              <w:tl2br w:val="nil"/>
              <w:tr2bl w:val="nil"/>
            </w:tcBorders>
            <w:noWrap w:val="0"/>
            <w:vAlign w:val="center"/>
          </w:tcPr>
          <w:p w14:paraId="1878EF2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空间相对位置/m</w:t>
            </w:r>
          </w:p>
        </w:tc>
        <w:tc>
          <w:tcPr>
            <w:tcW w:w="653" w:type="pct"/>
            <w:vMerge w:val="restart"/>
            <w:tcBorders>
              <w:tl2br w:val="nil"/>
              <w:tr2bl w:val="nil"/>
            </w:tcBorders>
            <w:noWrap w:val="0"/>
            <w:vAlign w:val="center"/>
          </w:tcPr>
          <w:p w14:paraId="1F3AEE5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声源源强/dB</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A</w:t>
            </w:r>
            <w:r>
              <w:rPr>
                <w:rFonts w:hint="default" w:ascii="Times New Roman" w:hAnsi="Times New Roman" w:cs="Times New Roman"/>
                <w:color w:val="auto"/>
                <w:highlight w:val="none"/>
                <w:lang w:val="en-US" w:eastAsia="zh-CN"/>
              </w:rPr>
              <w:t>)</w:t>
            </w:r>
          </w:p>
        </w:tc>
        <w:tc>
          <w:tcPr>
            <w:tcW w:w="835" w:type="pct"/>
            <w:vMerge w:val="restart"/>
            <w:tcBorders>
              <w:tl2br w:val="nil"/>
              <w:tr2bl w:val="nil"/>
            </w:tcBorders>
            <w:noWrap w:val="0"/>
            <w:vAlign w:val="center"/>
          </w:tcPr>
          <w:p w14:paraId="53137C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声源控制措施</w:t>
            </w:r>
          </w:p>
        </w:tc>
        <w:tc>
          <w:tcPr>
            <w:tcW w:w="427" w:type="pct"/>
            <w:vMerge w:val="restart"/>
            <w:tcBorders>
              <w:tl2br w:val="nil"/>
              <w:tr2bl w:val="nil"/>
            </w:tcBorders>
            <w:noWrap w:val="0"/>
            <w:vAlign w:val="center"/>
          </w:tcPr>
          <w:p w14:paraId="261AFB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运行时段</w:t>
            </w:r>
          </w:p>
        </w:tc>
      </w:tr>
      <w:tr w14:paraId="04C73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1" w:type="pct"/>
            <w:vMerge w:val="continue"/>
            <w:tcBorders>
              <w:tl2br w:val="nil"/>
              <w:tr2bl w:val="nil"/>
            </w:tcBorders>
            <w:noWrap w:val="0"/>
            <w:vAlign w:val="center"/>
          </w:tcPr>
          <w:p w14:paraId="19B1C693">
            <w:pPr>
              <w:pStyle w:val="46"/>
              <w:bidi w:val="0"/>
              <w:rPr>
                <w:rFonts w:hint="default" w:ascii="Times New Roman" w:hAnsi="Times New Roman" w:cs="Times New Roman"/>
                <w:color w:val="auto"/>
                <w:highlight w:val="none"/>
              </w:rPr>
            </w:pPr>
          </w:p>
        </w:tc>
        <w:tc>
          <w:tcPr>
            <w:tcW w:w="785" w:type="pct"/>
            <w:vMerge w:val="continue"/>
            <w:tcBorders>
              <w:tl2br w:val="nil"/>
              <w:tr2bl w:val="nil"/>
            </w:tcBorders>
            <w:noWrap w:val="0"/>
            <w:vAlign w:val="center"/>
          </w:tcPr>
          <w:p w14:paraId="16A2EB4A">
            <w:pPr>
              <w:pStyle w:val="46"/>
              <w:bidi w:val="0"/>
              <w:rPr>
                <w:rFonts w:hint="default" w:ascii="Times New Roman" w:hAnsi="Times New Roman" w:cs="Times New Roman"/>
                <w:color w:val="auto"/>
                <w:highlight w:val="none"/>
              </w:rPr>
            </w:pPr>
          </w:p>
        </w:tc>
        <w:tc>
          <w:tcPr>
            <w:tcW w:w="421" w:type="pct"/>
            <w:vMerge w:val="continue"/>
            <w:tcBorders>
              <w:tl2br w:val="nil"/>
              <w:tr2bl w:val="nil"/>
            </w:tcBorders>
            <w:noWrap w:val="0"/>
            <w:vAlign w:val="center"/>
          </w:tcPr>
          <w:p w14:paraId="0543CE7B">
            <w:pPr>
              <w:pStyle w:val="46"/>
              <w:bidi w:val="0"/>
              <w:rPr>
                <w:rFonts w:hint="default" w:ascii="Times New Roman" w:hAnsi="Times New Roman" w:cs="Times New Roman"/>
                <w:color w:val="auto"/>
                <w:highlight w:val="none"/>
              </w:rPr>
            </w:pPr>
          </w:p>
        </w:tc>
        <w:tc>
          <w:tcPr>
            <w:tcW w:w="484" w:type="pct"/>
            <w:tcBorders>
              <w:tl2br w:val="nil"/>
              <w:tr2bl w:val="nil"/>
            </w:tcBorders>
            <w:noWrap w:val="0"/>
            <w:vAlign w:val="center"/>
          </w:tcPr>
          <w:p w14:paraId="2E6223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X</w:t>
            </w:r>
          </w:p>
        </w:tc>
        <w:tc>
          <w:tcPr>
            <w:tcW w:w="484" w:type="pct"/>
            <w:tcBorders>
              <w:tl2br w:val="nil"/>
              <w:tr2bl w:val="nil"/>
            </w:tcBorders>
            <w:noWrap w:val="0"/>
            <w:vAlign w:val="center"/>
          </w:tcPr>
          <w:p w14:paraId="14432F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Y</w:t>
            </w:r>
          </w:p>
        </w:tc>
        <w:tc>
          <w:tcPr>
            <w:tcW w:w="485" w:type="pct"/>
            <w:tcBorders>
              <w:tl2br w:val="nil"/>
              <w:tr2bl w:val="nil"/>
            </w:tcBorders>
            <w:noWrap w:val="0"/>
            <w:vAlign w:val="center"/>
          </w:tcPr>
          <w:p w14:paraId="45E778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w:t>
            </w:r>
          </w:p>
        </w:tc>
        <w:tc>
          <w:tcPr>
            <w:tcW w:w="653" w:type="pct"/>
            <w:vMerge w:val="continue"/>
            <w:tcBorders>
              <w:tl2br w:val="nil"/>
              <w:tr2bl w:val="nil"/>
            </w:tcBorders>
            <w:noWrap w:val="0"/>
            <w:vAlign w:val="center"/>
          </w:tcPr>
          <w:p w14:paraId="0556E239">
            <w:pPr>
              <w:pStyle w:val="46"/>
              <w:bidi w:val="0"/>
              <w:rPr>
                <w:rFonts w:hint="default" w:ascii="Times New Roman" w:hAnsi="Times New Roman" w:cs="Times New Roman"/>
                <w:color w:val="auto"/>
                <w:highlight w:val="none"/>
              </w:rPr>
            </w:pPr>
          </w:p>
        </w:tc>
        <w:tc>
          <w:tcPr>
            <w:tcW w:w="835" w:type="pct"/>
            <w:vMerge w:val="continue"/>
            <w:tcBorders>
              <w:tl2br w:val="nil"/>
              <w:tr2bl w:val="nil"/>
            </w:tcBorders>
            <w:noWrap w:val="0"/>
            <w:vAlign w:val="center"/>
          </w:tcPr>
          <w:p w14:paraId="78212D72">
            <w:pPr>
              <w:pStyle w:val="46"/>
              <w:bidi w:val="0"/>
              <w:rPr>
                <w:rFonts w:hint="default" w:ascii="Times New Roman" w:hAnsi="Times New Roman" w:cs="Times New Roman"/>
                <w:color w:val="auto"/>
                <w:highlight w:val="none"/>
              </w:rPr>
            </w:pPr>
          </w:p>
        </w:tc>
        <w:tc>
          <w:tcPr>
            <w:tcW w:w="427" w:type="pct"/>
            <w:vMerge w:val="continue"/>
            <w:tcBorders>
              <w:tl2br w:val="nil"/>
              <w:tr2bl w:val="nil"/>
            </w:tcBorders>
            <w:noWrap w:val="0"/>
            <w:vAlign w:val="center"/>
          </w:tcPr>
          <w:p w14:paraId="1E90F284">
            <w:pPr>
              <w:pStyle w:val="46"/>
              <w:bidi w:val="0"/>
              <w:rPr>
                <w:rFonts w:hint="default" w:ascii="Times New Roman" w:hAnsi="Times New Roman" w:cs="Times New Roman"/>
                <w:color w:val="auto"/>
                <w:highlight w:val="none"/>
              </w:rPr>
            </w:pPr>
          </w:p>
        </w:tc>
      </w:tr>
      <w:tr w14:paraId="5E070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1" w:type="pct"/>
            <w:tcBorders>
              <w:tl2br w:val="nil"/>
              <w:tr2bl w:val="nil"/>
            </w:tcBorders>
            <w:noWrap w:val="0"/>
            <w:vAlign w:val="center"/>
          </w:tcPr>
          <w:p w14:paraId="2B2ECE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85" w:type="pct"/>
            <w:tcBorders>
              <w:tl2br w:val="nil"/>
              <w:tr2bl w:val="nil"/>
            </w:tcBorders>
            <w:noWrap w:val="0"/>
            <w:vAlign w:val="center"/>
          </w:tcPr>
          <w:p w14:paraId="7B9CA0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推土机</w:t>
            </w:r>
          </w:p>
        </w:tc>
        <w:tc>
          <w:tcPr>
            <w:tcW w:w="421" w:type="pct"/>
            <w:tcBorders>
              <w:tl2br w:val="nil"/>
              <w:tr2bl w:val="nil"/>
            </w:tcBorders>
            <w:noWrap w:val="0"/>
            <w:vAlign w:val="center"/>
          </w:tcPr>
          <w:p w14:paraId="6542889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5ADC23C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7C238D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5" w:type="pct"/>
            <w:tcBorders>
              <w:tl2br w:val="nil"/>
              <w:tr2bl w:val="nil"/>
            </w:tcBorders>
            <w:noWrap w:val="0"/>
            <w:vAlign w:val="center"/>
          </w:tcPr>
          <w:p w14:paraId="1DD6B1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653" w:type="pct"/>
            <w:tcBorders>
              <w:tl2br w:val="nil"/>
              <w:tr2bl w:val="nil"/>
            </w:tcBorders>
            <w:noWrap w:val="0"/>
            <w:vAlign w:val="center"/>
          </w:tcPr>
          <w:p w14:paraId="188831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835" w:type="pct"/>
            <w:vMerge w:val="restart"/>
            <w:tcBorders>
              <w:tl2br w:val="nil"/>
              <w:tr2bl w:val="nil"/>
            </w:tcBorders>
            <w:noWrap w:val="0"/>
            <w:vAlign w:val="center"/>
          </w:tcPr>
          <w:p w14:paraId="59C92C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低噪声设备，加强车辆维护保养，作业时围挡</w:t>
            </w:r>
          </w:p>
        </w:tc>
        <w:tc>
          <w:tcPr>
            <w:tcW w:w="427" w:type="pct"/>
            <w:vMerge w:val="restart"/>
            <w:tcBorders>
              <w:tl2br w:val="nil"/>
              <w:tr2bl w:val="nil"/>
            </w:tcBorders>
            <w:noWrap w:val="0"/>
            <w:vAlign w:val="center"/>
          </w:tcPr>
          <w:p w14:paraId="301277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r>
      <w:tr w14:paraId="025EA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1" w:type="pct"/>
            <w:tcBorders>
              <w:tl2br w:val="nil"/>
              <w:tr2bl w:val="nil"/>
            </w:tcBorders>
            <w:noWrap w:val="0"/>
            <w:vAlign w:val="center"/>
          </w:tcPr>
          <w:p w14:paraId="5A5952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85" w:type="pct"/>
            <w:tcBorders>
              <w:tl2br w:val="nil"/>
              <w:tr2bl w:val="nil"/>
            </w:tcBorders>
            <w:noWrap w:val="0"/>
            <w:vAlign w:val="center"/>
          </w:tcPr>
          <w:p w14:paraId="04C450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压实机</w:t>
            </w:r>
          </w:p>
        </w:tc>
        <w:tc>
          <w:tcPr>
            <w:tcW w:w="421" w:type="pct"/>
            <w:tcBorders>
              <w:tl2br w:val="nil"/>
              <w:tr2bl w:val="nil"/>
            </w:tcBorders>
            <w:noWrap w:val="0"/>
            <w:vAlign w:val="center"/>
          </w:tcPr>
          <w:p w14:paraId="0A37FA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0FE29B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551D3B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5" w:type="pct"/>
            <w:tcBorders>
              <w:tl2br w:val="nil"/>
              <w:tr2bl w:val="nil"/>
            </w:tcBorders>
            <w:noWrap w:val="0"/>
            <w:vAlign w:val="center"/>
          </w:tcPr>
          <w:p w14:paraId="5E8D09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653" w:type="pct"/>
            <w:tcBorders>
              <w:tl2br w:val="nil"/>
              <w:tr2bl w:val="nil"/>
            </w:tcBorders>
            <w:noWrap w:val="0"/>
            <w:vAlign w:val="center"/>
          </w:tcPr>
          <w:p w14:paraId="09F5DC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835" w:type="pct"/>
            <w:vMerge w:val="continue"/>
            <w:tcBorders>
              <w:tl2br w:val="nil"/>
              <w:tr2bl w:val="nil"/>
            </w:tcBorders>
            <w:noWrap w:val="0"/>
            <w:vAlign w:val="center"/>
          </w:tcPr>
          <w:p w14:paraId="5544F68B">
            <w:pPr>
              <w:pStyle w:val="46"/>
              <w:bidi w:val="0"/>
              <w:rPr>
                <w:rFonts w:hint="default" w:ascii="Times New Roman" w:hAnsi="Times New Roman" w:cs="Times New Roman"/>
                <w:color w:val="auto"/>
                <w:highlight w:val="none"/>
              </w:rPr>
            </w:pPr>
          </w:p>
        </w:tc>
        <w:tc>
          <w:tcPr>
            <w:tcW w:w="427" w:type="pct"/>
            <w:vMerge w:val="continue"/>
            <w:tcBorders>
              <w:tl2br w:val="nil"/>
              <w:tr2bl w:val="nil"/>
            </w:tcBorders>
            <w:noWrap w:val="0"/>
            <w:vAlign w:val="center"/>
          </w:tcPr>
          <w:p w14:paraId="41AF478E">
            <w:pPr>
              <w:pStyle w:val="46"/>
              <w:bidi w:val="0"/>
              <w:rPr>
                <w:rFonts w:hint="default" w:ascii="Times New Roman" w:hAnsi="Times New Roman" w:cs="Times New Roman"/>
                <w:color w:val="auto"/>
                <w:highlight w:val="none"/>
              </w:rPr>
            </w:pPr>
          </w:p>
        </w:tc>
      </w:tr>
      <w:tr w14:paraId="0A18F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1" w:type="pct"/>
            <w:tcBorders>
              <w:tl2br w:val="nil"/>
              <w:tr2bl w:val="nil"/>
            </w:tcBorders>
            <w:noWrap w:val="0"/>
            <w:vAlign w:val="center"/>
          </w:tcPr>
          <w:p w14:paraId="642B79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85" w:type="pct"/>
            <w:tcBorders>
              <w:tl2br w:val="nil"/>
              <w:tr2bl w:val="nil"/>
            </w:tcBorders>
            <w:noWrap w:val="0"/>
            <w:vAlign w:val="center"/>
          </w:tcPr>
          <w:p w14:paraId="4088B9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铲车</w:t>
            </w:r>
          </w:p>
        </w:tc>
        <w:tc>
          <w:tcPr>
            <w:tcW w:w="421" w:type="pct"/>
            <w:tcBorders>
              <w:tl2br w:val="nil"/>
              <w:tr2bl w:val="nil"/>
            </w:tcBorders>
            <w:noWrap w:val="0"/>
            <w:vAlign w:val="center"/>
          </w:tcPr>
          <w:p w14:paraId="0E4C65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0B3576E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4DA541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5" w:type="pct"/>
            <w:tcBorders>
              <w:tl2br w:val="nil"/>
              <w:tr2bl w:val="nil"/>
            </w:tcBorders>
            <w:noWrap w:val="0"/>
            <w:vAlign w:val="center"/>
          </w:tcPr>
          <w:p w14:paraId="4580F9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653" w:type="pct"/>
            <w:tcBorders>
              <w:tl2br w:val="nil"/>
              <w:tr2bl w:val="nil"/>
            </w:tcBorders>
            <w:noWrap w:val="0"/>
            <w:vAlign w:val="center"/>
          </w:tcPr>
          <w:p w14:paraId="626C9F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835" w:type="pct"/>
            <w:vMerge w:val="continue"/>
            <w:tcBorders>
              <w:tl2br w:val="nil"/>
              <w:tr2bl w:val="nil"/>
            </w:tcBorders>
            <w:noWrap w:val="0"/>
            <w:vAlign w:val="center"/>
          </w:tcPr>
          <w:p w14:paraId="34CB5CB3">
            <w:pPr>
              <w:pStyle w:val="46"/>
              <w:bidi w:val="0"/>
              <w:rPr>
                <w:rFonts w:hint="default" w:ascii="Times New Roman" w:hAnsi="Times New Roman" w:cs="Times New Roman"/>
                <w:color w:val="auto"/>
                <w:highlight w:val="none"/>
              </w:rPr>
            </w:pPr>
          </w:p>
        </w:tc>
        <w:tc>
          <w:tcPr>
            <w:tcW w:w="427" w:type="pct"/>
            <w:vMerge w:val="continue"/>
            <w:tcBorders>
              <w:tl2br w:val="nil"/>
              <w:tr2bl w:val="nil"/>
            </w:tcBorders>
            <w:noWrap w:val="0"/>
            <w:vAlign w:val="center"/>
          </w:tcPr>
          <w:p w14:paraId="5E2F541F">
            <w:pPr>
              <w:pStyle w:val="46"/>
              <w:bidi w:val="0"/>
              <w:rPr>
                <w:rFonts w:hint="default" w:ascii="Times New Roman" w:hAnsi="Times New Roman" w:cs="Times New Roman"/>
                <w:color w:val="auto"/>
                <w:highlight w:val="none"/>
              </w:rPr>
            </w:pPr>
          </w:p>
        </w:tc>
      </w:tr>
      <w:tr w14:paraId="7A575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1" w:type="pct"/>
            <w:tcBorders>
              <w:tl2br w:val="nil"/>
              <w:tr2bl w:val="nil"/>
            </w:tcBorders>
            <w:noWrap w:val="0"/>
            <w:vAlign w:val="center"/>
          </w:tcPr>
          <w:p w14:paraId="163C74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85" w:type="pct"/>
            <w:tcBorders>
              <w:tl2br w:val="nil"/>
              <w:tr2bl w:val="nil"/>
            </w:tcBorders>
            <w:noWrap w:val="0"/>
            <w:vAlign w:val="center"/>
          </w:tcPr>
          <w:p w14:paraId="427139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自卸翻斗车</w:t>
            </w:r>
          </w:p>
        </w:tc>
        <w:tc>
          <w:tcPr>
            <w:tcW w:w="421" w:type="pct"/>
            <w:tcBorders>
              <w:tl2br w:val="nil"/>
              <w:tr2bl w:val="nil"/>
            </w:tcBorders>
            <w:noWrap w:val="0"/>
            <w:vAlign w:val="center"/>
          </w:tcPr>
          <w:p w14:paraId="6E8369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003C46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4ADC75D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5" w:type="pct"/>
            <w:tcBorders>
              <w:tl2br w:val="nil"/>
              <w:tr2bl w:val="nil"/>
            </w:tcBorders>
            <w:noWrap w:val="0"/>
            <w:vAlign w:val="center"/>
          </w:tcPr>
          <w:p w14:paraId="0D554B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653" w:type="pct"/>
            <w:tcBorders>
              <w:tl2br w:val="nil"/>
              <w:tr2bl w:val="nil"/>
            </w:tcBorders>
            <w:noWrap w:val="0"/>
            <w:vAlign w:val="center"/>
          </w:tcPr>
          <w:p w14:paraId="579B54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835" w:type="pct"/>
            <w:vMerge w:val="continue"/>
            <w:tcBorders>
              <w:tl2br w:val="nil"/>
              <w:tr2bl w:val="nil"/>
            </w:tcBorders>
            <w:noWrap w:val="0"/>
            <w:vAlign w:val="center"/>
          </w:tcPr>
          <w:p w14:paraId="6BB2FBA9">
            <w:pPr>
              <w:pStyle w:val="46"/>
              <w:bidi w:val="0"/>
              <w:rPr>
                <w:rFonts w:hint="default" w:ascii="Times New Roman" w:hAnsi="Times New Roman" w:cs="Times New Roman"/>
                <w:color w:val="auto"/>
                <w:highlight w:val="none"/>
              </w:rPr>
            </w:pPr>
          </w:p>
        </w:tc>
        <w:tc>
          <w:tcPr>
            <w:tcW w:w="427" w:type="pct"/>
            <w:vMerge w:val="continue"/>
            <w:tcBorders>
              <w:tl2br w:val="nil"/>
              <w:tr2bl w:val="nil"/>
            </w:tcBorders>
            <w:noWrap w:val="0"/>
            <w:vAlign w:val="center"/>
          </w:tcPr>
          <w:p w14:paraId="07B4119C">
            <w:pPr>
              <w:pStyle w:val="46"/>
              <w:bidi w:val="0"/>
              <w:rPr>
                <w:rFonts w:hint="default" w:ascii="Times New Roman" w:hAnsi="Times New Roman" w:cs="Times New Roman"/>
                <w:color w:val="auto"/>
                <w:highlight w:val="none"/>
              </w:rPr>
            </w:pPr>
          </w:p>
        </w:tc>
      </w:tr>
      <w:tr w14:paraId="7037D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421" w:type="pct"/>
            <w:tcBorders>
              <w:tl2br w:val="nil"/>
              <w:tr2bl w:val="nil"/>
            </w:tcBorders>
            <w:noWrap w:val="0"/>
            <w:vAlign w:val="center"/>
          </w:tcPr>
          <w:p w14:paraId="15F7B74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785" w:type="pct"/>
            <w:tcBorders>
              <w:tl2br w:val="nil"/>
              <w:tr2bl w:val="nil"/>
            </w:tcBorders>
            <w:noWrap w:val="0"/>
            <w:vAlign w:val="center"/>
          </w:tcPr>
          <w:p w14:paraId="238E2F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洒水车</w:t>
            </w:r>
          </w:p>
        </w:tc>
        <w:tc>
          <w:tcPr>
            <w:tcW w:w="421" w:type="pct"/>
            <w:tcBorders>
              <w:tl2br w:val="nil"/>
              <w:tr2bl w:val="nil"/>
            </w:tcBorders>
            <w:noWrap w:val="0"/>
            <w:vAlign w:val="center"/>
          </w:tcPr>
          <w:p w14:paraId="60C2345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4216F3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4" w:type="pct"/>
            <w:tcBorders>
              <w:tl2br w:val="nil"/>
              <w:tr2bl w:val="nil"/>
            </w:tcBorders>
            <w:noWrap w:val="0"/>
            <w:vAlign w:val="center"/>
          </w:tcPr>
          <w:p w14:paraId="51A0D5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485" w:type="pct"/>
            <w:tcBorders>
              <w:tl2br w:val="nil"/>
              <w:tr2bl w:val="nil"/>
            </w:tcBorders>
            <w:noWrap w:val="0"/>
            <w:vAlign w:val="center"/>
          </w:tcPr>
          <w:p w14:paraId="04871B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653" w:type="pct"/>
            <w:tcBorders>
              <w:tl2br w:val="nil"/>
              <w:tr2bl w:val="nil"/>
            </w:tcBorders>
            <w:noWrap w:val="0"/>
            <w:vAlign w:val="center"/>
          </w:tcPr>
          <w:p w14:paraId="78F51B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w:t>
            </w:r>
          </w:p>
        </w:tc>
        <w:tc>
          <w:tcPr>
            <w:tcW w:w="835" w:type="pct"/>
            <w:vMerge w:val="continue"/>
            <w:tcBorders>
              <w:tl2br w:val="nil"/>
              <w:tr2bl w:val="nil"/>
            </w:tcBorders>
            <w:noWrap w:val="0"/>
            <w:vAlign w:val="center"/>
          </w:tcPr>
          <w:p w14:paraId="63A1CBB7">
            <w:pPr>
              <w:pStyle w:val="46"/>
              <w:bidi w:val="0"/>
              <w:rPr>
                <w:rFonts w:hint="default" w:ascii="Times New Roman" w:hAnsi="Times New Roman" w:cs="Times New Roman"/>
                <w:color w:val="auto"/>
                <w:highlight w:val="none"/>
              </w:rPr>
            </w:pPr>
          </w:p>
        </w:tc>
        <w:tc>
          <w:tcPr>
            <w:tcW w:w="427" w:type="pct"/>
            <w:vMerge w:val="continue"/>
            <w:tcBorders>
              <w:tl2br w:val="nil"/>
              <w:tr2bl w:val="nil"/>
            </w:tcBorders>
            <w:noWrap w:val="0"/>
            <w:vAlign w:val="center"/>
          </w:tcPr>
          <w:p w14:paraId="483720BB">
            <w:pPr>
              <w:pStyle w:val="46"/>
              <w:bidi w:val="0"/>
              <w:rPr>
                <w:rFonts w:hint="default" w:ascii="Times New Roman" w:hAnsi="Times New Roman" w:cs="Times New Roman"/>
                <w:color w:val="auto"/>
                <w:highlight w:val="none"/>
              </w:rPr>
            </w:pPr>
          </w:p>
        </w:tc>
      </w:tr>
    </w:tbl>
    <w:p w14:paraId="2EC0F06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为减轻工程噪声对周围环境的影响，工程采用加强作业机械管理和控制运行车辆车速的措施降低噪声，经采取上述措施后，场界噪声能够满足《工业企业厂界环境噪声排放标准》（GB12348-2008）表1中1类标准要求。</w:t>
      </w:r>
    </w:p>
    <w:p w14:paraId="4438A638">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3.3.1.4固体废物</w:t>
      </w:r>
    </w:p>
    <w:p w14:paraId="305DBE8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场地清理废物。建筑材料下脚料、包装袋等建筑废弃物，外售废品回收部门；场地清理废物包含杂草、草木根茎、杂物等，集中收集后交由市政部门统一处理。生活垃圾集中收集，交由市政部门统一处理。</w:t>
      </w:r>
    </w:p>
    <w:p w14:paraId="5390973C">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3.3.1.5地下水</w:t>
      </w:r>
    </w:p>
    <w:p w14:paraId="6AAC00C7">
      <w:pPr>
        <w:pStyle w:val="27"/>
        <w:bidi w:val="0"/>
        <w:rPr>
          <w:rFonts w:hint="default" w:ascii="Times New Roman" w:hAnsi="Times New Roman" w:cs="Times New Roman"/>
          <w:color w:val="auto"/>
          <w:highlight w:val="none"/>
          <w:lang w:val="en-US" w:eastAsia="zh-CN"/>
        </w:rPr>
      </w:pPr>
      <w:bookmarkStart w:id="186" w:name="_Toc24928"/>
      <w:r>
        <w:rPr>
          <w:rFonts w:hint="default" w:ascii="Times New Roman" w:hAnsi="Times New Roman" w:cs="Times New Roman"/>
          <w:color w:val="auto"/>
          <w:highlight w:val="none"/>
          <w:lang w:val="en-US" w:eastAsia="zh-CN"/>
        </w:rPr>
        <w:t xml:space="preserve">1）降雨时淋溶水下渗的产生量 </w:t>
      </w:r>
    </w:p>
    <w:p w14:paraId="14FAEC73">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在正常状况下，下渗量按下式计算： </w:t>
      </w:r>
    </w:p>
    <w:p w14:paraId="7BD991DE">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A=M×V×T</w:t>
      </w:r>
    </w:p>
    <w:p w14:paraId="05A3A7B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14:paraId="0C180D2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A—下渗</w:t>
      </w:r>
      <w:r>
        <w:rPr>
          <w:rFonts w:hint="default" w:ascii="Times New Roman" w:hAnsi="Times New Roman" w:cs="Times New Roman"/>
          <w:color w:val="auto"/>
          <w:highlight w:val="none"/>
          <w:lang w:eastAsia="zh-CN"/>
        </w:rPr>
        <w:t>渗漏</w:t>
      </w:r>
      <w:r>
        <w:rPr>
          <w:rFonts w:hint="default" w:ascii="Times New Roman" w:hAnsi="Times New Roman" w:cs="Times New Roman"/>
          <w:color w:val="auto"/>
          <w:highlight w:val="none"/>
        </w:rPr>
        <w:t>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p w14:paraId="12B7431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渗漏</w:t>
      </w:r>
      <w:r>
        <w:rPr>
          <w:rFonts w:hint="default" w:ascii="Times New Roman" w:hAnsi="Times New Roman" w:cs="Times New Roman"/>
          <w:color w:val="auto"/>
          <w:highlight w:val="none"/>
        </w:rPr>
        <w:t>面积，</w:t>
      </w:r>
      <w:r>
        <w:rPr>
          <w:rFonts w:hint="default" w:ascii="Times New Roman" w:hAnsi="Times New Roman" w:cs="Times New Roman"/>
          <w:color w:val="auto"/>
          <w:highlight w:val="none"/>
          <w:lang w:val="en-US" w:eastAsia="zh-CN"/>
        </w:rPr>
        <w:t>整体渗漏面积为回填区下部分表面积，为85303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336EB71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V—渗透速度，m/s，渗透速度取决于土壤层介质，本项目对场底进行改性压实粘土压实作为基础层，渗透系数取1.0×10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w:t>
      </w:r>
    </w:p>
    <w:p w14:paraId="5006B84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lang w:eastAsia="zh-CN"/>
        </w:rPr>
        <w:t>渗漏</w:t>
      </w:r>
      <w:r>
        <w:rPr>
          <w:rFonts w:hint="default" w:ascii="Times New Roman" w:hAnsi="Times New Roman" w:cs="Times New Roman"/>
          <w:color w:val="auto"/>
          <w:highlight w:val="none"/>
        </w:rPr>
        <w:t>时间，s</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取值86400s</w:t>
      </w:r>
      <w:r>
        <w:rPr>
          <w:rFonts w:hint="default" w:ascii="Times New Roman" w:hAnsi="Times New Roman" w:cs="Times New Roman"/>
          <w:color w:val="auto"/>
          <w:highlight w:val="none"/>
        </w:rPr>
        <w:t>。</w:t>
      </w:r>
    </w:p>
    <w:p w14:paraId="4893F72C">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A=M×V×T=</w:t>
      </w:r>
      <w:r>
        <w:rPr>
          <w:rFonts w:hint="default" w:ascii="Times New Roman" w:hAnsi="Times New Roman" w:cs="Times New Roman"/>
          <w:color w:val="auto"/>
          <w:highlight w:val="none"/>
          <w:lang w:val="en-US" w:eastAsia="zh-CN"/>
        </w:rPr>
        <w:t>85303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×86400s=</w:t>
      </w:r>
      <w:r>
        <w:rPr>
          <w:rFonts w:hint="default" w:ascii="Times New Roman" w:hAnsi="Times New Roman" w:cs="Times New Roman"/>
          <w:color w:val="auto"/>
          <w:highlight w:val="none"/>
          <w:lang w:val="en-US" w:eastAsia="zh-CN"/>
        </w:rPr>
        <w:t>737</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p w14:paraId="151F511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采用“分层摊铺、往返碾压、分单元作业”的回填处理工艺。每层摊铺厚度不大于1m，填充物与外界充分隔绝，减少了雨水进入，场地周边设置有</w:t>
      </w:r>
      <w:r>
        <w:rPr>
          <w:rFonts w:hint="default" w:ascii="Times New Roman" w:hAnsi="Times New Roman" w:cs="Times New Roman"/>
          <w:color w:val="auto"/>
          <w:highlight w:val="none"/>
          <w:lang w:val="en-US" w:eastAsia="zh-CN"/>
        </w:rPr>
        <w:t>截水沟</w:t>
      </w:r>
      <w:r>
        <w:rPr>
          <w:rFonts w:hint="default" w:ascii="Times New Roman" w:hAnsi="Times New Roman" w:cs="Times New Roman"/>
          <w:color w:val="auto"/>
          <w:highlight w:val="none"/>
        </w:rPr>
        <w:t>，避免</w:t>
      </w:r>
      <w:r>
        <w:rPr>
          <w:rFonts w:hint="default" w:ascii="Times New Roman" w:hAnsi="Times New Roman" w:cs="Times New Roman"/>
          <w:color w:val="auto"/>
          <w:highlight w:val="none"/>
          <w:lang w:val="en-US" w:eastAsia="zh-CN"/>
        </w:rPr>
        <w:t>场区外</w:t>
      </w:r>
      <w:r>
        <w:rPr>
          <w:rFonts w:hint="default" w:ascii="Times New Roman" w:hAnsi="Times New Roman" w:cs="Times New Roman"/>
          <w:color w:val="auto"/>
          <w:highlight w:val="none"/>
        </w:rPr>
        <w:t>雨水进入，</w:t>
      </w:r>
      <w:r>
        <w:rPr>
          <w:rFonts w:hint="default" w:ascii="Times New Roman" w:hAnsi="Times New Roman" w:cs="Times New Roman"/>
          <w:color w:val="auto"/>
          <w:highlight w:val="none"/>
          <w:lang w:val="en-US" w:eastAsia="zh-CN"/>
        </w:rPr>
        <w:t>同时鸡西市年平均蒸发量1284.7mm远大于年平均降水量537.5mm，</w:t>
      </w:r>
      <w:r>
        <w:rPr>
          <w:rFonts w:hint="default" w:ascii="Times New Roman" w:hAnsi="Times New Roman" w:cs="Times New Roman"/>
          <w:color w:val="auto"/>
          <w:highlight w:val="none"/>
        </w:rPr>
        <w:t>因此</w:t>
      </w:r>
      <w:r>
        <w:rPr>
          <w:rFonts w:hint="default" w:ascii="Times New Roman" w:hAnsi="Times New Roman" w:cs="Times New Roman"/>
          <w:color w:val="auto"/>
          <w:highlight w:val="none"/>
          <w:lang w:val="en-US" w:eastAsia="zh-CN"/>
        </w:rPr>
        <w:t>粉煤灰不易形成淋溶</w:t>
      </w:r>
      <w:r>
        <w:rPr>
          <w:rFonts w:hint="default" w:ascii="Times New Roman" w:hAnsi="Times New Roman" w:cs="Times New Roman"/>
          <w:color w:val="auto"/>
          <w:highlight w:val="none"/>
        </w:rPr>
        <w:t>浸泡</w:t>
      </w:r>
      <w:r>
        <w:rPr>
          <w:rFonts w:hint="default" w:ascii="Times New Roman" w:hAnsi="Times New Roman" w:cs="Times New Roman"/>
          <w:color w:val="auto"/>
          <w:highlight w:val="none"/>
          <w:lang w:val="en-US" w:eastAsia="zh-CN"/>
        </w:rPr>
        <w:t>条件</w:t>
      </w:r>
      <w:r>
        <w:rPr>
          <w:rFonts w:hint="default" w:ascii="Times New Roman" w:hAnsi="Times New Roman" w:cs="Times New Roman"/>
          <w:color w:val="auto"/>
          <w:highlight w:val="none"/>
        </w:rPr>
        <w:t>，因此实际淋溶水产生量很少，所以理论值仅为场地运行参考数据，为最不利情况计算。</w:t>
      </w:r>
    </w:p>
    <w:p w14:paraId="665BD2B0">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非正常情况下</w:t>
      </w:r>
      <w:r>
        <w:rPr>
          <w:rFonts w:hint="default" w:ascii="Times New Roman" w:hAnsi="Times New Roman" w:cs="Times New Roman"/>
          <w:color w:val="auto"/>
          <w:highlight w:val="none"/>
          <w:lang w:val="en-US" w:eastAsia="zh-CN"/>
        </w:rPr>
        <w:t>回填区</w:t>
      </w:r>
      <w:r>
        <w:rPr>
          <w:rFonts w:hint="default" w:ascii="Times New Roman" w:hAnsi="Times New Roman" w:cs="Times New Roman"/>
          <w:color w:val="auto"/>
          <w:highlight w:val="none"/>
        </w:rPr>
        <w:t>防渗</w:t>
      </w:r>
      <w:r>
        <w:rPr>
          <w:rFonts w:hint="default" w:ascii="Times New Roman" w:hAnsi="Times New Roman" w:cs="Times New Roman"/>
          <w:color w:val="auto"/>
          <w:highlight w:val="none"/>
          <w:lang w:val="en-US" w:eastAsia="zh-CN"/>
        </w:rPr>
        <w:t>层</w:t>
      </w:r>
      <w:r>
        <w:rPr>
          <w:rFonts w:hint="default" w:ascii="Times New Roman" w:hAnsi="Times New Roman" w:cs="Times New Roman"/>
          <w:color w:val="auto"/>
          <w:highlight w:val="none"/>
        </w:rPr>
        <w:t>破裂</w:t>
      </w:r>
      <w:r>
        <w:rPr>
          <w:rFonts w:hint="default" w:ascii="Times New Roman" w:hAnsi="Times New Roman" w:cs="Times New Roman"/>
          <w:color w:val="auto"/>
          <w:highlight w:val="none"/>
          <w:lang w:val="en-US" w:eastAsia="zh-CN"/>
        </w:rPr>
        <w:t>源强</w:t>
      </w:r>
    </w:p>
    <w:p w14:paraId="4205C8C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本项目回填材料为粉煤灰，对粉煤灰进行的固体废物浸出液检测结果（见附件6、7），产生的淋溶液性质具有以下特点：COD、BOD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较高，正常状态下本项目污水渗漏的污染源强见表3-3-9。</w:t>
      </w:r>
    </w:p>
    <w:p w14:paraId="411C240D">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表3-3-9  非正常状态下地下水污染物源强计算表</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69"/>
        <w:gridCol w:w="1470"/>
        <w:gridCol w:w="1563"/>
        <w:gridCol w:w="1287"/>
        <w:gridCol w:w="1787"/>
        <w:gridCol w:w="1343"/>
      </w:tblGrid>
      <w:tr w14:paraId="048EA8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85" w:hRule="atLeast"/>
          <w:jc w:val="center"/>
        </w:trPr>
        <w:tc>
          <w:tcPr>
            <w:tcW w:w="627" w:type="pct"/>
            <w:tcBorders>
              <w:tl2br w:val="nil"/>
              <w:tr2bl w:val="nil"/>
            </w:tcBorders>
            <w:shd w:val="clear" w:color="auto" w:fill="auto"/>
            <w:vAlign w:val="center"/>
          </w:tcPr>
          <w:p w14:paraId="13611FF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62" w:type="pct"/>
            <w:tcBorders>
              <w:tl2br w:val="nil"/>
              <w:tr2bl w:val="nil"/>
            </w:tcBorders>
            <w:shd w:val="clear" w:color="auto" w:fill="auto"/>
            <w:vAlign w:val="center"/>
          </w:tcPr>
          <w:p w14:paraId="5284F0D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w:t>
            </w:r>
          </w:p>
        </w:tc>
        <w:tc>
          <w:tcPr>
            <w:tcW w:w="917" w:type="pct"/>
            <w:tcBorders>
              <w:tl2br w:val="nil"/>
              <w:tr2bl w:val="nil"/>
            </w:tcBorders>
            <w:shd w:val="clear" w:color="auto" w:fill="auto"/>
            <w:vAlign w:val="center"/>
          </w:tcPr>
          <w:p w14:paraId="38E353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渗漏面积m</w:t>
            </w:r>
            <w:r>
              <w:rPr>
                <w:rFonts w:hint="default" w:ascii="Times New Roman" w:hAnsi="Times New Roman" w:cs="Times New Roman"/>
                <w:color w:val="auto"/>
                <w:highlight w:val="none"/>
                <w:vertAlign w:val="superscript"/>
                <w:lang w:val="en-US" w:eastAsia="zh-CN"/>
              </w:rPr>
              <w:t>2</w:t>
            </w:r>
          </w:p>
        </w:tc>
        <w:tc>
          <w:tcPr>
            <w:tcW w:w="755" w:type="pct"/>
            <w:tcBorders>
              <w:tl2br w:val="nil"/>
              <w:tr2bl w:val="nil"/>
            </w:tcBorders>
            <w:shd w:val="clear" w:color="auto" w:fill="auto"/>
            <w:vAlign w:val="center"/>
          </w:tcPr>
          <w:p w14:paraId="0F3083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渗漏强度m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p>
        </w:tc>
        <w:tc>
          <w:tcPr>
            <w:tcW w:w="1048" w:type="pct"/>
            <w:tcBorders>
              <w:tl2br w:val="nil"/>
              <w:tr2bl w:val="nil"/>
            </w:tcBorders>
            <w:shd w:val="clear" w:color="auto" w:fill="auto"/>
            <w:vAlign w:val="center"/>
          </w:tcPr>
          <w:p w14:paraId="4A7F5D0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污染物浓度</w:t>
            </w:r>
          </w:p>
          <w:p w14:paraId="3707C8E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788" w:type="pct"/>
            <w:tcBorders>
              <w:tl2br w:val="nil"/>
              <w:tr2bl w:val="nil"/>
            </w:tcBorders>
            <w:shd w:val="clear" w:color="auto" w:fill="auto"/>
            <w:vAlign w:val="center"/>
          </w:tcPr>
          <w:p w14:paraId="28B0C69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污染物质量</w:t>
            </w:r>
          </w:p>
          <w:p w14:paraId="2BED813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kg/d</w:t>
            </w:r>
          </w:p>
        </w:tc>
      </w:tr>
      <w:tr w14:paraId="5AD801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8" w:hRule="atLeast"/>
          <w:jc w:val="center"/>
        </w:trPr>
        <w:tc>
          <w:tcPr>
            <w:tcW w:w="1069" w:type="dxa"/>
            <w:tcBorders>
              <w:tl2br w:val="nil"/>
              <w:tr2bl w:val="nil"/>
            </w:tcBorders>
            <w:shd w:val="clear" w:color="auto" w:fill="auto"/>
            <w:vAlign w:val="center"/>
          </w:tcPr>
          <w:p w14:paraId="6A65565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62" w:type="pct"/>
            <w:tcBorders>
              <w:tl2br w:val="nil"/>
              <w:tr2bl w:val="nil"/>
            </w:tcBorders>
            <w:shd w:val="clear" w:color="auto" w:fill="auto"/>
            <w:vAlign w:val="center"/>
          </w:tcPr>
          <w:p w14:paraId="77D80D3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1563" w:type="dxa"/>
            <w:tcBorders>
              <w:tl2br w:val="nil"/>
              <w:tr2bl w:val="nil"/>
            </w:tcBorders>
            <w:shd w:val="clear" w:color="auto" w:fill="auto"/>
            <w:vAlign w:val="center"/>
          </w:tcPr>
          <w:p w14:paraId="77BC793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5A695B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0E9988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1343" w:type="dxa"/>
            <w:tcBorders>
              <w:tl2br w:val="nil"/>
              <w:tr2bl w:val="nil"/>
            </w:tcBorders>
            <w:shd w:val="clear" w:color="auto" w:fill="auto"/>
            <w:vAlign w:val="center"/>
          </w:tcPr>
          <w:p w14:paraId="5C0C5BE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8.84 </w:t>
            </w:r>
          </w:p>
        </w:tc>
      </w:tr>
      <w:tr w14:paraId="63B92C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1069" w:type="dxa"/>
            <w:tcBorders>
              <w:tl2br w:val="nil"/>
              <w:tr2bl w:val="nil"/>
            </w:tcBorders>
            <w:shd w:val="clear" w:color="auto" w:fill="auto"/>
            <w:vAlign w:val="center"/>
          </w:tcPr>
          <w:p w14:paraId="0CF6411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62" w:type="pct"/>
            <w:tcBorders>
              <w:tl2br w:val="nil"/>
              <w:tr2bl w:val="nil"/>
            </w:tcBorders>
            <w:shd w:val="clear" w:color="auto" w:fill="auto"/>
            <w:vAlign w:val="center"/>
          </w:tcPr>
          <w:p w14:paraId="4F854A0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1563" w:type="dxa"/>
            <w:tcBorders>
              <w:tl2br w:val="nil"/>
              <w:tr2bl w:val="nil"/>
            </w:tcBorders>
            <w:shd w:val="clear" w:color="auto" w:fill="auto"/>
            <w:vAlign w:val="center"/>
          </w:tcPr>
          <w:p w14:paraId="4AE4210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75D7F8B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7FE137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343" w:type="dxa"/>
            <w:tcBorders>
              <w:tl2br w:val="nil"/>
              <w:tr2bl w:val="nil"/>
            </w:tcBorders>
            <w:shd w:val="clear" w:color="auto" w:fill="auto"/>
            <w:vAlign w:val="center"/>
          </w:tcPr>
          <w:p w14:paraId="2811647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1.47 </w:t>
            </w:r>
          </w:p>
        </w:tc>
      </w:tr>
      <w:tr w14:paraId="79B571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1069" w:type="dxa"/>
            <w:tcBorders>
              <w:tl2br w:val="nil"/>
              <w:tr2bl w:val="nil"/>
            </w:tcBorders>
            <w:shd w:val="clear" w:color="auto" w:fill="auto"/>
            <w:vAlign w:val="center"/>
          </w:tcPr>
          <w:p w14:paraId="350470D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862" w:type="pct"/>
            <w:tcBorders>
              <w:tl2br w:val="nil"/>
              <w:tr2bl w:val="nil"/>
            </w:tcBorders>
            <w:shd w:val="clear" w:color="auto" w:fill="auto"/>
            <w:vAlign w:val="center"/>
          </w:tcPr>
          <w:p w14:paraId="25AAB09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氟化物</w:t>
            </w:r>
          </w:p>
        </w:tc>
        <w:tc>
          <w:tcPr>
            <w:tcW w:w="1563" w:type="dxa"/>
            <w:tcBorders>
              <w:tl2br w:val="nil"/>
              <w:tr2bl w:val="nil"/>
            </w:tcBorders>
            <w:shd w:val="clear" w:color="auto" w:fill="auto"/>
            <w:vAlign w:val="center"/>
          </w:tcPr>
          <w:p w14:paraId="41D09C0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3967E2D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14F3B98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1343" w:type="dxa"/>
            <w:tcBorders>
              <w:tl2br w:val="nil"/>
              <w:tr2bl w:val="nil"/>
            </w:tcBorders>
            <w:shd w:val="clear" w:color="auto" w:fill="auto"/>
            <w:vAlign w:val="center"/>
          </w:tcPr>
          <w:p w14:paraId="305D289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0.25 </w:t>
            </w:r>
          </w:p>
        </w:tc>
      </w:tr>
      <w:tr w14:paraId="46B096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1069" w:type="dxa"/>
            <w:tcBorders>
              <w:tl2br w:val="nil"/>
              <w:tr2bl w:val="nil"/>
            </w:tcBorders>
            <w:shd w:val="clear" w:color="auto" w:fill="auto"/>
            <w:vAlign w:val="center"/>
          </w:tcPr>
          <w:p w14:paraId="541ADD5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862" w:type="pct"/>
            <w:tcBorders>
              <w:tl2br w:val="nil"/>
              <w:tr2bl w:val="nil"/>
            </w:tcBorders>
            <w:shd w:val="clear" w:color="auto" w:fill="auto"/>
            <w:vAlign w:val="center"/>
          </w:tcPr>
          <w:p w14:paraId="1CE3041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w:t>
            </w:r>
          </w:p>
        </w:tc>
        <w:tc>
          <w:tcPr>
            <w:tcW w:w="1563" w:type="dxa"/>
            <w:tcBorders>
              <w:tl2br w:val="nil"/>
              <w:tr2bl w:val="nil"/>
            </w:tcBorders>
            <w:shd w:val="clear" w:color="auto" w:fill="auto"/>
            <w:vAlign w:val="center"/>
          </w:tcPr>
          <w:p w14:paraId="7F5E2BB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1F5580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711BAFB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0.048</w:t>
            </w:r>
          </w:p>
        </w:tc>
        <w:tc>
          <w:tcPr>
            <w:tcW w:w="1343" w:type="dxa"/>
            <w:tcBorders>
              <w:tl2br w:val="nil"/>
              <w:tr2bl w:val="nil"/>
            </w:tcBorders>
            <w:shd w:val="clear" w:color="auto" w:fill="auto"/>
            <w:vAlign w:val="center"/>
          </w:tcPr>
          <w:p w14:paraId="3A973F0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0.04 </w:t>
            </w:r>
          </w:p>
        </w:tc>
      </w:tr>
      <w:tr w14:paraId="759C24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1069" w:type="dxa"/>
            <w:tcBorders>
              <w:tl2br w:val="nil"/>
              <w:tr2bl w:val="nil"/>
            </w:tcBorders>
            <w:shd w:val="clear" w:color="auto" w:fill="auto"/>
            <w:vAlign w:val="center"/>
          </w:tcPr>
          <w:p w14:paraId="50BBE0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862" w:type="pct"/>
            <w:tcBorders>
              <w:tl2br w:val="nil"/>
              <w:tr2bl w:val="nil"/>
            </w:tcBorders>
            <w:shd w:val="clear" w:color="auto" w:fill="auto"/>
            <w:vAlign w:val="center"/>
          </w:tcPr>
          <w:p w14:paraId="096F24D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总砷</w:t>
            </w:r>
          </w:p>
        </w:tc>
        <w:tc>
          <w:tcPr>
            <w:tcW w:w="1563" w:type="dxa"/>
            <w:tcBorders>
              <w:tl2br w:val="nil"/>
              <w:tr2bl w:val="nil"/>
            </w:tcBorders>
            <w:shd w:val="clear" w:color="auto" w:fill="auto"/>
            <w:vAlign w:val="center"/>
          </w:tcPr>
          <w:p w14:paraId="3EA4456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4804333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435727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0.0182</w:t>
            </w:r>
          </w:p>
        </w:tc>
        <w:tc>
          <w:tcPr>
            <w:tcW w:w="1343" w:type="dxa"/>
            <w:tcBorders>
              <w:tl2br w:val="nil"/>
              <w:tr2bl w:val="nil"/>
            </w:tcBorders>
            <w:shd w:val="clear" w:color="auto" w:fill="auto"/>
            <w:vAlign w:val="center"/>
          </w:tcPr>
          <w:p w14:paraId="3C058FB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0.01 </w:t>
            </w:r>
          </w:p>
        </w:tc>
      </w:tr>
      <w:tr w14:paraId="5C6010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69" w:type="dxa"/>
            <w:tcBorders>
              <w:tl2br w:val="nil"/>
              <w:tr2bl w:val="nil"/>
            </w:tcBorders>
            <w:shd w:val="clear" w:color="auto" w:fill="auto"/>
            <w:vAlign w:val="center"/>
          </w:tcPr>
          <w:p w14:paraId="7EC2FF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862" w:type="pct"/>
            <w:tcBorders>
              <w:tl2br w:val="nil"/>
              <w:tr2bl w:val="nil"/>
            </w:tcBorders>
            <w:shd w:val="clear" w:color="auto" w:fill="auto"/>
            <w:vAlign w:val="center"/>
          </w:tcPr>
          <w:p w14:paraId="7281F54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总铍</w:t>
            </w:r>
          </w:p>
        </w:tc>
        <w:tc>
          <w:tcPr>
            <w:tcW w:w="1563" w:type="dxa"/>
            <w:tcBorders>
              <w:tl2br w:val="nil"/>
              <w:tr2bl w:val="nil"/>
            </w:tcBorders>
            <w:shd w:val="clear" w:color="auto" w:fill="auto"/>
            <w:vAlign w:val="center"/>
          </w:tcPr>
          <w:p w14:paraId="54072D5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2B8D4B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1EB6724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0.00014</w:t>
            </w:r>
          </w:p>
        </w:tc>
        <w:tc>
          <w:tcPr>
            <w:tcW w:w="1343" w:type="dxa"/>
            <w:tcBorders>
              <w:tl2br w:val="nil"/>
              <w:tr2bl w:val="nil"/>
            </w:tcBorders>
            <w:shd w:val="clear" w:color="auto" w:fill="auto"/>
            <w:vAlign w:val="center"/>
          </w:tcPr>
          <w:p w14:paraId="396A0E2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0.00010 </w:t>
            </w:r>
          </w:p>
        </w:tc>
      </w:tr>
      <w:tr w14:paraId="56C370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069" w:type="dxa"/>
            <w:tcBorders>
              <w:tl2br w:val="nil"/>
              <w:tr2bl w:val="nil"/>
            </w:tcBorders>
            <w:shd w:val="clear" w:color="auto" w:fill="auto"/>
            <w:vAlign w:val="center"/>
          </w:tcPr>
          <w:p w14:paraId="529AE2F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862" w:type="pct"/>
            <w:tcBorders>
              <w:tl2br w:val="nil"/>
              <w:tr2bl w:val="nil"/>
            </w:tcBorders>
            <w:shd w:val="clear" w:color="auto" w:fill="auto"/>
            <w:vAlign w:val="center"/>
          </w:tcPr>
          <w:p w14:paraId="18F3390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总锌</w:t>
            </w:r>
          </w:p>
        </w:tc>
        <w:tc>
          <w:tcPr>
            <w:tcW w:w="1563" w:type="dxa"/>
            <w:tcBorders>
              <w:tl2br w:val="nil"/>
              <w:tr2bl w:val="nil"/>
            </w:tcBorders>
            <w:shd w:val="clear" w:color="auto" w:fill="auto"/>
            <w:vAlign w:val="center"/>
          </w:tcPr>
          <w:p w14:paraId="6D3D2E6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1287" w:type="dxa"/>
            <w:tcBorders>
              <w:tl2br w:val="nil"/>
              <w:tr2bl w:val="nil"/>
            </w:tcBorders>
            <w:shd w:val="clear" w:color="auto" w:fill="auto"/>
            <w:vAlign w:val="center"/>
          </w:tcPr>
          <w:p w14:paraId="4B22914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1787" w:type="dxa"/>
            <w:tcBorders>
              <w:tl2br w:val="nil"/>
              <w:tr2bl w:val="nil"/>
            </w:tcBorders>
            <w:shd w:val="clear" w:color="auto" w:fill="auto"/>
            <w:vAlign w:val="center"/>
          </w:tcPr>
          <w:p w14:paraId="10A757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1343" w:type="dxa"/>
            <w:tcBorders>
              <w:tl2br w:val="nil"/>
              <w:tr2bl w:val="nil"/>
            </w:tcBorders>
            <w:shd w:val="clear" w:color="auto" w:fill="auto"/>
            <w:vAlign w:val="center"/>
          </w:tcPr>
          <w:p w14:paraId="0A126C4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0.01 </w:t>
            </w:r>
          </w:p>
        </w:tc>
      </w:tr>
    </w:tbl>
    <w:p w14:paraId="5A3E86FE">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非正常情况下淋溶水暂存池防渗膜破裂</w:t>
      </w:r>
      <w:r>
        <w:rPr>
          <w:rFonts w:hint="default" w:ascii="Times New Roman" w:hAnsi="Times New Roman" w:cs="Times New Roman"/>
          <w:color w:val="auto"/>
          <w:highlight w:val="none"/>
          <w:lang w:val="en-US" w:eastAsia="zh-CN"/>
        </w:rPr>
        <w:t>源强</w:t>
      </w:r>
    </w:p>
    <w:p w14:paraId="305A68C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结合项目的特点，本项目淋溶水</w:t>
      </w:r>
      <w:r>
        <w:rPr>
          <w:rFonts w:hint="default" w:ascii="Times New Roman" w:hAnsi="Times New Roman" w:cs="Times New Roman"/>
          <w:color w:val="auto"/>
          <w:highlight w:val="none"/>
          <w:lang w:val="en-US" w:eastAsia="zh-CN"/>
        </w:rPr>
        <w:t>收集池</w:t>
      </w:r>
      <w:r>
        <w:rPr>
          <w:rFonts w:hint="default" w:ascii="Times New Roman" w:hAnsi="Times New Roman" w:cs="Times New Roman"/>
          <w:color w:val="auto"/>
          <w:highlight w:val="none"/>
        </w:rPr>
        <w:t>储存淋溶水量最大，一旦</w:t>
      </w:r>
      <w:r>
        <w:rPr>
          <w:rFonts w:hint="default" w:ascii="Times New Roman" w:hAnsi="Times New Roman" w:cs="Times New Roman"/>
          <w:color w:val="auto"/>
          <w:highlight w:val="none"/>
          <w:lang w:eastAsia="zh-CN"/>
        </w:rPr>
        <w:t>泄漏</w:t>
      </w:r>
      <w:r>
        <w:rPr>
          <w:rFonts w:hint="default" w:ascii="Times New Roman" w:hAnsi="Times New Roman" w:cs="Times New Roman"/>
          <w:color w:val="auto"/>
          <w:highlight w:val="none"/>
        </w:rPr>
        <w:t>对地下水影响最大，从最大风险原则考虑，事故状况下为池体破裂和防渗层同时破裂时污水渗漏对地下水水质造成影响。根据《给排水构筑物工程施工及验收规范》，水池允许最大渗水量按池壁和池底浸湿面积计算，钢筋混凝土结构水池渗漏量不得超过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·d）。在正常状况下，淋溶水暂存池渗漏面积为：池底面积+池壁面积=L×B+2×B×H+2×L×H=</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10+2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，每日的最大允许污水渗透量Q计算如下：渗漏量=渗漏面积×渗漏强度=2L/（m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rPr>
        <w:t>·</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150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L/d，本次非正常状况下的污染源强按正常状态下的10倍计算，则非正常状况下源强如下表所示：</w:t>
      </w:r>
    </w:p>
    <w:p w14:paraId="50D50F97">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表3-3-</w:t>
      </w:r>
      <w:r>
        <w:rPr>
          <w:rFonts w:hint="default" w:ascii="Times New Roman" w:hAnsi="Times New Roman" w:eastAsia="宋体" w:cs="Times New Roman"/>
          <w:color w:val="auto"/>
          <w:highlight w:val="none"/>
          <w:lang w:val="en-US" w:eastAsia="zh-CN"/>
        </w:rPr>
        <w:t>10</w:t>
      </w:r>
      <w:r>
        <w:rPr>
          <w:rFonts w:hint="default" w:ascii="Times New Roman" w:hAnsi="Times New Roman" w:cs="Times New Roman"/>
          <w:color w:val="auto"/>
          <w:highlight w:val="none"/>
          <w:lang w:val="en-US" w:eastAsia="zh-CN"/>
        </w:rPr>
        <w:t>淋溶水收集池</w:t>
      </w:r>
      <w:r>
        <w:rPr>
          <w:rFonts w:hint="default" w:ascii="Times New Roman" w:hAnsi="Times New Roman" w:eastAsia="宋体" w:cs="Times New Roman"/>
          <w:color w:val="auto"/>
          <w:highlight w:val="none"/>
          <w:lang w:val="en-US" w:eastAsia="zh-CN"/>
        </w:rPr>
        <w:t>破裂</w:t>
      </w:r>
      <w:r>
        <w:rPr>
          <w:rFonts w:hint="default" w:ascii="Times New Roman" w:hAnsi="Times New Roman" w:eastAsia="宋体" w:cs="Times New Roman"/>
          <w:color w:val="auto"/>
          <w:highlight w:val="none"/>
        </w:rPr>
        <w:t>源强排放情况一览表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1091"/>
        <w:gridCol w:w="1197"/>
        <w:gridCol w:w="1369"/>
        <w:gridCol w:w="1090"/>
        <w:gridCol w:w="1264"/>
        <w:gridCol w:w="1215"/>
      </w:tblGrid>
      <w:tr w14:paraId="2427D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0" w:type="pct"/>
            <w:shd w:val="clear" w:color="auto" w:fill="auto"/>
            <w:vAlign w:val="center"/>
          </w:tcPr>
          <w:p w14:paraId="4721D5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非正常工况</w:t>
            </w:r>
          </w:p>
        </w:tc>
        <w:tc>
          <w:tcPr>
            <w:tcW w:w="640" w:type="pct"/>
            <w:shd w:val="clear" w:color="auto" w:fill="auto"/>
            <w:vAlign w:val="center"/>
          </w:tcPr>
          <w:p w14:paraId="14CCE8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702" w:type="pct"/>
            <w:shd w:val="clear" w:color="auto" w:fill="auto"/>
            <w:vAlign w:val="center"/>
          </w:tcPr>
          <w:p w14:paraId="314048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803" w:type="pct"/>
            <w:shd w:val="clear" w:color="auto" w:fill="auto"/>
            <w:vAlign w:val="center"/>
          </w:tcPr>
          <w:p w14:paraId="7F2DC4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渗漏强度（L/m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639" w:type="pct"/>
            <w:shd w:val="clear" w:color="auto" w:fill="auto"/>
            <w:vAlign w:val="center"/>
          </w:tcPr>
          <w:p w14:paraId="3233A2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渗漏量（L/d）</w:t>
            </w:r>
          </w:p>
        </w:tc>
        <w:tc>
          <w:tcPr>
            <w:tcW w:w="741" w:type="pct"/>
            <w:shd w:val="clear" w:color="auto" w:fill="auto"/>
            <w:vAlign w:val="center"/>
          </w:tcPr>
          <w:p w14:paraId="4A74A3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712" w:type="pct"/>
            <w:shd w:val="clear" w:color="auto" w:fill="auto"/>
            <w:vAlign w:val="center"/>
          </w:tcPr>
          <w:p w14:paraId="06A4FD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污染物质量（kg/d）</w:t>
            </w:r>
          </w:p>
        </w:tc>
      </w:tr>
      <w:tr w14:paraId="70605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exact"/>
        </w:trPr>
        <w:tc>
          <w:tcPr>
            <w:tcW w:w="760" w:type="pct"/>
            <w:vMerge w:val="restart"/>
            <w:shd w:val="clear" w:color="auto" w:fill="auto"/>
            <w:vAlign w:val="center"/>
          </w:tcPr>
          <w:p w14:paraId="07FED14A">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淋溶水收集池破裂</w:t>
            </w:r>
          </w:p>
        </w:tc>
        <w:tc>
          <w:tcPr>
            <w:tcW w:w="640" w:type="pct"/>
            <w:shd w:val="clear" w:color="auto" w:fill="auto"/>
            <w:vAlign w:val="center"/>
          </w:tcPr>
          <w:p w14:paraId="2E91F13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702" w:type="pct"/>
            <w:shd w:val="clear" w:color="auto" w:fill="auto"/>
            <w:vAlign w:val="center"/>
          </w:tcPr>
          <w:p w14:paraId="4EC611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4D786E1E">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6F85AD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4E0C5551">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712" w:type="pct"/>
            <w:shd w:val="clear" w:color="auto" w:fill="auto"/>
            <w:vAlign w:val="center"/>
          </w:tcPr>
          <w:p w14:paraId="67EDE43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r>
      <w:tr w14:paraId="630D8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exact"/>
        </w:trPr>
        <w:tc>
          <w:tcPr>
            <w:tcW w:w="760" w:type="pct"/>
            <w:vMerge w:val="continue"/>
            <w:shd w:val="clear" w:color="auto" w:fill="auto"/>
            <w:vAlign w:val="center"/>
          </w:tcPr>
          <w:p w14:paraId="3C0329E0">
            <w:pPr>
              <w:pStyle w:val="46"/>
              <w:bidi w:val="0"/>
              <w:rPr>
                <w:rFonts w:hint="default" w:ascii="Times New Roman" w:hAnsi="Times New Roman" w:cs="Times New Roman"/>
                <w:color w:val="auto"/>
                <w:highlight w:val="none"/>
                <w:lang w:val="en-US" w:eastAsia="zh-CN"/>
              </w:rPr>
            </w:pPr>
          </w:p>
        </w:tc>
        <w:tc>
          <w:tcPr>
            <w:tcW w:w="1091" w:type="dxa"/>
            <w:shd w:val="clear" w:color="auto" w:fill="auto"/>
            <w:vAlign w:val="center"/>
          </w:tcPr>
          <w:p w14:paraId="09BC0EE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1197" w:type="dxa"/>
            <w:shd w:val="clear" w:color="auto" w:fill="auto"/>
            <w:vAlign w:val="center"/>
          </w:tcPr>
          <w:p w14:paraId="2EB75BC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1369" w:type="dxa"/>
            <w:shd w:val="clear" w:color="auto" w:fill="auto"/>
            <w:vAlign w:val="center"/>
          </w:tcPr>
          <w:p w14:paraId="4F27C5A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090" w:type="dxa"/>
            <w:shd w:val="clear" w:color="auto" w:fill="auto"/>
            <w:vAlign w:val="center"/>
          </w:tcPr>
          <w:p w14:paraId="6D3F3081">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1264" w:type="dxa"/>
            <w:shd w:val="clear" w:color="auto" w:fill="auto"/>
            <w:vAlign w:val="center"/>
          </w:tcPr>
          <w:p w14:paraId="1953F9D9">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120</w:t>
            </w:r>
          </w:p>
        </w:tc>
        <w:tc>
          <w:tcPr>
            <w:tcW w:w="1215" w:type="dxa"/>
            <w:shd w:val="clear" w:color="auto" w:fill="auto"/>
            <w:vAlign w:val="center"/>
          </w:tcPr>
          <w:p w14:paraId="6DD30D18">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w:t>
            </w:r>
          </w:p>
        </w:tc>
      </w:tr>
      <w:tr w14:paraId="3AE16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60" w:type="pct"/>
            <w:vMerge w:val="continue"/>
            <w:shd w:val="clear" w:color="auto" w:fill="auto"/>
            <w:vAlign w:val="center"/>
          </w:tcPr>
          <w:p w14:paraId="30DA3C4F">
            <w:pPr>
              <w:pStyle w:val="46"/>
              <w:bidi w:val="0"/>
              <w:rPr>
                <w:rFonts w:hint="default" w:ascii="Times New Roman" w:hAnsi="Times New Roman" w:cs="Times New Roman"/>
                <w:color w:val="auto"/>
                <w:highlight w:val="none"/>
              </w:rPr>
            </w:pPr>
          </w:p>
        </w:tc>
        <w:tc>
          <w:tcPr>
            <w:tcW w:w="640" w:type="pct"/>
            <w:shd w:val="clear" w:color="auto" w:fill="auto"/>
            <w:vAlign w:val="center"/>
          </w:tcPr>
          <w:p w14:paraId="3102F00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总砷</w:t>
            </w:r>
          </w:p>
        </w:tc>
        <w:tc>
          <w:tcPr>
            <w:tcW w:w="702" w:type="pct"/>
            <w:shd w:val="clear" w:color="auto" w:fill="auto"/>
            <w:vAlign w:val="center"/>
          </w:tcPr>
          <w:p w14:paraId="2E96839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380FAD6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7DAD5CE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03FDAF16">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0.182</w:t>
            </w:r>
          </w:p>
        </w:tc>
        <w:tc>
          <w:tcPr>
            <w:tcW w:w="712" w:type="pct"/>
            <w:shd w:val="clear" w:color="auto" w:fill="auto"/>
            <w:vAlign w:val="center"/>
          </w:tcPr>
          <w:p w14:paraId="25B131D3">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0.055</w:t>
            </w:r>
          </w:p>
        </w:tc>
      </w:tr>
      <w:tr w14:paraId="5799E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60" w:type="pct"/>
            <w:vMerge w:val="continue"/>
            <w:shd w:val="clear" w:color="auto" w:fill="auto"/>
            <w:vAlign w:val="center"/>
          </w:tcPr>
          <w:p w14:paraId="36E9A8EA">
            <w:pPr>
              <w:pStyle w:val="46"/>
              <w:bidi w:val="0"/>
              <w:rPr>
                <w:rFonts w:hint="default" w:ascii="Times New Roman" w:hAnsi="Times New Roman" w:cs="Times New Roman"/>
                <w:color w:val="auto"/>
                <w:highlight w:val="none"/>
              </w:rPr>
            </w:pPr>
          </w:p>
        </w:tc>
        <w:tc>
          <w:tcPr>
            <w:tcW w:w="640" w:type="pct"/>
            <w:shd w:val="clear" w:color="auto" w:fill="auto"/>
            <w:vAlign w:val="center"/>
          </w:tcPr>
          <w:p w14:paraId="78874F0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总铍</w:t>
            </w:r>
          </w:p>
        </w:tc>
        <w:tc>
          <w:tcPr>
            <w:tcW w:w="702" w:type="pct"/>
            <w:shd w:val="clear" w:color="auto" w:fill="auto"/>
            <w:vAlign w:val="center"/>
          </w:tcPr>
          <w:p w14:paraId="698C1B1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1385217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1465DE7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1F7AF23B">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0.0014</w:t>
            </w:r>
          </w:p>
        </w:tc>
        <w:tc>
          <w:tcPr>
            <w:tcW w:w="712" w:type="pct"/>
            <w:shd w:val="clear" w:color="auto" w:fill="auto"/>
            <w:vAlign w:val="center"/>
          </w:tcPr>
          <w:p w14:paraId="20ECF522">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0.00042</w:t>
            </w:r>
          </w:p>
        </w:tc>
      </w:tr>
      <w:tr w14:paraId="660B5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60" w:type="pct"/>
            <w:vMerge w:val="continue"/>
            <w:shd w:val="clear" w:color="auto" w:fill="auto"/>
            <w:vAlign w:val="center"/>
          </w:tcPr>
          <w:p w14:paraId="04D52B78">
            <w:pPr>
              <w:pStyle w:val="46"/>
              <w:bidi w:val="0"/>
              <w:rPr>
                <w:rFonts w:hint="default" w:ascii="Times New Roman" w:hAnsi="Times New Roman" w:cs="Times New Roman"/>
                <w:color w:val="auto"/>
                <w:highlight w:val="none"/>
              </w:rPr>
            </w:pPr>
          </w:p>
        </w:tc>
        <w:tc>
          <w:tcPr>
            <w:tcW w:w="640" w:type="pct"/>
            <w:shd w:val="clear" w:color="auto" w:fill="auto"/>
            <w:vAlign w:val="center"/>
          </w:tcPr>
          <w:p w14:paraId="15D555F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总锌</w:t>
            </w:r>
          </w:p>
        </w:tc>
        <w:tc>
          <w:tcPr>
            <w:tcW w:w="702" w:type="pct"/>
            <w:shd w:val="clear" w:color="auto" w:fill="auto"/>
            <w:vAlign w:val="center"/>
          </w:tcPr>
          <w:p w14:paraId="33243C1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71EF3EF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75BE6BA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4CC90435">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2</w:t>
            </w:r>
          </w:p>
        </w:tc>
        <w:tc>
          <w:tcPr>
            <w:tcW w:w="712" w:type="pct"/>
            <w:shd w:val="clear" w:color="auto" w:fill="auto"/>
            <w:vAlign w:val="center"/>
          </w:tcPr>
          <w:p w14:paraId="47DDE634">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0.06</w:t>
            </w:r>
          </w:p>
        </w:tc>
      </w:tr>
    </w:tbl>
    <w:p w14:paraId="7D915F97">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3.3.1.6土壤</w:t>
      </w:r>
    </w:p>
    <w:p w14:paraId="3A7FAE1A">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施工期间土壤环境影响主要是在回填过程中，产生的扬尘会对附近土壤产生影响。其他项目区对土壤环境无影响。</w:t>
      </w:r>
    </w:p>
    <w:p w14:paraId="182FCEEB">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由于在填埋作业过程中卸料扬尘、堆积存放期间风蚀等扬尘对土壤的影响，取决于风力大小、固废类别及填埋方式，抑尘措施，风力越大对附近土壤产生影响的可能性也越大。</w:t>
      </w:r>
    </w:p>
    <w:p w14:paraId="2DDF043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粉煤灰中重金属的检测结果见下表，具体见附件8。</w:t>
      </w:r>
    </w:p>
    <w:p w14:paraId="0BAF7986">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表3-3--11 粉煤灰成分检测结果（重金属部分）</w:t>
      </w:r>
    </w:p>
    <w:tbl>
      <w:tblPr>
        <w:tblStyle w:val="25"/>
        <w:tblW w:w="86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794"/>
        <w:gridCol w:w="962"/>
        <w:gridCol w:w="962"/>
        <w:gridCol w:w="962"/>
        <w:gridCol w:w="962"/>
        <w:gridCol w:w="962"/>
        <w:gridCol w:w="1100"/>
        <w:gridCol w:w="824"/>
      </w:tblGrid>
      <w:tr w14:paraId="32D243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129" w:type="dxa"/>
            <w:tcBorders>
              <w:tl2br w:val="nil"/>
              <w:tr2bl w:val="nil"/>
            </w:tcBorders>
            <w:vAlign w:val="center"/>
          </w:tcPr>
          <w:p w14:paraId="39D066B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项目（mg/kg）</w:t>
            </w:r>
          </w:p>
        </w:tc>
        <w:tc>
          <w:tcPr>
            <w:tcW w:w="794" w:type="dxa"/>
            <w:tcBorders>
              <w:tl2br w:val="nil"/>
              <w:tr2bl w:val="nil"/>
            </w:tcBorders>
            <w:vAlign w:val="center"/>
          </w:tcPr>
          <w:p w14:paraId="6A3C2D3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汞</w:t>
            </w:r>
          </w:p>
        </w:tc>
        <w:tc>
          <w:tcPr>
            <w:tcW w:w="962" w:type="dxa"/>
            <w:tcBorders>
              <w:tl2br w:val="nil"/>
              <w:tr2bl w:val="nil"/>
            </w:tcBorders>
            <w:vAlign w:val="center"/>
          </w:tcPr>
          <w:p w14:paraId="1EBC9C2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w:t>
            </w:r>
          </w:p>
        </w:tc>
        <w:tc>
          <w:tcPr>
            <w:tcW w:w="962" w:type="dxa"/>
            <w:tcBorders>
              <w:tl2br w:val="nil"/>
              <w:tr2bl w:val="nil"/>
            </w:tcBorders>
            <w:vAlign w:val="center"/>
          </w:tcPr>
          <w:p w14:paraId="20F15B6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铜</w:t>
            </w:r>
          </w:p>
        </w:tc>
        <w:tc>
          <w:tcPr>
            <w:tcW w:w="962" w:type="dxa"/>
            <w:tcBorders>
              <w:tl2br w:val="nil"/>
              <w:tr2bl w:val="nil"/>
            </w:tcBorders>
            <w:vAlign w:val="center"/>
          </w:tcPr>
          <w:p w14:paraId="50B92FD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镍</w:t>
            </w:r>
          </w:p>
        </w:tc>
        <w:tc>
          <w:tcPr>
            <w:tcW w:w="962" w:type="dxa"/>
            <w:tcBorders>
              <w:tl2br w:val="nil"/>
              <w:tr2bl w:val="nil"/>
            </w:tcBorders>
            <w:vAlign w:val="center"/>
          </w:tcPr>
          <w:p w14:paraId="2F82631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铅</w:t>
            </w:r>
          </w:p>
        </w:tc>
        <w:tc>
          <w:tcPr>
            <w:tcW w:w="962" w:type="dxa"/>
            <w:tcBorders>
              <w:tl2br w:val="nil"/>
              <w:tr2bl w:val="nil"/>
            </w:tcBorders>
            <w:vAlign w:val="center"/>
          </w:tcPr>
          <w:p w14:paraId="3BBFA5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1100" w:type="dxa"/>
            <w:tcBorders>
              <w:tl2br w:val="nil"/>
              <w:tr2bl w:val="nil"/>
            </w:tcBorders>
            <w:vAlign w:val="center"/>
          </w:tcPr>
          <w:p w14:paraId="49DC5AB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铬（六价）</w:t>
            </w:r>
          </w:p>
        </w:tc>
        <w:tc>
          <w:tcPr>
            <w:tcW w:w="824" w:type="dxa"/>
            <w:tcBorders>
              <w:tl2br w:val="nil"/>
              <w:tr2bl w:val="nil"/>
            </w:tcBorders>
            <w:vAlign w:val="center"/>
          </w:tcPr>
          <w:p w14:paraId="5E44450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w:t>
            </w:r>
          </w:p>
        </w:tc>
      </w:tr>
      <w:tr w14:paraId="4F454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29" w:type="dxa"/>
            <w:tcBorders>
              <w:tl2br w:val="nil"/>
              <w:tr2bl w:val="nil"/>
            </w:tcBorders>
            <w:vAlign w:val="center"/>
          </w:tcPr>
          <w:p w14:paraId="4BFAD82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检测值 </w:t>
            </w:r>
          </w:p>
        </w:tc>
        <w:tc>
          <w:tcPr>
            <w:tcW w:w="794" w:type="dxa"/>
            <w:tcBorders>
              <w:tl2br w:val="nil"/>
              <w:tr2bl w:val="nil"/>
            </w:tcBorders>
            <w:vAlign w:val="center"/>
          </w:tcPr>
          <w:p w14:paraId="4DBCBA7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0.009</w:t>
            </w:r>
          </w:p>
        </w:tc>
        <w:tc>
          <w:tcPr>
            <w:tcW w:w="962" w:type="dxa"/>
            <w:tcBorders>
              <w:tl2br w:val="nil"/>
              <w:tr2bl w:val="nil"/>
            </w:tcBorders>
            <w:vAlign w:val="center"/>
          </w:tcPr>
          <w:p w14:paraId="364D2C5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11.8</w:t>
            </w:r>
          </w:p>
        </w:tc>
        <w:tc>
          <w:tcPr>
            <w:tcW w:w="962" w:type="dxa"/>
            <w:tcBorders>
              <w:tl2br w:val="nil"/>
              <w:tr2bl w:val="nil"/>
            </w:tcBorders>
            <w:vAlign w:val="center"/>
          </w:tcPr>
          <w:p w14:paraId="00AFA90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w:t>
            </w:r>
          </w:p>
        </w:tc>
        <w:tc>
          <w:tcPr>
            <w:tcW w:w="962" w:type="dxa"/>
            <w:tcBorders>
              <w:tl2br w:val="nil"/>
              <w:tr2bl w:val="nil"/>
            </w:tcBorders>
            <w:vAlign w:val="center"/>
          </w:tcPr>
          <w:p w14:paraId="570D5E3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w:t>
            </w:r>
          </w:p>
        </w:tc>
        <w:tc>
          <w:tcPr>
            <w:tcW w:w="962" w:type="dxa"/>
            <w:tcBorders>
              <w:tl2br w:val="nil"/>
              <w:tr2bl w:val="nil"/>
            </w:tcBorders>
            <w:vAlign w:val="center"/>
          </w:tcPr>
          <w:p w14:paraId="7FA482F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44.8</w:t>
            </w:r>
          </w:p>
        </w:tc>
        <w:tc>
          <w:tcPr>
            <w:tcW w:w="962" w:type="dxa"/>
            <w:tcBorders>
              <w:tl2br w:val="nil"/>
              <w:tr2bl w:val="nil"/>
            </w:tcBorders>
            <w:vAlign w:val="center"/>
          </w:tcPr>
          <w:p w14:paraId="3AE5752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0.20</w:t>
            </w:r>
          </w:p>
        </w:tc>
        <w:tc>
          <w:tcPr>
            <w:tcW w:w="1100" w:type="dxa"/>
            <w:tcBorders>
              <w:tl2br w:val="nil"/>
              <w:tr2bl w:val="nil"/>
            </w:tcBorders>
            <w:vAlign w:val="center"/>
          </w:tcPr>
          <w:p w14:paraId="3E4891A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824" w:type="dxa"/>
            <w:tcBorders>
              <w:tl2br w:val="nil"/>
              <w:tr2bl w:val="nil"/>
            </w:tcBorders>
            <w:vAlign w:val="center"/>
          </w:tcPr>
          <w:p w14:paraId="5394612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174</w:t>
            </w:r>
          </w:p>
        </w:tc>
      </w:tr>
    </w:tbl>
    <w:p w14:paraId="2E8E3E73">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本项目土壤预测评价范围内单位年份表层土壤中物质的输入量计算见表3-3-12。</w:t>
      </w:r>
    </w:p>
    <w:p w14:paraId="328E3196">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3-3-12  粉煤灰大气沉降计算结果表</w:t>
      </w:r>
    </w:p>
    <w:tbl>
      <w:tblPr>
        <w:tblStyle w:val="24"/>
        <w:tblW w:w="8858"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420"/>
        <w:gridCol w:w="1877"/>
        <w:gridCol w:w="1774"/>
        <w:gridCol w:w="1853"/>
        <w:gridCol w:w="1934"/>
      </w:tblGrid>
      <w:tr w14:paraId="080144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trPr>
        <w:tc>
          <w:tcPr>
            <w:tcW w:w="1420" w:type="dxa"/>
            <w:tcBorders>
              <w:tl2br w:val="nil"/>
              <w:tr2bl w:val="nil"/>
            </w:tcBorders>
            <w:shd w:val="clear" w:color="auto" w:fill="auto"/>
            <w:vAlign w:val="center"/>
          </w:tcPr>
          <w:p w14:paraId="6A0A14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检测项目</w:t>
            </w:r>
          </w:p>
        </w:tc>
        <w:tc>
          <w:tcPr>
            <w:tcW w:w="1877" w:type="dxa"/>
            <w:tcBorders>
              <w:tl2br w:val="nil"/>
              <w:tr2bl w:val="nil"/>
            </w:tcBorders>
            <w:shd w:val="clear" w:color="auto" w:fill="auto"/>
            <w:vAlign w:val="center"/>
          </w:tcPr>
          <w:p w14:paraId="317870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取值mg/kg</w:t>
            </w:r>
          </w:p>
        </w:tc>
        <w:tc>
          <w:tcPr>
            <w:tcW w:w="1774" w:type="dxa"/>
            <w:tcBorders>
              <w:tl2br w:val="nil"/>
              <w:tr2bl w:val="nil"/>
            </w:tcBorders>
            <w:shd w:val="clear" w:color="auto" w:fill="auto"/>
            <w:vAlign w:val="center"/>
          </w:tcPr>
          <w:p w14:paraId="0661251C">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扬尘产生量t</w:t>
            </w:r>
          </w:p>
        </w:tc>
        <w:tc>
          <w:tcPr>
            <w:tcW w:w="1853" w:type="dxa"/>
            <w:tcBorders>
              <w:tl2br w:val="nil"/>
              <w:tr2bl w:val="nil"/>
            </w:tcBorders>
            <w:shd w:val="clear" w:color="auto" w:fill="auto"/>
            <w:vAlign w:val="center"/>
          </w:tcPr>
          <w:p w14:paraId="083BF9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预测评价范围m</w:t>
            </w:r>
            <w:r>
              <w:rPr>
                <w:rFonts w:hint="default" w:ascii="Times New Roman" w:hAnsi="Times New Roman" w:cs="Times New Roman"/>
                <w:color w:val="auto"/>
                <w:highlight w:val="none"/>
                <w:vertAlign w:val="superscript"/>
                <w:lang w:val="en-US" w:eastAsia="zh-CN"/>
              </w:rPr>
              <w:t>2</w:t>
            </w:r>
          </w:p>
        </w:tc>
        <w:tc>
          <w:tcPr>
            <w:tcW w:w="1934" w:type="dxa"/>
            <w:tcBorders>
              <w:tl2br w:val="nil"/>
              <w:tr2bl w:val="nil"/>
            </w:tcBorders>
            <w:shd w:val="clear" w:color="auto" w:fill="auto"/>
            <w:vAlign w:val="center"/>
          </w:tcPr>
          <w:p w14:paraId="347628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单位年份表层土壤中某种物质的输入量，g</w:t>
            </w:r>
          </w:p>
        </w:tc>
      </w:tr>
      <w:tr w14:paraId="0213AF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29" w:hRule="atLeast"/>
        </w:trPr>
        <w:tc>
          <w:tcPr>
            <w:tcW w:w="1420" w:type="dxa"/>
            <w:tcBorders>
              <w:tl2br w:val="nil"/>
              <w:tr2bl w:val="nil"/>
            </w:tcBorders>
            <w:shd w:val="clear" w:color="auto" w:fill="auto"/>
            <w:vAlign w:val="center"/>
          </w:tcPr>
          <w:p w14:paraId="3F0CA7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1877" w:type="dxa"/>
            <w:tcBorders>
              <w:tl2br w:val="nil"/>
              <w:tr2bl w:val="nil"/>
            </w:tcBorders>
            <w:shd w:val="clear" w:color="auto" w:fill="auto"/>
            <w:vAlign w:val="center"/>
          </w:tcPr>
          <w:p w14:paraId="027E5F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0.009</w:t>
            </w:r>
          </w:p>
        </w:tc>
        <w:tc>
          <w:tcPr>
            <w:tcW w:w="1774" w:type="dxa"/>
            <w:tcBorders>
              <w:tl2br w:val="nil"/>
              <w:tr2bl w:val="nil"/>
            </w:tcBorders>
            <w:shd w:val="clear" w:color="auto" w:fill="auto"/>
            <w:vAlign w:val="center"/>
          </w:tcPr>
          <w:p w14:paraId="0506A2D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017FAC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214681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0.01 </w:t>
            </w:r>
          </w:p>
        </w:tc>
      </w:tr>
      <w:tr w14:paraId="3A590C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0" w:hRule="atLeast"/>
        </w:trPr>
        <w:tc>
          <w:tcPr>
            <w:tcW w:w="1420" w:type="dxa"/>
            <w:tcBorders>
              <w:tl2br w:val="nil"/>
              <w:tr2bl w:val="nil"/>
            </w:tcBorders>
            <w:shd w:val="clear" w:color="auto" w:fill="auto"/>
            <w:vAlign w:val="center"/>
          </w:tcPr>
          <w:p w14:paraId="66661F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1877" w:type="dxa"/>
            <w:tcBorders>
              <w:tl2br w:val="nil"/>
              <w:tr2bl w:val="nil"/>
            </w:tcBorders>
            <w:shd w:val="clear" w:color="auto" w:fill="auto"/>
            <w:vAlign w:val="center"/>
          </w:tcPr>
          <w:p w14:paraId="5DBECA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11.8</w:t>
            </w:r>
          </w:p>
        </w:tc>
        <w:tc>
          <w:tcPr>
            <w:tcW w:w="1774" w:type="dxa"/>
            <w:tcBorders>
              <w:tl2br w:val="nil"/>
              <w:tr2bl w:val="nil"/>
            </w:tcBorders>
            <w:shd w:val="clear" w:color="auto" w:fill="auto"/>
            <w:vAlign w:val="center"/>
          </w:tcPr>
          <w:p w14:paraId="1A4179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51203D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7406AB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16.89 </w:t>
            </w:r>
          </w:p>
        </w:tc>
      </w:tr>
      <w:tr w14:paraId="491B37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0" w:hRule="atLeast"/>
        </w:trPr>
        <w:tc>
          <w:tcPr>
            <w:tcW w:w="1420" w:type="dxa"/>
            <w:tcBorders>
              <w:tl2br w:val="nil"/>
              <w:tr2bl w:val="nil"/>
            </w:tcBorders>
            <w:shd w:val="clear" w:color="auto" w:fill="auto"/>
            <w:vAlign w:val="center"/>
          </w:tcPr>
          <w:p w14:paraId="64A026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1877" w:type="dxa"/>
            <w:tcBorders>
              <w:tl2br w:val="nil"/>
              <w:tr2bl w:val="nil"/>
            </w:tcBorders>
            <w:shd w:val="clear" w:color="auto" w:fill="auto"/>
            <w:vAlign w:val="center"/>
          </w:tcPr>
          <w:p w14:paraId="339031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29</w:t>
            </w:r>
          </w:p>
        </w:tc>
        <w:tc>
          <w:tcPr>
            <w:tcW w:w="1774" w:type="dxa"/>
            <w:tcBorders>
              <w:tl2br w:val="nil"/>
              <w:tr2bl w:val="nil"/>
            </w:tcBorders>
            <w:shd w:val="clear" w:color="auto" w:fill="auto"/>
            <w:vAlign w:val="center"/>
          </w:tcPr>
          <w:p w14:paraId="260391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5F1DD6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46EEA4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41.50 </w:t>
            </w:r>
          </w:p>
        </w:tc>
      </w:tr>
      <w:tr w14:paraId="717644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6" w:hRule="atLeast"/>
        </w:trPr>
        <w:tc>
          <w:tcPr>
            <w:tcW w:w="1420" w:type="dxa"/>
            <w:tcBorders>
              <w:tl2br w:val="nil"/>
              <w:tr2bl w:val="nil"/>
            </w:tcBorders>
            <w:shd w:val="clear" w:color="auto" w:fill="auto"/>
            <w:vAlign w:val="center"/>
          </w:tcPr>
          <w:p w14:paraId="52C8A0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镍</w:t>
            </w:r>
          </w:p>
        </w:tc>
        <w:tc>
          <w:tcPr>
            <w:tcW w:w="1877" w:type="dxa"/>
            <w:tcBorders>
              <w:tl2br w:val="nil"/>
              <w:tr2bl w:val="nil"/>
            </w:tcBorders>
            <w:shd w:val="clear" w:color="auto" w:fill="auto"/>
            <w:vAlign w:val="center"/>
          </w:tcPr>
          <w:p w14:paraId="399E9D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w:t>
            </w:r>
          </w:p>
        </w:tc>
        <w:tc>
          <w:tcPr>
            <w:tcW w:w="1774" w:type="dxa"/>
            <w:tcBorders>
              <w:tl2br w:val="nil"/>
              <w:tr2bl w:val="nil"/>
            </w:tcBorders>
            <w:shd w:val="clear" w:color="auto" w:fill="auto"/>
            <w:vAlign w:val="center"/>
          </w:tcPr>
          <w:p w14:paraId="76AED6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34B96F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4E1344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32.91 </w:t>
            </w:r>
          </w:p>
        </w:tc>
      </w:tr>
      <w:tr w14:paraId="0FC6EC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6" w:hRule="atLeast"/>
        </w:trPr>
        <w:tc>
          <w:tcPr>
            <w:tcW w:w="1420" w:type="dxa"/>
            <w:tcBorders>
              <w:tl2br w:val="nil"/>
              <w:tr2bl w:val="nil"/>
            </w:tcBorders>
            <w:shd w:val="clear" w:color="auto" w:fill="auto"/>
            <w:vAlign w:val="center"/>
          </w:tcPr>
          <w:p w14:paraId="0E18DE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1877" w:type="dxa"/>
            <w:tcBorders>
              <w:tl2br w:val="nil"/>
              <w:tr2bl w:val="nil"/>
            </w:tcBorders>
            <w:shd w:val="clear" w:color="auto" w:fill="auto"/>
            <w:vAlign w:val="center"/>
          </w:tcPr>
          <w:p w14:paraId="668308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44.8</w:t>
            </w:r>
          </w:p>
        </w:tc>
        <w:tc>
          <w:tcPr>
            <w:tcW w:w="1774" w:type="dxa"/>
            <w:tcBorders>
              <w:tl2br w:val="nil"/>
              <w:tr2bl w:val="nil"/>
            </w:tcBorders>
            <w:shd w:val="clear" w:color="auto" w:fill="auto"/>
            <w:vAlign w:val="center"/>
          </w:tcPr>
          <w:p w14:paraId="5339D5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1CEDD2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0BC0F0F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64.11 </w:t>
            </w:r>
          </w:p>
        </w:tc>
      </w:tr>
      <w:tr w14:paraId="5FA5E1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6" w:hRule="atLeast"/>
        </w:trPr>
        <w:tc>
          <w:tcPr>
            <w:tcW w:w="1420" w:type="dxa"/>
            <w:tcBorders>
              <w:tl2br w:val="nil"/>
              <w:tr2bl w:val="nil"/>
            </w:tcBorders>
            <w:shd w:val="clear" w:color="auto" w:fill="auto"/>
            <w:vAlign w:val="center"/>
          </w:tcPr>
          <w:p w14:paraId="30BE81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镉</w:t>
            </w:r>
          </w:p>
        </w:tc>
        <w:tc>
          <w:tcPr>
            <w:tcW w:w="1877" w:type="dxa"/>
            <w:tcBorders>
              <w:tl2br w:val="nil"/>
              <w:tr2bl w:val="nil"/>
            </w:tcBorders>
            <w:shd w:val="clear" w:color="auto" w:fill="auto"/>
            <w:vAlign w:val="center"/>
          </w:tcPr>
          <w:p w14:paraId="2AD45D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0.2</w:t>
            </w:r>
          </w:p>
        </w:tc>
        <w:tc>
          <w:tcPr>
            <w:tcW w:w="1774" w:type="dxa"/>
            <w:tcBorders>
              <w:tl2br w:val="nil"/>
              <w:tr2bl w:val="nil"/>
            </w:tcBorders>
            <w:shd w:val="clear" w:color="auto" w:fill="auto"/>
            <w:vAlign w:val="center"/>
          </w:tcPr>
          <w:p w14:paraId="276390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01C323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6D44D6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0.29 </w:t>
            </w:r>
          </w:p>
        </w:tc>
      </w:tr>
      <w:tr w14:paraId="0A834D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0" w:hRule="atLeast"/>
        </w:trPr>
        <w:tc>
          <w:tcPr>
            <w:tcW w:w="1420" w:type="dxa"/>
            <w:tcBorders>
              <w:tl2br w:val="nil"/>
              <w:tr2bl w:val="nil"/>
            </w:tcBorders>
            <w:shd w:val="clear" w:color="auto" w:fill="auto"/>
            <w:vAlign w:val="center"/>
          </w:tcPr>
          <w:p w14:paraId="4520755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锌</w:t>
            </w:r>
          </w:p>
        </w:tc>
        <w:tc>
          <w:tcPr>
            <w:tcW w:w="1877" w:type="dxa"/>
            <w:tcBorders>
              <w:tl2br w:val="nil"/>
              <w:tr2bl w:val="nil"/>
            </w:tcBorders>
            <w:shd w:val="clear" w:color="auto" w:fill="auto"/>
            <w:vAlign w:val="center"/>
          </w:tcPr>
          <w:p w14:paraId="16A819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174</w:t>
            </w:r>
          </w:p>
        </w:tc>
        <w:tc>
          <w:tcPr>
            <w:tcW w:w="1774" w:type="dxa"/>
            <w:tcBorders>
              <w:tl2br w:val="nil"/>
              <w:tr2bl w:val="nil"/>
            </w:tcBorders>
            <w:shd w:val="clear" w:color="auto" w:fill="auto"/>
            <w:vAlign w:val="center"/>
          </w:tcPr>
          <w:p w14:paraId="258C57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w:t>
            </w:r>
          </w:p>
        </w:tc>
        <w:tc>
          <w:tcPr>
            <w:tcW w:w="1853" w:type="dxa"/>
            <w:tcBorders>
              <w:tl2br w:val="nil"/>
              <w:tr2bl w:val="nil"/>
            </w:tcBorders>
            <w:shd w:val="clear" w:color="auto" w:fill="auto"/>
            <w:vAlign w:val="center"/>
          </w:tcPr>
          <w:p w14:paraId="2A44A6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85030</w:t>
            </w:r>
          </w:p>
        </w:tc>
        <w:tc>
          <w:tcPr>
            <w:tcW w:w="1934" w:type="dxa"/>
            <w:tcBorders>
              <w:tl2br w:val="nil"/>
              <w:tr2bl w:val="nil"/>
            </w:tcBorders>
            <w:shd w:val="clear" w:color="auto" w:fill="auto"/>
            <w:vAlign w:val="center"/>
          </w:tcPr>
          <w:p w14:paraId="212AC6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248.99 </w:t>
            </w:r>
          </w:p>
        </w:tc>
      </w:tr>
    </w:tbl>
    <w:p w14:paraId="4098D50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注：鸡西多年盛行风向为西风，风向频率和为28%，预测评价范围按土壤评价范围28%核算。</w:t>
      </w:r>
    </w:p>
    <w:p w14:paraId="1A4D8D7A">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3.3.1.7非正常工况</w:t>
      </w:r>
    </w:p>
    <w:p w14:paraId="4A35133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（1）废气</w:t>
      </w:r>
    </w:p>
    <w:p w14:paraId="6DA8B60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本项目非正常工况主要为洒水车故障，导致抑尘效率为0%，则非正常工况下，废气源强下表。依据《环境影响评价技术导则-大气环境》（HJ2.2-2018）附录A推荐模型中的AERSCREEN模式进行估算结果见表3-3-13。</w:t>
      </w:r>
    </w:p>
    <w:p w14:paraId="5121B922">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表3-3-13 非正常工况下污染物参数</w:t>
      </w:r>
    </w:p>
    <w:tbl>
      <w:tblPr>
        <w:tblStyle w:val="24"/>
        <w:tblW w:w="465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8"/>
        <w:gridCol w:w="796"/>
        <w:gridCol w:w="721"/>
        <w:gridCol w:w="596"/>
        <w:gridCol w:w="648"/>
        <w:gridCol w:w="683"/>
        <w:gridCol w:w="588"/>
        <w:gridCol w:w="1043"/>
        <w:gridCol w:w="875"/>
        <w:gridCol w:w="802"/>
        <w:gridCol w:w="706"/>
      </w:tblGrid>
      <w:tr w14:paraId="0AB67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301" w:type="pct"/>
            <w:vMerge w:val="restart"/>
            <w:noWrap w:val="0"/>
            <w:vAlign w:val="center"/>
          </w:tcPr>
          <w:p w14:paraId="7E09F7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面源名称</w:t>
            </w:r>
          </w:p>
        </w:tc>
        <w:tc>
          <w:tcPr>
            <w:tcW w:w="955" w:type="pct"/>
            <w:gridSpan w:val="2"/>
            <w:noWrap w:val="0"/>
            <w:vAlign w:val="center"/>
          </w:tcPr>
          <w:p w14:paraId="439E46E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各顶点坐标</w:t>
            </w:r>
            <w:r>
              <w:rPr>
                <w:rFonts w:hint="default" w:ascii="Times New Roman" w:hAnsi="Times New Roman" w:cs="Times New Roman"/>
                <w:color w:val="auto"/>
                <w:highlight w:val="none"/>
                <w:lang w:val="en-US" w:eastAsia="zh-CN"/>
              </w:rPr>
              <w:t>/m</w:t>
            </w:r>
          </w:p>
        </w:tc>
        <w:tc>
          <w:tcPr>
            <w:tcW w:w="375" w:type="pct"/>
            <w:vMerge w:val="restart"/>
            <w:noWrap w:val="0"/>
            <w:vAlign w:val="center"/>
          </w:tcPr>
          <w:p w14:paraId="04AD2F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面源海拔高度/m</w:t>
            </w:r>
          </w:p>
        </w:tc>
        <w:tc>
          <w:tcPr>
            <w:tcW w:w="408" w:type="pct"/>
            <w:vMerge w:val="restart"/>
            <w:noWrap w:val="0"/>
            <w:vAlign w:val="center"/>
          </w:tcPr>
          <w:p w14:paraId="7568BE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面源排放高度/m</w:t>
            </w:r>
          </w:p>
        </w:tc>
        <w:tc>
          <w:tcPr>
            <w:tcW w:w="430" w:type="pct"/>
            <w:vMerge w:val="restart"/>
            <w:noWrap w:val="0"/>
            <w:vAlign w:val="center"/>
          </w:tcPr>
          <w:p w14:paraId="281E42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年排放小时数/h</w:t>
            </w:r>
          </w:p>
        </w:tc>
        <w:tc>
          <w:tcPr>
            <w:tcW w:w="370" w:type="pct"/>
            <w:vMerge w:val="restart"/>
            <w:noWrap w:val="0"/>
            <w:vAlign w:val="center"/>
          </w:tcPr>
          <w:p w14:paraId="5E1301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w:t>
            </w:r>
          </w:p>
          <w:p w14:paraId="7D4BE4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工况</w:t>
            </w:r>
          </w:p>
        </w:tc>
        <w:tc>
          <w:tcPr>
            <w:tcW w:w="657" w:type="pct"/>
            <w:noWrap w:val="0"/>
            <w:vAlign w:val="center"/>
          </w:tcPr>
          <w:p w14:paraId="78704C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污染物排放速率/（kg/h）</w:t>
            </w:r>
          </w:p>
        </w:tc>
        <w:tc>
          <w:tcPr>
            <w:tcW w:w="551" w:type="pct"/>
            <w:vMerge w:val="restart"/>
            <w:noWrap w:val="0"/>
            <w:vAlign w:val="center"/>
          </w:tcPr>
          <w:p w14:paraId="1A4382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单次持续时间/h</w:t>
            </w:r>
          </w:p>
        </w:tc>
        <w:tc>
          <w:tcPr>
            <w:tcW w:w="505" w:type="pct"/>
            <w:vMerge w:val="restart"/>
            <w:noWrap w:val="0"/>
            <w:vAlign w:val="center"/>
          </w:tcPr>
          <w:p w14:paraId="1D6C20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年发生频次/次</w:t>
            </w:r>
          </w:p>
        </w:tc>
        <w:tc>
          <w:tcPr>
            <w:tcW w:w="444" w:type="pct"/>
            <w:vMerge w:val="restart"/>
            <w:noWrap w:val="0"/>
            <w:vAlign w:val="center"/>
          </w:tcPr>
          <w:p w14:paraId="1481D99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应对</w:t>
            </w:r>
          </w:p>
          <w:p w14:paraId="2A18ED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措施</w:t>
            </w:r>
          </w:p>
        </w:tc>
      </w:tr>
      <w:tr w14:paraId="58AD7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301" w:type="pct"/>
            <w:vMerge w:val="continue"/>
            <w:noWrap w:val="0"/>
            <w:vAlign w:val="center"/>
          </w:tcPr>
          <w:p w14:paraId="447D7D25">
            <w:pPr>
              <w:pStyle w:val="46"/>
              <w:bidi w:val="0"/>
              <w:rPr>
                <w:rFonts w:hint="default" w:ascii="Times New Roman" w:hAnsi="Times New Roman" w:cs="Times New Roman"/>
                <w:color w:val="auto"/>
                <w:highlight w:val="none"/>
              </w:rPr>
            </w:pPr>
          </w:p>
        </w:tc>
        <w:tc>
          <w:tcPr>
            <w:tcW w:w="501" w:type="pct"/>
            <w:noWrap w:val="0"/>
            <w:vAlign w:val="center"/>
          </w:tcPr>
          <w:p w14:paraId="61D8B5E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X</w:t>
            </w:r>
          </w:p>
        </w:tc>
        <w:tc>
          <w:tcPr>
            <w:tcW w:w="454" w:type="pct"/>
            <w:noWrap w:val="0"/>
            <w:vAlign w:val="center"/>
          </w:tcPr>
          <w:p w14:paraId="3723381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t>
            </w:r>
          </w:p>
        </w:tc>
        <w:tc>
          <w:tcPr>
            <w:tcW w:w="375" w:type="pct"/>
            <w:vMerge w:val="continue"/>
            <w:noWrap w:val="0"/>
            <w:vAlign w:val="center"/>
          </w:tcPr>
          <w:p w14:paraId="26CF001B">
            <w:pPr>
              <w:pStyle w:val="46"/>
              <w:bidi w:val="0"/>
              <w:rPr>
                <w:rFonts w:hint="default" w:ascii="Times New Roman" w:hAnsi="Times New Roman" w:cs="Times New Roman"/>
                <w:color w:val="auto"/>
                <w:highlight w:val="none"/>
              </w:rPr>
            </w:pPr>
          </w:p>
        </w:tc>
        <w:tc>
          <w:tcPr>
            <w:tcW w:w="408" w:type="pct"/>
            <w:vMerge w:val="continue"/>
            <w:noWrap w:val="0"/>
            <w:vAlign w:val="center"/>
          </w:tcPr>
          <w:p w14:paraId="1F1C88CC">
            <w:pPr>
              <w:pStyle w:val="46"/>
              <w:bidi w:val="0"/>
              <w:rPr>
                <w:rFonts w:hint="default" w:ascii="Times New Roman" w:hAnsi="Times New Roman" w:cs="Times New Roman"/>
                <w:color w:val="auto"/>
                <w:highlight w:val="none"/>
              </w:rPr>
            </w:pPr>
          </w:p>
        </w:tc>
        <w:tc>
          <w:tcPr>
            <w:tcW w:w="430" w:type="pct"/>
            <w:vMerge w:val="continue"/>
            <w:noWrap w:val="0"/>
            <w:vAlign w:val="center"/>
          </w:tcPr>
          <w:p w14:paraId="5F66F791">
            <w:pPr>
              <w:pStyle w:val="46"/>
              <w:bidi w:val="0"/>
              <w:rPr>
                <w:rFonts w:hint="default" w:ascii="Times New Roman" w:hAnsi="Times New Roman" w:cs="Times New Roman"/>
                <w:color w:val="auto"/>
                <w:highlight w:val="none"/>
              </w:rPr>
            </w:pPr>
          </w:p>
        </w:tc>
        <w:tc>
          <w:tcPr>
            <w:tcW w:w="370" w:type="pct"/>
            <w:vMerge w:val="continue"/>
            <w:noWrap w:val="0"/>
            <w:vAlign w:val="center"/>
          </w:tcPr>
          <w:p w14:paraId="51F7EBBF">
            <w:pPr>
              <w:pStyle w:val="46"/>
              <w:bidi w:val="0"/>
              <w:rPr>
                <w:rFonts w:hint="default" w:ascii="Times New Roman" w:hAnsi="Times New Roman" w:cs="Times New Roman"/>
                <w:color w:val="auto"/>
                <w:highlight w:val="none"/>
              </w:rPr>
            </w:pPr>
          </w:p>
        </w:tc>
        <w:tc>
          <w:tcPr>
            <w:tcW w:w="657" w:type="pct"/>
            <w:noWrap w:val="0"/>
            <w:vAlign w:val="center"/>
          </w:tcPr>
          <w:p w14:paraId="12BA07C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TSP</w:t>
            </w:r>
          </w:p>
        </w:tc>
        <w:tc>
          <w:tcPr>
            <w:tcW w:w="551" w:type="pct"/>
            <w:vMerge w:val="continue"/>
            <w:noWrap w:val="0"/>
            <w:vAlign w:val="center"/>
          </w:tcPr>
          <w:p w14:paraId="39E0B876">
            <w:pPr>
              <w:pStyle w:val="46"/>
              <w:bidi w:val="0"/>
              <w:rPr>
                <w:rFonts w:hint="default" w:ascii="Times New Roman" w:hAnsi="Times New Roman" w:cs="Times New Roman"/>
                <w:color w:val="auto"/>
                <w:highlight w:val="none"/>
              </w:rPr>
            </w:pPr>
          </w:p>
        </w:tc>
        <w:tc>
          <w:tcPr>
            <w:tcW w:w="505" w:type="pct"/>
            <w:vMerge w:val="continue"/>
            <w:noWrap w:val="0"/>
            <w:vAlign w:val="center"/>
          </w:tcPr>
          <w:p w14:paraId="43DF9FC2">
            <w:pPr>
              <w:pStyle w:val="46"/>
              <w:bidi w:val="0"/>
              <w:rPr>
                <w:rFonts w:hint="default" w:ascii="Times New Roman" w:hAnsi="Times New Roman" w:cs="Times New Roman"/>
                <w:color w:val="auto"/>
                <w:highlight w:val="none"/>
              </w:rPr>
            </w:pPr>
          </w:p>
        </w:tc>
        <w:tc>
          <w:tcPr>
            <w:tcW w:w="444" w:type="pct"/>
            <w:vMerge w:val="continue"/>
            <w:noWrap w:val="0"/>
            <w:vAlign w:val="center"/>
          </w:tcPr>
          <w:p w14:paraId="56BF26D2">
            <w:pPr>
              <w:pStyle w:val="46"/>
              <w:bidi w:val="0"/>
              <w:rPr>
                <w:rFonts w:hint="default" w:ascii="Times New Roman" w:hAnsi="Times New Roman" w:cs="Times New Roman"/>
                <w:color w:val="auto"/>
                <w:highlight w:val="none"/>
              </w:rPr>
            </w:pPr>
          </w:p>
        </w:tc>
      </w:tr>
      <w:tr w14:paraId="70701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restart"/>
            <w:noWrap w:val="0"/>
            <w:vAlign w:val="center"/>
          </w:tcPr>
          <w:p w14:paraId="53EB61A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回填区</w:t>
            </w:r>
          </w:p>
        </w:tc>
        <w:tc>
          <w:tcPr>
            <w:tcW w:w="501" w:type="pct"/>
            <w:noWrap w:val="0"/>
            <w:vAlign w:val="center"/>
          </w:tcPr>
          <w:p w14:paraId="065DD32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2658</w:t>
            </w:r>
          </w:p>
        </w:tc>
        <w:tc>
          <w:tcPr>
            <w:tcW w:w="454" w:type="pct"/>
            <w:noWrap w:val="0"/>
            <w:vAlign w:val="center"/>
          </w:tcPr>
          <w:p w14:paraId="11729B5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2458</w:t>
            </w:r>
          </w:p>
        </w:tc>
        <w:tc>
          <w:tcPr>
            <w:tcW w:w="375" w:type="pct"/>
            <w:vMerge w:val="restart"/>
            <w:noWrap w:val="0"/>
            <w:vAlign w:val="center"/>
          </w:tcPr>
          <w:p w14:paraId="6546C6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300</w:t>
            </w:r>
          </w:p>
        </w:tc>
        <w:tc>
          <w:tcPr>
            <w:tcW w:w="408" w:type="pct"/>
            <w:vMerge w:val="restart"/>
            <w:noWrap w:val="0"/>
            <w:vAlign w:val="center"/>
          </w:tcPr>
          <w:p w14:paraId="1C488A49">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3.5</w:t>
            </w:r>
          </w:p>
        </w:tc>
        <w:tc>
          <w:tcPr>
            <w:tcW w:w="430" w:type="pct"/>
            <w:vMerge w:val="restart"/>
            <w:noWrap w:val="0"/>
            <w:vAlign w:val="center"/>
          </w:tcPr>
          <w:p w14:paraId="65B77F1A">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2640</w:t>
            </w:r>
          </w:p>
        </w:tc>
        <w:tc>
          <w:tcPr>
            <w:tcW w:w="370" w:type="pct"/>
            <w:vMerge w:val="restart"/>
            <w:noWrap w:val="0"/>
            <w:vAlign w:val="center"/>
          </w:tcPr>
          <w:p w14:paraId="5C98742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非</w:t>
            </w:r>
            <w:r>
              <w:rPr>
                <w:rFonts w:hint="default" w:ascii="Times New Roman" w:hAnsi="Times New Roman" w:cs="Times New Roman"/>
                <w:color w:val="auto"/>
                <w:highlight w:val="none"/>
                <w:lang w:eastAsia="zh-CN"/>
              </w:rPr>
              <w:t>正常工况</w:t>
            </w:r>
          </w:p>
        </w:tc>
        <w:tc>
          <w:tcPr>
            <w:tcW w:w="657" w:type="pct"/>
            <w:vMerge w:val="restart"/>
            <w:noWrap w:val="0"/>
            <w:vAlign w:val="center"/>
          </w:tcPr>
          <w:p w14:paraId="6D150822">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0.0135</w:t>
            </w:r>
          </w:p>
        </w:tc>
        <w:tc>
          <w:tcPr>
            <w:tcW w:w="551" w:type="pct"/>
            <w:vMerge w:val="restart"/>
            <w:noWrap w:val="0"/>
            <w:vAlign w:val="center"/>
          </w:tcPr>
          <w:p w14:paraId="5CD4D43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505" w:type="pct"/>
            <w:vMerge w:val="restart"/>
            <w:noWrap w:val="0"/>
            <w:vAlign w:val="center"/>
          </w:tcPr>
          <w:p w14:paraId="46A2761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44" w:type="pct"/>
            <w:vMerge w:val="restart"/>
            <w:noWrap w:val="0"/>
            <w:vAlign w:val="center"/>
          </w:tcPr>
          <w:p w14:paraId="68E48E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及时维修，加强维护</w:t>
            </w:r>
          </w:p>
        </w:tc>
      </w:tr>
      <w:tr w14:paraId="20E96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0D916960">
            <w:pPr>
              <w:pStyle w:val="46"/>
              <w:bidi w:val="0"/>
              <w:rPr>
                <w:rFonts w:hint="default" w:ascii="Times New Roman" w:hAnsi="Times New Roman" w:cs="Times New Roman"/>
                <w:color w:val="auto"/>
                <w:highlight w:val="none"/>
                <w:lang w:eastAsia="zh-CN"/>
              </w:rPr>
            </w:pPr>
          </w:p>
        </w:tc>
        <w:tc>
          <w:tcPr>
            <w:tcW w:w="501" w:type="pct"/>
            <w:noWrap w:val="0"/>
            <w:vAlign w:val="center"/>
          </w:tcPr>
          <w:p w14:paraId="7785A70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2516</w:t>
            </w:r>
          </w:p>
        </w:tc>
        <w:tc>
          <w:tcPr>
            <w:tcW w:w="454" w:type="pct"/>
            <w:noWrap w:val="0"/>
            <w:vAlign w:val="center"/>
          </w:tcPr>
          <w:p w14:paraId="27B3CAA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2568</w:t>
            </w:r>
          </w:p>
        </w:tc>
        <w:tc>
          <w:tcPr>
            <w:tcW w:w="375" w:type="pct"/>
            <w:vMerge w:val="continue"/>
            <w:noWrap w:val="0"/>
            <w:vAlign w:val="center"/>
          </w:tcPr>
          <w:p w14:paraId="20B931C5">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77705774">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2F18BD5A">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65018119">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2DBEA604">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53F276BE">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4F3AA7BA">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2CA9F042">
            <w:pPr>
              <w:pStyle w:val="46"/>
              <w:bidi w:val="0"/>
              <w:rPr>
                <w:rFonts w:hint="default" w:ascii="Times New Roman" w:hAnsi="Times New Roman" w:cs="Times New Roman"/>
                <w:color w:val="auto"/>
                <w:highlight w:val="none"/>
                <w:lang w:val="en-US" w:eastAsia="zh-CN"/>
              </w:rPr>
            </w:pPr>
          </w:p>
        </w:tc>
      </w:tr>
      <w:tr w14:paraId="4BA2D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0F616B25">
            <w:pPr>
              <w:pStyle w:val="46"/>
              <w:bidi w:val="0"/>
              <w:rPr>
                <w:rFonts w:hint="default" w:ascii="Times New Roman" w:hAnsi="Times New Roman" w:cs="Times New Roman"/>
                <w:color w:val="auto"/>
                <w:highlight w:val="none"/>
                <w:lang w:eastAsia="zh-CN"/>
              </w:rPr>
            </w:pPr>
          </w:p>
        </w:tc>
        <w:tc>
          <w:tcPr>
            <w:tcW w:w="501" w:type="pct"/>
            <w:noWrap w:val="0"/>
            <w:vAlign w:val="center"/>
          </w:tcPr>
          <w:p w14:paraId="487DF4F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2490</w:t>
            </w:r>
          </w:p>
        </w:tc>
        <w:tc>
          <w:tcPr>
            <w:tcW w:w="454" w:type="pct"/>
            <w:noWrap w:val="0"/>
            <w:vAlign w:val="center"/>
          </w:tcPr>
          <w:p w14:paraId="66669967">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2522</w:t>
            </w:r>
          </w:p>
        </w:tc>
        <w:tc>
          <w:tcPr>
            <w:tcW w:w="375" w:type="pct"/>
            <w:vMerge w:val="continue"/>
            <w:noWrap w:val="0"/>
            <w:vAlign w:val="center"/>
          </w:tcPr>
          <w:p w14:paraId="050EB7E6">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0D329181">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7DD91398">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68CA8F99">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025D89B2">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3869E29B">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53565196">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37098D67">
            <w:pPr>
              <w:pStyle w:val="46"/>
              <w:bidi w:val="0"/>
              <w:rPr>
                <w:rFonts w:hint="default" w:ascii="Times New Roman" w:hAnsi="Times New Roman" w:cs="Times New Roman"/>
                <w:color w:val="auto"/>
                <w:highlight w:val="none"/>
                <w:lang w:val="en-US" w:eastAsia="zh-CN"/>
              </w:rPr>
            </w:pPr>
          </w:p>
        </w:tc>
      </w:tr>
      <w:tr w14:paraId="60453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6E0E35E5">
            <w:pPr>
              <w:pStyle w:val="46"/>
              <w:bidi w:val="0"/>
              <w:rPr>
                <w:rFonts w:hint="default" w:ascii="Times New Roman" w:hAnsi="Times New Roman" w:cs="Times New Roman"/>
                <w:color w:val="auto"/>
                <w:highlight w:val="none"/>
                <w:lang w:eastAsia="zh-CN"/>
              </w:rPr>
            </w:pPr>
          </w:p>
        </w:tc>
        <w:tc>
          <w:tcPr>
            <w:tcW w:w="501" w:type="pct"/>
            <w:noWrap w:val="0"/>
            <w:vAlign w:val="center"/>
          </w:tcPr>
          <w:p w14:paraId="63C66187">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2432</w:t>
            </w:r>
          </w:p>
        </w:tc>
        <w:tc>
          <w:tcPr>
            <w:tcW w:w="454" w:type="pct"/>
            <w:noWrap w:val="0"/>
            <w:vAlign w:val="center"/>
          </w:tcPr>
          <w:p w14:paraId="5DBA875C">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2361</w:t>
            </w:r>
          </w:p>
        </w:tc>
        <w:tc>
          <w:tcPr>
            <w:tcW w:w="375" w:type="pct"/>
            <w:vMerge w:val="continue"/>
            <w:noWrap w:val="0"/>
            <w:vAlign w:val="center"/>
          </w:tcPr>
          <w:p w14:paraId="19E73C45">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082312F6">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4DB90019">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3AE73DC2">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65131D3E">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2A0EFE60">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2CF8FA2E">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15F0C729">
            <w:pPr>
              <w:pStyle w:val="46"/>
              <w:bidi w:val="0"/>
              <w:rPr>
                <w:rFonts w:hint="default" w:ascii="Times New Roman" w:hAnsi="Times New Roman" w:cs="Times New Roman"/>
                <w:color w:val="auto"/>
                <w:highlight w:val="none"/>
                <w:lang w:val="en-US" w:eastAsia="zh-CN"/>
              </w:rPr>
            </w:pPr>
          </w:p>
        </w:tc>
      </w:tr>
      <w:tr w14:paraId="4C409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25C5D539">
            <w:pPr>
              <w:pStyle w:val="46"/>
              <w:bidi w:val="0"/>
              <w:rPr>
                <w:rFonts w:hint="default" w:ascii="Times New Roman" w:hAnsi="Times New Roman" w:cs="Times New Roman"/>
                <w:color w:val="auto"/>
                <w:highlight w:val="none"/>
                <w:lang w:eastAsia="zh-CN"/>
              </w:rPr>
            </w:pPr>
          </w:p>
        </w:tc>
        <w:tc>
          <w:tcPr>
            <w:tcW w:w="501" w:type="pct"/>
            <w:noWrap w:val="0"/>
            <w:vAlign w:val="center"/>
          </w:tcPr>
          <w:p w14:paraId="23119BF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2458</w:t>
            </w:r>
          </w:p>
        </w:tc>
        <w:tc>
          <w:tcPr>
            <w:tcW w:w="454" w:type="pct"/>
            <w:noWrap w:val="0"/>
            <w:vAlign w:val="center"/>
          </w:tcPr>
          <w:p w14:paraId="78E39AF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2329</w:t>
            </w:r>
          </w:p>
        </w:tc>
        <w:tc>
          <w:tcPr>
            <w:tcW w:w="375" w:type="pct"/>
            <w:vMerge w:val="continue"/>
            <w:noWrap w:val="0"/>
            <w:vAlign w:val="center"/>
          </w:tcPr>
          <w:p w14:paraId="56F9046F">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0B310BE6">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7E3655B9">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09E2803E">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22197DF0">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340B1CAF">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722AB769">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1EE6C4CE">
            <w:pPr>
              <w:pStyle w:val="46"/>
              <w:bidi w:val="0"/>
              <w:rPr>
                <w:rFonts w:hint="default" w:ascii="Times New Roman" w:hAnsi="Times New Roman" w:cs="Times New Roman"/>
                <w:color w:val="auto"/>
                <w:highlight w:val="none"/>
                <w:lang w:val="en-US" w:eastAsia="zh-CN"/>
              </w:rPr>
            </w:pPr>
          </w:p>
        </w:tc>
      </w:tr>
      <w:tr w14:paraId="4CE79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36774271">
            <w:pPr>
              <w:pStyle w:val="46"/>
              <w:bidi w:val="0"/>
              <w:rPr>
                <w:rFonts w:hint="default" w:ascii="Times New Roman" w:hAnsi="Times New Roman" w:cs="Times New Roman"/>
                <w:color w:val="auto"/>
                <w:highlight w:val="none"/>
                <w:lang w:eastAsia="zh-CN"/>
              </w:rPr>
            </w:pPr>
          </w:p>
        </w:tc>
        <w:tc>
          <w:tcPr>
            <w:tcW w:w="501" w:type="pct"/>
            <w:noWrap w:val="0"/>
            <w:vAlign w:val="center"/>
          </w:tcPr>
          <w:p w14:paraId="286DD67A">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2497</w:t>
            </w:r>
          </w:p>
        </w:tc>
        <w:tc>
          <w:tcPr>
            <w:tcW w:w="454" w:type="pct"/>
            <w:noWrap w:val="0"/>
            <w:vAlign w:val="center"/>
          </w:tcPr>
          <w:p w14:paraId="72EB6B29">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2284</w:t>
            </w:r>
          </w:p>
        </w:tc>
        <w:tc>
          <w:tcPr>
            <w:tcW w:w="375" w:type="pct"/>
            <w:vMerge w:val="continue"/>
            <w:noWrap w:val="0"/>
            <w:vAlign w:val="center"/>
          </w:tcPr>
          <w:p w14:paraId="4C013F1E">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10A9DC26">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08E711F6">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314CF552">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609D7875">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5C15E58B">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44DCBA21">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2CD3253D">
            <w:pPr>
              <w:pStyle w:val="46"/>
              <w:bidi w:val="0"/>
              <w:rPr>
                <w:rFonts w:hint="default" w:ascii="Times New Roman" w:hAnsi="Times New Roman" w:cs="Times New Roman"/>
                <w:color w:val="auto"/>
                <w:highlight w:val="none"/>
                <w:lang w:val="en-US" w:eastAsia="zh-CN"/>
              </w:rPr>
            </w:pPr>
          </w:p>
        </w:tc>
      </w:tr>
      <w:tr w14:paraId="2AD21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6A7DCB24">
            <w:pPr>
              <w:pStyle w:val="46"/>
              <w:bidi w:val="0"/>
              <w:rPr>
                <w:rFonts w:hint="default" w:ascii="Times New Roman" w:hAnsi="Times New Roman" w:cs="Times New Roman"/>
                <w:color w:val="auto"/>
                <w:highlight w:val="none"/>
                <w:lang w:eastAsia="zh-CN"/>
              </w:rPr>
            </w:pPr>
          </w:p>
        </w:tc>
        <w:tc>
          <w:tcPr>
            <w:tcW w:w="501" w:type="pct"/>
            <w:noWrap w:val="0"/>
            <w:vAlign w:val="center"/>
          </w:tcPr>
          <w:p w14:paraId="64C74A71">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2497</w:t>
            </w:r>
          </w:p>
        </w:tc>
        <w:tc>
          <w:tcPr>
            <w:tcW w:w="454" w:type="pct"/>
            <w:noWrap w:val="0"/>
            <w:vAlign w:val="center"/>
          </w:tcPr>
          <w:p w14:paraId="69135280">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2206</w:t>
            </w:r>
          </w:p>
        </w:tc>
        <w:tc>
          <w:tcPr>
            <w:tcW w:w="375" w:type="pct"/>
            <w:vMerge w:val="continue"/>
            <w:noWrap w:val="0"/>
            <w:vAlign w:val="center"/>
          </w:tcPr>
          <w:p w14:paraId="2E090B77">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28AC8C35">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648E5A41">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35857F5F">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637F508B">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6321D226">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6C426A5F">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49930BA4">
            <w:pPr>
              <w:pStyle w:val="46"/>
              <w:bidi w:val="0"/>
              <w:rPr>
                <w:rFonts w:hint="default" w:ascii="Times New Roman" w:hAnsi="Times New Roman" w:cs="Times New Roman"/>
                <w:color w:val="auto"/>
                <w:highlight w:val="none"/>
                <w:lang w:val="en-US" w:eastAsia="zh-CN"/>
              </w:rPr>
            </w:pPr>
          </w:p>
        </w:tc>
      </w:tr>
      <w:tr w14:paraId="0C5B4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3F49BD62">
            <w:pPr>
              <w:pStyle w:val="46"/>
              <w:bidi w:val="0"/>
              <w:rPr>
                <w:rFonts w:hint="default" w:ascii="Times New Roman" w:hAnsi="Times New Roman" w:cs="Times New Roman"/>
                <w:color w:val="auto"/>
                <w:highlight w:val="none"/>
                <w:lang w:eastAsia="zh-CN"/>
              </w:rPr>
            </w:pPr>
          </w:p>
        </w:tc>
        <w:tc>
          <w:tcPr>
            <w:tcW w:w="501" w:type="pct"/>
            <w:noWrap w:val="0"/>
            <w:vAlign w:val="center"/>
          </w:tcPr>
          <w:p w14:paraId="010B144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2587</w:t>
            </w:r>
          </w:p>
        </w:tc>
        <w:tc>
          <w:tcPr>
            <w:tcW w:w="454" w:type="pct"/>
            <w:noWrap w:val="0"/>
            <w:vAlign w:val="center"/>
          </w:tcPr>
          <w:p w14:paraId="3F17A2C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2155</w:t>
            </w:r>
          </w:p>
        </w:tc>
        <w:tc>
          <w:tcPr>
            <w:tcW w:w="375" w:type="pct"/>
            <w:vMerge w:val="continue"/>
            <w:noWrap w:val="0"/>
            <w:vAlign w:val="center"/>
          </w:tcPr>
          <w:p w14:paraId="4C77E167">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61E0F2AC">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512B9564">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46939CC5">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0AF98FFE">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14CC042C">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4C89B41B">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6C939143">
            <w:pPr>
              <w:pStyle w:val="46"/>
              <w:bidi w:val="0"/>
              <w:rPr>
                <w:rFonts w:hint="default" w:ascii="Times New Roman" w:hAnsi="Times New Roman" w:cs="Times New Roman"/>
                <w:color w:val="auto"/>
                <w:highlight w:val="none"/>
                <w:lang w:val="en-US" w:eastAsia="zh-CN"/>
              </w:rPr>
            </w:pPr>
          </w:p>
        </w:tc>
      </w:tr>
      <w:tr w14:paraId="19648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4608BD00">
            <w:pPr>
              <w:pStyle w:val="46"/>
              <w:bidi w:val="0"/>
              <w:rPr>
                <w:rFonts w:hint="default" w:ascii="Times New Roman" w:hAnsi="Times New Roman" w:cs="Times New Roman"/>
                <w:color w:val="auto"/>
                <w:highlight w:val="none"/>
                <w:lang w:eastAsia="zh-CN"/>
              </w:rPr>
            </w:pPr>
          </w:p>
        </w:tc>
        <w:tc>
          <w:tcPr>
            <w:tcW w:w="501" w:type="pct"/>
            <w:noWrap w:val="0"/>
            <w:vAlign w:val="center"/>
          </w:tcPr>
          <w:p w14:paraId="47314DB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2684</w:t>
            </w:r>
          </w:p>
        </w:tc>
        <w:tc>
          <w:tcPr>
            <w:tcW w:w="454" w:type="pct"/>
            <w:noWrap w:val="0"/>
            <w:vAlign w:val="center"/>
          </w:tcPr>
          <w:p w14:paraId="21DD2110">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2252</w:t>
            </w:r>
          </w:p>
        </w:tc>
        <w:tc>
          <w:tcPr>
            <w:tcW w:w="375" w:type="pct"/>
            <w:vMerge w:val="continue"/>
            <w:noWrap w:val="0"/>
            <w:vAlign w:val="center"/>
          </w:tcPr>
          <w:p w14:paraId="1906F14F">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0C805A16">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47EFF9F5">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119283B7">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267688E5">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421C94DC">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6870487E">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0856DEFB">
            <w:pPr>
              <w:pStyle w:val="46"/>
              <w:bidi w:val="0"/>
              <w:rPr>
                <w:rFonts w:hint="default" w:ascii="Times New Roman" w:hAnsi="Times New Roman" w:cs="Times New Roman"/>
                <w:color w:val="auto"/>
                <w:highlight w:val="none"/>
                <w:lang w:val="en-US" w:eastAsia="zh-CN"/>
              </w:rPr>
            </w:pPr>
          </w:p>
        </w:tc>
      </w:tr>
      <w:tr w14:paraId="78F29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5275C40C">
            <w:pPr>
              <w:pStyle w:val="46"/>
              <w:bidi w:val="0"/>
              <w:rPr>
                <w:rFonts w:hint="default" w:ascii="Times New Roman" w:hAnsi="Times New Roman" w:cs="Times New Roman"/>
                <w:color w:val="auto"/>
                <w:highlight w:val="none"/>
                <w:lang w:eastAsia="zh-CN"/>
              </w:rPr>
            </w:pPr>
          </w:p>
        </w:tc>
        <w:tc>
          <w:tcPr>
            <w:tcW w:w="501" w:type="pct"/>
            <w:noWrap w:val="0"/>
            <w:vAlign w:val="center"/>
          </w:tcPr>
          <w:p w14:paraId="302D678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2710</w:t>
            </w:r>
          </w:p>
        </w:tc>
        <w:tc>
          <w:tcPr>
            <w:tcW w:w="454" w:type="pct"/>
            <w:noWrap w:val="0"/>
            <w:vAlign w:val="center"/>
          </w:tcPr>
          <w:p w14:paraId="4AB4844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2368</w:t>
            </w:r>
          </w:p>
        </w:tc>
        <w:tc>
          <w:tcPr>
            <w:tcW w:w="375" w:type="pct"/>
            <w:vMerge w:val="continue"/>
            <w:noWrap w:val="0"/>
            <w:vAlign w:val="center"/>
          </w:tcPr>
          <w:p w14:paraId="2A5E7EE5">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6790BDD6">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5EB59B50">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1DA70EFE">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720DA462">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6C4DC107">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3BE21FEC">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5467C553">
            <w:pPr>
              <w:pStyle w:val="46"/>
              <w:bidi w:val="0"/>
              <w:rPr>
                <w:rFonts w:hint="default" w:ascii="Times New Roman" w:hAnsi="Times New Roman" w:cs="Times New Roman"/>
                <w:color w:val="auto"/>
                <w:highlight w:val="none"/>
                <w:lang w:val="en-US" w:eastAsia="zh-CN"/>
              </w:rPr>
            </w:pPr>
          </w:p>
        </w:tc>
      </w:tr>
      <w:tr w14:paraId="18D0E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7920C7F8">
            <w:pPr>
              <w:pStyle w:val="46"/>
              <w:bidi w:val="0"/>
              <w:rPr>
                <w:rFonts w:hint="default" w:ascii="Times New Roman" w:hAnsi="Times New Roman" w:cs="Times New Roman"/>
                <w:color w:val="auto"/>
                <w:highlight w:val="none"/>
                <w:lang w:eastAsia="zh-CN"/>
              </w:rPr>
            </w:pPr>
          </w:p>
        </w:tc>
        <w:tc>
          <w:tcPr>
            <w:tcW w:w="501" w:type="pct"/>
            <w:noWrap w:val="0"/>
            <w:vAlign w:val="center"/>
          </w:tcPr>
          <w:p w14:paraId="6C20DDFA">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2729</w:t>
            </w:r>
          </w:p>
        </w:tc>
        <w:tc>
          <w:tcPr>
            <w:tcW w:w="454" w:type="pct"/>
            <w:noWrap w:val="0"/>
            <w:vAlign w:val="center"/>
          </w:tcPr>
          <w:p w14:paraId="2EC8E881">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2439</w:t>
            </w:r>
          </w:p>
        </w:tc>
        <w:tc>
          <w:tcPr>
            <w:tcW w:w="375" w:type="pct"/>
            <w:vMerge w:val="continue"/>
            <w:noWrap w:val="0"/>
            <w:vAlign w:val="center"/>
          </w:tcPr>
          <w:p w14:paraId="0509E712">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139362A2">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1B8D9EDF">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4213B1F8">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1D4B4EDF">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62B74523">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695A1E14">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6917484B">
            <w:pPr>
              <w:pStyle w:val="46"/>
              <w:bidi w:val="0"/>
              <w:rPr>
                <w:rFonts w:hint="default" w:ascii="Times New Roman" w:hAnsi="Times New Roman" w:cs="Times New Roman"/>
                <w:color w:val="auto"/>
                <w:highlight w:val="none"/>
                <w:lang w:val="en-US" w:eastAsia="zh-CN"/>
              </w:rPr>
            </w:pPr>
          </w:p>
        </w:tc>
      </w:tr>
      <w:tr w14:paraId="6A558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01" w:type="pct"/>
            <w:vMerge w:val="continue"/>
            <w:noWrap w:val="0"/>
            <w:vAlign w:val="center"/>
          </w:tcPr>
          <w:p w14:paraId="1AC3282E">
            <w:pPr>
              <w:pStyle w:val="46"/>
              <w:bidi w:val="0"/>
              <w:rPr>
                <w:rFonts w:hint="default" w:ascii="Times New Roman" w:hAnsi="Times New Roman" w:cs="Times New Roman"/>
                <w:color w:val="auto"/>
                <w:highlight w:val="none"/>
                <w:lang w:eastAsia="zh-CN"/>
              </w:rPr>
            </w:pPr>
          </w:p>
        </w:tc>
        <w:tc>
          <w:tcPr>
            <w:tcW w:w="501" w:type="pct"/>
            <w:noWrap w:val="0"/>
            <w:vAlign w:val="center"/>
          </w:tcPr>
          <w:p w14:paraId="506917B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2652</w:t>
            </w:r>
          </w:p>
        </w:tc>
        <w:tc>
          <w:tcPr>
            <w:tcW w:w="454" w:type="pct"/>
            <w:noWrap w:val="0"/>
            <w:vAlign w:val="center"/>
          </w:tcPr>
          <w:p w14:paraId="46CC1F2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2452</w:t>
            </w:r>
          </w:p>
        </w:tc>
        <w:tc>
          <w:tcPr>
            <w:tcW w:w="375" w:type="pct"/>
            <w:vMerge w:val="continue"/>
            <w:noWrap w:val="0"/>
            <w:vAlign w:val="center"/>
          </w:tcPr>
          <w:p w14:paraId="57E68458">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329A47F8">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6B9575D1">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2BA5CB9C">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54770063">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760C488B">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21B38CED">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6D30C3D9">
            <w:pPr>
              <w:pStyle w:val="46"/>
              <w:bidi w:val="0"/>
              <w:rPr>
                <w:rFonts w:hint="default" w:ascii="Times New Roman" w:hAnsi="Times New Roman" w:cs="Times New Roman"/>
                <w:color w:val="auto"/>
                <w:highlight w:val="none"/>
                <w:lang w:val="en-US" w:eastAsia="zh-CN"/>
              </w:rPr>
            </w:pPr>
          </w:p>
        </w:tc>
      </w:tr>
      <w:tr w14:paraId="438CD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01" w:type="pct"/>
            <w:vMerge w:val="continue"/>
            <w:noWrap w:val="0"/>
            <w:vAlign w:val="center"/>
          </w:tcPr>
          <w:p w14:paraId="2312D9A0">
            <w:pPr>
              <w:pStyle w:val="46"/>
              <w:bidi w:val="0"/>
              <w:rPr>
                <w:rFonts w:hint="default" w:ascii="Times New Roman" w:hAnsi="Times New Roman" w:cs="Times New Roman"/>
                <w:color w:val="auto"/>
                <w:highlight w:val="none"/>
                <w:lang w:eastAsia="zh-CN"/>
              </w:rPr>
            </w:pPr>
          </w:p>
        </w:tc>
        <w:tc>
          <w:tcPr>
            <w:tcW w:w="501" w:type="pct"/>
            <w:noWrap w:val="0"/>
            <w:vAlign w:val="center"/>
          </w:tcPr>
          <w:p w14:paraId="7687FE8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2658</w:t>
            </w:r>
          </w:p>
        </w:tc>
        <w:tc>
          <w:tcPr>
            <w:tcW w:w="454" w:type="pct"/>
            <w:noWrap w:val="0"/>
            <w:vAlign w:val="center"/>
          </w:tcPr>
          <w:p w14:paraId="663E368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2458</w:t>
            </w:r>
          </w:p>
        </w:tc>
        <w:tc>
          <w:tcPr>
            <w:tcW w:w="375" w:type="pct"/>
            <w:vMerge w:val="continue"/>
            <w:noWrap w:val="0"/>
            <w:vAlign w:val="center"/>
          </w:tcPr>
          <w:p w14:paraId="05F78D0F">
            <w:pPr>
              <w:pStyle w:val="46"/>
              <w:bidi w:val="0"/>
              <w:rPr>
                <w:rFonts w:hint="default" w:ascii="Times New Roman" w:hAnsi="Times New Roman" w:cs="Times New Roman"/>
                <w:color w:val="auto"/>
                <w:highlight w:val="none"/>
                <w:lang w:val="en-US" w:eastAsia="zh-CN"/>
              </w:rPr>
            </w:pPr>
          </w:p>
        </w:tc>
        <w:tc>
          <w:tcPr>
            <w:tcW w:w="408" w:type="pct"/>
            <w:vMerge w:val="continue"/>
            <w:noWrap w:val="0"/>
            <w:vAlign w:val="center"/>
          </w:tcPr>
          <w:p w14:paraId="41992E9F">
            <w:pPr>
              <w:pStyle w:val="46"/>
              <w:bidi w:val="0"/>
              <w:rPr>
                <w:rFonts w:hint="default" w:ascii="Times New Roman" w:hAnsi="Times New Roman" w:cs="Times New Roman"/>
                <w:color w:val="auto"/>
                <w:highlight w:val="none"/>
                <w:lang w:val="en-US" w:eastAsia="zh-CN"/>
              </w:rPr>
            </w:pPr>
          </w:p>
        </w:tc>
        <w:tc>
          <w:tcPr>
            <w:tcW w:w="430" w:type="pct"/>
            <w:vMerge w:val="continue"/>
            <w:noWrap w:val="0"/>
            <w:vAlign w:val="center"/>
          </w:tcPr>
          <w:p w14:paraId="454004B3">
            <w:pPr>
              <w:pStyle w:val="46"/>
              <w:bidi w:val="0"/>
              <w:rPr>
                <w:rFonts w:hint="default" w:ascii="Times New Roman" w:hAnsi="Times New Roman" w:cs="Times New Roman"/>
                <w:color w:val="auto"/>
                <w:highlight w:val="none"/>
                <w:lang w:val="en-US" w:eastAsia="zh-CN"/>
              </w:rPr>
            </w:pPr>
          </w:p>
        </w:tc>
        <w:tc>
          <w:tcPr>
            <w:tcW w:w="370" w:type="pct"/>
            <w:vMerge w:val="continue"/>
            <w:noWrap w:val="0"/>
            <w:vAlign w:val="center"/>
          </w:tcPr>
          <w:p w14:paraId="22CD45F0">
            <w:pPr>
              <w:pStyle w:val="46"/>
              <w:bidi w:val="0"/>
              <w:rPr>
                <w:rFonts w:hint="default" w:ascii="Times New Roman" w:hAnsi="Times New Roman" w:cs="Times New Roman"/>
                <w:color w:val="auto"/>
                <w:highlight w:val="none"/>
                <w:lang w:eastAsia="zh-CN"/>
              </w:rPr>
            </w:pPr>
          </w:p>
        </w:tc>
        <w:tc>
          <w:tcPr>
            <w:tcW w:w="657" w:type="pct"/>
            <w:vMerge w:val="continue"/>
            <w:noWrap w:val="0"/>
            <w:vAlign w:val="center"/>
          </w:tcPr>
          <w:p w14:paraId="11EF89C9">
            <w:pPr>
              <w:pStyle w:val="46"/>
              <w:bidi w:val="0"/>
              <w:rPr>
                <w:rFonts w:hint="default" w:ascii="Times New Roman" w:hAnsi="Times New Roman" w:cs="Times New Roman"/>
                <w:color w:val="auto"/>
                <w:highlight w:val="none"/>
                <w:lang w:val="en-US" w:eastAsia="zh-CN"/>
              </w:rPr>
            </w:pPr>
          </w:p>
        </w:tc>
        <w:tc>
          <w:tcPr>
            <w:tcW w:w="551" w:type="pct"/>
            <w:vMerge w:val="continue"/>
            <w:noWrap w:val="0"/>
            <w:vAlign w:val="center"/>
          </w:tcPr>
          <w:p w14:paraId="24792621">
            <w:pPr>
              <w:pStyle w:val="46"/>
              <w:bidi w:val="0"/>
              <w:rPr>
                <w:rFonts w:hint="default" w:ascii="Times New Roman" w:hAnsi="Times New Roman" w:cs="Times New Roman"/>
                <w:color w:val="auto"/>
                <w:highlight w:val="none"/>
                <w:lang w:val="en-US" w:eastAsia="zh-CN"/>
              </w:rPr>
            </w:pPr>
          </w:p>
        </w:tc>
        <w:tc>
          <w:tcPr>
            <w:tcW w:w="505" w:type="pct"/>
            <w:vMerge w:val="continue"/>
            <w:noWrap w:val="0"/>
            <w:vAlign w:val="center"/>
          </w:tcPr>
          <w:p w14:paraId="3ADD2A95">
            <w:pPr>
              <w:pStyle w:val="46"/>
              <w:bidi w:val="0"/>
              <w:rPr>
                <w:rFonts w:hint="default" w:ascii="Times New Roman" w:hAnsi="Times New Roman" w:cs="Times New Roman"/>
                <w:color w:val="auto"/>
                <w:highlight w:val="none"/>
                <w:lang w:val="en-US" w:eastAsia="zh-CN"/>
              </w:rPr>
            </w:pPr>
          </w:p>
        </w:tc>
        <w:tc>
          <w:tcPr>
            <w:tcW w:w="444" w:type="pct"/>
            <w:vMerge w:val="continue"/>
            <w:noWrap w:val="0"/>
            <w:vAlign w:val="center"/>
          </w:tcPr>
          <w:p w14:paraId="277274F4">
            <w:pPr>
              <w:pStyle w:val="46"/>
              <w:bidi w:val="0"/>
              <w:rPr>
                <w:rFonts w:hint="default" w:ascii="Times New Roman" w:hAnsi="Times New Roman" w:cs="Times New Roman"/>
                <w:color w:val="auto"/>
                <w:highlight w:val="none"/>
                <w:lang w:val="en-US" w:eastAsia="zh-CN"/>
              </w:rPr>
            </w:pPr>
          </w:p>
        </w:tc>
      </w:tr>
    </w:tbl>
    <w:p w14:paraId="45451AE6">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3.3.3生态恢复期污染源及源强分析</w:t>
      </w:r>
      <w:bookmarkEnd w:id="186"/>
    </w:p>
    <w:p w14:paraId="264F27E0">
      <w:pPr>
        <w:pStyle w:val="27"/>
        <w:bidi w:val="0"/>
        <w:rPr>
          <w:rFonts w:hint="default" w:ascii="Times New Roman" w:hAnsi="Times New Roman" w:cs="Times New Roman"/>
          <w:color w:val="auto"/>
          <w:highlight w:val="none"/>
        </w:rPr>
      </w:pPr>
      <w:bookmarkStart w:id="187" w:name="_Toc3809"/>
      <w:r>
        <w:rPr>
          <w:rFonts w:hint="default" w:ascii="Times New Roman" w:hAnsi="Times New Roman" w:cs="Times New Roman"/>
          <w:color w:val="auto"/>
          <w:highlight w:val="none"/>
        </w:rPr>
        <w:t>（1）废气污染源分析</w:t>
      </w:r>
    </w:p>
    <w:p w14:paraId="6C4C329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阶段主要为植被养护，整个过程无废气产生。所以</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阶段废气不做考虑。</w:t>
      </w:r>
    </w:p>
    <w:p w14:paraId="4508BBF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（2）废水污染源分析</w:t>
      </w:r>
    </w:p>
    <w:p w14:paraId="5E5A9E6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主要为养护，不产生废水。</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阶段人员</w:t>
      </w:r>
      <w:r>
        <w:rPr>
          <w:rFonts w:hint="default" w:ascii="Times New Roman" w:hAnsi="Times New Roman" w:cs="Times New Roman"/>
          <w:color w:val="auto"/>
          <w:highlight w:val="none"/>
          <w:lang w:val="en-US" w:eastAsia="zh-CN"/>
        </w:rPr>
        <w:t>定期巡查</w:t>
      </w:r>
      <w:r>
        <w:rPr>
          <w:rFonts w:hint="default" w:ascii="Times New Roman" w:hAnsi="Times New Roman" w:cs="Times New Roman"/>
          <w:color w:val="auto"/>
          <w:highlight w:val="none"/>
        </w:rPr>
        <w:t>，不新增生活污水。</w:t>
      </w:r>
    </w:p>
    <w:p w14:paraId="5ABB8B2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（3）噪声污染源分析</w:t>
      </w:r>
    </w:p>
    <w:p w14:paraId="21EAF8D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阶段不产生噪声污染。</w:t>
      </w:r>
    </w:p>
    <w:p w14:paraId="5122775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（4）固废污染源分析</w:t>
      </w:r>
    </w:p>
    <w:p w14:paraId="3F106E1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阶段主要为养护，不产生固体废物。</w:t>
      </w:r>
    </w:p>
    <w:p w14:paraId="2EFA799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（5）生态影响分析</w:t>
      </w:r>
    </w:p>
    <w:p w14:paraId="651A88F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为植被的抚育、养护、补植过程，不产生废物，项目植被盖度最终要不低于原有植被覆盖率，同时对生态景观也起到很好的效果。</w:t>
      </w:r>
    </w:p>
    <w:p w14:paraId="4DC31701">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3.3.4环境风险识别</w:t>
      </w:r>
      <w:bookmarkEnd w:id="187"/>
    </w:p>
    <w:p w14:paraId="50564E04">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物质风险识别</w:t>
      </w:r>
    </w:p>
    <w:p w14:paraId="19FBC25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本项目的回填材料主要为</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，属一般工业固体废物。根据《建设项目环境风险评价技术导则》（HJ/T169-2018）及《危险化学品重大危险源辨识》（GB18218-2018）判定，本项目不涉及的危险物质。</w:t>
      </w:r>
    </w:p>
    <w:p w14:paraId="6A5ABFF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rPr>
        <w:t>设施危险性识别</w:t>
      </w:r>
    </w:p>
    <w:p w14:paraId="36827FE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本项目出现的主要事故有：排水沟堵塞，场址以外区域雨水大量进入回填区，</w:t>
      </w:r>
      <w:bookmarkStart w:id="188" w:name="_Hlk148604580"/>
      <w:r>
        <w:rPr>
          <w:rFonts w:hint="default" w:ascii="Times New Roman" w:hAnsi="Times New Roman" w:cs="Times New Roman"/>
          <w:color w:val="auto"/>
          <w:highlight w:val="none"/>
        </w:rPr>
        <w:t>造成淋溶水下渗入地下水，破坏土壤和地下水环境。</w:t>
      </w:r>
    </w:p>
    <w:bookmarkEnd w:id="188"/>
    <w:p w14:paraId="47729F35">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风险环节及源项分析</w:t>
      </w:r>
    </w:p>
    <w:p w14:paraId="1352949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运行的条件下，不会对场区周围的环境产生污染。但在连续大雨或暴雨的情况下，由于排水沟堵塞，使雨水不能及时排出，或由于场区外四周地表降水汇集，雨水进入场区而导致淋溶水量显著增大，可能引发环境污染事故。造成淋溶水下渗入地下水，破坏土壤和地下水环境。</w:t>
      </w:r>
    </w:p>
    <w:p w14:paraId="621C1523">
      <w:pPr>
        <w:pStyle w:val="41"/>
        <w:bidi w:val="0"/>
        <w:rPr>
          <w:rFonts w:hint="default" w:ascii="Times New Roman" w:hAnsi="Times New Roman" w:cs="Times New Roman"/>
          <w:color w:val="auto"/>
          <w:highlight w:val="none"/>
        </w:rPr>
      </w:pPr>
      <w:bookmarkStart w:id="189" w:name="_Toc6069"/>
      <w:r>
        <w:rPr>
          <w:rFonts w:hint="default" w:ascii="Times New Roman" w:hAnsi="Times New Roman" w:cs="Times New Roman"/>
          <w:color w:val="auto"/>
          <w:highlight w:val="none"/>
        </w:rPr>
        <w:t>3.3.5清洁生产</w:t>
      </w:r>
      <w:bookmarkEnd w:id="189"/>
    </w:p>
    <w:p w14:paraId="6A63D23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（1）生产工艺与装备要求</w:t>
      </w:r>
    </w:p>
    <w:p w14:paraId="128403B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本项目工艺简单，污染源少，是成熟的固体废物处理工艺。本项目</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类一般工业固体废物，处理成本较低，废渣收集、清运、处置过程自动化程度高，堆放作业简便，生产工艺与装备要求达到国内先进水平。</w:t>
      </w:r>
    </w:p>
    <w:p w14:paraId="6D8F296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（2）原材料及产品指标</w:t>
      </w:r>
    </w:p>
    <w:p w14:paraId="2833DE1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本项目利用</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，为一般工业固体废物，回填材料唯一，不接收危险废物。</w:t>
      </w:r>
    </w:p>
    <w:p w14:paraId="68DBB61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本项目不是工业生产类项目，不生产产品，采用回填的工艺技术，对</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进行处置，项目的建设从原材料及产品指标分析满足清洁生产的要求。</w:t>
      </w:r>
    </w:p>
    <w:p w14:paraId="4FE5E18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（3）资源和能源利用指标</w:t>
      </w:r>
    </w:p>
    <w:p w14:paraId="410AE3D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本工程主要消耗的是土地资源，本项目现状为废弃采坑，周围没有需要特殊保护的敏感目标。本项目回填完毕后对废弃采坑覆土进行土地复垦，可恢复土地的使用功能，不会造成土地资源的浪费。</w:t>
      </w:r>
    </w:p>
    <w:p w14:paraId="59D2C3F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（4）污染物产生指标清洁生产分析</w:t>
      </w:r>
    </w:p>
    <w:p w14:paraId="05B4719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本项目工艺简单，污染物排放较少，产生的生活污水不外排，生活垃圾交由市政部门处理，污染物产生指标满足清洁生产要求。</w:t>
      </w:r>
    </w:p>
    <w:p w14:paraId="76764A5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（5）废物回收利用指标</w:t>
      </w:r>
    </w:p>
    <w:p w14:paraId="330E53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本项目所回填的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仍然具有一定的利用价值，如果有其他企业有意向接收，可以将其运往相应的企业进行加工再利用，实现资源的综合利用，符合清洁生产的要求。</w:t>
      </w:r>
    </w:p>
    <w:p w14:paraId="479CBD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（6）环境管理相关指标</w:t>
      </w:r>
    </w:p>
    <w:p w14:paraId="63153BE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环境管理主要包括三个方面，即法律法规标准、废物处理处置、生产过程环境管理。</w:t>
      </w:r>
    </w:p>
    <w:p w14:paraId="40A71BB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法律法规标准：本项目在规划实施及建设和运营的全过程中，可以做到符合国家和地方有关环境法律法规，污染物排放达到国家和地方排放标准、总量控制和排污许可证管理要求。</w:t>
      </w:r>
    </w:p>
    <w:p w14:paraId="65DE909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废物处理处置：本项目的废物处置处理遵循分类原则、回收利用原则、减量化原则、无公害化原则及分散与集中相结合的原则，将废渣堆存。</w:t>
      </w:r>
    </w:p>
    <w:p w14:paraId="265F018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生产过程环境管理：本项目拟采取的主要管理措施有环境考核指标岗位责任制和管理制度、产品全面质量管理制度、安全生产管理制度、员工环境管理培训制度、环境风险管理制度等。</w:t>
      </w:r>
    </w:p>
    <w:p w14:paraId="25C947E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由以上分析可知，本项目的工艺设备、防渗水平、能源消耗、环境管理制度等方面满足清洁生产要求。</w:t>
      </w:r>
    </w:p>
    <w:p w14:paraId="586BADB7">
      <w:pPr>
        <w:pStyle w:val="27"/>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741031A">
      <w:pPr>
        <w:pStyle w:val="44"/>
        <w:rPr>
          <w:rFonts w:hint="default" w:ascii="Times New Roman" w:hAnsi="Times New Roman" w:cs="Times New Roman"/>
          <w:color w:val="auto"/>
          <w:highlight w:val="none"/>
        </w:rPr>
      </w:pPr>
      <w:bookmarkStart w:id="190" w:name="_Toc152926818"/>
      <w:bookmarkStart w:id="191" w:name="_Toc477954563"/>
      <w:bookmarkStart w:id="192" w:name="_Toc119316800"/>
      <w:bookmarkStart w:id="193" w:name="_Toc15779"/>
      <w:bookmarkStart w:id="194" w:name="_Toc31266"/>
      <w:bookmarkStart w:id="195" w:name="_Toc152926823"/>
      <w:bookmarkStart w:id="196" w:name="_Toc494017090"/>
      <w:bookmarkStart w:id="197" w:name="_Toc477954569"/>
      <w:bookmarkStart w:id="198" w:name="_Toc119316804"/>
      <w:bookmarkStart w:id="199" w:name="_Toc488925382"/>
      <w:bookmarkStart w:id="200" w:name="_Toc18878"/>
      <w:r>
        <w:rPr>
          <w:rFonts w:hint="default" w:ascii="Times New Roman" w:hAnsi="Times New Roman" w:cs="Times New Roman"/>
          <w:color w:val="auto"/>
          <w:highlight w:val="none"/>
        </w:rPr>
        <w:t>4环境现状调查与评价</w:t>
      </w:r>
      <w:bookmarkEnd w:id="190"/>
      <w:bookmarkEnd w:id="191"/>
      <w:bookmarkEnd w:id="192"/>
      <w:bookmarkEnd w:id="193"/>
      <w:bookmarkEnd w:id="194"/>
    </w:p>
    <w:p w14:paraId="25195BEC">
      <w:pPr>
        <w:pStyle w:val="43"/>
        <w:rPr>
          <w:rFonts w:hint="default" w:ascii="Times New Roman" w:hAnsi="Times New Roman" w:cs="Times New Roman"/>
          <w:color w:val="auto"/>
          <w:highlight w:val="none"/>
        </w:rPr>
      </w:pPr>
      <w:bookmarkStart w:id="201" w:name="_Toc119316801"/>
      <w:bookmarkStart w:id="202" w:name="_Toc2383"/>
      <w:bookmarkStart w:id="203" w:name="_Toc31346"/>
      <w:bookmarkStart w:id="204" w:name="_Toc152926819"/>
      <w:r>
        <w:rPr>
          <w:rFonts w:hint="default" w:ascii="Times New Roman" w:hAnsi="Times New Roman" w:cs="Times New Roman"/>
          <w:color w:val="auto"/>
          <w:highlight w:val="none"/>
        </w:rPr>
        <w:t>4.1自然环境概况</w:t>
      </w:r>
      <w:bookmarkEnd w:id="201"/>
      <w:bookmarkEnd w:id="202"/>
      <w:bookmarkEnd w:id="203"/>
      <w:bookmarkEnd w:id="204"/>
    </w:p>
    <w:p w14:paraId="3DFA4969">
      <w:pPr>
        <w:pStyle w:val="41"/>
        <w:rPr>
          <w:rFonts w:hint="default" w:ascii="Times New Roman" w:hAnsi="Times New Roman" w:cs="Times New Roman"/>
          <w:color w:val="auto"/>
          <w:highlight w:val="none"/>
        </w:rPr>
      </w:pPr>
      <w:bookmarkStart w:id="205" w:name="_Toc28895"/>
      <w:bookmarkStart w:id="206" w:name="_Toc218825485"/>
      <w:r>
        <w:rPr>
          <w:rFonts w:hint="default" w:ascii="Times New Roman" w:hAnsi="Times New Roman" w:cs="Times New Roman"/>
          <w:color w:val="auto"/>
          <w:highlight w:val="none"/>
        </w:rPr>
        <w:t>4.1.1地理位置</w:t>
      </w:r>
      <w:bookmarkEnd w:id="205"/>
      <w:bookmarkEnd w:id="206"/>
    </w:p>
    <w:p w14:paraId="2CC0E60E">
      <w:pPr>
        <w:pStyle w:val="27"/>
        <w:adjustRightInd/>
        <w:snapToGrid/>
        <w:ind w:firstLine="472"/>
        <w:rPr>
          <w:rFonts w:hint="default" w:ascii="Times New Roman" w:hAnsi="Times New Roman" w:cs="Times New Roman"/>
          <w:color w:val="auto"/>
          <w:spacing w:val="-2"/>
          <w:highlight w:val="none"/>
        </w:rPr>
      </w:pPr>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rPr>
        <w:t>位于鸡西市滴道区西8km处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鸡西市滴道区南甸子村六队</w:t>
      </w:r>
      <w:r>
        <w:rPr>
          <w:rFonts w:hint="default" w:ascii="Times New Roman" w:hAnsi="Times New Roman" w:cs="Times New Roman"/>
          <w:color w:val="auto"/>
          <w:spacing w:val="-2"/>
          <w:highlight w:val="none"/>
        </w:rPr>
        <w:t>。项目区交通便利，</w:t>
      </w:r>
      <w:r>
        <w:rPr>
          <w:rFonts w:hint="default" w:ascii="Times New Roman" w:hAnsi="Times New Roman" w:cs="Times New Roman"/>
          <w:color w:val="auto"/>
          <w:spacing w:val="-2"/>
          <w:highlight w:val="none"/>
          <w:lang w:val="en-US" w:eastAsia="zh-CN"/>
        </w:rPr>
        <w:t>项目位置图见下图</w:t>
      </w:r>
      <w:r>
        <w:rPr>
          <w:rFonts w:hint="default" w:ascii="Times New Roman" w:hAnsi="Times New Roman" w:cs="Times New Roman"/>
          <w:color w:val="auto"/>
          <w:spacing w:val="-2"/>
          <w:highlight w:val="none"/>
        </w:rPr>
        <w:t>。</w:t>
      </w:r>
    </w:p>
    <w:p w14:paraId="7BBF4CCC">
      <w:pPr>
        <w:pStyle w:val="27"/>
        <w:adjustRightInd/>
        <w:snapToGrid/>
        <w:ind w:firstLine="472"/>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5420" cy="3159760"/>
            <wp:effectExtent l="0" t="0" r="11430" b="254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5"/>
                    <a:stretch>
                      <a:fillRect/>
                    </a:stretch>
                  </pic:blipFill>
                  <pic:spPr>
                    <a:xfrm>
                      <a:off x="0" y="0"/>
                      <a:ext cx="5265420" cy="3159760"/>
                    </a:xfrm>
                    <a:prstGeom prst="rect">
                      <a:avLst/>
                    </a:prstGeom>
                    <a:noFill/>
                    <a:ln>
                      <a:noFill/>
                    </a:ln>
                  </pic:spPr>
                </pic:pic>
              </a:graphicData>
            </a:graphic>
          </wp:inline>
        </w:drawing>
      </w:r>
    </w:p>
    <w:p w14:paraId="19FC72D8">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图4-1-1 项目位置图</w:t>
      </w:r>
    </w:p>
    <w:p w14:paraId="7467EF74">
      <w:pPr>
        <w:pStyle w:val="41"/>
        <w:bidi w:val="0"/>
        <w:rPr>
          <w:rFonts w:hint="default" w:ascii="Times New Roman" w:hAnsi="Times New Roman" w:cs="Times New Roman"/>
          <w:color w:val="auto"/>
          <w:highlight w:val="none"/>
        </w:rPr>
      </w:pPr>
      <w:bookmarkStart w:id="207" w:name="_Toc4508"/>
      <w:r>
        <w:rPr>
          <w:rFonts w:hint="default" w:ascii="Times New Roman" w:hAnsi="Times New Roman" w:cs="Times New Roman"/>
          <w:color w:val="auto"/>
          <w:highlight w:val="none"/>
        </w:rPr>
        <w:t>4.1.2气候气象</w:t>
      </w:r>
      <w:bookmarkEnd w:id="207"/>
    </w:p>
    <w:p w14:paraId="54C91B9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鸡西市</w:t>
      </w:r>
      <w:r>
        <w:rPr>
          <w:rFonts w:hint="default" w:ascii="Times New Roman" w:hAnsi="Times New Roman" w:cs="Times New Roman"/>
          <w:color w:val="auto"/>
          <w:highlight w:val="none"/>
        </w:rPr>
        <w:t>地处中纬度亚洲大陆东岸，位于黑龙江省东南部，属于中温带大陆性季风气候。四季气候变化明显，春季易干旱多大风，夏季短促雨季集中，秋季寒潮降温，常有冻害发生，冬季寒冷漫长且干燥。密山市属丘陵漫岗平原，属于二、三积温带，年积温2500℃，夏季最高气温可达37℃，冬季最低气温可达-35℃，年平均气温2.6-3.3℃左右，由南向北递减，年温差在72℃，年均日照2330-2515小时。降水时间主要集中在6-8月份（该时期大量集中降水可直接导致洪涝灾害的发生，同时也是引发滑坡、泥石流和水土流失等灾害的主导因素），年平均降水量519.6毫米，夏季降水占全年降水量的60%以上，年平均相对湿度为65%左右，无霜期148天左右，终霜期在5月2日左右，初霜期在9月27日左右。</w:t>
      </w:r>
    </w:p>
    <w:p w14:paraId="5EBCB69C">
      <w:pPr>
        <w:pStyle w:val="41"/>
        <w:bidi w:val="0"/>
        <w:rPr>
          <w:rFonts w:hint="default" w:ascii="Times New Roman" w:hAnsi="Times New Roman" w:cs="Times New Roman"/>
          <w:color w:val="auto"/>
          <w:highlight w:val="none"/>
        </w:rPr>
      </w:pPr>
      <w:bookmarkStart w:id="208" w:name="_Toc9481"/>
      <w:r>
        <w:rPr>
          <w:rFonts w:hint="default" w:ascii="Times New Roman" w:hAnsi="Times New Roman" w:cs="Times New Roman"/>
          <w:color w:val="auto"/>
          <w:highlight w:val="none"/>
        </w:rPr>
        <w:t>4.1.3地形地貌</w:t>
      </w:r>
      <w:bookmarkEnd w:id="208"/>
    </w:p>
    <w:p w14:paraId="634046B8">
      <w:pPr>
        <w:pStyle w:val="27"/>
        <w:bidi w:val="0"/>
        <w:rPr>
          <w:rFonts w:hint="default" w:ascii="Times New Roman" w:hAnsi="Times New Roman" w:cs="Times New Roman"/>
          <w:color w:val="auto"/>
          <w:highlight w:val="none"/>
        </w:rPr>
      </w:pPr>
      <w:bookmarkStart w:id="209" w:name="_Toc241292978"/>
      <w:r>
        <w:rPr>
          <w:rFonts w:hint="default" w:ascii="Times New Roman" w:hAnsi="Times New Roman" w:cs="Times New Roman"/>
          <w:color w:val="auto"/>
          <w:highlight w:val="none"/>
        </w:rPr>
        <w:t>地貌特征为“八山半水一分田”。境内地势北高南低，海拔180-600m。全区分为丘陵、低山河谷平原三个地貌类型剥蚀。剥蚀堆积地形主要为低山丘陵，体浑圆坡度在10-20°之间，多由沉积岩组成。上覆第四系风化残积坡物，为柞木林、次生及人工岩组成。上覆第四系风化残积坡物，为柞木林、次生及人工所覆盖。堆积地形主要有现代河床及低漫滩、牛轭湖高，主要沿低漫滩、牛轭湖高，主要沿低漫滩、牛轭湖高，主要沿低漫滩、牛轭湖、高漫滩，主要沿城子河两岸分布。河床宽度50m-100m，在其两侧有零星低漫滩、牛轭湖、高漫滩宽度2km左右，在近丘陵区变窄。</w:t>
      </w:r>
    </w:p>
    <w:p w14:paraId="4AA7B1A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项目区位于</w:t>
      </w:r>
      <w:r>
        <w:rPr>
          <w:rFonts w:hint="default" w:ascii="Times New Roman" w:hAnsi="Times New Roman" w:cs="Times New Roman"/>
          <w:color w:val="auto"/>
          <w:highlight w:val="none"/>
          <w:lang w:val="en-US" w:eastAsia="zh-CN"/>
        </w:rPr>
        <w:t>滴道</w:t>
      </w:r>
      <w:r>
        <w:rPr>
          <w:rFonts w:hint="default" w:ascii="Times New Roman" w:hAnsi="Times New Roman" w:cs="Times New Roman"/>
          <w:color w:val="auto"/>
          <w:highlight w:val="none"/>
        </w:rPr>
        <w:t>区，地形属山前丘陵地貌形态，海拔在300-465m之间，山坡坡度在15-20°之间。</w:t>
      </w:r>
      <w:bookmarkStart w:id="210" w:name="_Toc22020"/>
    </w:p>
    <w:p w14:paraId="427EBB70">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bookmarkEnd w:id="209"/>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地表</w:t>
      </w:r>
      <w:r>
        <w:rPr>
          <w:rFonts w:hint="default" w:ascii="Times New Roman" w:hAnsi="Times New Roman" w:cs="Times New Roman"/>
          <w:color w:val="auto"/>
          <w:highlight w:val="none"/>
        </w:rPr>
        <w:t>水文</w:t>
      </w:r>
      <w:bookmarkEnd w:id="210"/>
    </w:p>
    <w:p w14:paraId="58C9EB0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所经地域水系属乌苏里江水系，主要河流为穆棱河、柳毛河、金银库河。穆棱河为乌苏里江左岸的较大支流，发源于老爷岭山脉东坡的穆棱窝集岭的北坡，源头海拔高程773m。由南向北至鸡西附近的青龙山处折而东流，经穆棱、鸡西、鸡东、密山、虎林等5个市县，在虎林县湖北闸处河道分成两路，一路沿穆兴水路(分洪河道)注入兴凯湖，一路沿穆棱河原河道东流，在虎头镇南18km处注入乌苏里江。河口高程海拔56m，河流全长834km，河道弯曲系数为1.2-2.6。流域面积17600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流域平均宽度为43km。河道比降大，一般为10‰--0.1‰。穆棱河水系支流众多，主要有大石头河、亮子河、小穆棱河、牤牛河、滴道河、哈达河、黄泥河和裴德河等。穆棱河多年平均年径流量为23.5亿立方米，折合径流深为133.5mm。径流以降雨和融水为主要补给，水量在年内季节分配不均匀，由于穆棱河上游地区暴雨集中，因此地表侵蚀严重。上游的穆棱站多年平均侵蚀模数为35.8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•年，而下游则小，杨岗站为18.8t/km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•年，至使上游泥沙含量大于下游。穆棱水文站1965-1970年间，平均含沙量为32kg/m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1C7D3823">
      <w:pPr>
        <w:pStyle w:val="41"/>
        <w:bidi w:val="0"/>
        <w:rPr>
          <w:rFonts w:hint="default" w:ascii="Times New Roman" w:hAnsi="Times New Roman" w:cs="Times New Roman"/>
          <w:color w:val="auto"/>
          <w:highlight w:val="none"/>
          <w:lang w:val="en-US"/>
        </w:rPr>
      </w:pPr>
      <w:bookmarkStart w:id="211" w:name="_Toc23745"/>
      <w:bookmarkStart w:id="212" w:name="_Toc241292979"/>
      <w:r>
        <w:rPr>
          <w:rFonts w:hint="default" w:ascii="Times New Roman" w:hAnsi="Times New Roman" w:cs="Times New Roman"/>
          <w:color w:val="auto"/>
          <w:highlight w:val="none"/>
        </w:rPr>
        <w:t>4.1.5</w:t>
      </w:r>
      <w:r>
        <w:rPr>
          <w:rFonts w:hint="default" w:ascii="Times New Roman" w:hAnsi="Times New Roman" w:cs="Times New Roman"/>
          <w:color w:val="auto"/>
          <w:highlight w:val="none"/>
          <w:lang w:val="en-US" w:eastAsia="zh-CN"/>
        </w:rPr>
        <w:t>区域</w:t>
      </w:r>
      <w:bookmarkEnd w:id="211"/>
      <w:r>
        <w:rPr>
          <w:rFonts w:hint="default" w:ascii="Times New Roman" w:hAnsi="Times New Roman" w:cs="Times New Roman"/>
          <w:color w:val="auto"/>
          <w:highlight w:val="none"/>
          <w:lang w:val="en-US" w:eastAsia="zh-CN"/>
        </w:rPr>
        <w:t>水文地址调查</w:t>
      </w:r>
    </w:p>
    <w:p w14:paraId="4C6D021A">
      <w:pPr>
        <w:keepNext/>
        <w:keepLines/>
        <w:spacing w:line="360" w:lineRule="auto"/>
        <w:ind w:firstLine="0" w:firstLineChars="0"/>
        <w:outlineLvl w:val="3"/>
        <w:rPr>
          <w:rFonts w:hint="default" w:ascii="Times New Roman" w:hAnsi="Times New Roman" w:eastAsia="宋体" w:cs="Times New Roman"/>
          <w:bCs/>
          <w:color w:val="auto"/>
          <w:szCs w:val="28"/>
          <w:highlight w:val="none"/>
          <w:u w:val="none"/>
          <w:lang w:val="en-US" w:eastAsia="zh-CN"/>
        </w:rPr>
      </w:pPr>
      <w:bookmarkStart w:id="213" w:name="_Toc6702"/>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 xml:space="preserve"> </w:t>
      </w:r>
      <w:r>
        <w:rPr>
          <w:rFonts w:hint="default" w:ascii="Times New Roman" w:hAnsi="Times New Roman" w:eastAsia="宋体" w:cs="Times New Roman"/>
          <w:b/>
          <w:bCs/>
          <w:color w:val="auto"/>
          <w:szCs w:val="28"/>
          <w:highlight w:val="none"/>
          <w:u w:val="none"/>
          <w:lang w:val="en-US" w:eastAsia="zh-CN"/>
        </w:rPr>
        <w:t>水文地质特征</w:t>
      </w:r>
    </w:p>
    <w:p w14:paraId="13A1F5B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（1）北部山坡</w:t>
      </w:r>
    </w:p>
    <w:p w14:paraId="2BDF5D7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①杂填土（Q4ml）：杂色，结构松散，稍湿，由杂土、碎石、碎砖块等建筑垃圾组成，厚1.10m~3.50m，整个场区发育。</w:t>
      </w:r>
    </w:p>
    <w:p w14:paraId="4E3A988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②粉质粘土（Q4al）：黄褐色，湿，可塑，稍有光泽反应，无摇振反应，干强度、韧性较好，钻孔揭露层厚0.50m~2.20m，层顶标高为250.11m~254.07m，整个场区发育。</w:t>
      </w:r>
    </w:p>
    <w:p w14:paraId="03808E6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②1粉质粘土（Q4al）：灰褐色，湿，软可塑，稍有光泽反应，无摇振反应，干强度、韧性较好，钻孔揭露层厚0.60m~2.80m，层顶标高为250.36m~254.06m，场区东侧发育。</w:t>
      </w:r>
    </w:p>
    <w:p w14:paraId="7DB9B2A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②2细砂（Q4al）：灰褐色，饱和，稍密，磨圆度较好，分选性差，成分以石英、长石为主，钻孔揭露层厚1.00m，仅在孔7处发育。</w:t>
      </w:r>
    </w:p>
    <w:p w14:paraId="7FE1F10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③残积土（Q4el）：为砂岩经风化、剥蚀、未被搬运留在原地的岩石细粒碎屑物。组织结构已全部破坏，矿物成分已全部改变并已风化成土状，黄色，湿，中密状态，取样多呈粉砂、细砂状，局部含棱角状砂岩碎块，岩块手可用力捻碎，锹镐可挖掘，层厚1.80m~3.50m，层顶标高在247.56m~254.49m之间，整个场区发育。</w:t>
      </w:r>
    </w:p>
    <w:p w14:paraId="37F1290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④全风化砂岩（k）：中生代白垩系砂岩地层，勘察深度内以灰黄色～灰白色黄色细砂岩为主，全风化，细粒~粉细粒结构，泥质胶结，层状构造，结构基本破坏，但尚可辨认，矿物成分以长石、石英为主，松散状，冲击钻进较困难，干钻易钻进，手稍捏即破碎，锹镐可挖掘，遇水可快速崩解，属极软岩，岩体破碎，很难取到完整岩芯，钻孔揭露层厚2.50m~3.70m，层顶标高为245.16m~251.79m，岩体基本质量等级为V级，岩体质量质标小于20，整个场地发育。</w:t>
      </w:r>
    </w:p>
    <w:p w14:paraId="25C655B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⑤强风化砂岩（k）：中生代白垩系砂岩地层，勘察深度内以灰黄色~灰白色为主，细粒结构，块状构造，矿物成分以长石、石英等为主，冲击钻进非常困难，干钻可钻进，用镐挖掘困难，遇水较易崩解，较易软化，岩体破碎，属软岩，埋藏在8.10m~10.50m以下，岩石质量指标RQD小于50，岩体基本质量等级为V级，整个场地发育。</w:t>
      </w:r>
    </w:p>
    <w:p w14:paraId="00F8186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（2）南部河流平原</w:t>
      </w:r>
    </w:p>
    <w:p w14:paraId="787539B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①杂填土（Q4ml）：杂色，结构松散，稍湿，由杂土、碎石、碎砖块等建筑垃圾组成，厚0.80m~2.30m，整个场区发育。</w:t>
      </w:r>
    </w:p>
    <w:p w14:paraId="5C748E6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②砾砂（Q4al）：冲积形成，灰黄色，湿，分选性差，粒径不均，稍密状态，成分以石英岩类颗粒为主，钻孔揭露层厚1.00m~2.80m，层顶标高为198.26m~199.83m，整个场地发育。</w:t>
      </w:r>
    </w:p>
    <w:p w14:paraId="758EA7F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③圆砾（Q4al）：褐黄色，冲积形成，饱和，中密状态，颗粒呈亚圆形，成分以石英、长石为主，颗粒级配较差，钻孔揭露层厚4.10m~5.20m，层顶标高为196.52m~197.57m，整个场地发育。</w:t>
      </w:r>
    </w:p>
    <w:p w14:paraId="522D1AF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④全风化砂岩（k）：中生代白垩系砂岩地层，勘察深度内以灰黄色~灰白色黄色细砂岩为主，全风化，细粒~粉细粒结构，泥质胶结，层状构造，结构基本破坏，但尚可辨认，矿物成分以长石、石英为主，松散状，冲击钻进较困难，干钻易钻进，手稍捏即破碎，锹镐可挖掘，遇水可快速崩解，属极软岩，岩体破碎，很难取到完整岩芯，钻孔揭露层厚1.00m~5.00m，层顶标高为192.10m~192.58m，岩体基本质量等级为V级，岩体质量质标小于20，整个场地发育。</w:t>
      </w:r>
    </w:p>
    <w:p w14:paraId="7C248F0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⑤强风化砂岩：中生代白垩系砂岩地层，勘察深度内以灰黄色~灰白色为主，细粒结构，块状构造，矿物成分以长石、石英等为主，冲击钻进非常困难，干钻可钻进，用镐挖掘困难，遇水较易崩解，较易软化，岩体破碎，属软岩，钻孔揭露层厚1.80m~10.70m，层顶标高为187.220m~191.348m，岩石质量指标RQD小于50，岩体基本质量等级为V级，整个场地发育。</w:t>
      </w:r>
    </w:p>
    <w:p w14:paraId="0D59965A">
      <w:pPr>
        <w:keepNext/>
        <w:keepLines/>
        <w:spacing w:line="360" w:lineRule="auto"/>
        <w:ind w:firstLine="0" w:firstLineChars="0"/>
        <w:outlineLvl w:val="3"/>
        <w:rPr>
          <w:rFonts w:hint="default" w:ascii="Times New Roman" w:hAnsi="Times New Roman" w:eastAsia="宋体" w:cs="Times New Roman"/>
          <w:bCs/>
          <w:color w:val="auto"/>
          <w:szCs w:val="28"/>
          <w:highlight w:val="none"/>
          <w:u w:val="none"/>
          <w:lang w:val="en-US" w:eastAsia="zh-CN"/>
        </w:rPr>
      </w:pPr>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2</w:t>
      </w:r>
      <w:r>
        <w:rPr>
          <w:rFonts w:hint="default" w:ascii="Times New Roman" w:hAnsi="Times New Roman" w:eastAsia="宋体" w:cs="Times New Roman"/>
          <w:b/>
          <w:bCs/>
          <w:color w:val="auto"/>
          <w:szCs w:val="28"/>
          <w:highlight w:val="none"/>
          <w:u w:val="none"/>
        </w:rPr>
        <w:t xml:space="preserve"> </w:t>
      </w:r>
      <w:r>
        <w:rPr>
          <w:rFonts w:hint="default" w:ascii="Times New Roman" w:hAnsi="Times New Roman" w:eastAsia="宋体" w:cs="Times New Roman"/>
          <w:b/>
          <w:bCs/>
          <w:color w:val="auto"/>
          <w:szCs w:val="28"/>
          <w:highlight w:val="none"/>
          <w:u w:val="none"/>
          <w:lang w:val="en-US" w:eastAsia="zh-CN"/>
        </w:rPr>
        <w:t>区域工程地质</w:t>
      </w:r>
    </w:p>
    <w:p w14:paraId="1FB9F00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本区出露在矿区范围内的地层有第四系冲积层、侏罗系上统滴道组、白垩系下统城子河组、穆棱组，以及晚太古界麻山群等地层。地层层序由上至下列于下表。</w:t>
      </w:r>
    </w:p>
    <w:p w14:paraId="4DD942B5">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firstLine="0" w:firstLineChars="0"/>
        <w:jc w:val="center"/>
        <w:textAlignment w:val="auto"/>
        <w:rPr>
          <w:rFonts w:hint="default" w:ascii="Times New Roman" w:hAnsi="Times New Roman" w:eastAsia="宋体" w:cs="Times New Roman"/>
          <w:b/>
          <w:color w:val="auto"/>
          <w:kern w:val="21"/>
          <w:sz w:val="24"/>
          <w:szCs w:val="28"/>
          <w:highlight w:val="none"/>
          <w:lang w:val="en-US" w:eastAsia="zh-CN"/>
        </w:rPr>
      </w:pPr>
      <w:r>
        <w:rPr>
          <w:rFonts w:hint="default" w:ascii="Times New Roman" w:hAnsi="Times New Roman" w:cs="Times New Roman"/>
          <w:b/>
          <w:color w:val="auto"/>
          <w:kern w:val="21"/>
          <w:sz w:val="24"/>
          <w:szCs w:val="28"/>
          <w:highlight w:val="none"/>
          <w:lang w:val="en-US" w:eastAsia="zh-CN"/>
        </w:rPr>
        <w:br w:type="page"/>
      </w:r>
      <w:r>
        <w:rPr>
          <w:rFonts w:hint="default" w:ascii="Times New Roman" w:hAnsi="Times New Roman" w:cs="Times New Roman"/>
          <w:b/>
          <w:color w:val="auto"/>
          <w:kern w:val="21"/>
          <w:sz w:val="24"/>
          <w:szCs w:val="28"/>
          <w:highlight w:val="none"/>
          <w:lang w:val="en-US" w:eastAsia="zh-CN"/>
        </w:rPr>
        <w:t xml:space="preserve">表4-1-1  </w:t>
      </w:r>
      <w:r>
        <w:rPr>
          <w:rFonts w:hint="default" w:ascii="Times New Roman" w:hAnsi="Times New Roman" w:cs="Times New Roman"/>
          <w:b/>
          <w:color w:val="auto"/>
          <w:kern w:val="21"/>
          <w:sz w:val="24"/>
          <w:szCs w:val="28"/>
          <w:highlight w:val="none"/>
        </w:rPr>
        <w:t>地层</w:t>
      </w:r>
      <w:r>
        <w:rPr>
          <w:rFonts w:hint="default" w:ascii="Times New Roman" w:hAnsi="Times New Roman" w:cs="Times New Roman"/>
          <w:b/>
          <w:color w:val="auto"/>
          <w:kern w:val="21"/>
          <w:sz w:val="24"/>
          <w:szCs w:val="28"/>
          <w:highlight w:val="none"/>
          <w:lang w:val="en-US" w:eastAsia="zh-CN"/>
        </w:rPr>
        <w:t>序表</w:t>
      </w:r>
    </w:p>
    <w:tbl>
      <w:tblPr>
        <w:tblStyle w:val="24"/>
        <w:tblW w:w="88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1074"/>
        <w:gridCol w:w="1183"/>
        <w:gridCol w:w="1239"/>
        <w:gridCol w:w="2529"/>
        <w:gridCol w:w="1799"/>
      </w:tblGrid>
      <w:tr w14:paraId="47B12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292" w:type="dxa"/>
            <w:gridSpan w:val="3"/>
            <w:tcBorders>
              <w:tl2br w:val="nil"/>
              <w:tr2bl w:val="nil"/>
            </w:tcBorders>
            <w:noWrap w:val="0"/>
            <w:vAlign w:val="center"/>
          </w:tcPr>
          <w:p w14:paraId="2AD213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地层系统</w:t>
            </w:r>
          </w:p>
        </w:tc>
        <w:tc>
          <w:tcPr>
            <w:tcW w:w="5567" w:type="dxa"/>
            <w:gridSpan w:val="3"/>
            <w:tcBorders>
              <w:tl2br w:val="nil"/>
              <w:tr2bl w:val="nil"/>
            </w:tcBorders>
            <w:noWrap w:val="0"/>
            <w:vAlign w:val="center"/>
          </w:tcPr>
          <w:p w14:paraId="3E19FB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地层单位</w:t>
            </w:r>
          </w:p>
        </w:tc>
      </w:tr>
      <w:tr w14:paraId="2D267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tcBorders>
              <w:tl2br w:val="nil"/>
              <w:tr2bl w:val="nil"/>
            </w:tcBorders>
            <w:noWrap w:val="0"/>
            <w:vAlign w:val="center"/>
          </w:tcPr>
          <w:p w14:paraId="3AC7CD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界</w:t>
            </w:r>
          </w:p>
        </w:tc>
        <w:tc>
          <w:tcPr>
            <w:tcW w:w="1074" w:type="dxa"/>
            <w:tcBorders>
              <w:tl2br w:val="nil"/>
              <w:tr2bl w:val="nil"/>
            </w:tcBorders>
            <w:noWrap w:val="0"/>
            <w:vAlign w:val="center"/>
          </w:tcPr>
          <w:p w14:paraId="6770CB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系</w:t>
            </w:r>
          </w:p>
        </w:tc>
        <w:tc>
          <w:tcPr>
            <w:tcW w:w="1183" w:type="dxa"/>
            <w:tcBorders>
              <w:tl2br w:val="nil"/>
              <w:tr2bl w:val="nil"/>
            </w:tcBorders>
            <w:noWrap w:val="0"/>
            <w:vAlign w:val="center"/>
          </w:tcPr>
          <w:p w14:paraId="6DD243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统</w:t>
            </w:r>
          </w:p>
        </w:tc>
        <w:tc>
          <w:tcPr>
            <w:tcW w:w="1239" w:type="dxa"/>
            <w:tcBorders>
              <w:tl2br w:val="nil"/>
              <w:tr2bl w:val="nil"/>
            </w:tcBorders>
            <w:noWrap w:val="0"/>
            <w:vAlign w:val="center"/>
          </w:tcPr>
          <w:p w14:paraId="1F00E3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群</w:t>
            </w:r>
          </w:p>
        </w:tc>
        <w:tc>
          <w:tcPr>
            <w:tcW w:w="2529" w:type="dxa"/>
            <w:tcBorders>
              <w:tl2br w:val="nil"/>
              <w:tr2bl w:val="nil"/>
            </w:tcBorders>
            <w:noWrap w:val="0"/>
            <w:vAlign w:val="center"/>
          </w:tcPr>
          <w:p w14:paraId="0FFC4A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组</w:t>
            </w:r>
          </w:p>
        </w:tc>
        <w:tc>
          <w:tcPr>
            <w:tcW w:w="1799" w:type="dxa"/>
            <w:tcBorders>
              <w:tl2br w:val="nil"/>
              <w:tr2bl w:val="nil"/>
            </w:tcBorders>
            <w:noWrap w:val="0"/>
            <w:vAlign w:val="center"/>
          </w:tcPr>
          <w:p w14:paraId="07BC53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厚度(m)</w:t>
            </w:r>
          </w:p>
        </w:tc>
      </w:tr>
      <w:tr w14:paraId="08A36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tcBorders>
              <w:tl2br w:val="nil"/>
              <w:tr2bl w:val="nil"/>
            </w:tcBorders>
            <w:noWrap w:val="0"/>
            <w:vAlign w:val="center"/>
          </w:tcPr>
          <w:p w14:paraId="0458C5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新生界</w:t>
            </w:r>
          </w:p>
        </w:tc>
        <w:tc>
          <w:tcPr>
            <w:tcW w:w="1074" w:type="dxa"/>
            <w:tcBorders>
              <w:tl2br w:val="nil"/>
              <w:tr2bl w:val="nil"/>
            </w:tcBorders>
            <w:noWrap w:val="0"/>
            <w:vAlign w:val="center"/>
          </w:tcPr>
          <w:p w14:paraId="5CBD9EB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第四系</w:t>
            </w:r>
          </w:p>
        </w:tc>
        <w:tc>
          <w:tcPr>
            <w:tcW w:w="1183" w:type="dxa"/>
            <w:tcBorders>
              <w:tl2br w:val="nil"/>
              <w:tr2bl w:val="nil"/>
            </w:tcBorders>
            <w:noWrap w:val="0"/>
            <w:vAlign w:val="center"/>
          </w:tcPr>
          <w:p w14:paraId="423048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全新统</w:t>
            </w:r>
          </w:p>
        </w:tc>
        <w:tc>
          <w:tcPr>
            <w:tcW w:w="1239" w:type="dxa"/>
            <w:tcBorders>
              <w:tl2br w:val="nil"/>
              <w:tr2bl w:val="nil"/>
            </w:tcBorders>
            <w:noWrap w:val="0"/>
            <w:vAlign w:val="center"/>
          </w:tcPr>
          <w:p w14:paraId="303114A9">
            <w:pPr>
              <w:pStyle w:val="46"/>
              <w:bidi w:val="0"/>
              <w:rPr>
                <w:rFonts w:hint="default" w:ascii="Times New Roman" w:hAnsi="Times New Roman" w:cs="Times New Roman"/>
                <w:color w:val="auto"/>
                <w:highlight w:val="none"/>
              </w:rPr>
            </w:pPr>
          </w:p>
        </w:tc>
        <w:tc>
          <w:tcPr>
            <w:tcW w:w="2529" w:type="dxa"/>
            <w:tcBorders>
              <w:tl2br w:val="nil"/>
              <w:tr2bl w:val="nil"/>
            </w:tcBorders>
            <w:noWrap w:val="0"/>
            <w:vAlign w:val="center"/>
          </w:tcPr>
          <w:p w14:paraId="334C73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冲积层(Q4)</w:t>
            </w:r>
          </w:p>
        </w:tc>
        <w:tc>
          <w:tcPr>
            <w:tcW w:w="1799" w:type="dxa"/>
            <w:tcBorders>
              <w:tl2br w:val="nil"/>
              <w:tr2bl w:val="nil"/>
            </w:tcBorders>
            <w:noWrap w:val="0"/>
            <w:vAlign w:val="center"/>
          </w:tcPr>
          <w:p w14:paraId="5CE670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20</w:t>
            </w:r>
          </w:p>
        </w:tc>
      </w:tr>
      <w:tr w14:paraId="1FB38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vMerge w:val="restart"/>
            <w:tcBorders>
              <w:tl2br w:val="nil"/>
              <w:tr2bl w:val="nil"/>
            </w:tcBorders>
            <w:noWrap w:val="0"/>
            <w:vAlign w:val="center"/>
          </w:tcPr>
          <w:p w14:paraId="494C0C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中生界</w:t>
            </w:r>
          </w:p>
        </w:tc>
        <w:tc>
          <w:tcPr>
            <w:tcW w:w="1074" w:type="dxa"/>
            <w:vMerge w:val="restart"/>
            <w:tcBorders>
              <w:tl2br w:val="nil"/>
              <w:tr2bl w:val="nil"/>
            </w:tcBorders>
            <w:noWrap w:val="0"/>
            <w:vAlign w:val="center"/>
          </w:tcPr>
          <w:p w14:paraId="3C308F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白垩系</w:t>
            </w:r>
          </w:p>
        </w:tc>
        <w:tc>
          <w:tcPr>
            <w:tcW w:w="1183" w:type="dxa"/>
            <w:vMerge w:val="restart"/>
            <w:tcBorders>
              <w:tl2br w:val="nil"/>
              <w:tr2bl w:val="nil"/>
            </w:tcBorders>
            <w:noWrap w:val="0"/>
            <w:vAlign w:val="center"/>
          </w:tcPr>
          <w:p w14:paraId="6EAB6D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下统</w:t>
            </w:r>
          </w:p>
        </w:tc>
        <w:tc>
          <w:tcPr>
            <w:tcW w:w="1239" w:type="dxa"/>
            <w:vMerge w:val="restart"/>
            <w:tcBorders>
              <w:tl2br w:val="nil"/>
              <w:tr2bl w:val="nil"/>
            </w:tcBorders>
            <w:noWrap w:val="0"/>
            <w:vAlign w:val="center"/>
          </w:tcPr>
          <w:p w14:paraId="474096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鸡西群</w:t>
            </w:r>
          </w:p>
        </w:tc>
        <w:tc>
          <w:tcPr>
            <w:tcW w:w="2529" w:type="dxa"/>
            <w:tcBorders>
              <w:tl2br w:val="nil"/>
              <w:tr2bl w:val="nil"/>
            </w:tcBorders>
            <w:noWrap w:val="0"/>
            <w:vAlign w:val="center"/>
          </w:tcPr>
          <w:p w14:paraId="5924607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穆棱含煤组(K1m)</w:t>
            </w:r>
          </w:p>
        </w:tc>
        <w:tc>
          <w:tcPr>
            <w:tcW w:w="1799" w:type="dxa"/>
            <w:tcBorders>
              <w:tl2br w:val="nil"/>
              <w:tr2bl w:val="nil"/>
            </w:tcBorders>
            <w:noWrap w:val="0"/>
            <w:vAlign w:val="center"/>
          </w:tcPr>
          <w:p w14:paraId="49BBEC2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845</w:t>
            </w:r>
          </w:p>
        </w:tc>
      </w:tr>
      <w:tr w14:paraId="7BB4C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vMerge w:val="continue"/>
            <w:tcBorders>
              <w:tl2br w:val="nil"/>
              <w:tr2bl w:val="nil"/>
            </w:tcBorders>
            <w:noWrap w:val="0"/>
            <w:vAlign w:val="center"/>
          </w:tcPr>
          <w:p w14:paraId="768431A5">
            <w:pPr>
              <w:pStyle w:val="46"/>
              <w:bidi w:val="0"/>
              <w:rPr>
                <w:rFonts w:hint="default" w:ascii="Times New Roman" w:hAnsi="Times New Roman" w:cs="Times New Roman"/>
                <w:color w:val="auto"/>
                <w:highlight w:val="none"/>
              </w:rPr>
            </w:pPr>
          </w:p>
        </w:tc>
        <w:tc>
          <w:tcPr>
            <w:tcW w:w="1074" w:type="dxa"/>
            <w:vMerge w:val="continue"/>
            <w:tcBorders>
              <w:tl2br w:val="nil"/>
              <w:tr2bl w:val="nil"/>
            </w:tcBorders>
            <w:noWrap w:val="0"/>
            <w:vAlign w:val="center"/>
          </w:tcPr>
          <w:p w14:paraId="74F1298C">
            <w:pPr>
              <w:pStyle w:val="46"/>
              <w:bidi w:val="0"/>
              <w:rPr>
                <w:rFonts w:hint="default" w:ascii="Times New Roman" w:hAnsi="Times New Roman" w:cs="Times New Roman"/>
                <w:color w:val="auto"/>
                <w:highlight w:val="none"/>
              </w:rPr>
            </w:pPr>
          </w:p>
        </w:tc>
        <w:tc>
          <w:tcPr>
            <w:tcW w:w="1183" w:type="dxa"/>
            <w:vMerge w:val="continue"/>
            <w:tcBorders>
              <w:tl2br w:val="nil"/>
              <w:tr2bl w:val="nil"/>
            </w:tcBorders>
            <w:noWrap w:val="0"/>
            <w:vAlign w:val="center"/>
          </w:tcPr>
          <w:p w14:paraId="5CC3FA83">
            <w:pPr>
              <w:pStyle w:val="46"/>
              <w:bidi w:val="0"/>
              <w:rPr>
                <w:rFonts w:hint="default" w:ascii="Times New Roman" w:hAnsi="Times New Roman" w:cs="Times New Roman"/>
                <w:color w:val="auto"/>
                <w:highlight w:val="none"/>
              </w:rPr>
            </w:pPr>
          </w:p>
        </w:tc>
        <w:tc>
          <w:tcPr>
            <w:tcW w:w="1239" w:type="dxa"/>
            <w:vMerge w:val="continue"/>
            <w:tcBorders>
              <w:tl2br w:val="nil"/>
              <w:tr2bl w:val="nil"/>
            </w:tcBorders>
            <w:noWrap w:val="0"/>
            <w:vAlign w:val="center"/>
          </w:tcPr>
          <w:p w14:paraId="3157BAB0">
            <w:pPr>
              <w:pStyle w:val="46"/>
              <w:bidi w:val="0"/>
              <w:rPr>
                <w:rFonts w:hint="default" w:ascii="Times New Roman" w:hAnsi="Times New Roman" w:cs="Times New Roman"/>
                <w:color w:val="auto"/>
                <w:highlight w:val="none"/>
              </w:rPr>
            </w:pPr>
          </w:p>
        </w:tc>
        <w:tc>
          <w:tcPr>
            <w:tcW w:w="2529" w:type="dxa"/>
            <w:tcBorders>
              <w:tl2br w:val="nil"/>
              <w:tr2bl w:val="nil"/>
            </w:tcBorders>
            <w:noWrap w:val="0"/>
            <w:vAlign w:val="center"/>
          </w:tcPr>
          <w:p w14:paraId="06C440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城子河含煤组(K1c)</w:t>
            </w:r>
          </w:p>
        </w:tc>
        <w:tc>
          <w:tcPr>
            <w:tcW w:w="1799" w:type="dxa"/>
            <w:tcBorders>
              <w:tl2br w:val="nil"/>
              <w:tr2bl w:val="nil"/>
            </w:tcBorders>
            <w:noWrap w:val="0"/>
            <w:vAlign w:val="center"/>
          </w:tcPr>
          <w:p w14:paraId="7D45C44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602</w:t>
            </w:r>
          </w:p>
        </w:tc>
      </w:tr>
      <w:tr w14:paraId="516CB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vMerge w:val="continue"/>
            <w:tcBorders>
              <w:tl2br w:val="nil"/>
              <w:tr2bl w:val="nil"/>
            </w:tcBorders>
            <w:noWrap w:val="0"/>
            <w:vAlign w:val="center"/>
          </w:tcPr>
          <w:p w14:paraId="50298F57">
            <w:pPr>
              <w:pStyle w:val="46"/>
              <w:bidi w:val="0"/>
              <w:rPr>
                <w:rFonts w:hint="default" w:ascii="Times New Roman" w:hAnsi="Times New Roman" w:cs="Times New Roman"/>
                <w:color w:val="auto"/>
                <w:highlight w:val="none"/>
              </w:rPr>
            </w:pPr>
          </w:p>
        </w:tc>
        <w:tc>
          <w:tcPr>
            <w:tcW w:w="1074" w:type="dxa"/>
            <w:tcBorders>
              <w:tl2br w:val="nil"/>
              <w:tr2bl w:val="nil"/>
            </w:tcBorders>
            <w:noWrap w:val="0"/>
            <w:vAlign w:val="center"/>
          </w:tcPr>
          <w:p w14:paraId="4591E8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侏罗系</w:t>
            </w:r>
          </w:p>
        </w:tc>
        <w:tc>
          <w:tcPr>
            <w:tcW w:w="1183" w:type="dxa"/>
            <w:tcBorders>
              <w:tl2br w:val="nil"/>
              <w:tr2bl w:val="nil"/>
            </w:tcBorders>
            <w:noWrap w:val="0"/>
            <w:vAlign w:val="center"/>
          </w:tcPr>
          <w:p w14:paraId="4A2625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上统</w:t>
            </w:r>
          </w:p>
        </w:tc>
        <w:tc>
          <w:tcPr>
            <w:tcW w:w="1239" w:type="dxa"/>
            <w:vMerge w:val="continue"/>
            <w:tcBorders>
              <w:tl2br w:val="nil"/>
              <w:tr2bl w:val="nil"/>
            </w:tcBorders>
            <w:noWrap w:val="0"/>
            <w:vAlign w:val="center"/>
          </w:tcPr>
          <w:p w14:paraId="7E362018">
            <w:pPr>
              <w:pStyle w:val="46"/>
              <w:bidi w:val="0"/>
              <w:rPr>
                <w:rFonts w:hint="default" w:ascii="Times New Roman" w:hAnsi="Times New Roman" w:cs="Times New Roman"/>
                <w:color w:val="auto"/>
                <w:highlight w:val="none"/>
              </w:rPr>
            </w:pPr>
          </w:p>
        </w:tc>
        <w:tc>
          <w:tcPr>
            <w:tcW w:w="2529" w:type="dxa"/>
            <w:tcBorders>
              <w:tl2br w:val="nil"/>
              <w:tr2bl w:val="nil"/>
            </w:tcBorders>
            <w:noWrap w:val="0"/>
            <w:vAlign w:val="center"/>
          </w:tcPr>
          <w:p w14:paraId="5B7E6E1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滴道组(J3d)</w:t>
            </w:r>
          </w:p>
        </w:tc>
        <w:tc>
          <w:tcPr>
            <w:tcW w:w="1799" w:type="dxa"/>
            <w:tcBorders>
              <w:tl2br w:val="nil"/>
              <w:tr2bl w:val="nil"/>
            </w:tcBorders>
            <w:noWrap w:val="0"/>
            <w:vAlign w:val="center"/>
          </w:tcPr>
          <w:p w14:paraId="3E734D6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100-330</w:t>
            </w:r>
          </w:p>
        </w:tc>
      </w:tr>
      <w:tr w14:paraId="063E3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5" w:type="dxa"/>
            <w:vMerge w:val="restart"/>
            <w:tcBorders>
              <w:tl2br w:val="nil"/>
              <w:tr2bl w:val="nil"/>
            </w:tcBorders>
            <w:noWrap w:val="0"/>
            <w:vAlign w:val="center"/>
          </w:tcPr>
          <w:p w14:paraId="244C3E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晚太古界</w:t>
            </w:r>
          </w:p>
        </w:tc>
        <w:tc>
          <w:tcPr>
            <w:tcW w:w="1074" w:type="dxa"/>
            <w:vMerge w:val="restart"/>
            <w:tcBorders>
              <w:tl2br w:val="nil"/>
              <w:tr2bl w:val="nil"/>
            </w:tcBorders>
            <w:noWrap w:val="0"/>
            <w:vAlign w:val="center"/>
          </w:tcPr>
          <w:p w14:paraId="2A0E5896">
            <w:pPr>
              <w:pStyle w:val="46"/>
              <w:bidi w:val="0"/>
              <w:rPr>
                <w:rFonts w:hint="default" w:ascii="Times New Roman" w:hAnsi="Times New Roman" w:cs="Times New Roman"/>
                <w:color w:val="auto"/>
                <w:highlight w:val="none"/>
              </w:rPr>
            </w:pPr>
          </w:p>
        </w:tc>
        <w:tc>
          <w:tcPr>
            <w:tcW w:w="1183" w:type="dxa"/>
            <w:vMerge w:val="restart"/>
            <w:tcBorders>
              <w:tl2br w:val="nil"/>
              <w:tr2bl w:val="nil"/>
            </w:tcBorders>
            <w:noWrap w:val="0"/>
            <w:vAlign w:val="center"/>
          </w:tcPr>
          <w:p w14:paraId="57481C81">
            <w:pPr>
              <w:pStyle w:val="46"/>
              <w:bidi w:val="0"/>
              <w:rPr>
                <w:rFonts w:hint="default" w:ascii="Times New Roman" w:hAnsi="Times New Roman" w:cs="Times New Roman"/>
                <w:color w:val="auto"/>
                <w:highlight w:val="none"/>
              </w:rPr>
            </w:pPr>
          </w:p>
        </w:tc>
        <w:tc>
          <w:tcPr>
            <w:tcW w:w="1239" w:type="dxa"/>
            <w:vMerge w:val="restart"/>
            <w:tcBorders>
              <w:tl2br w:val="nil"/>
              <w:tr2bl w:val="nil"/>
            </w:tcBorders>
            <w:noWrap w:val="0"/>
            <w:vAlign w:val="center"/>
          </w:tcPr>
          <w:p w14:paraId="44841C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麻山群</w:t>
            </w:r>
          </w:p>
        </w:tc>
        <w:tc>
          <w:tcPr>
            <w:tcW w:w="2529" w:type="dxa"/>
            <w:tcBorders>
              <w:tl2br w:val="nil"/>
              <w:tr2bl w:val="nil"/>
            </w:tcBorders>
            <w:noWrap w:val="0"/>
            <w:vAlign w:val="center"/>
          </w:tcPr>
          <w:p w14:paraId="2E29B76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余庆组(Ar2y)</w:t>
            </w:r>
          </w:p>
        </w:tc>
        <w:tc>
          <w:tcPr>
            <w:tcW w:w="1799" w:type="dxa"/>
            <w:tcBorders>
              <w:tl2br w:val="nil"/>
              <w:tr2bl w:val="nil"/>
            </w:tcBorders>
            <w:noWrap w:val="0"/>
            <w:vAlign w:val="center"/>
          </w:tcPr>
          <w:p w14:paraId="3479A80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1200</w:t>
            </w:r>
          </w:p>
        </w:tc>
      </w:tr>
      <w:tr w14:paraId="048DE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035" w:type="dxa"/>
            <w:vMerge w:val="continue"/>
            <w:tcBorders>
              <w:tl2br w:val="nil"/>
              <w:tr2bl w:val="nil"/>
            </w:tcBorders>
            <w:noWrap w:val="0"/>
            <w:vAlign w:val="center"/>
          </w:tcPr>
          <w:p w14:paraId="78DCEC36">
            <w:pPr>
              <w:pStyle w:val="46"/>
              <w:bidi w:val="0"/>
              <w:rPr>
                <w:rFonts w:hint="default" w:ascii="Times New Roman" w:hAnsi="Times New Roman" w:cs="Times New Roman"/>
                <w:color w:val="auto"/>
                <w:highlight w:val="none"/>
              </w:rPr>
            </w:pPr>
          </w:p>
        </w:tc>
        <w:tc>
          <w:tcPr>
            <w:tcW w:w="1074" w:type="dxa"/>
            <w:vMerge w:val="continue"/>
            <w:tcBorders>
              <w:tl2br w:val="nil"/>
              <w:tr2bl w:val="nil"/>
            </w:tcBorders>
            <w:noWrap w:val="0"/>
            <w:vAlign w:val="center"/>
          </w:tcPr>
          <w:p w14:paraId="7E2A6FAF">
            <w:pPr>
              <w:pStyle w:val="46"/>
              <w:bidi w:val="0"/>
              <w:rPr>
                <w:rFonts w:hint="default" w:ascii="Times New Roman" w:hAnsi="Times New Roman" w:cs="Times New Roman"/>
                <w:color w:val="auto"/>
                <w:highlight w:val="none"/>
              </w:rPr>
            </w:pPr>
          </w:p>
        </w:tc>
        <w:tc>
          <w:tcPr>
            <w:tcW w:w="1183" w:type="dxa"/>
            <w:vMerge w:val="continue"/>
            <w:tcBorders>
              <w:tl2br w:val="nil"/>
              <w:tr2bl w:val="nil"/>
            </w:tcBorders>
            <w:noWrap w:val="0"/>
            <w:vAlign w:val="center"/>
          </w:tcPr>
          <w:p w14:paraId="38B4C26A">
            <w:pPr>
              <w:pStyle w:val="46"/>
              <w:bidi w:val="0"/>
              <w:rPr>
                <w:rFonts w:hint="default" w:ascii="Times New Roman" w:hAnsi="Times New Roman" w:cs="Times New Roman"/>
                <w:color w:val="auto"/>
                <w:highlight w:val="none"/>
              </w:rPr>
            </w:pPr>
          </w:p>
        </w:tc>
        <w:tc>
          <w:tcPr>
            <w:tcW w:w="1239" w:type="dxa"/>
            <w:vMerge w:val="continue"/>
            <w:tcBorders>
              <w:tl2br w:val="nil"/>
              <w:tr2bl w:val="nil"/>
            </w:tcBorders>
            <w:noWrap w:val="0"/>
            <w:vAlign w:val="center"/>
          </w:tcPr>
          <w:p w14:paraId="29DDC9A5">
            <w:pPr>
              <w:pStyle w:val="46"/>
              <w:bidi w:val="0"/>
              <w:rPr>
                <w:rFonts w:hint="default" w:ascii="Times New Roman" w:hAnsi="Times New Roman" w:cs="Times New Roman"/>
                <w:color w:val="auto"/>
                <w:highlight w:val="none"/>
              </w:rPr>
            </w:pPr>
          </w:p>
        </w:tc>
        <w:tc>
          <w:tcPr>
            <w:tcW w:w="2529" w:type="dxa"/>
            <w:tcBorders>
              <w:tl2br w:val="nil"/>
              <w:tr2bl w:val="nil"/>
            </w:tcBorders>
            <w:noWrap w:val="0"/>
            <w:vAlign w:val="center"/>
          </w:tcPr>
          <w:p w14:paraId="6EC52DA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西麻山组(Ar2x)</w:t>
            </w:r>
          </w:p>
        </w:tc>
        <w:tc>
          <w:tcPr>
            <w:tcW w:w="1799" w:type="dxa"/>
            <w:tcBorders>
              <w:tl2br w:val="nil"/>
              <w:tr2bl w:val="nil"/>
            </w:tcBorders>
            <w:noWrap w:val="0"/>
            <w:vAlign w:val="center"/>
          </w:tcPr>
          <w:p w14:paraId="553BEB9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1150</w:t>
            </w:r>
          </w:p>
        </w:tc>
      </w:tr>
    </w:tbl>
    <w:p w14:paraId="7DB9AE0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（1）第四纪冲积层</w:t>
      </w:r>
    </w:p>
    <w:p w14:paraId="79C0249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第四纪冲积层广泛分布在穆棱河河谷两岸，主要为河床、河漫滩相。冲积层底部为砾石、粗—细砂，上部为亚粘土、腐植土。厚度为0-20 m。</w:t>
      </w:r>
    </w:p>
    <w:p w14:paraId="2F11119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（2）白垩系下统穆棱组、城子河组</w:t>
      </w:r>
    </w:p>
    <w:p w14:paraId="4D43D62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1）穆棱组</w:t>
      </w:r>
    </w:p>
    <w:p w14:paraId="0AF2609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本组整合覆盖在城子河含煤组之上，厚度为810-880 m。以本组最下部（城子河含煤组45号煤层以上70 m左右处）含砾粗砂岩层作为与下伏城子河组的分界。岩性以灰绿色细碎屑岩为主，并含有大量的凝灰质岩石，多分布在煤层顶、底板或煤层中间。煤层发育不良，仅含有不稳定的十余层薄煤，局部可采有1-3层。</w:t>
      </w:r>
    </w:p>
    <w:p w14:paraId="05E8A69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2）城子河组</w:t>
      </w:r>
    </w:p>
    <w:p w14:paraId="1337C43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本组是本矿区的主要含煤层，以假整合覆盖在滴道含煤组之上，总厚达520-600 m。本组具有以下特点：</w:t>
      </w:r>
    </w:p>
    <w:p w14:paraId="72CA39B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A底部砾岩全区发育，其厚度据立井西二采区所揭露，达60 m左右。砾石滚圆度较好，分选性差，胶结良好，致密坚硬，长轴直径大者10-17 cm，小者2-3 cm。</w:t>
      </w:r>
    </w:p>
    <w:p w14:paraId="343BFD3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B岩性主要以各种粒度的灰—灰白—白色砂岩为主，占本组总厚度的80.3%，其中厚层状中粗粒砂岩占38.3%，细砂岩占42%；其余19.7%为砂页岩、页岩、凝灰岩、煤页岩、煤层。其中煤页岩、煤占6.4%。</w:t>
      </w:r>
    </w:p>
    <w:p w14:paraId="7895164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C本组为鸡西矿区的主要含煤地层，含煤性远比滴道组与穆棱组良好，在本井范围内总的地层厚度比较稳定，但局部各煤层之间却有规律的变薄、变厚现象。</w:t>
      </w:r>
    </w:p>
    <w:p w14:paraId="439EC93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D各类岩性与煤层分布较为均匀，构成若干个较完整的沉积韵律，全井性的明显沉积旋迴约有7个，次一级的小旋迴约有40余个。岩相以河床相与河漫滩相为主，浅水盆地相、沼泽相次之。</w:t>
      </w:r>
    </w:p>
    <w:p w14:paraId="5180A0E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E本组含有少量的凝灰质岩石，这和其下部滴道与上部穆棱组有显著的不同，并且厚度小，一般为0.05-0.15 m，最厚者为0.3-0.4 m，多分布在煤层顶底板或煤层中间，与煤层组合构成良好的标志层。</w:t>
      </w:r>
    </w:p>
    <w:p w14:paraId="4B59CD0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F含有大量的植物化石</w:t>
      </w:r>
    </w:p>
    <w:p w14:paraId="7CCD70C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G该组地层厚度520-600 m，岩性由陆相碎屑沉积岩组成，其中以砂岩为主约占总厚度的70.3%，其次为砂质泥岩占9.3%，泥岩占4%，炭质页岩及煤占6.4%，粒度1 mm以上的砂岩及含砾砂岩占10%。</w:t>
      </w:r>
    </w:p>
    <w:p w14:paraId="75635B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（3）侏罗系上统滴道组</w:t>
      </w:r>
    </w:p>
    <w:p w14:paraId="2714A72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本组以山麓相与河床相为主，以不整合覆盖在上太古界麻山群之上，在某种程度上对鸡西群的沉积起着添平补齐的作用。岩性以砾岩与粗粒碎屑岩为主，并含有大量的凝灰质岩石，夹数层薄而不可采的煤层。厚度变化较大，沿走向有变薄或尖灭现象。本组在本区发育不良，局部地区有少量出露。</w:t>
      </w:r>
    </w:p>
    <w:p w14:paraId="1FEBEC3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（4）上太古界麻山群</w:t>
      </w:r>
    </w:p>
    <w:p w14:paraId="347D274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本层为矿区含煤地层之基盘，在北部山区广泛出露，呈现大致平行于煤系地层走向的山脊。为一套深变质的变质岩类。在本矿区北部及西部有多个钻孔穿透煤系地层见到。取样分析及岩矿鉴定资料定名为混合花岗岩、黑云斜长片麻岩。在鸡西范围内其它地区所见麻山群有黑云母花岗片麻岩、大理岩、混合岩、石墨片岩等，总厚1530 m，构成含煤盆地基底。有石墨矿、磷矿、磁铁矿和硅线石矿具有工业价值。</w:t>
      </w:r>
    </w:p>
    <w:p w14:paraId="1C72BEC8">
      <w:pPr>
        <w:keepNext/>
        <w:keepLines/>
        <w:spacing w:line="360" w:lineRule="auto"/>
        <w:ind w:firstLine="0" w:firstLineChars="0"/>
        <w:outlineLvl w:val="3"/>
        <w:rPr>
          <w:rFonts w:hint="default" w:ascii="Times New Roman" w:hAnsi="Times New Roman" w:eastAsia="宋体" w:cs="Times New Roman"/>
          <w:b/>
          <w:bCs/>
          <w:color w:val="auto"/>
          <w:szCs w:val="28"/>
          <w:highlight w:val="none"/>
          <w:u w:val="none"/>
          <w:lang w:val="en-US" w:eastAsia="zh-CN"/>
        </w:rPr>
      </w:pPr>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3</w:t>
      </w:r>
      <w:r>
        <w:rPr>
          <w:rFonts w:hint="default" w:ascii="Times New Roman" w:hAnsi="Times New Roman" w:eastAsia="宋体" w:cs="Times New Roman"/>
          <w:b/>
          <w:bCs/>
          <w:color w:val="auto"/>
          <w:szCs w:val="28"/>
          <w:highlight w:val="none"/>
          <w:u w:val="none"/>
        </w:rPr>
        <w:t xml:space="preserve"> </w:t>
      </w:r>
      <w:r>
        <w:rPr>
          <w:rFonts w:hint="default" w:ascii="Times New Roman" w:hAnsi="Times New Roman" w:eastAsia="宋体" w:cs="Times New Roman"/>
          <w:b/>
          <w:bCs/>
          <w:color w:val="auto"/>
          <w:szCs w:val="28"/>
          <w:highlight w:val="none"/>
          <w:u w:val="none"/>
          <w:lang w:val="en-US" w:eastAsia="zh-CN"/>
        </w:rPr>
        <w:t>地震烈度</w:t>
      </w:r>
    </w:p>
    <w:p w14:paraId="546253B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根据《中国地震动参数区划图》（GB 18306~2015），区域内地震动峰值加速度为0.05g，基本地震动反应谱特征周期为0.35s，地震基本烈度为VI度。第四系以来新构造运动不明显，区域稳定性好，属于地壳稳定区。</w:t>
      </w:r>
    </w:p>
    <w:p w14:paraId="6436FE0D">
      <w:pPr>
        <w:pStyle w:val="14"/>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drawing>
          <wp:inline distT="0" distB="0" distL="114300" distR="114300">
            <wp:extent cx="5534025" cy="2063750"/>
            <wp:effectExtent l="9525" t="9525" r="19050" b="222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6"/>
                    <a:stretch>
                      <a:fillRect/>
                    </a:stretch>
                  </pic:blipFill>
                  <pic:spPr>
                    <a:xfrm>
                      <a:off x="0" y="0"/>
                      <a:ext cx="5534025" cy="206375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1D862590">
      <w:pPr>
        <w:pStyle w:val="18"/>
        <w:keepNext w:val="0"/>
        <w:keepLines w:val="0"/>
        <w:pageBreakBefore w:val="0"/>
        <w:widowControl w:val="0"/>
        <w:kinsoku/>
        <w:wordWrap/>
        <w:overflowPunct/>
        <w:topLinePunct w:val="0"/>
        <w:autoSpaceDE/>
        <w:autoSpaceDN/>
        <w:bidi w:val="0"/>
        <w:adjustRightInd/>
        <w:snapToGrid/>
        <w:spacing w:after="157" w:afterLines="50" w:line="240" w:lineRule="auto"/>
        <w:jc w:val="center"/>
        <w:textAlignment w:val="auto"/>
        <w:rPr>
          <w:rFonts w:hint="default" w:ascii="Times New Roman" w:hAnsi="Times New Roman" w:eastAsia="宋体" w:cs="Times New Roman"/>
          <w:b/>
          <w:bCs/>
          <w:color w:val="auto"/>
          <w:kern w:val="21"/>
          <w:sz w:val="24"/>
          <w:szCs w:val="21"/>
          <w:highlight w:val="none"/>
          <w:lang w:eastAsia="zh-CN"/>
        </w:rPr>
      </w:pPr>
      <w:r>
        <w:rPr>
          <w:rFonts w:hint="default" w:ascii="Times New Roman" w:hAnsi="Times New Roman" w:eastAsia="宋体" w:cs="Times New Roman"/>
          <w:b/>
          <w:bCs/>
          <w:color w:val="auto"/>
          <w:kern w:val="21"/>
          <w:sz w:val="24"/>
          <w:szCs w:val="21"/>
          <w:highlight w:val="none"/>
          <w:lang w:eastAsia="zh-CN"/>
        </w:rPr>
        <w:t>图</w:t>
      </w:r>
      <w:r>
        <w:rPr>
          <w:rFonts w:hint="default" w:ascii="Times New Roman" w:hAnsi="Times New Roman" w:eastAsia="宋体" w:cs="Times New Roman"/>
          <w:b/>
          <w:bCs/>
          <w:color w:val="auto"/>
          <w:kern w:val="21"/>
          <w:sz w:val="24"/>
          <w:szCs w:val="21"/>
          <w:highlight w:val="none"/>
          <w:lang w:val="en-US" w:eastAsia="zh-CN"/>
        </w:rPr>
        <w:t xml:space="preserve">4-1-2 </w:t>
      </w:r>
      <w:r>
        <w:rPr>
          <w:rFonts w:hint="default" w:ascii="Times New Roman" w:hAnsi="Times New Roman" w:eastAsia="宋体" w:cs="Times New Roman"/>
          <w:b/>
          <w:bCs/>
          <w:color w:val="auto"/>
          <w:kern w:val="21"/>
          <w:sz w:val="24"/>
          <w:szCs w:val="21"/>
          <w:highlight w:val="none"/>
          <w:lang w:eastAsia="zh-CN"/>
        </w:rPr>
        <w:t>鸡西市地震动加速度反应谱特征周期区划图</w:t>
      </w:r>
    </w:p>
    <w:p w14:paraId="01A60B88">
      <w:pPr>
        <w:pStyle w:val="14"/>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color w:val="auto"/>
          <w:sz w:val="28"/>
          <w:szCs w:val="28"/>
          <w:highlight w:val="none"/>
        </w:rPr>
      </w:pPr>
      <w:r>
        <w:rPr>
          <w:rFonts w:hint="default" w:ascii="Times New Roman" w:hAnsi="Times New Roman" w:cs="Times New Roman"/>
          <w:color w:val="auto"/>
          <w:sz w:val="28"/>
          <w:highlight w:val="none"/>
        </w:rPr>
        <mc:AlternateContent>
          <mc:Choice Requires="wps">
            <w:drawing>
              <wp:anchor distT="0" distB="0" distL="114300" distR="114300" simplePos="0" relativeHeight="251673600" behindDoc="0" locked="0" layoutInCell="1" allowOverlap="1">
                <wp:simplePos x="0" y="0"/>
                <wp:positionH relativeFrom="column">
                  <wp:posOffset>2741930</wp:posOffset>
                </wp:positionH>
                <wp:positionV relativeFrom="paragraph">
                  <wp:posOffset>416560</wp:posOffset>
                </wp:positionV>
                <wp:extent cx="450215" cy="233680"/>
                <wp:effectExtent l="5080" t="4445" r="20955" b="9525"/>
                <wp:wrapNone/>
                <wp:docPr id="24" name="矩形 24"/>
                <wp:cNvGraphicFramePr/>
                <a:graphic xmlns:a="http://schemas.openxmlformats.org/drawingml/2006/main">
                  <a:graphicData uri="http://schemas.microsoft.com/office/word/2010/wordprocessingShape">
                    <wps:wsp>
                      <wps:cNvSpPr/>
                      <wps:spPr>
                        <a:xfrm>
                          <a:off x="0" y="0"/>
                          <a:ext cx="450215" cy="233680"/>
                        </a:xfrm>
                        <a:prstGeom prst="rect">
                          <a:avLst/>
                        </a:prstGeom>
                        <a:noFill/>
                        <a:ln w="9525" cap="flat" cmpd="sng">
                          <a:solidFill>
                            <a:srgbClr val="00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15.9pt;margin-top:32.8pt;height:18.4pt;width:35.45pt;z-index:251673600;mso-width-relative:page;mso-height-relative:page;" filled="f" stroked="t" coordsize="21600,21600" o:gfxdata="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zPd6rYAAAACgEAAA8AAAAAAAAAAQAgAAAAIgAAAGRycy9kb3ducmV2&#10;LnhtbFBLAQIUABQAAAAIAIdO4kAvbtW8/AEAAAQEAAAOAAAAAAAAAAEAIAAAACcBAABkcnMvZTJv&#10;RG9jLnhtbFBLBQYAAAAABgAGAFkBAACVBQAAAAA=&#10;">
                <v:fill on="f" focussize="0,0"/>
                <v:stroke color="#000000" joinstyle="miter"/>
                <v:imagedata o:title=""/>
                <o:lock v:ext="edit" aspectratio="f"/>
              </v:rect>
            </w:pict>
          </mc:Fallback>
        </mc:AlternateContent>
      </w:r>
      <w:r>
        <w:rPr>
          <w:rFonts w:hint="default" w:ascii="Times New Roman" w:hAnsi="Times New Roman" w:eastAsia="宋体" w:cs="Times New Roman"/>
          <w:color w:val="auto"/>
          <w:sz w:val="28"/>
          <w:szCs w:val="28"/>
          <w:highlight w:val="none"/>
        </w:rPr>
        <w:drawing>
          <wp:inline distT="0" distB="0" distL="114300" distR="114300">
            <wp:extent cx="5551170" cy="2099310"/>
            <wp:effectExtent l="9525" t="9525" r="20955" b="2476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7"/>
                    <a:stretch>
                      <a:fillRect/>
                    </a:stretch>
                  </pic:blipFill>
                  <pic:spPr>
                    <a:xfrm>
                      <a:off x="0" y="0"/>
                      <a:ext cx="5551170" cy="209931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69397C83">
      <w:pPr>
        <w:pStyle w:val="18"/>
        <w:keepNext w:val="0"/>
        <w:keepLines w:val="0"/>
        <w:pageBreakBefore w:val="0"/>
        <w:widowControl w:val="0"/>
        <w:kinsoku/>
        <w:wordWrap/>
        <w:overflowPunct/>
        <w:topLinePunct w:val="0"/>
        <w:autoSpaceDE/>
        <w:autoSpaceDN/>
        <w:bidi w:val="0"/>
        <w:adjustRightInd/>
        <w:snapToGrid/>
        <w:spacing w:after="157" w:afterLines="50" w:line="240" w:lineRule="auto"/>
        <w:jc w:val="center"/>
        <w:textAlignment w:val="auto"/>
        <w:rPr>
          <w:rFonts w:hint="default" w:ascii="Times New Roman" w:hAnsi="Times New Roman" w:eastAsia="宋体" w:cs="Times New Roman"/>
          <w:b/>
          <w:bCs/>
          <w:color w:val="auto"/>
          <w:kern w:val="21"/>
          <w:sz w:val="24"/>
          <w:szCs w:val="21"/>
          <w:highlight w:val="none"/>
          <w:lang w:eastAsia="zh-CN"/>
        </w:rPr>
      </w:pPr>
      <w:r>
        <w:rPr>
          <w:rFonts w:hint="default" w:ascii="Times New Roman" w:hAnsi="Times New Roman" w:eastAsia="宋体" w:cs="Times New Roman"/>
          <w:b/>
          <w:bCs/>
          <w:color w:val="auto"/>
          <w:kern w:val="21"/>
          <w:sz w:val="24"/>
          <w:szCs w:val="21"/>
          <w:highlight w:val="none"/>
          <w:lang w:eastAsia="zh-CN"/>
        </w:rPr>
        <w:t>图</w:t>
      </w:r>
      <w:r>
        <w:rPr>
          <w:rFonts w:hint="default" w:ascii="Times New Roman" w:hAnsi="Times New Roman" w:eastAsia="宋体" w:cs="Times New Roman"/>
          <w:b/>
          <w:bCs/>
          <w:color w:val="auto"/>
          <w:kern w:val="21"/>
          <w:sz w:val="24"/>
          <w:szCs w:val="21"/>
          <w:highlight w:val="none"/>
          <w:lang w:val="en-US" w:eastAsia="zh-CN"/>
        </w:rPr>
        <w:t>4-1-3</w:t>
      </w:r>
      <w:r>
        <w:rPr>
          <w:rFonts w:hint="default" w:ascii="Times New Roman" w:hAnsi="Times New Roman" w:eastAsia="宋体" w:cs="Times New Roman"/>
          <w:b/>
          <w:bCs/>
          <w:color w:val="auto"/>
          <w:kern w:val="21"/>
          <w:sz w:val="24"/>
          <w:szCs w:val="21"/>
          <w:highlight w:val="none"/>
          <w:lang w:eastAsia="zh-CN"/>
        </w:rPr>
        <w:t>鸡西市地震动峰值加速度区划图</w:t>
      </w:r>
    </w:p>
    <w:p w14:paraId="18765692">
      <w:pPr>
        <w:keepNext/>
        <w:keepLines/>
        <w:spacing w:line="360" w:lineRule="auto"/>
        <w:ind w:firstLine="0" w:firstLineChars="0"/>
        <w:outlineLvl w:val="3"/>
        <w:rPr>
          <w:rFonts w:hint="default" w:ascii="Times New Roman" w:hAnsi="Times New Roman" w:eastAsia="宋体" w:cs="Times New Roman"/>
          <w:b/>
          <w:bCs/>
          <w:color w:val="auto"/>
          <w:szCs w:val="28"/>
          <w:highlight w:val="none"/>
          <w:u w:val="none"/>
          <w:lang w:val="en-US" w:eastAsia="zh-CN"/>
        </w:rPr>
      </w:pPr>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 xml:space="preserve"> </w:t>
      </w:r>
      <w:r>
        <w:rPr>
          <w:rFonts w:hint="default" w:ascii="Times New Roman" w:hAnsi="Times New Roman" w:eastAsia="宋体" w:cs="Times New Roman"/>
          <w:b/>
          <w:bCs/>
          <w:color w:val="auto"/>
          <w:szCs w:val="28"/>
          <w:highlight w:val="none"/>
          <w:u w:val="none"/>
          <w:lang w:val="en-US" w:eastAsia="zh-CN"/>
        </w:rPr>
        <w:t>区域</w:t>
      </w:r>
      <w:r>
        <w:rPr>
          <w:rFonts w:hint="default" w:ascii="Times New Roman" w:hAnsi="Times New Roman" w:eastAsia="宋体" w:cs="Times New Roman"/>
          <w:b/>
          <w:bCs/>
          <w:color w:val="auto"/>
          <w:szCs w:val="28"/>
          <w:highlight w:val="none"/>
          <w:u w:val="none"/>
        </w:rPr>
        <w:t>水文地质</w:t>
      </w:r>
    </w:p>
    <w:p w14:paraId="7A0BC0B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（1）水文地质单元</w:t>
      </w:r>
    </w:p>
    <w:p w14:paraId="0C8A425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中生代煤系地层：在单元地形上呈低山丘陵，矿区内几条小河发源并流经该地层，受大气降水直接补给，岩石风化裂隙发育，地下水呈裂隙水形式富存。其排泄方式多向冲积层排泄及以少量山泉涌出。地层渗透系数K=1.46×10</w:t>
      </w:r>
      <w:r>
        <w:rPr>
          <w:rFonts w:hint="default" w:ascii="Times New Roman" w:hAnsi="Times New Roman" w:eastAsia="宋体" w:cs="Times New Roman"/>
          <w:color w:val="auto"/>
          <w:kern w:val="21"/>
          <w:highlight w:val="none"/>
          <w:u w:val="none"/>
          <w:vertAlign w:val="superscript"/>
          <w:lang w:val="en-US" w:eastAsia="zh-CN"/>
        </w:rPr>
        <w:t>-5</w:t>
      </w:r>
      <w:r>
        <w:rPr>
          <w:rFonts w:hint="default" w:ascii="Times New Roman" w:hAnsi="Times New Roman" w:eastAsia="宋体" w:cs="Times New Roman"/>
          <w:color w:val="auto"/>
          <w:kern w:val="21"/>
          <w:highlight w:val="none"/>
          <w:u w:val="none"/>
          <w:lang w:val="en-US" w:eastAsia="zh-CN"/>
        </w:rPr>
        <w:t>—3.088m/日，单位涌水量q=1.2×10</w:t>
      </w:r>
      <w:r>
        <w:rPr>
          <w:rFonts w:hint="default" w:ascii="Times New Roman" w:hAnsi="Times New Roman" w:eastAsia="宋体" w:cs="Times New Roman"/>
          <w:color w:val="auto"/>
          <w:kern w:val="21"/>
          <w:highlight w:val="none"/>
          <w:u w:val="none"/>
          <w:vertAlign w:val="superscript"/>
          <w:lang w:val="en-US" w:eastAsia="zh-CN"/>
        </w:rPr>
        <w:t>-5</w:t>
      </w:r>
      <w:r>
        <w:rPr>
          <w:rFonts w:hint="default" w:ascii="Times New Roman" w:hAnsi="Times New Roman" w:eastAsia="宋体" w:cs="Times New Roman"/>
          <w:color w:val="auto"/>
          <w:kern w:val="21"/>
          <w:highlight w:val="none"/>
          <w:u w:val="none"/>
          <w:lang w:val="en-US" w:eastAsia="zh-CN"/>
        </w:rPr>
        <w:t>—1.87kg/s.m。该层水质多属重碳酸镁水，固型物178-623mm/L，氢离子浓度呈弱碱性，PH值在7.6-8.6之间。本类型水文地质单元分布于滴道背斜南翼至穆棱河冲积边缘之间。</w:t>
      </w:r>
    </w:p>
    <w:p w14:paraId="3A95598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第三纪玄武岩台地区：玄武岩多呈平坦台地，其原生节理和气孔构造发育，透水性强，地下水呈孔隙、裂隙水形成富存。地下水多在台地边缘形成泉水排泄，岩石中含水量小。玄武岩底层多有火山灰层，起到隔水作用，大气降水不易直接向煤系地层补给。本井水文地质单元主要分布在本井田深部地段。</w:t>
      </w:r>
    </w:p>
    <w:p w14:paraId="1E7D57E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3）第四系河流冲积层潜水单元：本单元为现代河流冲积而成的河床两侧10-100m之间的广大河漫平原上，地下水以潜水形式富存，含水层由砂、砾石、卵石组成，分选差，含水量大，透水性强，K=41.23-63.90m/d，q=1.20-4.23kg/s.m，地下水补给来源以大气降水、地表水为主，潜水直接补给其下复的煤系地层中的风化带，是矿井充水的重要因素。</w:t>
      </w:r>
    </w:p>
    <w:p w14:paraId="5DD2B4D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（2）地下水含水层</w:t>
      </w:r>
    </w:p>
    <w:p w14:paraId="28DDA6F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1）冲积孔隙含水层：主要分布在忙牛河西岸，呈条带状，厚0.5-7.0m，自上而下分层。上层由腐植土组成，灰黑色，松散，0.3-0.6m。含较多腐植质。中层由亚粘土和松散砂组成。砂粒分选差，呈半棱角状，厚2-3m。下层为砾石组成，为主要含水层，厚2-3m，渗透性强。渗水系数在45.6m/d，单位涌水量1.1-1.3L/s.m。</w:t>
      </w:r>
    </w:p>
    <w:p w14:paraId="57AC1DF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2）风化裂隙含水层：风化裂隙深度一般为40-80m，具体和岩石性质及地形相关。裂隙一般宽2-3mm，上大下小呈楔状。地下水埋藏深度在7-40m，斜坡处水位变化较大，渗透系数为0.2--0.3m/d，单位涌水量1.7-1.9L/s.m。</w:t>
      </w:r>
    </w:p>
    <w:p w14:paraId="2CE201D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3）构造裂隙带含水层：与风化裂隙呈逐渐过渡关系。裂隙仅在断层附近发育。如裂隙带与风化裂隙及地表水体沟通时，其就成为良好的导水通道。</w:t>
      </w:r>
    </w:p>
    <w:p w14:paraId="12E6F6B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4）断层水：本区断层多，总体上发育北北西和北北东两组，张扭和压扭断裂。其中以北北西为主两组断裂皆为正断层。本次勘探部分钻孔实见了断层，没有发现涌水和漏水异常现象。据岩芯观察，断层带和断层带附近岩石多破碎，并有断层泥和断层角砾存在，但本次勘探没有对断层进行抽水试验。断层水是矿井的主要充水因素。综合鸡西矿区和邻近矿井涌水量资料，矿井深部的涌水量多以断层水为主，裂隙次之，其富水性决定断层与地面水体的联系，其导水性取决于断层本身的破碎程度与充填物质。</w:t>
      </w:r>
    </w:p>
    <w:p w14:paraId="3C3C121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5）地表水动态，水力联系，补给及排泄条件：本井田地表水的动态，没有进行长期观测，但其水位和流量的变化受季节性和大气降水直接影响。</w:t>
      </w:r>
    </w:p>
    <w:p w14:paraId="2C863AE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（3）补给特征</w:t>
      </w:r>
    </w:p>
    <w:p w14:paraId="706459D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highlight w:val="none"/>
          <w:u w:val="none"/>
          <w:lang w:val="en-US" w:eastAsia="zh-CN"/>
        </w:rPr>
        <w:t>充水因素主要为大气降水、风化裂隙和构造裂隙水、地面老窑积水。充水方式为地下水的补给主要是大气降水通过地表风化、氧化带以及构造裂隙带等渗入采空区，流入井下。</w:t>
      </w:r>
      <w:bookmarkStart w:id="214" w:name="_Toc491791317"/>
      <w:bookmarkStart w:id="215" w:name="_Toc491064047"/>
      <w:bookmarkStart w:id="216" w:name="_Toc12873328"/>
    </w:p>
    <w:p w14:paraId="774C08F6">
      <w:pPr>
        <w:keepNext/>
        <w:keepLines/>
        <w:spacing w:line="360" w:lineRule="auto"/>
        <w:ind w:firstLine="0" w:firstLineChars="0"/>
        <w:outlineLvl w:val="3"/>
        <w:rPr>
          <w:rFonts w:hint="default" w:ascii="Times New Roman" w:hAnsi="Times New Roman" w:eastAsia="宋体" w:cs="Times New Roman"/>
          <w:b/>
          <w:bCs/>
          <w:color w:val="auto"/>
          <w:szCs w:val="28"/>
          <w:highlight w:val="none"/>
          <w:u w:val="none"/>
          <w:lang w:val="en-US" w:eastAsia="zh-CN"/>
        </w:rPr>
      </w:pPr>
      <w:r>
        <w:rPr>
          <w:rFonts w:hint="default" w:ascii="Times New Roman" w:hAnsi="Times New Roman" w:eastAsia="宋体" w:cs="Times New Roman"/>
          <w:b/>
          <w:bCs/>
          <w:color w:val="auto"/>
          <w:szCs w:val="28"/>
          <w:highlight w:val="none"/>
          <w:u w:val="none"/>
          <w:lang w:val="en-US" w:eastAsia="zh-CN"/>
        </w:rPr>
        <w:t>4</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1</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w:t>
      </w:r>
      <w:r>
        <w:rPr>
          <w:rFonts w:hint="default" w:ascii="Times New Roman" w:hAnsi="Times New Roman" w:eastAsia="宋体" w:cs="Times New Roman"/>
          <w:b/>
          <w:bCs/>
          <w:color w:val="auto"/>
          <w:szCs w:val="28"/>
          <w:highlight w:val="none"/>
          <w:u w:val="none"/>
          <w:lang w:val="en-US" w:eastAsia="zh-CN"/>
        </w:rPr>
        <w:t>5</w:t>
      </w:r>
      <w:r>
        <w:rPr>
          <w:rFonts w:hint="default" w:ascii="Times New Roman" w:hAnsi="Times New Roman" w:eastAsia="宋体" w:cs="Times New Roman"/>
          <w:b/>
          <w:bCs/>
          <w:color w:val="auto"/>
          <w:szCs w:val="28"/>
          <w:highlight w:val="none"/>
          <w:u w:val="none"/>
        </w:rPr>
        <w:t xml:space="preserve"> </w:t>
      </w:r>
      <w:r>
        <w:rPr>
          <w:rFonts w:hint="default" w:ascii="Times New Roman" w:hAnsi="Times New Roman" w:eastAsia="宋体" w:cs="Times New Roman"/>
          <w:b/>
          <w:bCs/>
          <w:color w:val="auto"/>
          <w:szCs w:val="28"/>
          <w:highlight w:val="none"/>
          <w:u w:val="none"/>
          <w:lang w:val="en-US" w:eastAsia="zh-CN"/>
        </w:rPr>
        <w:t>调查结果</w:t>
      </w:r>
    </w:p>
    <w:p w14:paraId="7EFCDB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rPr>
      </w:pPr>
      <w:r>
        <w:rPr>
          <w:rFonts w:hint="default" w:ascii="Times New Roman" w:hAnsi="Times New Roman" w:eastAsia="宋体" w:cs="Times New Roman"/>
          <w:color w:val="auto"/>
          <w:kern w:val="21"/>
          <w:sz w:val="24"/>
          <w:highlight w:val="none"/>
          <w:u w:val="none"/>
          <w:lang w:val="en-US" w:eastAsia="zh-CN"/>
        </w:rPr>
        <w:t>根据水文地质调查结果，评价范围内地下水流向大体自西向东，生态修复区域各阶段无涌水产生，</w:t>
      </w:r>
      <w:r>
        <w:rPr>
          <w:rFonts w:hint="default" w:ascii="Times New Roman" w:hAnsi="Times New Roman" w:eastAsia="宋体" w:cs="Times New Roman"/>
          <w:b w:val="0"/>
          <w:color w:val="auto"/>
          <w:kern w:val="21"/>
          <w:sz w:val="24"/>
          <w:szCs w:val="24"/>
          <w:highlight w:val="none"/>
          <w:u w:val="none"/>
          <w:lang w:val="en-US" w:eastAsia="zh-CN" w:bidi="ar-SA"/>
        </w:rPr>
        <w:t>目前处于荒废状态，现</w:t>
      </w:r>
      <w:r>
        <w:rPr>
          <w:rFonts w:hint="default" w:ascii="Times New Roman" w:hAnsi="Times New Roman" w:eastAsia="宋体" w:cs="Times New Roman"/>
          <w:color w:val="auto"/>
          <w:highlight w:val="none"/>
          <w:u w:val="none"/>
        </w:rPr>
        <w:t>生产</w:t>
      </w:r>
      <w:r>
        <w:rPr>
          <w:rFonts w:hint="default" w:ascii="Times New Roman" w:hAnsi="Times New Roman" w:eastAsia="宋体" w:cs="Times New Roman"/>
          <w:color w:val="auto"/>
          <w:highlight w:val="none"/>
          <w:u w:val="none"/>
          <w:lang w:val="en-US" w:eastAsia="zh-CN"/>
        </w:rPr>
        <w:t>已经</w:t>
      </w:r>
      <w:r>
        <w:rPr>
          <w:rFonts w:hint="default" w:ascii="Times New Roman" w:hAnsi="Times New Roman" w:eastAsia="宋体" w:cs="Times New Roman"/>
          <w:color w:val="auto"/>
          <w:highlight w:val="none"/>
          <w:u w:val="none"/>
        </w:rPr>
        <w:t>停止，</w:t>
      </w:r>
      <w:r>
        <w:rPr>
          <w:rFonts w:hint="default" w:ascii="Times New Roman" w:hAnsi="Times New Roman" w:eastAsia="宋体" w:cs="Times New Roman"/>
          <w:color w:val="auto"/>
          <w:highlight w:val="none"/>
          <w:u w:val="none"/>
          <w:lang w:val="en-US" w:eastAsia="zh-CN"/>
        </w:rPr>
        <w:t>当前地质条件稳定，</w:t>
      </w:r>
      <w:r>
        <w:rPr>
          <w:rFonts w:hint="default" w:ascii="Times New Roman" w:hAnsi="Times New Roman" w:eastAsia="宋体" w:cs="Times New Roman"/>
          <w:color w:val="auto"/>
          <w:highlight w:val="none"/>
          <w:u w:val="none"/>
        </w:rPr>
        <w:t>地面沉陷</w:t>
      </w:r>
      <w:r>
        <w:rPr>
          <w:rFonts w:hint="default" w:ascii="Times New Roman" w:hAnsi="Times New Roman" w:eastAsia="宋体" w:cs="Times New Roman"/>
          <w:color w:val="auto"/>
          <w:highlight w:val="none"/>
          <w:u w:val="none"/>
          <w:lang w:val="en-US" w:eastAsia="zh-CN"/>
        </w:rPr>
        <w:t>已</w:t>
      </w:r>
      <w:r>
        <w:rPr>
          <w:rFonts w:hint="default" w:ascii="Times New Roman" w:hAnsi="Times New Roman" w:eastAsia="宋体" w:cs="Times New Roman"/>
          <w:color w:val="auto"/>
          <w:highlight w:val="none"/>
          <w:u w:val="none"/>
        </w:rPr>
        <w:t>稳定</w:t>
      </w:r>
      <w:r>
        <w:rPr>
          <w:rFonts w:hint="default" w:ascii="Times New Roman" w:hAnsi="Times New Roman" w:eastAsia="宋体" w:cs="Times New Roman"/>
          <w:color w:val="auto"/>
          <w:highlight w:val="none"/>
          <w:u w:val="none"/>
          <w:lang w:val="en-US" w:eastAsia="zh-CN"/>
        </w:rPr>
        <w:t>并且</w:t>
      </w:r>
      <w:r>
        <w:rPr>
          <w:rFonts w:hint="default" w:ascii="Times New Roman" w:hAnsi="Times New Roman" w:eastAsia="宋体" w:cs="Times New Roman"/>
          <w:color w:val="auto"/>
          <w:highlight w:val="none"/>
          <w:u w:val="none"/>
        </w:rPr>
        <w:t>消失</w:t>
      </w:r>
      <w:r>
        <w:rPr>
          <w:rFonts w:hint="default" w:ascii="Times New Roman" w:hAnsi="Times New Roman" w:eastAsia="宋体" w:cs="Times New Roman"/>
          <w:color w:val="auto"/>
          <w:highlight w:val="none"/>
          <w:u w:val="none"/>
          <w:lang w:eastAsia="zh-CN"/>
        </w:rPr>
        <w:t>。</w:t>
      </w:r>
    </w:p>
    <w:bookmarkEnd w:id="214"/>
    <w:bookmarkEnd w:id="215"/>
    <w:bookmarkEnd w:id="216"/>
    <w:p w14:paraId="3BE2AC7C">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土壤</w:t>
      </w:r>
      <w:bookmarkEnd w:id="213"/>
    </w:p>
    <w:p w14:paraId="41062379">
      <w:pPr>
        <w:pStyle w:val="27"/>
        <w:ind w:firstLine="480"/>
        <w:rPr>
          <w:rFonts w:hint="default" w:ascii="Times New Roman" w:hAnsi="Times New Roman" w:cs="Times New Roman"/>
          <w:color w:val="auto"/>
          <w:highlight w:val="none"/>
        </w:rPr>
      </w:pPr>
      <w:bookmarkStart w:id="217" w:name="OLE_LINK29"/>
      <w:r>
        <w:rPr>
          <w:rFonts w:hint="default" w:ascii="Times New Roman" w:hAnsi="Times New Roman" w:cs="Times New Roman"/>
          <w:color w:val="auto"/>
          <w:highlight w:val="none"/>
        </w:rPr>
        <w:t>鸡西市全市土壤面积21.19×10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占总面积94.87%，分七个土壤类型，18个土种。暗棕壤是境内面积最大、分布最广的土壤，占土壤总面积的70.5%，主要分布在梨树、麻山、滴道、城子河区和恒山区民主乡等地形坡度最大的地区；石质土占总面积2.42%，主要分布在梨树、恒山、柳毛等区、乡的山地；白浆土占总面积7.18%，主要分布在穆棱河两岸的漫岗阶地和山前缓丘台地地区；草甸土占总面积9.27%，主要分布在穆棱河两岸的漫岗阶地和支流两岸的漫岗阶地；沼泽土占总面积0.51%，主要分布在暖泉河、长青、麻山乡的季节性或长期积水的山间沟洼谷地及河流两岸的低洼地带；河淤土占总面积的3.13%，全市境内大小河流沿岸均有分布；水稻土占总面积1.85%，主要分布在穆棱河、黄泥河子、暖泉河和凤山河两岸地势平坦、水源充足的地方。</w:t>
      </w:r>
    </w:p>
    <w:bookmarkEnd w:id="212"/>
    <w:bookmarkEnd w:id="217"/>
    <w:p w14:paraId="664EDE10">
      <w:pPr>
        <w:pStyle w:val="43"/>
        <w:rPr>
          <w:rFonts w:hint="default" w:ascii="Times New Roman" w:hAnsi="Times New Roman" w:cs="Times New Roman"/>
          <w:color w:val="auto"/>
          <w:highlight w:val="none"/>
        </w:rPr>
      </w:pPr>
      <w:bookmarkStart w:id="218" w:name="_Toc9332"/>
      <w:bookmarkStart w:id="219" w:name="_Toc8703"/>
      <w:bookmarkStart w:id="220" w:name="_Toc119316802"/>
      <w:bookmarkStart w:id="221" w:name="_Toc152926820"/>
      <w:r>
        <w:rPr>
          <w:rFonts w:hint="default" w:ascii="Times New Roman" w:hAnsi="Times New Roman" w:cs="Times New Roman"/>
          <w:color w:val="auto"/>
          <w:highlight w:val="none"/>
        </w:rPr>
        <w:t>4.2环境质量现状调查</w:t>
      </w:r>
      <w:bookmarkEnd w:id="218"/>
      <w:bookmarkEnd w:id="219"/>
      <w:bookmarkEnd w:id="220"/>
      <w:bookmarkEnd w:id="221"/>
    </w:p>
    <w:p w14:paraId="0AA62FC5">
      <w:pPr>
        <w:pStyle w:val="41"/>
        <w:rPr>
          <w:rFonts w:hint="default" w:ascii="Times New Roman" w:hAnsi="Times New Roman" w:cs="Times New Roman"/>
          <w:color w:val="auto"/>
          <w:highlight w:val="none"/>
        </w:rPr>
      </w:pPr>
      <w:bookmarkStart w:id="222" w:name="_Toc15215"/>
      <w:r>
        <w:rPr>
          <w:rFonts w:hint="default" w:ascii="Times New Roman" w:hAnsi="Times New Roman" w:cs="Times New Roman"/>
          <w:color w:val="auto"/>
          <w:highlight w:val="none"/>
        </w:rPr>
        <w:t>4.2.1环境空气质量现状评价</w:t>
      </w:r>
      <w:bookmarkEnd w:id="222"/>
    </w:p>
    <w:p w14:paraId="023E511E">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4.2.1.1区域基本污染物环境质量达标情况</w:t>
      </w:r>
    </w:p>
    <w:p w14:paraId="28DDE4F8">
      <w:pPr>
        <w:pStyle w:val="14"/>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kern w:val="21"/>
          <w:highlight w:val="none"/>
          <w:u w:val="none"/>
          <w:lang w:eastAsia="zh-CN"/>
        </w:rPr>
      </w:pPr>
      <w:r>
        <w:rPr>
          <w:rFonts w:hint="default" w:ascii="Times New Roman" w:hAnsi="Times New Roman" w:eastAsia="宋体" w:cs="Times New Roman"/>
          <w:color w:val="auto"/>
          <w:kern w:val="21"/>
          <w:highlight w:val="none"/>
          <w:u w:val="none"/>
        </w:rPr>
        <w:t>根据《环境影响评价技术导则 大气环境》（HJ</w:t>
      </w:r>
      <w:r>
        <w:rPr>
          <w:rFonts w:hint="default" w:ascii="Times New Roman" w:hAnsi="Times New Roman" w:eastAsia="宋体" w:cs="Times New Roman"/>
          <w:color w:val="auto"/>
          <w:kern w:val="21"/>
          <w:highlight w:val="none"/>
          <w:u w:val="none"/>
          <w:lang w:val="en-US" w:eastAsia="zh-CN"/>
        </w:rPr>
        <w:t xml:space="preserve"> </w:t>
      </w:r>
      <w:r>
        <w:rPr>
          <w:rFonts w:hint="default" w:ascii="Times New Roman" w:hAnsi="Times New Roman" w:eastAsia="宋体" w:cs="Times New Roman"/>
          <w:color w:val="auto"/>
          <w:kern w:val="21"/>
          <w:highlight w:val="none"/>
          <w:u w:val="none"/>
        </w:rPr>
        <w:t>2.2-2018）</w:t>
      </w:r>
      <w:r>
        <w:rPr>
          <w:rFonts w:hint="default" w:ascii="Times New Roman" w:hAnsi="Times New Roman" w:eastAsia="宋体" w:cs="Times New Roman"/>
          <w:color w:val="auto"/>
          <w:kern w:val="21"/>
          <w:highlight w:val="none"/>
          <w:u w:val="none"/>
          <w:lang w:eastAsia="zh-CN"/>
        </w:rPr>
        <w:t>相关内容，</w:t>
      </w:r>
      <w:r>
        <w:rPr>
          <w:rFonts w:hint="default" w:ascii="Times New Roman" w:hAnsi="Times New Roman" w:eastAsia="宋体" w:cs="Times New Roman"/>
          <w:color w:val="auto"/>
          <w:kern w:val="21"/>
          <w:highlight w:val="none"/>
          <w:u w:val="none"/>
        </w:rPr>
        <w:t>项目所在区域达标判定，优先采用国家或地方生态环境主管部门公开发布的评价基准年环境质量公告或环境质量报告中的数据或结论。</w:t>
      </w:r>
      <w:r>
        <w:rPr>
          <w:rFonts w:hint="default" w:ascii="Times New Roman" w:hAnsi="Times New Roman" w:eastAsia="宋体" w:cs="Times New Roman"/>
          <w:color w:val="auto"/>
          <w:kern w:val="21"/>
          <w:highlight w:val="none"/>
          <w:u w:val="none"/>
          <w:lang w:val="en-US" w:eastAsia="zh-CN"/>
        </w:rPr>
        <w:t>采用评价范围内国家或地方环境空气质量监测网中评价基准年连续1年的监测数据，或采用生态环境主管部门公开发布的环境空气质量现状数据。</w:t>
      </w:r>
      <w:r>
        <w:rPr>
          <w:rFonts w:hint="default" w:ascii="Times New Roman" w:hAnsi="Times New Roman" w:eastAsia="宋体" w:cs="Times New Roman"/>
          <w:color w:val="auto"/>
          <w:kern w:val="21"/>
          <w:highlight w:val="none"/>
          <w:u w:val="none"/>
        </w:rPr>
        <w:t>评价范围内没有环境空气质量监测网数据或公开发布的环境空气质量现状数据的，可选符合</w:t>
      </w:r>
      <w:r>
        <w:rPr>
          <w:rFonts w:hint="default" w:ascii="Times New Roman" w:hAnsi="Times New Roman" w:eastAsia="宋体" w:cs="Times New Roman"/>
          <w:color w:val="auto"/>
          <w:kern w:val="21"/>
          <w:highlight w:val="none"/>
          <w:u w:val="none"/>
          <w:lang w:eastAsia="zh-CN"/>
        </w:rPr>
        <w:t>《</w:t>
      </w:r>
      <w:r>
        <w:rPr>
          <w:rFonts w:hint="default" w:ascii="Times New Roman" w:hAnsi="Times New Roman" w:eastAsia="宋体" w:cs="Times New Roman"/>
          <w:color w:val="auto"/>
          <w:kern w:val="21"/>
          <w:highlight w:val="none"/>
          <w:u w:val="none"/>
        </w:rPr>
        <w:t>环境空气质量监测点位布设技术规范（试行）</w:t>
      </w:r>
      <w:r>
        <w:rPr>
          <w:rFonts w:hint="default" w:ascii="Times New Roman" w:hAnsi="Times New Roman" w:eastAsia="宋体" w:cs="Times New Roman"/>
          <w:color w:val="auto"/>
          <w:kern w:val="21"/>
          <w:highlight w:val="none"/>
          <w:u w:val="none"/>
          <w:lang w:eastAsia="zh-CN"/>
        </w:rPr>
        <w:t>》</w:t>
      </w:r>
      <w:r>
        <w:rPr>
          <w:rFonts w:hint="default" w:ascii="Times New Roman" w:hAnsi="Times New Roman" w:eastAsia="宋体" w:cs="Times New Roman"/>
          <w:color w:val="auto"/>
          <w:kern w:val="21"/>
          <w:highlight w:val="none"/>
          <w:u w:val="none"/>
        </w:rPr>
        <w:t>（HJ 664</w:t>
      </w:r>
      <w:r>
        <w:rPr>
          <w:rFonts w:hint="default" w:ascii="Times New Roman" w:hAnsi="Times New Roman" w:eastAsia="宋体" w:cs="Times New Roman"/>
          <w:color w:val="auto"/>
          <w:kern w:val="21"/>
          <w:highlight w:val="none"/>
          <w:u w:val="none"/>
          <w:lang w:val="en-US" w:eastAsia="zh-CN"/>
        </w:rPr>
        <w:t>-</w:t>
      </w:r>
      <w:r>
        <w:rPr>
          <w:rFonts w:hint="default" w:ascii="Times New Roman" w:hAnsi="Times New Roman" w:eastAsia="宋体" w:cs="Times New Roman"/>
          <w:color w:val="auto"/>
          <w:kern w:val="21"/>
          <w:highlight w:val="none"/>
          <w:u w:val="none"/>
        </w:rPr>
        <w:t>2013）规定，并且</w:t>
      </w:r>
      <w:r>
        <w:rPr>
          <w:rFonts w:hint="default" w:ascii="Times New Roman" w:hAnsi="Times New Roman" w:eastAsia="宋体" w:cs="Times New Roman"/>
          <w:color w:val="auto"/>
          <w:kern w:val="21"/>
          <w:highlight w:val="none"/>
          <w:u w:val="none"/>
          <w:lang w:eastAsia="zh-CN"/>
        </w:rPr>
        <w:t>与</w:t>
      </w:r>
      <w:r>
        <w:rPr>
          <w:rFonts w:hint="default" w:ascii="Times New Roman" w:hAnsi="Times New Roman" w:eastAsia="宋体" w:cs="Times New Roman"/>
          <w:color w:val="auto"/>
          <w:kern w:val="21"/>
          <w:highlight w:val="none"/>
          <w:u w:val="none"/>
        </w:rPr>
        <w:t>评价范围地理位置邻近，地形、气候条件相近的环境空气质量城市点或区域点监测数据</w:t>
      </w:r>
      <w:r>
        <w:rPr>
          <w:rFonts w:hint="default" w:ascii="Times New Roman" w:hAnsi="Times New Roman" w:eastAsia="宋体" w:cs="Times New Roman"/>
          <w:color w:val="auto"/>
          <w:kern w:val="21"/>
          <w:highlight w:val="none"/>
          <w:u w:val="none"/>
          <w:lang w:eastAsia="zh-CN"/>
        </w:rPr>
        <w:t>。</w:t>
      </w:r>
    </w:p>
    <w:p w14:paraId="7C62878F">
      <w:pPr>
        <w:pStyle w:val="2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项目位于</w:t>
      </w:r>
      <w:r>
        <w:rPr>
          <w:rFonts w:hint="default" w:ascii="Times New Roman" w:hAnsi="Times New Roman" w:cs="Times New Roman"/>
          <w:color w:val="auto"/>
          <w:highlight w:val="none"/>
          <w:lang w:val="en-US" w:eastAsia="zh-CN"/>
        </w:rPr>
        <w:t>鸡西市滴道区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本次评价城市环境空气质量达标区判定数据引用《2024年黑龙江省生态环境质量状况》，项目所在区域环境空气质量达标区判定情况见下表</w:t>
      </w:r>
      <w:r>
        <w:rPr>
          <w:rFonts w:hint="default" w:ascii="Times New Roman" w:hAnsi="Times New Roman" w:cs="Times New Roman"/>
          <w:color w:val="auto"/>
          <w:highlight w:val="none"/>
          <w:lang w:eastAsia="zh-CN"/>
        </w:rPr>
        <w:t>。</w:t>
      </w:r>
    </w:p>
    <w:p w14:paraId="39D5AA6C">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4-2-1</w:t>
      </w:r>
      <w:r>
        <w:rPr>
          <w:rFonts w:hint="default" w:ascii="Times New Roman" w:hAnsi="Times New Roman" w:cs="Times New Roman"/>
          <w:color w:val="auto"/>
          <w:highlight w:val="none"/>
        </w:rPr>
        <w:t xml:space="preserve"> 区域空气质量现状评价表  单位：CO为mg/m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、其他为μg/m</w:t>
      </w:r>
      <w:r>
        <w:rPr>
          <w:rFonts w:hint="default" w:ascii="Times New Roman" w:hAnsi="Times New Roman" w:cs="Times New Roman"/>
          <w:color w:val="auto"/>
          <w:highlight w:val="none"/>
          <w:vertAlign w:val="superscript"/>
        </w:rPr>
        <w:t>3</w:t>
      </w:r>
    </w:p>
    <w:tbl>
      <w:tblPr>
        <w:tblStyle w:val="24"/>
        <w:tblW w:w="84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3"/>
        <w:gridCol w:w="4147"/>
        <w:gridCol w:w="743"/>
        <w:gridCol w:w="729"/>
        <w:gridCol w:w="992"/>
        <w:gridCol w:w="1022"/>
      </w:tblGrid>
      <w:tr w14:paraId="34035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75" w:type="pct"/>
            <w:vMerge w:val="restart"/>
            <w:noWrap w:val="0"/>
            <w:vAlign w:val="center"/>
          </w:tcPr>
          <w:p w14:paraId="6D6F30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2457" w:type="pct"/>
            <w:noWrap w:val="0"/>
            <w:vAlign w:val="center"/>
          </w:tcPr>
          <w:p w14:paraId="067B4D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w:t>
            </w:r>
            <w:r>
              <w:rPr>
                <w:rFonts w:hint="default" w:ascii="Times New Roman" w:hAnsi="Times New Roman" w:cs="Times New Roman"/>
                <w:color w:val="auto"/>
                <w:highlight w:val="none"/>
              </w:rPr>
              <w:t>评价指标</w:t>
            </w:r>
          </w:p>
        </w:tc>
        <w:tc>
          <w:tcPr>
            <w:tcW w:w="440" w:type="pct"/>
            <w:noWrap w:val="0"/>
            <w:vAlign w:val="center"/>
          </w:tcPr>
          <w:p w14:paraId="7DB504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现状浓度</w:t>
            </w:r>
          </w:p>
        </w:tc>
        <w:tc>
          <w:tcPr>
            <w:tcW w:w="432" w:type="pct"/>
            <w:noWrap w:val="0"/>
            <w:vAlign w:val="center"/>
          </w:tcPr>
          <w:p w14:paraId="5390A9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c>
          <w:tcPr>
            <w:tcW w:w="587" w:type="pct"/>
            <w:noWrap w:val="0"/>
            <w:vAlign w:val="center"/>
          </w:tcPr>
          <w:p w14:paraId="25C12E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605" w:type="pct"/>
            <w:noWrap w:val="0"/>
            <w:vAlign w:val="center"/>
          </w:tcPr>
          <w:p w14:paraId="73CB92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p w14:paraId="1B75D7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14:paraId="08E4E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75" w:type="pct"/>
            <w:noWrap w:val="0"/>
            <w:vAlign w:val="center"/>
          </w:tcPr>
          <w:p w14:paraId="718EB0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2457" w:type="pct"/>
            <w:noWrap w:val="0"/>
            <w:vAlign w:val="center"/>
          </w:tcPr>
          <w:p w14:paraId="354F3B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440" w:type="pct"/>
            <w:noWrap w:val="0"/>
            <w:vAlign w:val="center"/>
          </w:tcPr>
          <w:p w14:paraId="51AC739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432" w:type="pct"/>
            <w:noWrap w:val="0"/>
            <w:vAlign w:val="center"/>
          </w:tcPr>
          <w:p w14:paraId="2E8D1C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587" w:type="pct"/>
            <w:noWrap w:val="0"/>
            <w:vAlign w:val="center"/>
          </w:tcPr>
          <w:p w14:paraId="309F77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13.3</w:t>
            </w:r>
            <w:r>
              <w:rPr>
                <w:rFonts w:hint="default" w:ascii="Times New Roman" w:hAnsi="Times New Roman" w:cs="Times New Roman"/>
                <w:color w:val="auto"/>
                <w:highlight w:val="none"/>
              </w:rPr>
              <w:t>%</w:t>
            </w:r>
          </w:p>
        </w:tc>
        <w:tc>
          <w:tcPr>
            <w:tcW w:w="605" w:type="pct"/>
            <w:noWrap w:val="0"/>
            <w:vAlign w:val="center"/>
          </w:tcPr>
          <w:p w14:paraId="365284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008A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75" w:type="pct"/>
            <w:noWrap w:val="0"/>
            <w:vAlign w:val="center"/>
          </w:tcPr>
          <w:p w14:paraId="764E7F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2457" w:type="pct"/>
            <w:noWrap w:val="0"/>
            <w:vAlign w:val="center"/>
          </w:tcPr>
          <w:p w14:paraId="591A41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440" w:type="pct"/>
            <w:noWrap w:val="0"/>
            <w:vAlign w:val="center"/>
          </w:tcPr>
          <w:p w14:paraId="4657DC2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432" w:type="pct"/>
            <w:noWrap w:val="0"/>
            <w:vAlign w:val="center"/>
          </w:tcPr>
          <w:p w14:paraId="2865A7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587" w:type="pct"/>
            <w:noWrap w:val="0"/>
            <w:vAlign w:val="center"/>
          </w:tcPr>
          <w:p w14:paraId="46C501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42.5</w:t>
            </w:r>
            <w:r>
              <w:rPr>
                <w:rFonts w:hint="default" w:ascii="Times New Roman" w:hAnsi="Times New Roman" w:cs="Times New Roman"/>
                <w:color w:val="auto"/>
                <w:highlight w:val="none"/>
              </w:rPr>
              <w:t>%</w:t>
            </w:r>
          </w:p>
        </w:tc>
        <w:tc>
          <w:tcPr>
            <w:tcW w:w="605" w:type="pct"/>
            <w:noWrap w:val="0"/>
            <w:vAlign w:val="center"/>
          </w:tcPr>
          <w:p w14:paraId="348BC5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D274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75" w:type="pct"/>
            <w:noWrap w:val="0"/>
            <w:vAlign w:val="center"/>
          </w:tcPr>
          <w:p w14:paraId="0677161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w:t>
            </w:r>
          </w:p>
        </w:tc>
        <w:tc>
          <w:tcPr>
            <w:tcW w:w="2457" w:type="pct"/>
            <w:noWrap w:val="0"/>
            <w:vAlign w:val="center"/>
          </w:tcPr>
          <w:p w14:paraId="74D4FD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第95百分位数日平均质量浓度</w:t>
            </w:r>
          </w:p>
        </w:tc>
        <w:tc>
          <w:tcPr>
            <w:tcW w:w="440" w:type="pct"/>
            <w:noWrap w:val="0"/>
            <w:vAlign w:val="center"/>
          </w:tcPr>
          <w:p w14:paraId="458408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432" w:type="pct"/>
            <w:noWrap w:val="0"/>
            <w:vAlign w:val="center"/>
          </w:tcPr>
          <w:p w14:paraId="54748A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587" w:type="pct"/>
            <w:noWrap w:val="0"/>
            <w:vAlign w:val="center"/>
          </w:tcPr>
          <w:p w14:paraId="3225D3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25.0</w:t>
            </w:r>
            <w:r>
              <w:rPr>
                <w:rFonts w:hint="default" w:ascii="Times New Roman" w:hAnsi="Times New Roman" w:cs="Times New Roman"/>
                <w:color w:val="auto"/>
                <w:highlight w:val="none"/>
              </w:rPr>
              <w:t>%</w:t>
            </w:r>
          </w:p>
        </w:tc>
        <w:tc>
          <w:tcPr>
            <w:tcW w:w="605" w:type="pct"/>
            <w:noWrap w:val="0"/>
            <w:vAlign w:val="center"/>
          </w:tcPr>
          <w:p w14:paraId="4489AA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08F0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75" w:type="pct"/>
            <w:noWrap w:val="0"/>
            <w:vAlign w:val="center"/>
          </w:tcPr>
          <w:p w14:paraId="126E4C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2457" w:type="pct"/>
            <w:noWrap w:val="0"/>
            <w:vAlign w:val="center"/>
          </w:tcPr>
          <w:p w14:paraId="06B7BB2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第90百分位数日最大8小时滑动平均值</w:t>
            </w:r>
          </w:p>
        </w:tc>
        <w:tc>
          <w:tcPr>
            <w:tcW w:w="440" w:type="pct"/>
            <w:noWrap w:val="0"/>
            <w:vAlign w:val="center"/>
          </w:tcPr>
          <w:p w14:paraId="4EB7CE2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432" w:type="pct"/>
            <w:noWrap w:val="0"/>
            <w:vAlign w:val="center"/>
          </w:tcPr>
          <w:p w14:paraId="377D16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160</w:t>
            </w:r>
          </w:p>
        </w:tc>
        <w:tc>
          <w:tcPr>
            <w:tcW w:w="587" w:type="pct"/>
            <w:noWrap w:val="0"/>
            <w:vAlign w:val="center"/>
          </w:tcPr>
          <w:p w14:paraId="52420B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56.3</w:t>
            </w:r>
            <w:r>
              <w:rPr>
                <w:rFonts w:hint="default" w:ascii="Times New Roman" w:hAnsi="Times New Roman" w:cs="Times New Roman"/>
                <w:color w:val="auto"/>
                <w:highlight w:val="none"/>
              </w:rPr>
              <w:t>%</w:t>
            </w:r>
          </w:p>
        </w:tc>
        <w:tc>
          <w:tcPr>
            <w:tcW w:w="605" w:type="pct"/>
            <w:noWrap w:val="0"/>
            <w:vAlign w:val="center"/>
          </w:tcPr>
          <w:p w14:paraId="02C4B3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0B8A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75" w:type="pct"/>
            <w:noWrap w:val="0"/>
            <w:vAlign w:val="center"/>
          </w:tcPr>
          <w:p w14:paraId="5AB0AE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2457" w:type="pct"/>
            <w:noWrap w:val="0"/>
            <w:vAlign w:val="center"/>
          </w:tcPr>
          <w:p w14:paraId="0BA3A9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440" w:type="pct"/>
            <w:noWrap w:val="0"/>
            <w:vAlign w:val="center"/>
          </w:tcPr>
          <w:p w14:paraId="65DAECE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432" w:type="pct"/>
            <w:noWrap w:val="0"/>
            <w:vAlign w:val="center"/>
          </w:tcPr>
          <w:p w14:paraId="498AB1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587" w:type="pct"/>
            <w:noWrap w:val="0"/>
            <w:vAlign w:val="center"/>
          </w:tcPr>
          <w:p w14:paraId="188EDA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65.7</w:t>
            </w:r>
            <w:r>
              <w:rPr>
                <w:rFonts w:hint="default" w:ascii="Times New Roman" w:hAnsi="Times New Roman" w:cs="Times New Roman"/>
                <w:color w:val="auto"/>
                <w:highlight w:val="none"/>
              </w:rPr>
              <w:t>%</w:t>
            </w:r>
          </w:p>
        </w:tc>
        <w:tc>
          <w:tcPr>
            <w:tcW w:w="605" w:type="pct"/>
            <w:noWrap w:val="0"/>
            <w:vAlign w:val="center"/>
          </w:tcPr>
          <w:p w14:paraId="5060EB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3CE4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75" w:type="pct"/>
            <w:noWrap w:val="0"/>
            <w:vAlign w:val="center"/>
          </w:tcPr>
          <w:p w14:paraId="3120B4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p>
        </w:tc>
        <w:tc>
          <w:tcPr>
            <w:tcW w:w="2457" w:type="pct"/>
            <w:noWrap w:val="0"/>
            <w:vAlign w:val="center"/>
          </w:tcPr>
          <w:p w14:paraId="7C127A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440" w:type="pct"/>
            <w:noWrap w:val="0"/>
            <w:vAlign w:val="center"/>
          </w:tcPr>
          <w:p w14:paraId="4C3A44B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w:t>
            </w:r>
          </w:p>
        </w:tc>
        <w:tc>
          <w:tcPr>
            <w:tcW w:w="432" w:type="pct"/>
            <w:noWrap w:val="0"/>
            <w:vAlign w:val="center"/>
          </w:tcPr>
          <w:p w14:paraId="6C7DE1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587" w:type="pct"/>
            <w:noWrap w:val="0"/>
            <w:vAlign w:val="center"/>
          </w:tcPr>
          <w:p w14:paraId="5DBD3A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77.1</w:t>
            </w:r>
            <w:r>
              <w:rPr>
                <w:rFonts w:hint="default" w:ascii="Times New Roman" w:hAnsi="Times New Roman" w:cs="Times New Roman"/>
                <w:color w:val="auto"/>
                <w:highlight w:val="none"/>
              </w:rPr>
              <w:t>%</w:t>
            </w:r>
          </w:p>
        </w:tc>
        <w:tc>
          <w:tcPr>
            <w:tcW w:w="605" w:type="pct"/>
            <w:noWrap w:val="0"/>
            <w:vAlign w:val="center"/>
          </w:tcPr>
          <w:p w14:paraId="521E50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达</w:t>
            </w:r>
            <w:r>
              <w:rPr>
                <w:rFonts w:hint="default" w:ascii="Times New Roman" w:hAnsi="Times New Roman" w:cs="Times New Roman"/>
                <w:color w:val="auto"/>
                <w:highlight w:val="none"/>
              </w:rPr>
              <w:t>标</w:t>
            </w:r>
          </w:p>
        </w:tc>
      </w:tr>
    </w:tbl>
    <w:p w14:paraId="10A436D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项目所在区域为《环境空气质量标准》（GB 3095-2012）二类区，根据《2024年黑龙江省生态环境质量状况》并对照《环境空气质量标准》（GB 3095-2012）及其修改单中二级标准，项目所在区域属于2024年城市环境空气质量达标区。</w:t>
      </w:r>
    </w:p>
    <w:p w14:paraId="2E35ACE3">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4.2.1.2其他污染物环境质量达标情况</w:t>
      </w:r>
    </w:p>
    <w:p w14:paraId="0B77AD6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（1）监测时间及监测项目</w:t>
      </w:r>
    </w:p>
    <w:p w14:paraId="0CD53A4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委托黑龙江汉风环境检测技术有限公司于202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日对本项目</w:t>
      </w:r>
      <w:r>
        <w:rPr>
          <w:rFonts w:hint="default" w:ascii="Times New Roman" w:hAnsi="Times New Roman" w:cs="Times New Roman"/>
          <w:color w:val="auto"/>
          <w:highlight w:val="none"/>
          <w:lang w:val="en-US" w:eastAsia="zh-CN"/>
        </w:rPr>
        <w:t>厂址</w:t>
      </w:r>
      <w:r>
        <w:rPr>
          <w:rFonts w:hint="default" w:ascii="Times New Roman" w:hAnsi="Times New Roman" w:cs="Times New Roman"/>
          <w:color w:val="auto"/>
          <w:highlight w:val="none"/>
        </w:rPr>
        <w:t>下风向处的TSP进行现状监测。</w:t>
      </w:r>
    </w:p>
    <w:p w14:paraId="5FFF628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（2）监测点布设</w:t>
      </w:r>
    </w:p>
    <w:p w14:paraId="194C59B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大气环境》（HJ2.2-2018），补充监测布点以近20年的当地主导风向为轴向，在厂址及主导风向下风向设置监测点。</w:t>
      </w:r>
    </w:p>
    <w:p w14:paraId="48BAAFE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项目区主导风向为W，</w:t>
      </w:r>
      <w:r>
        <w:rPr>
          <w:rFonts w:hint="default" w:ascii="Times New Roman" w:hAnsi="Times New Roman" w:cs="Times New Roman"/>
          <w:color w:val="auto"/>
          <w:highlight w:val="none"/>
          <w:lang w:val="en-US" w:eastAsia="zh-CN"/>
        </w:rPr>
        <w:t>共布设布设1处监测点，</w:t>
      </w:r>
      <w:r>
        <w:rPr>
          <w:rFonts w:hint="default" w:ascii="Times New Roman" w:hAnsi="Times New Roman" w:cs="Times New Roman"/>
          <w:color w:val="auto"/>
          <w:highlight w:val="none"/>
        </w:rPr>
        <w:t>各监测点的情况见下表，监测布点图见下图。</w:t>
      </w:r>
    </w:p>
    <w:p w14:paraId="1BB916A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其他污染物补充监测点基本信息</w:t>
      </w:r>
    </w:p>
    <w:tbl>
      <w:tblPr>
        <w:tblStyle w:val="24"/>
        <w:tblW w:w="8522" w:type="dxa"/>
        <w:jc w:val="center"/>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108" w:type="dxa"/>
          <w:bottom w:w="0" w:type="dxa"/>
          <w:right w:w="108" w:type="dxa"/>
        </w:tblCellMar>
      </w:tblPr>
      <w:tblGrid>
        <w:gridCol w:w="846"/>
        <w:gridCol w:w="1722"/>
        <w:gridCol w:w="4075"/>
        <w:gridCol w:w="1879"/>
      </w:tblGrid>
      <w:tr w14:paraId="1CD3FF94">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138" w:hRule="atLeast"/>
          <w:jc w:val="center"/>
        </w:trPr>
        <w:tc>
          <w:tcPr>
            <w:tcW w:w="846" w:type="dxa"/>
            <w:tcBorders>
              <w:tl2br w:val="nil"/>
              <w:tr2bl w:val="nil"/>
            </w:tcBorders>
            <w:noWrap w:val="0"/>
            <w:vAlign w:val="center"/>
          </w:tcPr>
          <w:p w14:paraId="012A7A35">
            <w:pPr>
              <w:pStyle w:val="54"/>
              <w:bidi w:val="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序号</w:t>
            </w:r>
          </w:p>
        </w:tc>
        <w:tc>
          <w:tcPr>
            <w:tcW w:w="1722" w:type="dxa"/>
            <w:tcBorders>
              <w:tl2br w:val="nil"/>
              <w:tr2bl w:val="nil"/>
            </w:tcBorders>
            <w:noWrap w:val="0"/>
            <w:vAlign w:val="center"/>
          </w:tcPr>
          <w:p w14:paraId="445F6906">
            <w:pPr>
              <w:pStyle w:val="54"/>
              <w:bidi w:val="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监测点</w:t>
            </w:r>
          </w:p>
        </w:tc>
        <w:tc>
          <w:tcPr>
            <w:tcW w:w="4075" w:type="dxa"/>
            <w:tcBorders>
              <w:tl2br w:val="nil"/>
              <w:tr2bl w:val="nil"/>
            </w:tcBorders>
            <w:noWrap w:val="0"/>
            <w:vAlign w:val="center"/>
          </w:tcPr>
          <w:p w14:paraId="2377421B">
            <w:pPr>
              <w:pStyle w:val="54"/>
              <w:bidi w:val="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具体位置</w:t>
            </w:r>
          </w:p>
        </w:tc>
        <w:tc>
          <w:tcPr>
            <w:tcW w:w="1879" w:type="dxa"/>
            <w:tcBorders>
              <w:tl2br w:val="nil"/>
              <w:tr2bl w:val="nil"/>
            </w:tcBorders>
            <w:noWrap w:val="0"/>
            <w:vAlign w:val="center"/>
          </w:tcPr>
          <w:p w14:paraId="6CE4BC55">
            <w:pPr>
              <w:pStyle w:val="54"/>
              <w:bidi w:val="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监测因子</w:t>
            </w:r>
          </w:p>
        </w:tc>
      </w:tr>
      <w:tr w14:paraId="0A65649D">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00" w:hRule="atLeast"/>
          <w:jc w:val="center"/>
        </w:trPr>
        <w:tc>
          <w:tcPr>
            <w:tcW w:w="846" w:type="dxa"/>
            <w:tcBorders>
              <w:tl2br w:val="nil"/>
              <w:tr2bl w:val="nil"/>
            </w:tcBorders>
            <w:noWrap w:val="0"/>
            <w:vAlign w:val="center"/>
          </w:tcPr>
          <w:p w14:paraId="044A3151">
            <w:pPr>
              <w:pStyle w:val="54"/>
              <w:bidi w:val="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G1</w:t>
            </w:r>
          </w:p>
        </w:tc>
        <w:tc>
          <w:tcPr>
            <w:tcW w:w="1722" w:type="dxa"/>
            <w:tcBorders>
              <w:tl2br w:val="nil"/>
              <w:tr2bl w:val="nil"/>
            </w:tcBorders>
            <w:noWrap w:val="0"/>
            <w:vAlign w:val="center"/>
          </w:tcPr>
          <w:p w14:paraId="1A0B3BD3">
            <w:pPr>
              <w:pStyle w:val="54"/>
              <w:bidi w:val="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厂址下风向</w:t>
            </w:r>
          </w:p>
        </w:tc>
        <w:tc>
          <w:tcPr>
            <w:tcW w:w="4075" w:type="dxa"/>
            <w:tcBorders>
              <w:tl2br w:val="nil"/>
              <w:tr2bl w:val="nil"/>
            </w:tcBorders>
            <w:noWrap w:val="0"/>
            <w:vAlign w:val="center"/>
          </w:tcPr>
          <w:p w14:paraId="2A37D636">
            <w:pPr>
              <w:bidi w:val="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130.76485286,45.34412654</w:t>
            </w:r>
          </w:p>
        </w:tc>
        <w:tc>
          <w:tcPr>
            <w:tcW w:w="1879" w:type="dxa"/>
            <w:tcBorders>
              <w:tl2br w:val="nil"/>
              <w:tr2bl w:val="nil"/>
            </w:tcBorders>
            <w:noWrap w:val="0"/>
            <w:vAlign w:val="center"/>
          </w:tcPr>
          <w:p w14:paraId="091FA4C8">
            <w:pPr>
              <w:pStyle w:val="54"/>
              <w:bidi w:val="0"/>
              <w:jc w:val="center"/>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rPr>
              <w:t>TSP</w:t>
            </w:r>
          </w:p>
        </w:tc>
      </w:tr>
    </w:tbl>
    <w:p w14:paraId="7EB11E7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（3）监测结果</w:t>
      </w:r>
    </w:p>
    <w:p w14:paraId="0067A72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监测点TSP的</w:t>
      </w:r>
      <w:r>
        <w:rPr>
          <w:rFonts w:hint="default" w:ascii="Times New Roman" w:hAnsi="Times New Roman" w:cs="Times New Roman"/>
          <w:color w:val="auto"/>
          <w:highlight w:val="none"/>
          <w:lang w:val="en-US" w:eastAsia="zh-CN"/>
        </w:rPr>
        <w:t>结果见下表</w:t>
      </w:r>
      <w:r>
        <w:rPr>
          <w:rFonts w:hint="default" w:ascii="Times New Roman" w:hAnsi="Times New Roman" w:cs="Times New Roman"/>
          <w:color w:val="auto"/>
          <w:highlight w:val="none"/>
        </w:rPr>
        <w:t>。</w:t>
      </w:r>
    </w:p>
    <w:p w14:paraId="431F59A3">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其他污染物补充监测点</w:t>
      </w:r>
      <w:r>
        <w:rPr>
          <w:rFonts w:hint="default" w:ascii="Times New Roman" w:hAnsi="Times New Roman" w:cs="Times New Roman"/>
          <w:color w:val="auto"/>
          <w:highlight w:val="none"/>
          <w:lang w:val="en-US" w:eastAsia="zh-CN"/>
        </w:rPr>
        <w:t>监测结果</w:t>
      </w:r>
    </w:p>
    <w:tbl>
      <w:tblPr>
        <w:tblStyle w:val="24"/>
        <w:tblW w:w="85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2173"/>
        <w:gridCol w:w="4823"/>
      </w:tblGrid>
      <w:tr w14:paraId="46E55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tblHeader/>
          <w:jc w:val="center"/>
        </w:trPr>
        <w:tc>
          <w:tcPr>
            <w:tcW w:w="1563" w:type="dxa"/>
            <w:vMerge w:val="restart"/>
            <w:tcBorders>
              <w:tl2br w:val="nil"/>
              <w:tr2bl w:val="nil"/>
            </w:tcBorders>
            <w:noWrap w:val="0"/>
            <w:vAlign w:val="center"/>
          </w:tcPr>
          <w:p w14:paraId="1FEA1AD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采样日期</w:t>
            </w:r>
          </w:p>
        </w:tc>
        <w:tc>
          <w:tcPr>
            <w:tcW w:w="2173" w:type="dxa"/>
            <w:vMerge w:val="restart"/>
            <w:tcBorders>
              <w:tl2br w:val="nil"/>
              <w:tr2bl w:val="nil"/>
            </w:tcBorders>
            <w:noWrap w:val="0"/>
            <w:vAlign w:val="center"/>
          </w:tcPr>
          <w:p w14:paraId="19CD86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采样频次</w:t>
            </w:r>
          </w:p>
        </w:tc>
        <w:tc>
          <w:tcPr>
            <w:tcW w:w="4823" w:type="dxa"/>
            <w:tcBorders>
              <w:tl2br w:val="nil"/>
              <w:tr2bl w:val="nil"/>
            </w:tcBorders>
            <w:noWrap w:val="0"/>
            <w:vAlign w:val="center"/>
          </w:tcPr>
          <w:p w14:paraId="7830BF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检测结果</w:t>
            </w:r>
          </w:p>
        </w:tc>
      </w:tr>
      <w:tr w14:paraId="23B41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blHeader/>
          <w:jc w:val="center"/>
        </w:trPr>
        <w:tc>
          <w:tcPr>
            <w:tcW w:w="1563" w:type="dxa"/>
            <w:vMerge w:val="continue"/>
            <w:tcBorders>
              <w:tl2br w:val="nil"/>
              <w:tr2bl w:val="nil"/>
            </w:tcBorders>
            <w:noWrap w:val="0"/>
            <w:vAlign w:val="center"/>
          </w:tcPr>
          <w:p w14:paraId="2BFE6CC2">
            <w:pPr>
              <w:pStyle w:val="46"/>
              <w:bidi w:val="0"/>
              <w:rPr>
                <w:rFonts w:hint="default" w:ascii="Times New Roman" w:hAnsi="Times New Roman" w:cs="Times New Roman"/>
                <w:color w:val="auto"/>
                <w:highlight w:val="none"/>
              </w:rPr>
            </w:pPr>
          </w:p>
        </w:tc>
        <w:tc>
          <w:tcPr>
            <w:tcW w:w="2173" w:type="dxa"/>
            <w:vMerge w:val="continue"/>
            <w:tcBorders>
              <w:tl2br w:val="nil"/>
              <w:tr2bl w:val="nil"/>
            </w:tcBorders>
            <w:noWrap w:val="0"/>
            <w:vAlign w:val="center"/>
          </w:tcPr>
          <w:p w14:paraId="1DA5BD49">
            <w:pPr>
              <w:pStyle w:val="46"/>
              <w:bidi w:val="0"/>
              <w:rPr>
                <w:rFonts w:hint="default" w:ascii="Times New Roman" w:hAnsi="Times New Roman" w:cs="Times New Roman"/>
                <w:color w:val="auto"/>
                <w:highlight w:val="none"/>
              </w:rPr>
            </w:pPr>
          </w:p>
        </w:tc>
        <w:tc>
          <w:tcPr>
            <w:tcW w:w="4823" w:type="dxa"/>
            <w:tcBorders>
              <w:tl2br w:val="nil"/>
              <w:tr2bl w:val="nil"/>
            </w:tcBorders>
            <w:noWrap w:val="0"/>
            <w:vAlign w:val="center"/>
          </w:tcPr>
          <w:p w14:paraId="1D8E7E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总悬浮颗粒物（mg/m³）</w:t>
            </w:r>
          </w:p>
        </w:tc>
      </w:tr>
      <w:tr w14:paraId="43565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tblHeader/>
          <w:jc w:val="center"/>
        </w:trPr>
        <w:tc>
          <w:tcPr>
            <w:tcW w:w="1563" w:type="dxa"/>
            <w:vMerge w:val="continue"/>
            <w:tcBorders>
              <w:tl2br w:val="nil"/>
              <w:tr2bl w:val="nil"/>
            </w:tcBorders>
            <w:noWrap w:val="0"/>
            <w:vAlign w:val="center"/>
          </w:tcPr>
          <w:p w14:paraId="084CD66D">
            <w:pPr>
              <w:pStyle w:val="46"/>
              <w:bidi w:val="0"/>
              <w:rPr>
                <w:rFonts w:hint="default" w:ascii="Times New Roman" w:hAnsi="Times New Roman" w:cs="Times New Roman"/>
                <w:color w:val="auto"/>
                <w:highlight w:val="none"/>
              </w:rPr>
            </w:pPr>
          </w:p>
        </w:tc>
        <w:tc>
          <w:tcPr>
            <w:tcW w:w="2173" w:type="dxa"/>
            <w:vMerge w:val="continue"/>
            <w:tcBorders>
              <w:tl2br w:val="nil"/>
              <w:tr2bl w:val="nil"/>
            </w:tcBorders>
            <w:noWrap w:val="0"/>
            <w:vAlign w:val="center"/>
          </w:tcPr>
          <w:p w14:paraId="0D36EF70">
            <w:pPr>
              <w:pStyle w:val="46"/>
              <w:bidi w:val="0"/>
              <w:rPr>
                <w:rFonts w:hint="default" w:ascii="Times New Roman" w:hAnsi="Times New Roman" w:cs="Times New Roman"/>
                <w:color w:val="auto"/>
                <w:highlight w:val="none"/>
              </w:rPr>
            </w:pPr>
          </w:p>
        </w:tc>
        <w:tc>
          <w:tcPr>
            <w:tcW w:w="4823" w:type="dxa"/>
            <w:tcBorders>
              <w:tl2br w:val="nil"/>
              <w:tr2bl w:val="nil"/>
            </w:tcBorders>
            <w:noWrap w:val="0"/>
            <w:vAlign w:val="center"/>
          </w:tcPr>
          <w:p w14:paraId="34A6708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厂址下风向</w:t>
            </w:r>
          </w:p>
        </w:tc>
      </w:tr>
      <w:tr w14:paraId="2B202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1563" w:type="dxa"/>
            <w:tcBorders>
              <w:tl2br w:val="nil"/>
              <w:tr2bl w:val="nil"/>
            </w:tcBorders>
            <w:noWrap w:val="0"/>
            <w:vAlign w:val="center"/>
          </w:tcPr>
          <w:p w14:paraId="6F9B32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2025.01.14</w:t>
            </w:r>
          </w:p>
        </w:tc>
        <w:tc>
          <w:tcPr>
            <w:tcW w:w="2173" w:type="dxa"/>
            <w:vMerge w:val="restart"/>
            <w:tcBorders>
              <w:tl2br w:val="nil"/>
              <w:tr2bl w:val="nil"/>
            </w:tcBorders>
            <w:noWrap w:val="0"/>
            <w:vAlign w:val="center"/>
          </w:tcPr>
          <w:p w14:paraId="23FD907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日均值</w:t>
            </w:r>
          </w:p>
        </w:tc>
        <w:tc>
          <w:tcPr>
            <w:tcW w:w="4823" w:type="dxa"/>
            <w:tcBorders>
              <w:tl2br w:val="nil"/>
              <w:tr2bl w:val="nil"/>
            </w:tcBorders>
            <w:noWrap w:val="0"/>
            <w:vAlign w:val="center"/>
          </w:tcPr>
          <w:p w14:paraId="3CD08CB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0.086 </w:t>
            </w:r>
          </w:p>
        </w:tc>
      </w:tr>
      <w:tr w14:paraId="04B2AC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1563" w:type="dxa"/>
            <w:tcBorders>
              <w:tl2br w:val="nil"/>
              <w:tr2bl w:val="nil"/>
            </w:tcBorders>
            <w:noWrap w:val="0"/>
            <w:vAlign w:val="center"/>
          </w:tcPr>
          <w:p w14:paraId="2A2ADB3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2025.01.15</w:t>
            </w:r>
          </w:p>
        </w:tc>
        <w:tc>
          <w:tcPr>
            <w:tcW w:w="2173" w:type="dxa"/>
            <w:vMerge w:val="continue"/>
            <w:tcBorders>
              <w:tl2br w:val="nil"/>
              <w:tr2bl w:val="nil"/>
            </w:tcBorders>
            <w:noWrap w:val="0"/>
            <w:vAlign w:val="center"/>
          </w:tcPr>
          <w:p w14:paraId="22E29325">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5F6278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0.090 </w:t>
            </w:r>
          </w:p>
        </w:tc>
      </w:tr>
      <w:tr w14:paraId="57E03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0" w:type="auto"/>
            <w:tcBorders>
              <w:tl2br w:val="nil"/>
              <w:tr2bl w:val="nil"/>
            </w:tcBorders>
            <w:noWrap w:val="0"/>
            <w:vAlign w:val="center"/>
          </w:tcPr>
          <w:p w14:paraId="19550AE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2025.01.16</w:t>
            </w:r>
          </w:p>
        </w:tc>
        <w:tc>
          <w:tcPr>
            <w:tcW w:w="2173" w:type="dxa"/>
            <w:vMerge w:val="continue"/>
            <w:tcBorders>
              <w:tl2br w:val="nil"/>
              <w:tr2bl w:val="nil"/>
            </w:tcBorders>
            <w:noWrap w:val="0"/>
            <w:vAlign w:val="center"/>
          </w:tcPr>
          <w:p w14:paraId="162847C0">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0C61058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0.089 </w:t>
            </w:r>
          </w:p>
        </w:tc>
      </w:tr>
      <w:tr w14:paraId="21C1E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0" w:type="auto"/>
            <w:tcBorders>
              <w:tl2br w:val="nil"/>
              <w:tr2bl w:val="nil"/>
            </w:tcBorders>
            <w:noWrap w:val="0"/>
            <w:vAlign w:val="center"/>
          </w:tcPr>
          <w:p w14:paraId="37B11C8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2025.01.17</w:t>
            </w:r>
          </w:p>
        </w:tc>
        <w:tc>
          <w:tcPr>
            <w:tcW w:w="2173" w:type="dxa"/>
            <w:vMerge w:val="continue"/>
            <w:tcBorders>
              <w:tl2br w:val="nil"/>
              <w:tr2bl w:val="nil"/>
            </w:tcBorders>
            <w:noWrap w:val="0"/>
            <w:vAlign w:val="center"/>
          </w:tcPr>
          <w:p w14:paraId="35C01510">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378198F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0.094 </w:t>
            </w:r>
          </w:p>
        </w:tc>
      </w:tr>
      <w:tr w14:paraId="795AE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0" w:type="auto"/>
            <w:tcBorders>
              <w:tl2br w:val="nil"/>
              <w:tr2bl w:val="nil"/>
            </w:tcBorders>
            <w:noWrap w:val="0"/>
            <w:vAlign w:val="center"/>
          </w:tcPr>
          <w:p w14:paraId="26E6B9E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2025.01.18</w:t>
            </w:r>
          </w:p>
        </w:tc>
        <w:tc>
          <w:tcPr>
            <w:tcW w:w="2173" w:type="dxa"/>
            <w:vMerge w:val="continue"/>
            <w:tcBorders>
              <w:tl2br w:val="nil"/>
              <w:tr2bl w:val="nil"/>
            </w:tcBorders>
            <w:noWrap w:val="0"/>
            <w:vAlign w:val="center"/>
          </w:tcPr>
          <w:p w14:paraId="2C07A0E0">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4A05E2B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0.097 </w:t>
            </w:r>
          </w:p>
        </w:tc>
      </w:tr>
      <w:tr w14:paraId="76134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0" w:type="auto"/>
            <w:tcBorders>
              <w:tl2br w:val="nil"/>
              <w:tr2bl w:val="nil"/>
            </w:tcBorders>
            <w:noWrap w:val="0"/>
            <w:vAlign w:val="center"/>
          </w:tcPr>
          <w:p w14:paraId="6747FDD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2025.01.19</w:t>
            </w:r>
          </w:p>
        </w:tc>
        <w:tc>
          <w:tcPr>
            <w:tcW w:w="2173" w:type="dxa"/>
            <w:vMerge w:val="continue"/>
            <w:tcBorders>
              <w:tl2br w:val="nil"/>
              <w:tr2bl w:val="nil"/>
            </w:tcBorders>
            <w:noWrap w:val="0"/>
            <w:vAlign w:val="center"/>
          </w:tcPr>
          <w:p w14:paraId="0184F6E7">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49D2459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0.083 </w:t>
            </w:r>
          </w:p>
        </w:tc>
      </w:tr>
      <w:tr w14:paraId="4016D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0" w:type="auto"/>
            <w:tcBorders>
              <w:tl2br w:val="nil"/>
              <w:tr2bl w:val="nil"/>
            </w:tcBorders>
            <w:noWrap w:val="0"/>
            <w:vAlign w:val="center"/>
          </w:tcPr>
          <w:p w14:paraId="50C0FBF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2025.01.20</w:t>
            </w:r>
          </w:p>
        </w:tc>
        <w:tc>
          <w:tcPr>
            <w:tcW w:w="2173" w:type="dxa"/>
            <w:vMerge w:val="continue"/>
            <w:tcBorders>
              <w:tl2br w:val="nil"/>
              <w:tr2bl w:val="nil"/>
            </w:tcBorders>
            <w:noWrap w:val="0"/>
            <w:vAlign w:val="center"/>
          </w:tcPr>
          <w:p w14:paraId="763AE7DA">
            <w:pPr>
              <w:pStyle w:val="46"/>
              <w:bidi w:val="0"/>
              <w:rPr>
                <w:rFonts w:hint="default" w:ascii="Times New Roman" w:hAnsi="Times New Roman" w:cs="Times New Roman"/>
                <w:color w:val="auto"/>
                <w:highlight w:val="none"/>
                <w:lang w:val="en-US" w:eastAsia="zh-CN"/>
              </w:rPr>
            </w:pPr>
          </w:p>
        </w:tc>
        <w:tc>
          <w:tcPr>
            <w:tcW w:w="4823" w:type="dxa"/>
            <w:tcBorders>
              <w:tl2br w:val="nil"/>
              <w:tr2bl w:val="nil"/>
            </w:tcBorders>
            <w:noWrap w:val="0"/>
            <w:vAlign w:val="center"/>
          </w:tcPr>
          <w:p w14:paraId="01A67E1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0.089 </w:t>
            </w:r>
          </w:p>
        </w:tc>
      </w:tr>
    </w:tbl>
    <w:p w14:paraId="0EC9789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（4）评价方法</w:t>
      </w:r>
    </w:p>
    <w:p w14:paraId="21199A4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环境空气质量评价采用占标百分比评价法，数学表达式：</w:t>
      </w:r>
    </w:p>
    <w:p w14:paraId="6B7C239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环境空气质量评价采用如下方法：</w:t>
      </w:r>
    </w:p>
    <w:p w14:paraId="3BA377B4">
      <w:pPr>
        <w:pStyle w:val="27"/>
        <w:bidi w:val="0"/>
        <w:rPr>
          <w:rFonts w:hint="default" w:ascii="Times New Roman" w:hAnsi="Times New Roman" w:cs="Times New Roman"/>
          <w:color w:val="auto"/>
          <w:highlight w:val="none"/>
        </w:rPr>
      </w:pPr>
      <w:bookmarkStart w:id="223" w:name="_Toc173664414"/>
      <w:bookmarkStart w:id="224" w:name="_Toc173913381"/>
      <w:bookmarkStart w:id="225" w:name="_Toc173719425"/>
      <w:bookmarkStart w:id="226" w:name="_Toc173912864"/>
      <w:bookmarkStart w:id="227" w:name="_Toc173913122"/>
      <w:bookmarkStart w:id="228" w:name="_Toc173745759"/>
      <w:r>
        <w:rPr>
          <w:rFonts w:hint="default" w:ascii="Times New Roman" w:hAnsi="Times New Roman" w:cs="Times New Roman"/>
          <w:color w:val="auto"/>
          <w:highlight w:val="none"/>
        </w:rPr>
        <w:t>C现状（x,y）=MAX[</w:t>
      </w:r>
      <m:oMath>
        <m:f>
          <m:fPr>
            <m:ctrlPr>
              <w:rPr>
                <w:rFonts w:hint="default" w:ascii="Cambria Math" w:hAnsi="Cambria Math" w:cs="Times New Roman"/>
                <w:color w:val="auto"/>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highlight w:val="none"/>
              </w:rPr>
            </m:ctrlPr>
          </m:num>
          <m:den>
            <m:r>
              <m:rPr>
                <m:sty m:val="p"/>
              </m:rPr>
              <w:rPr>
                <w:rFonts w:hint="default" w:ascii="Cambria Math" w:hAnsi="Cambria Math" w:cs="Times New Roman"/>
                <w:color w:val="auto"/>
                <w:highlight w:val="none"/>
              </w:rPr>
              <m:t>n</m:t>
            </m:r>
            <m:ctrlPr>
              <w:rPr>
                <w:rFonts w:hint="default" w:ascii="Cambria Math" w:hAnsi="Cambria Math" w:cs="Times New Roman"/>
                <w:color w:val="auto"/>
                <w:highlight w:val="none"/>
              </w:rPr>
            </m:ctrlPr>
          </m:den>
        </m:f>
        <m:nary>
          <m:naryPr>
            <m:chr m:val="∑"/>
            <m:limLoc m:val="subSup"/>
            <m:ctrlPr>
              <w:rPr>
                <w:rFonts w:hint="default" w:ascii="Cambria Math" w:hAnsi="Cambria Math" w:cs="Times New Roman"/>
                <w:color w:val="auto"/>
                <w:highlight w:val="none"/>
              </w:rPr>
            </m:ctrlPr>
          </m:naryPr>
          <m:sub>
            <m:r>
              <m:rPr>
                <m:sty m:val="p"/>
              </m:rPr>
              <w:rPr>
                <w:rFonts w:hint="default" w:ascii="Cambria Math" w:hAnsi="Cambria Math" w:cs="Times New Roman"/>
                <w:color w:val="auto"/>
                <w:highlight w:val="none"/>
              </w:rPr>
              <m:t>j=1</m:t>
            </m:r>
            <m:ctrlPr>
              <w:rPr>
                <w:rFonts w:hint="default" w:ascii="Cambria Math" w:hAnsi="Cambria Math" w:cs="Times New Roman"/>
                <w:color w:val="auto"/>
                <w:highlight w:val="none"/>
              </w:rPr>
            </m:ctrlPr>
          </m:sub>
          <m:sup>
            <m:r>
              <m:rPr>
                <m:sty m:val="p"/>
              </m:rPr>
              <w:rPr>
                <w:rFonts w:hint="default" w:ascii="Cambria Math" w:hAnsi="Cambria Math" w:cs="Times New Roman"/>
                <w:color w:val="auto"/>
                <w:highlight w:val="none"/>
              </w:rPr>
              <m:t>n</m:t>
            </m:r>
            <m:ctrlPr>
              <w:rPr>
                <w:rFonts w:hint="default" w:ascii="Cambria Math" w:hAnsi="Cambria Math" w:cs="Times New Roman"/>
                <w:color w:val="auto"/>
                <w:highlight w:val="none"/>
              </w:rPr>
            </m:ctrlPr>
          </m:sup>
          <m:e>
            <m:sSub>
              <m:sSubPr>
                <m:ctrlPr>
                  <w:rPr>
                    <w:rFonts w:hint="default" w:ascii="Cambria Math" w:hAnsi="Cambria Math" w:cs="Times New Roman"/>
                    <w:color w:val="auto"/>
                    <w:highlight w:val="none"/>
                  </w:rPr>
                </m:ctrlPr>
              </m:sSubPr>
              <m:e>
                <m:r>
                  <m:rPr>
                    <m:sty m:val="p"/>
                  </m:rPr>
                  <w:rPr>
                    <w:rFonts w:hint="default" w:ascii="Cambria Math" w:hAnsi="Cambria Math" w:cs="Times New Roman"/>
                    <w:color w:val="auto"/>
                    <w:highlight w:val="none"/>
                  </w:rPr>
                  <m:t>C</m:t>
                </m:r>
                <m:ctrlPr>
                  <w:rPr>
                    <w:rFonts w:hint="default" w:ascii="Cambria Math" w:hAnsi="Cambria Math" w:cs="Times New Roman"/>
                    <w:color w:val="auto"/>
                    <w:highlight w:val="none"/>
                  </w:rPr>
                </m:ctrlPr>
              </m:e>
              <m:sub>
                <m:r>
                  <m:rPr>
                    <m:sty m:val="p"/>
                  </m:rPr>
                  <w:rPr>
                    <w:rFonts w:hint="default" w:ascii="Cambria Math" w:hAnsi="Cambria Math" w:cs="Times New Roman"/>
                    <w:color w:val="auto"/>
                    <w:highlight w:val="none"/>
                  </w:rPr>
                  <m:t>监测（j,t）</m:t>
                </m:r>
                <m:ctrlPr>
                  <w:rPr>
                    <w:rFonts w:hint="default" w:ascii="Cambria Math" w:hAnsi="Cambria Math" w:cs="Times New Roman"/>
                    <w:color w:val="auto"/>
                    <w:highlight w:val="none"/>
                  </w:rPr>
                </m:ctrlPr>
              </m:sub>
            </m:sSub>
            <m:ctrlPr>
              <w:rPr>
                <w:rFonts w:hint="default" w:ascii="Cambria Math" w:hAnsi="Cambria Math" w:cs="Times New Roman"/>
                <w:color w:val="auto"/>
                <w:highlight w:val="none"/>
              </w:rPr>
            </m:ctrlPr>
          </m:e>
        </m:nary>
      </m:oMath>
      <w:r>
        <w:rPr>
          <w:rFonts w:hint="default" w:ascii="Times New Roman" w:hAnsi="Times New Roman" w:cs="Times New Roman"/>
          <w:color w:val="auto"/>
          <w:highlight w:val="none"/>
        </w:rPr>
        <w:t>]</w:t>
      </w:r>
      <w:bookmarkEnd w:id="223"/>
      <w:bookmarkEnd w:id="224"/>
      <w:bookmarkEnd w:id="225"/>
      <w:bookmarkEnd w:id="226"/>
      <w:bookmarkEnd w:id="227"/>
      <w:bookmarkEnd w:id="228"/>
    </w:p>
    <w:p w14:paraId="6B5E0C5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式中：C现状（x,y）——环境空气保护目标及网格点（x,y）环境质量现状浓度，μg/m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397B9F3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m:oMath>
        <m:sSub>
          <m:sSubPr>
            <m:ctrlPr>
              <w:rPr>
                <w:rFonts w:hint="default" w:ascii="Cambria Math" w:hAnsi="Cambria Math" w:cs="Times New Roman"/>
                <w:color w:val="auto"/>
                <w:highlight w:val="none"/>
              </w:rPr>
            </m:ctrlPr>
          </m:sSubPr>
          <m:e>
            <m:r>
              <m:rPr>
                <m:sty m:val="p"/>
              </m:rPr>
              <w:rPr>
                <w:rFonts w:hint="default" w:ascii="Cambria Math" w:hAnsi="Cambria Math" w:cs="Times New Roman"/>
                <w:color w:val="auto"/>
                <w:highlight w:val="none"/>
              </w:rPr>
              <m:t>C</m:t>
            </m:r>
            <m:ctrlPr>
              <w:rPr>
                <w:rFonts w:hint="default" w:ascii="Cambria Math" w:hAnsi="Cambria Math" w:cs="Times New Roman"/>
                <w:color w:val="auto"/>
                <w:highlight w:val="none"/>
              </w:rPr>
            </m:ctrlPr>
          </m:e>
          <m:sub>
            <m:r>
              <m:rPr>
                <m:sty m:val="p"/>
              </m:rPr>
              <w:rPr>
                <w:rFonts w:hint="default" w:ascii="Cambria Math" w:hAnsi="Cambria Math" w:cs="Times New Roman"/>
                <w:color w:val="auto"/>
                <w:highlight w:val="none"/>
              </w:rPr>
              <m:t>监测（j,t）</m:t>
            </m:r>
            <m:ctrlPr>
              <w:rPr>
                <w:rFonts w:hint="default" w:ascii="Cambria Math" w:hAnsi="Cambria Math" w:cs="Times New Roman"/>
                <w:color w:val="auto"/>
                <w:highlight w:val="none"/>
              </w:rPr>
            </m:ctrlPr>
          </m:sub>
        </m:sSub>
      </m:oMath>
      <w:r>
        <w:rPr>
          <w:rFonts w:hint="default" w:ascii="Times New Roman" w:hAnsi="Times New Roman" w:cs="Times New Roman"/>
          <w:color w:val="auto"/>
          <w:highlight w:val="none"/>
        </w:rPr>
        <w:t>——第j个监测点位在t时刻环境质量现状浓度（包括1h平均、8h平均或日平均质量浓度）采用估算模型计算出的第i个污染物的最大1h地面空气质量浓度，</w:t>
      </w:r>
      <w:bookmarkStart w:id="229" w:name="_Hlk53993784"/>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bookmarkEnd w:id="229"/>
      <w:r>
        <w:rPr>
          <w:rFonts w:hint="default" w:ascii="Times New Roman" w:hAnsi="Times New Roman" w:cs="Times New Roman"/>
          <w:color w:val="auto"/>
          <w:highlight w:val="none"/>
        </w:rPr>
        <w:t>；</w:t>
      </w:r>
    </w:p>
    <w:p w14:paraId="1D17B7A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n——现状补充监测点位数；</w:t>
      </w:r>
    </w:p>
    <w:p w14:paraId="5AA724F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（5）监测结果分析评价</w:t>
      </w:r>
    </w:p>
    <w:p w14:paraId="287DBA54">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其他污染物环境质量现状（监测结果）表</w:t>
      </w:r>
    </w:p>
    <w:tbl>
      <w:tblPr>
        <w:tblStyle w:val="2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54"/>
        <w:gridCol w:w="1699"/>
        <w:gridCol w:w="1590"/>
        <w:gridCol w:w="578"/>
        <w:gridCol w:w="672"/>
        <w:gridCol w:w="922"/>
        <w:gridCol w:w="796"/>
        <w:gridCol w:w="729"/>
        <w:gridCol w:w="450"/>
        <w:gridCol w:w="427"/>
      </w:tblGrid>
      <w:tr w14:paraId="105888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9" w:hRule="atLeast"/>
          <w:jc w:val="center"/>
        </w:trPr>
        <w:tc>
          <w:tcPr>
            <w:tcW w:w="383" w:type="pct"/>
            <w:vMerge w:val="restart"/>
            <w:tcBorders>
              <w:tl2br w:val="nil"/>
              <w:tr2bl w:val="nil"/>
            </w:tcBorders>
            <w:vAlign w:val="center"/>
          </w:tcPr>
          <w:p w14:paraId="5F4D60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930" w:type="pct"/>
            <w:gridSpan w:val="2"/>
            <w:tcBorders>
              <w:tl2br w:val="nil"/>
              <w:tr2bl w:val="nil"/>
            </w:tcBorders>
            <w:vAlign w:val="center"/>
          </w:tcPr>
          <w:p w14:paraId="60A43C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339" w:type="pct"/>
            <w:vMerge w:val="restart"/>
            <w:tcBorders>
              <w:tl2br w:val="nil"/>
              <w:tr2bl w:val="nil"/>
            </w:tcBorders>
            <w:vAlign w:val="center"/>
          </w:tcPr>
          <w:p w14:paraId="462A31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94" w:type="pct"/>
            <w:vMerge w:val="restart"/>
            <w:tcBorders>
              <w:tl2br w:val="nil"/>
              <w:tr2bl w:val="nil"/>
            </w:tcBorders>
            <w:vAlign w:val="center"/>
          </w:tcPr>
          <w:p w14:paraId="01A29D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平均时间</w:t>
            </w:r>
          </w:p>
        </w:tc>
        <w:tc>
          <w:tcPr>
            <w:tcW w:w="541" w:type="pct"/>
            <w:vMerge w:val="restart"/>
            <w:tcBorders>
              <w:tl2br w:val="nil"/>
              <w:tr2bl w:val="nil"/>
            </w:tcBorders>
            <w:vAlign w:val="center"/>
          </w:tcPr>
          <w:p w14:paraId="0302FC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467" w:type="pct"/>
            <w:vMerge w:val="restart"/>
            <w:tcBorders>
              <w:tl2br w:val="nil"/>
              <w:tr2bl w:val="nil"/>
            </w:tcBorders>
            <w:vAlign w:val="center"/>
          </w:tcPr>
          <w:p w14:paraId="202CF0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监测浓度范围/(μg/m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427" w:type="pct"/>
            <w:vMerge w:val="restart"/>
            <w:tcBorders>
              <w:tl2br w:val="nil"/>
              <w:tr2bl w:val="nil"/>
            </w:tcBorders>
            <w:vAlign w:val="center"/>
          </w:tcPr>
          <w:p w14:paraId="3D98F9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最大浓度占标率/%</w:t>
            </w:r>
          </w:p>
        </w:tc>
        <w:tc>
          <w:tcPr>
            <w:tcW w:w="264" w:type="pct"/>
            <w:vMerge w:val="restart"/>
            <w:tcBorders>
              <w:tl2br w:val="nil"/>
              <w:tr2bl w:val="nil"/>
            </w:tcBorders>
            <w:vAlign w:val="center"/>
          </w:tcPr>
          <w:p w14:paraId="63E961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250" w:type="pct"/>
            <w:vMerge w:val="restart"/>
            <w:tcBorders>
              <w:tl2br w:val="nil"/>
              <w:tr2bl w:val="nil"/>
            </w:tcBorders>
            <w:vAlign w:val="center"/>
          </w:tcPr>
          <w:p w14:paraId="4BD62C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3E35F5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 w:hRule="atLeast"/>
          <w:jc w:val="center"/>
        </w:trPr>
        <w:tc>
          <w:tcPr>
            <w:tcW w:w="383" w:type="pct"/>
            <w:vMerge w:val="continue"/>
            <w:tcBorders>
              <w:tl2br w:val="nil"/>
              <w:tr2bl w:val="nil"/>
            </w:tcBorders>
            <w:vAlign w:val="center"/>
          </w:tcPr>
          <w:p w14:paraId="0D7DA8E0">
            <w:pPr>
              <w:pStyle w:val="46"/>
              <w:bidi w:val="0"/>
              <w:rPr>
                <w:rFonts w:hint="default" w:ascii="Times New Roman" w:hAnsi="Times New Roman" w:cs="Times New Roman"/>
                <w:color w:val="auto"/>
                <w:highlight w:val="none"/>
              </w:rPr>
            </w:pPr>
          </w:p>
        </w:tc>
        <w:tc>
          <w:tcPr>
            <w:tcW w:w="997" w:type="pct"/>
            <w:tcBorders>
              <w:tl2br w:val="nil"/>
              <w:tr2bl w:val="nil"/>
            </w:tcBorders>
            <w:vAlign w:val="center"/>
          </w:tcPr>
          <w:p w14:paraId="2C53F8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X</w:t>
            </w:r>
          </w:p>
        </w:tc>
        <w:tc>
          <w:tcPr>
            <w:tcW w:w="933" w:type="pct"/>
            <w:tcBorders>
              <w:tl2br w:val="nil"/>
              <w:tr2bl w:val="nil"/>
            </w:tcBorders>
            <w:vAlign w:val="center"/>
          </w:tcPr>
          <w:p w14:paraId="4C8E9F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Y</w:t>
            </w:r>
          </w:p>
        </w:tc>
        <w:tc>
          <w:tcPr>
            <w:tcW w:w="339" w:type="pct"/>
            <w:vMerge w:val="continue"/>
            <w:tcBorders>
              <w:tl2br w:val="nil"/>
              <w:tr2bl w:val="nil"/>
            </w:tcBorders>
            <w:vAlign w:val="center"/>
          </w:tcPr>
          <w:p w14:paraId="73433E87">
            <w:pPr>
              <w:pStyle w:val="46"/>
              <w:bidi w:val="0"/>
              <w:rPr>
                <w:rFonts w:hint="default" w:ascii="Times New Roman" w:hAnsi="Times New Roman" w:cs="Times New Roman"/>
                <w:color w:val="auto"/>
                <w:highlight w:val="none"/>
              </w:rPr>
            </w:pPr>
          </w:p>
        </w:tc>
        <w:tc>
          <w:tcPr>
            <w:tcW w:w="394" w:type="pct"/>
            <w:vMerge w:val="continue"/>
            <w:tcBorders>
              <w:tl2br w:val="nil"/>
              <w:tr2bl w:val="nil"/>
            </w:tcBorders>
            <w:vAlign w:val="center"/>
          </w:tcPr>
          <w:p w14:paraId="4E44A31B">
            <w:pPr>
              <w:pStyle w:val="46"/>
              <w:bidi w:val="0"/>
              <w:rPr>
                <w:rFonts w:hint="default" w:ascii="Times New Roman" w:hAnsi="Times New Roman" w:cs="Times New Roman"/>
                <w:color w:val="auto"/>
                <w:highlight w:val="none"/>
              </w:rPr>
            </w:pPr>
          </w:p>
        </w:tc>
        <w:tc>
          <w:tcPr>
            <w:tcW w:w="541" w:type="pct"/>
            <w:vMerge w:val="continue"/>
            <w:tcBorders>
              <w:tl2br w:val="nil"/>
              <w:tr2bl w:val="nil"/>
            </w:tcBorders>
            <w:vAlign w:val="center"/>
          </w:tcPr>
          <w:p w14:paraId="26DECC1F">
            <w:pPr>
              <w:pStyle w:val="46"/>
              <w:bidi w:val="0"/>
              <w:rPr>
                <w:rFonts w:hint="default" w:ascii="Times New Roman" w:hAnsi="Times New Roman" w:cs="Times New Roman"/>
                <w:color w:val="auto"/>
                <w:highlight w:val="none"/>
              </w:rPr>
            </w:pPr>
          </w:p>
        </w:tc>
        <w:tc>
          <w:tcPr>
            <w:tcW w:w="467" w:type="pct"/>
            <w:vMerge w:val="continue"/>
            <w:tcBorders>
              <w:tl2br w:val="nil"/>
              <w:tr2bl w:val="nil"/>
            </w:tcBorders>
            <w:vAlign w:val="center"/>
          </w:tcPr>
          <w:p w14:paraId="34278759">
            <w:pPr>
              <w:pStyle w:val="46"/>
              <w:bidi w:val="0"/>
              <w:rPr>
                <w:rFonts w:hint="default" w:ascii="Times New Roman" w:hAnsi="Times New Roman" w:cs="Times New Roman"/>
                <w:color w:val="auto"/>
                <w:highlight w:val="none"/>
              </w:rPr>
            </w:pPr>
          </w:p>
        </w:tc>
        <w:tc>
          <w:tcPr>
            <w:tcW w:w="427" w:type="pct"/>
            <w:vMerge w:val="continue"/>
            <w:tcBorders>
              <w:tl2br w:val="nil"/>
              <w:tr2bl w:val="nil"/>
            </w:tcBorders>
            <w:vAlign w:val="center"/>
          </w:tcPr>
          <w:p w14:paraId="758A0B08">
            <w:pPr>
              <w:pStyle w:val="46"/>
              <w:bidi w:val="0"/>
              <w:rPr>
                <w:rFonts w:hint="default" w:ascii="Times New Roman" w:hAnsi="Times New Roman" w:cs="Times New Roman"/>
                <w:color w:val="auto"/>
                <w:highlight w:val="none"/>
              </w:rPr>
            </w:pPr>
          </w:p>
        </w:tc>
        <w:tc>
          <w:tcPr>
            <w:tcW w:w="264" w:type="pct"/>
            <w:vMerge w:val="continue"/>
            <w:tcBorders>
              <w:tl2br w:val="nil"/>
              <w:tr2bl w:val="nil"/>
            </w:tcBorders>
            <w:vAlign w:val="center"/>
          </w:tcPr>
          <w:p w14:paraId="40810FD7">
            <w:pPr>
              <w:pStyle w:val="46"/>
              <w:bidi w:val="0"/>
              <w:rPr>
                <w:rFonts w:hint="default" w:ascii="Times New Roman" w:hAnsi="Times New Roman" w:cs="Times New Roman"/>
                <w:color w:val="auto"/>
                <w:highlight w:val="none"/>
              </w:rPr>
            </w:pPr>
          </w:p>
        </w:tc>
        <w:tc>
          <w:tcPr>
            <w:tcW w:w="250" w:type="pct"/>
            <w:vMerge w:val="continue"/>
            <w:tcBorders>
              <w:tl2br w:val="nil"/>
              <w:tr2bl w:val="nil"/>
            </w:tcBorders>
            <w:vAlign w:val="center"/>
          </w:tcPr>
          <w:p w14:paraId="6548AE62">
            <w:pPr>
              <w:pStyle w:val="46"/>
              <w:bidi w:val="0"/>
              <w:rPr>
                <w:rFonts w:hint="default" w:ascii="Times New Roman" w:hAnsi="Times New Roman" w:cs="Times New Roman"/>
                <w:color w:val="auto"/>
                <w:highlight w:val="none"/>
              </w:rPr>
            </w:pPr>
          </w:p>
        </w:tc>
      </w:tr>
      <w:tr w14:paraId="4392B9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7" w:hRule="atLeast"/>
          <w:jc w:val="center"/>
        </w:trPr>
        <w:tc>
          <w:tcPr>
            <w:tcW w:w="383" w:type="pct"/>
            <w:tcBorders>
              <w:tl2br w:val="nil"/>
              <w:tr2bl w:val="nil"/>
            </w:tcBorders>
            <w:vAlign w:val="center"/>
          </w:tcPr>
          <w:p w14:paraId="446FB8B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场址</w:t>
            </w:r>
            <w:r>
              <w:rPr>
                <w:rFonts w:hint="default" w:ascii="Times New Roman" w:hAnsi="Times New Roman" w:cs="Times New Roman"/>
                <w:color w:val="auto"/>
                <w:highlight w:val="none"/>
                <w:lang w:val="en-US" w:eastAsia="zh-CN"/>
              </w:rPr>
              <w:t>下风向</w:t>
            </w:r>
          </w:p>
        </w:tc>
        <w:tc>
          <w:tcPr>
            <w:tcW w:w="997" w:type="pct"/>
            <w:tcBorders>
              <w:tl2br w:val="nil"/>
              <w:tr2bl w:val="nil"/>
            </w:tcBorders>
            <w:vAlign w:val="center"/>
          </w:tcPr>
          <w:p w14:paraId="25382D2C">
            <w:pPr>
              <w:pStyle w:val="46"/>
              <w:bidi w:val="0"/>
              <w:rPr>
                <w:rFonts w:hint="default" w:ascii="Times New Roman" w:hAnsi="Times New Roman" w:cs="Times New Roman"/>
                <w:color w:val="auto"/>
                <w:highlight w:val="none"/>
              </w:rPr>
            </w:pPr>
            <w:r>
              <w:rPr>
                <w:rFonts w:hint="default" w:ascii="Times New Roman" w:hAnsi="Times New Roman" w:cs="Times New Roman"/>
                <w:color w:val="auto"/>
                <w:sz w:val="22"/>
                <w:szCs w:val="22"/>
                <w:highlight w:val="none"/>
                <w:lang w:val="en-US" w:eastAsia="zh-CN"/>
              </w:rPr>
              <w:t>130.76485286</w:t>
            </w:r>
          </w:p>
        </w:tc>
        <w:tc>
          <w:tcPr>
            <w:tcW w:w="933" w:type="pct"/>
            <w:tcBorders>
              <w:tl2br w:val="nil"/>
              <w:tr2bl w:val="nil"/>
            </w:tcBorders>
            <w:vAlign w:val="center"/>
          </w:tcPr>
          <w:p w14:paraId="4EF4091E">
            <w:pPr>
              <w:pStyle w:val="46"/>
              <w:bidi w:val="0"/>
              <w:rPr>
                <w:rFonts w:hint="default" w:ascii="Times New Roman" w:hAnsi="Times New Roman" w:cs="Times New Roman"/>
                <w:color w:val="auto"/>
                <w:highlight w:val="none"/>
              </w:rPr>
            </w:pPr>
            <w:r>
              <w:rPr>
                <w:rFonts w:hint="default" w:ascii="Times New Roman" w:hAnsi="Times New Roman" w:cs="Times New Roman"/>
                <w:color w:val="auto"/>
                <w:sz w:val="22"/>
                <w:szCs w:val="22"/>
                <w:highlight w:val="none"/>
                <w:lang w:val="en-US" w:eastAsia="zh-CN"/>
              </w:rPr>
              <w:t>45.34412654</w:t>
            </w:r>
          </w:p>
        </w:tc>
        <w:tc>
          <w:tcPr>
            <w:tcW w:w="339" w:type="pct"/>
            <w:tcBorders>
              <w:tl2br w:val="nil"/>
              <w:tr2bl w:val="nil"/>
            </w:tcBorders>
            <w:vAlign w:val="center"/>
          </w:tcPr>
          <w:p w14:paraId="660800B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394" w:type="pct"/>
            <w:tcBorders>
              <w:tl2br w:val="nil"/>
              <w:tr2bl w:val="nil"/>
            </w:tcBorders>
            <w:vAlign w:val="center"/>
          </w:tcPr>
          <w:p w14:paraId="60FB0A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24小时均值</w:t>
            </w:r>
          </w:p>
        </w:tc>
        <w:tc>
          <w:tcPr>
            <w:tcW w:w="541" w:type="pct"/>
            <w:tcBorders>
              <w:tl2br w:val="nil"/>
              <w:tr2bl w:val="nil"/>
            </w:tcBorders>
            <w:vAlign w:val="center"/>
          </w:tcPr>
          <w:p w14:paraId="35E1A3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467" w:type="pct"/>
            <w:tcBorders>
              <w:tl2br w:val="nil"/>
              <w:tr2bl w:val="nil"/>
            </w:tcBorders>
            <w:vAlign w:val="center"/>
          </w:tcPr>
          <w:p w14:paraId="0E2911EE">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83~97</w:t>
            </w:r>
          </w:p>
        </w:tc>
        <w:tc>
          <w:tcPr>
            <w:tcW w:w="427" w:type="pct"/>
            <w:tcBorders>
              <w:tl2br w:val="nil"/>
              <w:tr2bl w:val="nil"/>
            </w:tcBorders>
            <w:vAlign w:val="center"/>
          </w:tcPr>
          <w:p w14:paraId="56A9F5BF">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32.3</w:t>
            </w:r>
          </w:p>
        </w:tc>
        <w:tc>
          <w:tcPr>
            <w:tcW w:w="264" w:type="pct"/>
            <w:tcBorders>
              <w:tl2br w:val="nil"/>
              <w:tr2bl w:val="nil"/>
            </w:tcBorders>
            <w:vAlign w:val="center"/>
          </w:tcPr>
          <w:p w14:paraId="4FA359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vAlign w:val="center"/>
          </w:tcPr>
          <w:p w14:paraId="6ADC6B1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564DBCD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（6）现状补充监测评价结论</w:t>
      </w:r>
    </w:p>
    <w:p w14:paraId="563A02C0">
      <w:pPr>
        <w:pStyle w:val="27"/>
        <w:bidi w:val="0"/>
        <w:rPr>
          <w:rFonts w:hint="default" w:ascii="Times New Roman" w:hAnsi="Times New Roman" w:cs="Times New Roman"/>
          <w:color w:val="auto"/>
          <w:highlight w:val="none"/>
          <w:lang w:val="zh-CN"/>
        </w:rPr>
      </w:pPr>
      <w:bookmarkStart w:id="230" w:name="_Hlk26984030"/>
      <w:r>
        <w:rPr>
          <w:rFonts w:hint="default" w:ascii="Times New Roman" w:hAnsi="Times New Roman" w:cs="Times New Roman"/>
          <w:color w:val="auto"/>
          <w:highlight w:val="none"/>
        </w:rPr>
        <w:t>根据其他污染物现状评价结果可知，TSP浓度满足《环境空气质量标准》（GB3095-2012）及修改单中的二级标准。</w:t>
      </w:r>
    </w:p>
    <w:bookmarkEnd w:id="230"/>
    <w:p w14:paraId="61035EDA">
      <w:pPr>
        <w:pStyle w:val="41"/>
        <w:bidi w:val="0"/>
        <w:rPr>
          <w:rFonts w:hint="default" w:ascii="Times New Roman" w:hAnsi="Times New Roman" w:cs="Times New Roman"/>
          <w:color w:val="auto"/>
          <w:highlight w:val="none"/>
        </w:rPr>
      </w:pPr>
      <w:bookmarkStart w:id="231" w:name="_Toc30380"/>
      <w:r>
        <w:rPr>
          <w:rFonts w:hint="default" w:ascii="Times New Roman" w:hAnsi="Times New Roman" w:cs="Times New Roman"/>
          <w:color w:val="auto"/>
          <w:highlight w:val="none"/>
        </w:rPr>
        <w:t>4.2.2地表水现状评价</w:t>
      </w:r>
      <w:bookmarkEnd w:id="231"/>
    </w:p>
    <w:p w14:paraId="40AE2F39">
      <w:pPr>
        <w:pStyle w:val="27"/>
        <w:bidi w:val="0"/>
        <w:rPr>
          <w:rFonts w:hint="default" w:ascii="Times New Roman" w:hAnsi="Times New Roman" w:cs="Times New Roman"/>
          <w:color w:val="auto"/>
          <w:highlight w:val="none"/>
        </w:rPr>
      </w:pPr>
      <w:bookmarkStart w:id="232" w:name="OLE_LINK27"/>
      <w:bookmarkStart w:id="233" w:name="_Hlk149051250"/>
      <w:r>
        <w:rPr>
          <w:rFonts w:hint="default" w:ascii="Times New Roman" w:hAnsi="Times New Roman" w:cs="Times New Roman"/>
          <w:color w:val="auto"/>
          <w:highlight w:val="none"/>
        </w:rPr>
        <w:t>项目附近地表水体为牤牛河，属于穆棱河水系。根据《全国重要江河湖泊水功能区划（2011—2030年）》规定，本项目区域穆棱河断面水质执行《地表水环境质量标准》（GB3838-2002）中Ⅲ类标准，本项目附近水体牤牛河（穆棱河一级支流）参照Ⅲ类功能水体，因此本工程地表水环境质量执行《地表水环境质量标准》（GB3838-2002）中Ⅲ类水体标准。</w:t>
      </w:r>
    </w:p>
    <w:bookmarkEnd w:id="232"/>
    <w:bookmarkEnd w:id="233"/>
    <w:p w14:paraId="7A944F8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根据黑龙江省生态环境厅《</w:t>
      </w:r>
      <w:r>
        <w:rPr>
          <w:rFonts w:hint="default" w:ascii="Times New Roman" w:hAnsi="Times New Roman" w:cs="Times New Roman"/>
          <w:color w:val="auto"/>
          <w:highlight w:val="none"/>
          <w:lang w:eastAsia="zh-CN"/>
        </w:rPr>
        <w:t>2024年黑龙江省生态环境质量状况</w:t>
      </w:r>
      <w:r>
        <w:rPr>
          <w:rFonts w:hint="default" w:ascii="Times New Roman" w:hAnsi="Times New Roman" w:cs="Times New Roman"/>
          <w:color w:val="auto"/>
          <w:highlight w:val="none"/>
        </w:rPr>
        <w:t>》，鸡西市地表水国家考核断面共8个，Ⅰ - Ⅲ类水质比例为</w:t>
      </w:r>
      <w:r>
        <w:rPr>
          <w:rFonts w:hint="default" w:ascii="Times New Roman" w:hAnsi="Times New Roman" w:cs="Times New Roman"/>
          <w:color w:val="auto"/>
          <w:highlight w:val="none"/>
          <w:lang w:val="en-US" w:eastAsia="zh-CN"/>
        </w:rPr>
        <w:t>75.0</w:t>
      </w:r>
      <w:r>
        <w:rPr>
          <w:rFonts w:hint="default" w:ascii="Times New Roman" w:hAnsi="Times New Roman" w:cs="Times New Roman"/>
          <w:color w:val="auto"/>
          <w:highlight w:val="none"/>
        </w:rPr>
        <w:t>%，无劣V类水质断面。与上年同期相比，Ⅰ - Ⅲ类水质比例上升12.5个百分点，均无劣V类水质断面。</w:t>
      </w:r>
    </w:p>
    <w:p w14:paraId="73E2F23D">
      <w:pPr>
        <w:pStyle w:val="27"/>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兴凯湖和</w:t>
      </w:r>
      <w:r>
        <w:rPr>
          <w:rFonts w:hint="default" w:ascii="Times New Roman" w:hAnsi="Times New Roman" w:cs="Times New Roman"/>
          <w:color w:val="auto"/>
          <w:highlight w:val="none"/>
        </w:rPr>
        <w:t>小兴凯湖的水质状况为轻度污染。鸡西市饮用水水源地水量达标率为100%。</w:t>
      </w:r>
    </w:p>
    <w:p w14:paraId="6EF0101A">
      <w:pPr>
        <w:pStyle w:val="27"/>
        <w:bidi w:val="0"/>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年全省河流水质状况示意图见图4-2-2。由图可知，穆棱河水质现状为Ⅲ类水体，满足水体功能区规划目标Ⅲ类标准要求。</w:t>
      </w:r>
    </w:p>
    <w:p w14:paraId="257EAEA1">
      <w:pPr>
        <w:pStyle w:val="27"/>
        <w:spacing w:line="240" w:lineRule="auto"/>
        <w:ind w:firstLine="199" w:firstLineChars="83"/>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4182745</wp:posOffset>
                </wp:positionH>
                <wp:positionV relativeFrom="paragraph">
                  <wp:posOffset>1831975</wp:posOffset>
                </wp:positionV>
                <wp:extent cx="697230" cy="366395"/>
                <wp:effectExtent l="708025" t="5080" r="23495" b="390525"/>
                <wp:wrapNone/>
                <wp:docPr id="1318530949" name="对话气泡: 矩形 3"/>
                <wp:cNvGraphicFramePr/>
                <a:graphic xmlns:a="http://schemas.openxmlformats.org/drawingml/2006/main">
                  <a:graphicData uri="http://schemas.microsoft.com/office/word/2010/wordprocessingShape">
                    <wps:wsp>
                      <wps:cNvSpPr/>
                      <wps:spPr>
                        <a:xfrm>
                          <a:off x="0" y="0"/>
                          <a:ext cx="697230" cy="366395"/>
                        </a:xfrm>
                        <a:prstGeom prst="wedgeRectCallout">
                          <a:avLst>
                            <a:gd name="adj1" fmla="val -150891"/>
                            <a:gd name="adj2" fmla="val 154531"/>
                          </a:avLst>
                        </a:prstGeom>
                        <a:ln w="3175"/>
                      </wps:spPr>
                      <wps:style>
                        <a:lnRef idx="2">
                          <a:schemeClr val="dk1"/>
                        </a:lnRef>
                        <a:fillRef idx="1">
                          <a:schemeClr val="lt1"/>
                        </a:fillRef>
                        <a:effectRef idx="0">
                          <a:schemeClr val="dk1"/>
                        </a:effectRef>
                        <a:fontRef idx="minor">
                          <a:schemeClr val="dk1"/>
                        </a:fontRef>
                      </wps:style>
                      <wps:txbx>
                        <w:txbxContent>
                          <w:p w14:paraId="331C0525">
                            <w:pPr>
                              <w:ind w:left="0" w:leftChars="0" w:firstLine="0" w:firstLineChars="0"/>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29.35pt;margin-top:144.25pt;height:28.85pt;width:54.9pt;z-index:251671552;v-text-anchor:middle;mso-width-relative:page;mso-height-relative:page;" fillcolor="#FFFFFF [3201]" filled="t" stroked="t" coordsize="21600,21600" o:gfxdata="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AuINhfYAAAACwEAAA8AAAAAAAAAAQAgAAAA&#10;IgAAAGRycy9kb3ducmV2LnhtbFBLAQIUABQAAAAIAIdO4kBkVVa9tgIAAF0FAAAOAAAAAAAAAAEA&#10;IAAAACcBAABkcnMvZTJvRG9jLnhtbFBLBQYAAAAABgAGAFkBAABPBgAAAAA=&#10;" adj="-21792,44179">
                <v:fill on="t" focussize="0,0"/>
                <v:stroke weight="0.25pt" color="#000000 [3200]" joinstyle="round"/>
                <v:imagedata o:title=""/>
                <o:lock v:ext="edit" aspectratio="f"/>
                <v:textbox>
                  <w:txbxContent>
                    <w:p w14:paraId="331C0525">
                      <w:pPr>
                        <w:ind w:left="0" w:leftChars="0" w:firstLine="0" w:firstLineChars="0"/>
                        <w:jc w:val="center"/>
                      </w:pPr>
                      <w:r>
                        <w:rPr>
                          <w:rFonts w:hint="eastAsia"/>
                        </w:rPr>
                        <w:t>本项目</w:t>
                      </w:r>
                    </w:p>
                  </w:txbxContent>
                </v:textbox>
              </v:shape>
            </w:pict>
          </mc:Fallback>
        </mc:AlternateContent>
      </w:r>
      <w:r>
        <w:rPr>
          <w:rFonts w:hint="default" w:ascii="Times New Roman" w:hAnsi="Times New Roman" w:cs="Times New Roman"/>
          <w:color w:val="auto"/>
          <w:highlight w:val="none"/>
        </w:rPr>
        <w:drawing>
          <wp:inline distT="0" distB="0" distL="114300" distR="114300">
            <wp:extent cx="5076825" cy="4219575"/>
            <wp:effectExtent l="0" t="0" r="9525" b="952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38"/>
                    <a:stretch>
                      <a:fillRect/>
                    </a:stretch>
                  </pic:blipFill>
                  <pic:spPr>
                    <a:xfrm>
                      <a:off x="0" y="0"/>
                      <a:ext cx="5076825" cy="4219575"/>
                    </a:xfrm>
                    <a:prstGeom prst="rect">
                      <a:avLst/>
                    </a:prstGeom>
                    <a:noFill/>
                    <a:ln>
                      <a:noFill/>
                    </a:ln>
                  </pic:spPr>
                </pic:pic>
              </a:graphicData>
            </a:graphic>
          </wp:inline>
        </w:drawing>
      </w:r>
    </w:p>
    <w:p w14:paraId="0BAA80AF">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图4-2-</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全省地表水水质状况示意图</w:t>
      </w:r>
    </w:p>
    <w:p w14:paraId="6FBD069A">
      <w:pPr>
        <w:pStyle w:val="41"/>
        <w:bidi w:val="0"/>
        <w:rPr>
          <w:rFonts w:hint="default" w:ascii="Times New Roman" w:hAnsi="Times New Roman" w:cs="Times New Roman"/>
          <w:color w:val="auto"/>
          <w:highlight w:val="none"/>
        </w:rPr>
      </w:pPr>
      <w:bookmarkStart w:id="234" w:name="_Toc8122"/>
      <w:r>
        <w:rPr>
          <w:rFonts w:hint="default" w:ascii="Times New Roman" w:hAnsi="Times New Roman" w:cs="Times New Roman"/>
          <w:color w:val="auto"/>
          <w:highlight w:val="none"/>
        </w:rPr>
        <w:t>4.2.3地下水质量现状评价</w:t>
      </w:r>
      <w:bookmarkEnd w:id="234"/>
    </w:p>
    <w:p w14:paraId="7E13093C">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4.2.3.1地下水环境现状监测</w:t>
      </w:r>
    </w:p>
    <w:p w14:paraId="7E4E740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1、数据来源</w:t>
      </w:r>
    </w:p>
    <w:p w14:paraId="43A0498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建设单位委托</w:t>
      </w:r>
      <w:r>
        <w:rPr>
          <w:rFonts w:hint="default" w:ascii="Times New Roman" w:hAnsi="Times New Roman" w:cs="Times New Roman"/>
          <w:color w:val="auto"/>
          <w:highlight w:val="none"/>
          <w:lang w:eastAsia="zh-CN"/>
        </w:rPr>
        <w:t>黑龙江汉风环境检测技术有限公司</w:t>
      </w:r>
      <w:r>
        <w:rPr>
          <w:rFonts w:hint="default" w:ascii="Times New Roman" w:hAnsi="Times New Roman" w:cs="Times New Roman"/>
          <w:color w:val="auto"/>
          <w:highlight w:val="none"/>
        </w:rPr>
        <w:t>于202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月对地下水环境质量监测。</w:t>
      </w:r>
    </w:p>
    <w:p w14:paraId="707159E4">
      <w:pPr>
        <w:pStyle w:val="27"/>
        <w:bidi w:val="0"/>
        <w:rPr>
          <w:rFonts w:hint="default"/>
          <w:color w:val="auto"/>
          <w:highlight w:val="none"/>
        </w:rPr>
      </w:pPr>
      <w:r>
        <w:rPr>
          <w:rFonts w:hint="default"/>
          <w:color w:val="auto"/>
          <w:highlight w:val="none"/>
        </w:rPr>
        <w:t>2、监测点位</w:t>
      </w:r>
    </w:p>
    <w:p w14:paraId="73937934">
      <w:pPr>
        <w:pStyle w:val="27"/>
        <w:bidi w:val="0"/>
        <w:rPr>
          <w:rFonts w:hint="default"/>
          <w:color w:val="auto"/>
          <w:highlight w:val="none"/>
          <w:lang w:val="en-US" w:eastAsia="zh-CN"/>
        </w:rPr>
      </w:pPr>
      <w:r>
        <w:rPr>
          <w:rFonts w:hint="default"/>
          <w:color w:val="auto"/>
          <w:highlight w:val="none"/>
          <w:lang w:val="en-US" w:eastAsia="zh-CN"/>
        </w:rPr>
        <w:t>根据《环境影响评价技术导则 地下水环境》（HJ 610-2016）相关内容，三级评价项目潜水含水层水质监测点应不少于3个，可能受建设项目影响且具有饮用水开发利用价值的含水层1-2个。原则上建设项目场地上游及下游影响区的地下水水质监测点各不得少于1个。</w:t>
      </w:r>
    </w:p>
    <w:p w14:paraId="025AE613">
      <w:pPr>
        <w:pStyle w:val="27"/>
        <w:bidi w:val="0"/>
        <w:rPr>
          <w:rFonts w:hint="default"/>
          <w:color w:val="auto"/>
          <w:highlight w:val="none"/>
          <w:lang w:val="en-US" w:eastAsia="zh-CN"/>
        </w:rPr>
      </w:pPr>
      <w:r>
        <w:rPr>
          <w:rFonts w:hint="default"/>
          <w:color w:val="auto"/>
          <w:highlight w:val="none"/>
          <w:lang w:val="en-US" w:eastAsia="zh-CN"/>
        </w:rPr>
        <w:t>根据项目特点</w:t>
      </w:r>
      <w:r>
        <w:rPr>
          <w:rFonts w:hint="eastAsia"/>
          <w:color w:val="auto"/>
          <w:highlight w:val="none"/>
          <w:lang w:val="en-US" w:eastAsia="zh-CN"/>
        </w:rPr>
        <w:t>，本项目选取3个潜水含水层且其中2个为具有饮用水开发利用价值的水源井进行监测，3个</w:t>
      </w:r>
      <w:r>
        <w:rPr>
          <w:rFonts w:hint="default"/>
          <w:color w:val="auto"/>
          <w:highlight w:val="none"/>
          <w:lang w:val="en-US" w:eastAsia="zh-CN"/>
        </w:rPr>
        <w:t>水质监测点(W1-W3)，6个水位监测点(W1-W6）。监测点概况见表4-2-5，监测点位置见下图。</w:t>
      </w:r>
    </w:p>
    <w:p w14:paraId="149CC434">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地下水现状监测点位表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8"/>
        <w:gridCol w:w="2625"/>
        <w:gridCol w:w="1193"/>
        <w:gridCol w:w="1193"/>
        <w:gridCol w:w="1195"/>
        <w:gridCol w:w="1195"/>
      </w:tblGrid>
      <w:tr w14:paraId="092D8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0EA2EA3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序号</w:t>
            </w:r>
          </w:p>
        </w:tc>
        <w:tc>
          <w:tcPr>
            <w:tcW w:w="1540" w:type="pct"/>
            <w:tcBorders>
              <w:tl2br w:val="nil"/>
              <w:tr2bl w:val="nil"/>
            </w:tcBorders>
            <w:noWrap w:val="0"/>
            <w:vAlign w:val="center"/>
          </w:tcPr>
          <w:p w14:paraId="63DD76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采样点</w:t>
            </w:r>
            <w:r>
              <w:rPr>
                <w:rFonts w:hint="default" w:ascii="Times New Roman" w:hAnsi="Times New Roman" w:cs="Times New Roman"/>
                <w:color w:val="auto"/>
                <w:highlight w:val="none"/>
                <w:lang w:eastAsia="zh-CN"/>
              </w:rPr>
              <w:t>位</w:t>
            </w:r>
          </w:p>
        </w:tc>
        <w:tc>
          <w:tcPr>
            <w:tcW w:w="700" w:type="pct"/>
            <w:tcBorders>
              <w:tl2br w:val="nil"/>
              <w:tr2bl w:val="nil"/>
            </w:tcBorders>
            <w:noWrap w:val="0"/>
            <w:vAlign w:val="center"/>
          </w:tcPr>
          <w:p w14:paraId="399E04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井深(m)</w:t>
            </w:r>
          </w:p>
        </w:tc>
        <w:tc>
          <w:tcPr>
            <w:tcW w:w="700" w:type="pct"/>
            <w:tcBorders>
              <w:tl2br w:val="nil"/>
              <w:tr2bl w:val="nil"/>
            </w:tcBorders>
            <w:noWrap w:val="0"/>
            <w:vAlign w:val="center"/>
          </w:tcPr>
          <w:p w14:paraId="03FD21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水位(m)</w:t>
            </w:r>
          </w:p>
        </w:tc>
        <w:tc>
          <w:tcPr>
            <w:tcW w:w="701" w:type="pct"/>
            <w:tcBorders>
              <w:tl2br w:val="nil"/>
              <w:tr2bl w:val="nil"/>
            </w:tcBorders>
            <w:noWrap w:val="0"/>
            <w:vAlign w:val="center"/>
          </w:tcPr>
          <w:p w14:paraId="4A3F3F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用途</w:t>
            </w:r>
          </w:p>
        </w:tc>
        <w:tc>
          <w:tcPr>
            <w:tcW w:w="701" w:type="pct"/>
            <w:tcBorders>
              <w:tl2br w:val="nil"/>
              <w:tr2bl w:val="nil"/>
            </w:tcBorders>
            <w:noWrap w:val="0"/>
            <w:vAlign w:val="center"/>
          </w:tcPr>
          <w:p w14:paraId="480C8AF3">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水层</w:t>
            </w:r>
          </w:p>
        </w:tc>
      </w:tr>
      <w:tr w14:paraId="3A7A6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656" w:type="pct"/>
            <w:tcBorders>
              <w:tl2br w:val="nil"/>
              <w:tr2bl w:val="nil"/>
            </w:tcBorders>
            <w:noWrap w:val="0"/>
            <w:vAlign w:val="center"/>
          </w:tcPr>
          <w:p w14:paraId="654919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w:t>
            </w:r>
          </w:p>
        </w:tc>
        <w:tc>
          <w:tcPr>
            <w:tcW w:w="1540" w:type="pct"/>
            <w:tcBorders>
              <w:tl2br w:val="nil"/>
              <w:tr2bl w:val="nil"/>
            </w:tcBorders>
            <w:noWrap w:val="0"/>
            <w:vAlign w:val="center"/>
          </w:tcPr>
          <w:p w14:paraId="1A140FF8">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水质水位监测点1</w:t>
            </w:r>
          </w:p>
        </w:tc>
        <w:tc>
          <w:tcPr>
            <w:tcW w:w="1193" w:type="dxa"/>
            <w:tcBorders>
              <w:tl2br w:val="nil"/>
              <w:tr2bl w:val="nil"/>
            </w:tcBorders>
            <w:noWrap w:val="0"/>
            <w:vAlign w:val="center"/>
          </w:tcPr>
          <w:p w14:paraId="089C5852">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1193" w:type="dxa"/>
            <w:tcBorders>
              <w:tl2br w:val="nil"/>
              <w:tr2bl w:val="nil"/>
            </w:tcBorders>
            <w:noWrap w:val="0"/>
            <w:vAlign w:val="center"/>
          </w:tcPr>
          <w:p w14:paraId="7C56097C">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w:t>
            </w:r>
          </w:p>
        </w:tc>
        <w:tc>
          <w:tcPr>
            <w:tcW w:w="701" w:type="pct"/>
            <w:tcBorders>
              <w:tl2br w:val="nil"/>
              <w:tr2bl w:val="nil"/>
            </w:tcBorders>
            <w:noWrap w:val="0"/>
            <w:vAlign w:val="center"/>
          </w:tcPr>
          <w:p w14:paraId="6D52FE7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灌溉</w:t>
            </w:r>
          </w:p>
        </w:tc>
        <w:tc>
          <w:tcPr>
            <w:tcW w:w="701" w:type="pct"/>
            <w:tcBorders>
              <w:tl2br w:val="nil"/>
              <w:tr2bl w:val="nil"/>
            </w:tcBorders>
            <w:noWrap w:val="0"/>
            <w:vAlign w:val="center"/>
          </w:tcPr>
          <w:p w14:paraId="6044EBC7">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潜水</w:t>
            </w:r>
          </w:p>
        </w:tc>
      </w:tr>
      <w:tr w14:paraId="22B6A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16E12DD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p>
        </w:tc>
        <w:tc>
          <w:tcPr>
            <w:tcW w:w="1540" w:type="pct"/>
            <w:tcBorders>
              <w:tl2br w:val="nil"/>
              <w:tr2bl w:val="nil"/>
            </w:tcBorders>
            <w:noWrap w:val="0"/>
            <w:vAlign w:val="center"/>
          </w:tcPr>
          <w:p w14:paraId="184661AC">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水质水位监测点2</w:t>
            </w:r>
          </w:p>
        </w:tc>
        <w:tc>
          <w:tcPr>
            <w:tcW w:w="1193" w:type="dxa"/>
            <w:tcBorders>
              <w:tl2br w:val="nil"/>
              <w:tr2bl w:val="nil"/>
            </w:tcBorders>
            <w:noWrap w:val="0"/>
            <w:vAlign w:val="center"/>
          </w:tcPr>
          <w:p w14:paraId="5C90D480">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w:t>
            </w:r>
          </w:p>
        </w:tc>
        <w:tc>
          <w:tcPr>
            <w:tcW w:w="1193" w:type="dxa"/>
            <w:tcBorders>
              <w:tl2br w:val="nil"/>
              <w:tr2bl w:val="nil"/>
            </w:tcBorders>
            <w:noWrap w:val="0"/>
            <w:vAlign w:val="center"/>
          </w:tcPr>
          <w:p w14:paraId="0B682F24">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6.0</w:t>
            </w:r>
          </w:p>
        </w:tc>
        <w:tc>
          <w:tcPr>
            <w:tcW w:w="701" w:type="pct"/>
            <w:tcBorders>
              <w:tl2br w:val="nil"/>
              <w:tr2bl w:val="nil"/>
            </w:tcBorders>
            <w:noWrap w:val="0"/>
            <w:vAlign w:val="center"/>
          </w:tcPr>
          <w:p w14:paraId="71C55BAB">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饮用</w:t>
            </w:r>
          </w:p>
        </w:tc>
        <w:tc>
          <w:tcPr>
            <w:tcW w:w="701" w:type="pct"/>
            <w:tcBorders>
              <w:tl2br w:val="nil"/>
              <w:tr2bl w:val="nil"/>
            </w:tcBorders>
            <w:noWrap w:val="0"/>
            <w:vAlign w:val="center"/>
          </w:tcPr>
          <w:p w14:paraId="38110C38">
            <w:pPr>
              <w:pStyle w:val="46"/>
              <w:bidi w:val="0"/>
              <w:rPr>
                <w:rFonts w:hint="default" w:cs="Times New Roman"/>
                <w:color w:val="auto"/>
                <w:highlight w:val="none"/>
                <w:lang w:val="en-US" w:eastAsia="zh-CN"/>
              </w:rPr>
            </w:pPr>
            <w:r>
              <w:rPr>
                <w:rFonts w:hint="eastAsia" w:cs="Times New Roman"/>
                <w:color w:val="auto"/>
                <w:highlight w:val="none"/>
                <w:lang w:val="en-US" w:eastAsia="zh-CN"/>
              </w:rPr>
              <w:t>潜水</w:t>
            </w:r>
          </w:p>
        </w:tc>
      </w:tr>
      <w:tr w14:paraId="7C5A3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75F407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tc>
        <w:tc>
          <w:tcPr>
            <w:tcW w:w="1540" w:type="pct"/>
            <w:tcBorders>
              <w:tl2br w:val="nil"/>
              <w:tr2bl w:val="nil"/>
            </w:tcBorders>
            <w:noWrap w:val="0"/>
            <w:vAlign w:val="center"/>
          </w:tcPr>
          <w:p w14:paraId="48EB55A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水质水位监测点3</w:t>
            </w:r>
          </w:p>
        </w:tc>
        <w:tc>
          <w:tcPr>
            <w:tcW w:w="1193" w:type="dxa"/>
            <w:tcBorders>
              <w:tl2br w:val="nil"/>
              <w:tr2bl w:val="nil"/>
            </w:tcBorders>
            <w:noWrap w:val="0"/>
            <w:vAlign w:val="center"/>
          </w:tcPr>
          <w:p w14:paraId="17FD3FA9">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w:t>
            </w:r>
          </w:p>
        </w:tc>
        <w:tc>
          <w:tcPr>
            <w:tcW w:w="1193" w:type="dxa"/>
            <w:tcBorders>
              <w:tl2br w:val="nil"/>
              <w:tr2bl w:val="nil"/>
            </w:tcBorders>
            <w:noWrap w:val="0"/>
            <w:vAlign w:val="center"/>
          </w:tcPr>
          <w:p w14:paraId="2B942210">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w:t>
            </w:r>
          </w:p>
        </w:tc>
        <w:tc>
          <w:tcPr>
            <w:tcW w:w="701" w:type="pct"/>
            <w:tcBorders>
              <w:tl2br w:val="nil"/>
              <w:tr2bl w:val="nil"/>
            </w:tcBorders>
            <w:noWrap w:val="0"/>
            <w:vAlign w:val="center"/>
          </w:tcPr>
          <w:p w14:paraId="055B2B5D">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饮用</w:t>
            </w:r>
          </w:p>
        </w:tc>
        <w:tc>
          <w:tcPr>
            <w:tcW w:w="701" w:type="pct"/>
            <w:tcBorders>
              <w:tl2br w:val="nil"/>
              <w:tr2bl w:val="nil"/>
            </w:tcBorders>
            <w:noWrap w:val="0"/>
            <w:vAlign w:val="center"/>
          </w:tcPr>
          <w:p w14:paraId="3975A71B">
            <w:pPr>
              <w:pStyle w:val="46"/>
              <w:bidi w:val="0"/>
              <w:rPr>
                <w:rFonts w:hint="eastAsia" w:cs="Times New Roman"/>
                <w:color w:val="auto"/>
                <w:highlight w:val="none"/>
                <w:lang w:val="en-US" w:eastAsia="zh-CN"/>
              </w:rPr>
            </w:pPr>
            <w:r>
              <w:rPr>
                <w:rFonts w:hint="eastAsia" w:cs="Times New Roman"/>
                <w:color w:val="auto"/>
                <w:highlight w:val="none"/>
                <w:lang w:val="en-US" w:eastAsia="zh-CN"/>
              </w:rPr>
              <w:t>潜水</w:t>
            </w:r>
          </w:p>
        </w:tc>
      </w:tr>
      <w:tr w14:paraId="3D69C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180077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p>
        </w:tc>
        <w:tc>
          <w:tcPr>
            <w:tcW w:w="1540" w:type="pct"/>
            <w:tcBorders>
              <w:tl2br w:val="nil"/>
              <w:tr2bl w:val="nil"/>
            </w:tcBorders>
            <w:noWrap w:val="0"/>
            <w:vAlign w:val="center"/>
          </w:tcPr>
          <w:p w14:paraId="6D0EA4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水位监测点4</w:t>
            </w:r>
          </w:p>
        </w:tc>
        <w:tc>
          <w:tcPr>
            <w:tcW w:w="1193" w:type="dxa"/>
            <w:tcBorders>
              <w:tl2br w:val="nil"/>
              <w:tr2bl w:val="nil"/>
            </w:tcBorders>
            <w:noWrap w:val="0"/>
            <w:vAlign w:val="center"/>
          </w:tcPr>
          <w:p w14:paraId="23B51D76">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w:t>
            </w:r>
          </w:p>
        </w:tc>
        <w:tc>
          <w:tcPr>
            <w:tcW w:w="1193" w:type="dxa"/>
            <w:tcBorders>
              <w:tl2br w:val="nil"/>
              <w:tr2bl w:val="nil"/>
            </w:tcBorders>
            <w:noWrap w:val="0"/>
            <w:vAlign w:val="center"/>
          </w:tcPr>
          <w:p w14:paraId="0BE21B97">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w:t>
            </w:r>
          </w:p>
        </w:tc>
        <w:tc>
          <w:tcPr>
            <w:tcW w:w="701" w:type="pct"/>
            <w:tcBorders>
              <w:tl2br w:val="nil"/>
              <w:tr2bl w:val="nil"/>
            </w:tcBorders>
            <w:noWrap w:val="0"/>
            <w:vAlign w:val="center"/>
          </w:tcPr>
          <w:p w14:paraId="617A4EE7">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饮用</w:t>
            </w:r>
          </w:p>
        </w:tc>
        <w:tc>
          <w:tcPr>
            <w:tcW w:w="701" w:type="pct"/>
            <w:tcBorders>
              <w:tl2br w:val="nil"/>
              <w:tr2bl w:val="nil"/>
            </w:tcBorders>
            <w:noWrap w:val="0"/>
            <w:vAlign w:val="center"/>
          </w:tcPr>
          <w:p w14:paraId="5CBA8492">
            <w:pPr>
              <w:pStyle w:val="46"/>
              <w:bidi w:val="0"/>
              <w:rPr>
                <w:rFonts w:hint="eastAsia" w:cs="Times New Roman"/>
                <w:color w:val="auto"/>
                <w:highlight w:val="none"/>
                <w:lang w:val="en-US" w:eastAsia="zh-CN"/>
              </w:rPr>
            </w:pPr>
            <w:r>
              <w:rPr>
                <w:rFonts w:hint="eastAsia" w:cs="Times New Roman"/>
                <w:color w:val="auto"/>
                <w:highlight w:val="none"/>
                <w:lang w:val="en-US" w:eastAsia="zh-CN"/>
              </w:rPr>
              <w:t>潜水</w:t>
            </w:r>
          </w:p>
        </w:tc>
      </w:tr>
      <w:tr w14:paraId="7AE24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659055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tc>
        <w:tc>
          <w:tcPr>
            <w:tcW w:w="1540" w:type="pct"/>
            <w:tcBorders>
              <w:tl2br w:val="nil"/>
              <w:tr2bl w:val="nil"/>
            </w:tcBorders>
            <w:noWrap w:val="0"/>
            <w:vAlign w:val="center"/>
          </w:tcPr>
          <w:p w14:paraId="0526A26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水位监测点5</w:t>
            </w:r>
          </w:p>
        </w:tc>
        <w:tc>
          <w:tcPr>
            <w:tcW w:w="1193" w:type="dxa"/>
            <w:tcBorders>
              <w:tl2br w:val="nil"/>
              <w:tr2bl w:val="nil"/>
            </w:tcBorders>
            <w:noWrap w:val="0"/>
            <w:vAlign w:val="center"/>
          </w:tcPr>
          <w:p w14:paraId="23542F6F">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w:t>
            </w:r>
          </w:p>
        </w:tc>
        <w:tc>
          <w:tcPr>
            <w:tcW w:w="1193" w:type="dxa"/>
            <w:tcBorders>
              <w:tl2br w:val="nil"/>
              <w:tr2bl w:val="nil"/>
            </w:tcBorders>
            <w:noWrap w:val="0"/>
            <w:vAlign w:val="center"/>
          </w:tcPr>
          <w:p w14:paraId="75B18E66">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w:t>
            </w:r>
          </w:p>
        </w:tc>
        <w:tc>
          <w:tcPr>
            <w:tcW w:w="701" w:type="pct"/>
            <w:tcBorders>
              <w:tl2br w:val="nil"/>
              <w:tr2bl w:val="nil"/>
            </w:tcBorders>
            <w:noWrap w:val="0"/>
            <w:vAlign w:val="center"/>
          </w:tcPr>
          <w:p w14:paraId="6F9EFA36">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饮用</w:t>
            </w:r>
          </w:p>
        </w:tc>
        <w:tc>
          <w:tcPr>
            <w:tcW w:w="701" w:type="pct"/>
            <w:tcBorders>
              <w:tl2br w:val="nil"/>
              <w:tr2bl w:val="nil"/>
            </w:tcBorders>
            <w:noWrap w:val="0"/>
            <w:vAlign w:val="center"/>
          </w:tcPr>
          <w:p w14:paraId="056345A1">
            <w:pPr>
              <w:pStyle w:val="46"/>
              <w:bidi w:val="0"/>
              <w:rPr>
                <w:rFonts w:hint="eastAsia" w:cs="Times New Roman"/>
                <w:color w:val="auto"/>
                <w:highlight w:val="none"/>
                <w:lang w:val="en-US" w:eastAsia="zh-CN"/>
              </w:rPr>
            </w:pPr>
            <w:r>
              <w:rPr>
                <w:rFonts w:hint="eastAsia" w:cs="Times New Roman"/>
                <w:color w:val="auto"/>
                <w:highlight w:val="none"/>
                <w:lang w:val="en-US" w:eastAsia="zh-CN"/>
              </w:rPr>
              <w:t>潜水</w:t>
            </w:r>
          </w:p>
        </w:tc>
      </w:tr>
      <w:tr w14:paraId="7A70D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6" w:type="pct"/>
            <w:tcBorders>
              <w:tl2br w:val="nil"/>
              <w:tr2bl w:val="nil"/>
            </w:tcBorders>
            <w:noWrap w:val="0"/>
            <w:vAlign w:val="center"/>
          </w:tcPr>
          <w:p w14:paraId="63DA2A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c>
          <w:tcPr>
            <w:tcW w:w="1540" w:type="pct"/>
            <w:tcBorders>
              <w:tl2br w:val="nil"/>
              <w:tr2bl w:val="nil"/>
            </w:tcBorders>
            <w:noWrap w:val="0"/>
            <w:vAlign w:val="center"/>
          </w:tcPr>
          <w:p w14:paraId="14B4A3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水位监测点6</w:t>
            </w:r>
          </w:p>
        </w:tc>
        <w:tc>
          <w:tcPr>
            <w:tcW w:w="1193" w:type="dxa"/>
            <w:tcBorders>
              <w:tl2br w:val="nil"/>
              <w:tr2bl w:val="nil"/>
            </w:tcBorders>
            <w:noWrap w:val="0"/>
            <w:vAlign w:val="center"/>
          </w:tcPr>
          <w:p w14:paraId="65672C4E">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w:t>
            </w:r>
          </w:p>
        </w:tc>
        <w:tc>
          <w:tcPr>
            <w:tcW w:w="1193" w:type="dxa"/>
            <w:tcBorders>
              <w:tl2br w:val="nil"/>
              <w:tr2bl w:val="nil"/>
            </w:tcBorders>
            <w:noWrap w:val="0"/>
            <w:vAlign w:val="center"/>
          </w:tcPr>
          <w:p w14:paraId="2C64AC3D">
            <w:pPr>
              <w:pStyle w:val="46"/>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8.5</w:t>
            </w:r>
          </w:p>
        </w:tc>
        <w:tc>
          <w:tcPr>
            <w:tcW w:w="701" w:type="pct"/>
            <w:tcBorders>
              <w:tl2br w:val="nil"/>
              <w:tr2bl w:val="nil"/>
            </w:tcBorders>
            <w:noWrap w:val="0"/>
            <w:vAlign w:val="center"/>
          </w:tcPr>
          <w:p w14:paraId="0858105A">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饮用</w:t>
            </w:r>
          </w:p>
        </w:tc>
        <w:tc>
          <w:tcPr>
            <w:tcW w:w="701" w:type="pct"/>
            <w:tcBorders>
              <w:tl2br w:val="nil"/>
              <w:tr2bl w:val="nil"/>
            </w:tcBorders>
            <w:noWrap w:val="0"/>
            <w:vAlign w:val="center"/>
          </w:tcPr>
          <w:p w14:paraId="5C05924E">
            <w:pPr>
              <w:pStyle w:val="46"/>
              <w:bidi w:val="0"/>
              <w:rPr>
                <w:rFonts w:hint="eastAsia" w:cs="Times New Roman"/>
                <w:color w:val="auto"/>
                <w:highlight w:val="none"/>
                <w:lang w:val="en-US" w:eastAsia="zh-CN"/>
              </w:rPr>
            </w:pPr>
            <w:r>
              <w:rPr>
                <w:rFonts w:hint="eastAsia" w:cs="Times New Roman"/>
                <w:color w:val="auto"/>
                <w:highlight w:val="none"/>
                <w:lang w:val="en-US" w:eastAsia="zh-CN"/>
              </w:rPr>
              <w:t>潜水</w:t>
            </w:r>
          </w:p>
        </w:tc>
      </w:tr>
    </w:tbl>
    <w:p w14:paraId="2642FCE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3、监测项目</w:t>
      </w:r>
    </w:p>
    <w:p w14:paraId="7E87ECA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pH、氨氮、硝酸盐（以N计）、亚硝酸盐（以N计）、挥发酚、氰化物、砷、汞、六价铬、总硬度、铅、氟化物、镉、铁、锰、溶解性总固体、高锰酸盐指数（耗氧量）、硫酸盐、氯化物、总大肠菌群、菌落总数，共计</w:t>
      </w:r>
      <w:r>
        <w:rPr>
          <w:rFonts w:hint="default" w:ascii="Times New Roman" w:hAnsi="Times New Roman" w:cs="Times New Roman"/>
          <w:color w:val="auto"/>
          <w:highlight w:val="none"/>
          <w:lang w:val="en-US" w:eastAsia="zh-CN"/>
        </w:rPr>
        <w:t>29</w:t>
      </w:r>
      <w:r>
        <w:rPr>
          <w:rFonts w:hint="default" w:ascii="Times New Roman" w:hAnsi="Times New Roman" w:cs="Times New Roman"/>
          <w:color w:val="auto"/>
          <w:highlight w:val="none"/>
        </w:rPr>
        <w:t>项。</w:t>
      </w:r>
    </w:p>
    <w:p w14:paraId="70A17E4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4、监测分析方法</w:t>
      </w:r>
    </w:p>
    <w:p w14:paraId="487DDA9C">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监测方法</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6885"/>
      </w:tblGrid>
      <w:tr w14:paraId="7CC1B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tcPr>
          <w:p w14:paraId="46B9EB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6885" w:type="dxa"/>
            <w:tcBorders>
              <w:tl2br w:val="nil"/>
              <w:tr2bl w:val="nil"/>
            </w:tcBorders>
          </w:tcPr>
          <w:p w14:paraId="38F076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标准方法名称及代号</w:t>
            </w:r>
          </w:p>
        </w:tc>
      </w:tr>
      <w:tr w14:paraId="69068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dxa"/>
            <w:tcBorders>
              <w:tl2br w:val="nil"/>
              <w:tr2bl w:val="nil"/>
            </w:tcBorders>
            <w:vAlign w:val="center"/>
          </w:tcPr>
          <w:p w14:paraId="3DBDC7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6885" w:type="dxa"/>
            <w:tcBorders>
              <w:tl2br w:val="nil"/>
              <w:tr2bl w:val="nil"/>
            </w:tcBorders>
            <w:vAlign w:val="center"/>
          </w:tcPr>
          <w:p w14:paraId="3BE0B9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pH 值的测定 电极法HJ 1147-2020</w:t>
            </w:r>
          </w:p>
        </w:tc>
      </w:tr>
      <w:tr w14:paraId="5B2BC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EBBD2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p>
          <w:p w14:paraId="04BB97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p>
        </w:tc>
        <w:tc>
          <w:tcPr>
            <w:tcW w:w="6885" w:type="dxa"/>
            <w:tcBorders>
              <w:tl2br w:val="nil"/>
              <w:tr2bl w:val="nil"/>
            </w:tcBorders>
            <w:vAlign w:val="center"/>
          </w:tcPr>
          <w:p w14:paraId="139C0A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可溶性阳离子（Li</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 xml:space="preserve">）的测定 </w:t>
            </w:r>
          </w:p>
          <w:p w14:paraId="4487A7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离子色谱法HJ 812-2016</w:t>
            </w:r>
          </w:p>
        </w:tc>
      </w:tr>
      <w:tr w14:paraId="291BC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AED10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6885" w:type="dxa"/>
            <w:tcBorders>
              <w:tl2br w:val="nil"/>
              <w:tr2bl w:val="nil"/>
            </w:tcBorders>
            <w:vAlign w:val="center"/>
          </w:tcPr>
          <w:p w14:paraId="6627C0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无机阴离子（F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perscript"/>
              </w:rPr>
              <w:t>l</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、Br</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、PO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）的测定离子色谱法HJ 84-2016</w:t>
            </w:r>
          </w:p>
        </w:tc>
      </w:tr>
      <w:tr w14:paraId="058AE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AF6AB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p>
        </w:tc>
        <w:tc>
          <w:tcPr>
            <w:tcW w:w="6885" w:type="dxa"/>
            <w:tcBorders>
              <w:tl2br w:val="nil"/>
              <w:tr2bl w:val="nil"/>
            </w:tcBorders>
            <w:vAlign w:val="center"/>
          </w:tcPr>
          <w:p w14:paraId="643E74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（第四版）国家环境保护总局（2002年）</w:t>
            </w:r>
            <w:r>
              <w:rPr>
                <w:rFonts w:hint="default" w:ascii="Times New Roman" w:hAnsi="Times New Roman" w:cs="Times New Roman"/>
                <w:color w:val="auto"/>
                <w:highlight w:val="none"/>
              </w:rPr>
              <w:t>酸碱指示剂滴定法</w:t>
            </w:r>
          </w:p>
        </w:tc>
      </w:tr>
      <w:tr w14:paraId="607E8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3E6AE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高锰酸盐指数</w:t>
            </w:r>
          </w:p>
          <w:p w14:paraId="217D7C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耗氧量</w:t>
            </w:r>
            <w:r>
              <w:rPr>
                <w:rFonts w:hint="default" w:ascii="Times New Roman" w:hAnsi="Times New Roman" w:cs="Times New Roman"/>
                <w:color w:val="auto"/>
                <w:highlight w:val="none"/>
                <w:lang w:eastAsia="zh-CN"/>
              </w:rPr>
              <w:t>）</w:t>
            </w:r>
          </w:p>
        </w:tc>
        <w:tc>
          <w:tcPr>
            <w:tcW w:w="6885" w:type="dxa"/>
            <w:tcBorders>
              <w:tl2br w:val="nil"/>
              <w:tr2bl w:val="nil"/>
            </w:tcBorders>
            <w:vAlign w:val="center"/>
          </w:tcPr>
          <w:p w14:paraId="2251DB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高锰酸盐指数的测定GB 11892-89</w:t>
            </w:r>
          </w:p>
        </w:tc>
      </w:tr>
      <w:tr w14:paraId="026F3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175CF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885" w:type="dxa"/>
            <w:tcBorders>
              <w:tl2br w:val="nil"/>
              <w:tr2bl w:val="nil"/>
            </w:tcBorders>
            <w:vAlign w:val="center"/>
          </w:tcPr>
          <w:p w14:paraId="4E312A0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水质 氨氮的测定 纳氏试剂分光光度法</w:t>
            </w:r>
          </w:p>
          <w:p w14:paraId="6FC6F1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HJ 535-2009</w:t>
            </w:r>
          </w:p>
        </w:tc>
      </w:tr>
      <w:tr w14:paraId="2A56E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65706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总硬度</w:t>
            </w:r>
          </w:p>
        </w:tc>
        <w:tc>
          <w:tcPr>
            <w:tcW w:w="6885" w:type="dxa"/>
            <w:tcBorders>
              <w:tl2br w:val="nil"/>
              <w:tr2bl w:val="nil"/>
            </w:tcBorders>
            <w:vAlign w:val="center"/>
          </w:tcPr>
          <w:p w14:paraId="3BFA10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第4部分：</w:t>
            </w:r>
            <w:r>
              <w:rPr>
                <w:rFonts w:hint="default" w:ascii="Times New Roman" w:hAnsi="Times New Roman" w:cs="Times New Roman"/>
                <w:color w:val="auto"/>
                <w:highlight w:val="none"/>
              </w:rPr>
              <w:t>感官性状和物理指标</w:t>
            </w:r>
            <w:r>
              <w:rPr>
                <w:rFonts w:hint="default" w:ascii="Times New Roman" w:hAnsi="Times New Roman" w:cs="Times New Roman"/>
                <w:color w:val="auto"/>
                <w:highlight w:val="none"/>
                <w:lang w:eastAsia="zh-CN"/>
              </w:rPr>
              <w:t>GB/T 5750.4-2023 10</w:t>
            </w:r>
          </w:p>
        </w:tc>
      </w:tr>
      <w:tr w14:paraId="5DCDC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C66D6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硝酸盐</w:t>
            </w:r>
          </w:p>
          <w:p w14:paraId="20B6E2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以N计</w:t>
            </w:r>
            <w:r>
              <w:rPr>
                <w:rFonts w:hint="default" w:ascii="Times New Roman" w:hAnsi="Times New Roman" w:cs="Times New Roman"/>
                <w:color w:val="auto"/>
                <w:highlight w:val="none"/>
                <w:lang w:eastAsia="zh-CN"/>
              </w:rPr>
              <w:t>）</w:t>
            </w:r>
          </w:p>
        </w:tc>
        <w:tc>
          <w:tcPr>
            <w:tcW w:w="6885" w:type="dxa"/>
            <w:tcBorders>
              <w:tl2br w:val="nil"/>
              <w:tr2bl w:val="nil"/>
            </w:tcBorders>
            <w:vAlign w:val="center"/>
          </w:tcPr>
          <w:p w14:paraId="77ACB2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硝酸盐氮的测定 酚二磺酸分光光度法</w:t>
            </w:r>
          </w:p>
          <w:p w14:paraId="457B32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GB</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7480-87</w:t>
            </w:r>
          </w:p>
        </w:tc>
      </w:tr>
      <w:tr w14:paraId="7657A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CDC0F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亚硝酸盐</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以N计</w:t>
            </w:r>
            <w:r>
              <w:rPr>
                <w:rFonts w:hint="default" w:ascii="Times New Roman" w:hAnsi="Times New Roman" w:cs="Times New Roman"/>
                <w:color w:val="auto"/>
                <w:highlight w:val="none"/>
                <w:lang w:eastAsia="zh-CN"/>
              </w:rPr>
              <w:t>）</w:t>
            </w:r>
          </w:p>
        </w:tc>
        <w:tc>
          <w:tcPr>
            <w:tcW w:w="6885" w:type="dxa"/>
            <w:tcBorders>
              <w:tl2br w:val="nil"/>
              <w:tr2bl w:val="nil"/>
            </w:tcBorders>
            <w:vAlign w:val="center"/>
          </w:tcPr>
          <w:p w14:paraId="70A25D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生活饮用水标准检验方法第5部分：无机非金属指标 </w:t>
            </w:r>
            <w:r>
              <w:rPr>
                <w:rFonts w:hint="default" w:ascii="Times New Roman" w:hAnsi="Times New Roman" w:cs="Times New Roman"/>
                <w:color w:val="auto"/>
                <w:highlight w:val="none"/>
              </w:rPr>
              <w:t>GB/T 5750.</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-2023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p>
        </w:tc>
      </w:tr>
      <w:tr w14:paraId="0CCE8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6BBF1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硫酸盐</w:t>
            </w:r>
          </w:p>
        </w:tc>
        <w:tc>
          <w:tcPr>
            <w:tcW w:w="6885" w:type="dxa"/>
            <w:tcBorders>
              <w:tl2br w:val="nil"/>
              <w:tr2bl w:val="nil"/>
            </w:tcBorders>
            <w:vAlign w:val="center"/>
          </w:tcPr>
          <w:p w14:paraId="4CC9CF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第5部分：无机非金属指标</w:t>
            </w:r>
            <w:r>
              <w:rPr>
                <w:rFonts w:hint="default" w:ascii="Times New Roman" w:hAnsi="Times New Roman" w:cs="Times New Roman"/>
                <w:color w:val="auto"/>
                <w:highlight w:val="none"/>
                <w:lang w:eastAsia="zh-CN"/>
              </w:rPr>
              <w:t>GB/T 5750.5-2023 4</w:t>
            </w:r>
          </w:p>
        </w:tc>
      </w:tr>
      <w:tr w14:paraId="7596D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3A8F1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氯化物</w:t>
            </w:r>
          </w:p>
        </w:tc>
        <w:tc>
          <w:tcPr>
            <w:tcW w:w="6885" w:type="dxa"/>
            <w:tcBorders>
              <w:tl2br w:val="nil"/>
              <w:tr2bl w:val="nil"/>
            </w:tcBorders>
            <w:vAlign w:val="center"/>
          </w:tcPr>
          <w:p w14:paraId="54F463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第5部分：无机非金属指标</w:t>
            </w:r>
            <w:r>
              <w:rPr>
                <w:rFonts w:hint="default" w:ascii="Times New Roman" w:hAnsi="Times New Roman" w:cs="Times New Roman"/>
                <w:color w:val="auto"/>
                <w:highlight w:val="none"/>
                <w:lang w:eastAsia="zh-CN"/>
              </w:rPr>
              <w:t>GB/T 5750.5-2023 5</w:t>
            </w:r>
          </w:p>
        </w:tc>
      </w:tr>
      <w:tr w14:paraId="2563C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15F61E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锰</w:t>
            </w:r>
          </w:p>
        </w:tc>
        <w:tc>
          <w:tcPr>
            <w:tcW w:w="6885" w:type="dxa"/>
            <w:tcBorders>
              <w:tl2br w:val="nil"/>
              <w:tr2bl w:val="nil"/>
            </w:tcBorders>
            <w:vAlign w:val="center"/>
          </w:tcPr>
          <w:p w14:paraId="110D8C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铁、锰的测定 火焰原子吸收分光光度法GB 11911-89</w:t>
            </w:r>
          </w:p>
        </w:tc>
      </w:tr>
      <w:tr w14:paraId="53E0D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0EF9D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总大肠菌群</w:t>
            </w:r>
          </w:p>
        </w:tc>
        <w:tc>
          <w:tcPr>
            <w:tcW w:w="6885" w:type="dxa"/>
            <w:tcBorders>
              <w:tl2br w:val="nil"/>
              <w:tr2bl w:val="nil"/>
            </w:tcBorders>
            <w:vAlign w:val="center"/>
          </w:tcPr>
          <w:p w14:paraId="152097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生活饮用水标准检验方法 第12部分：微生物指标GB/T 5750.12-2023 5</w:t>
            </w:r>
          </w:p>
        </w:tc>
      </w:tr>
      <w:tr w14:paraId="667BA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7C0CF4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挥发酚</w:t>
            </w:r>
          </w:p>
        </w:tc>
        <w:tc>
          <w:tcPr>
            <w:tcW w:w="6885" w:type="dxa"/>
            <w:tcBorders>
              <w:tl2br w:val="nil"/>
              <w:tr2bl w:val="nil"/>
            </w:tcBorders>
            <w:vAlign w:val="center"/>
          </w:tcPr>
          <w:p w14:paraId="3782C9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挥发酚的测定 4-氨基安替比林分光光度法HJ 503-2009</w:t>
            </w:r>
          </w:p>
        </w:tc>
      </w:tr>
      <w:tr w14:paraId="68F00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35F35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氰化物</w:t>
            </w:r>
          </w:p>
        </w:tc>
        <w:tc>
          <w:tcPr>
            <w:tcW w:w="6885" w:type="dxa"/>
            <w:tcBorders>
              <w:tl2br w:val="nil"/>
              <w:tr2bl w:val="nil"/>
            </w:tcBorders>
            <w:vAlign w:val="center"/>
          </w:tcPr>
          <w:p w14:paraId="184F06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第5部分：无机非金属指标</w:t>
            </w:r>
            <w:r>
              <w:rPr>
                <w:rFonts w:hint="default" w:ascii="Times New Roman" w:hAnsi="Times New Roman" w:cs="Times New Roman"/>
                <w:color w:val="auto"/>
                <w:highlight w:val="none"/>
                <w:lang w:eastAsia="zh-CN"/>
              </w:rPr>
              <w:t>GB/T 5750.5-2023 7</w:t>
            </w:r>
          </w:p>
        </w:tc>
      </w:tr>
      <w:tr w14:paraId="7971A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21C314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汞</w:t>
            </w:r>
          </w:p>
        </w:tc>
        <w:tc>
          <w:tcPr>
            <w:tcW w:w="6885" w:type="dxa"/>
            <w:tcBorders>
              <w:tl2br w:val="nil"/>
              <w:tr2bl w:val="nil"/>
            </w:tcBorders>
            <w:vAlign w:val="center"/>
          </w:tcPr>
          <w:p w14:paraId="65A750F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汞、砷、硒、铋和锑的测定 原子荧光法HJ 694-2014</w:t>
            </w:r>
          </w:p>
        </w:tc>
      </w:tr>
      <w:tr w14:paraId="6D964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0E2C0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六价铬</w:t>
            </w:r>
          </w:p>
        </w:tc>
        <w:tc>
          <w:tcPr>
            <w:tcW w:w="6885" w:type="dxa"/>
            <w:tcBorders>
              <w:tl2br w:val="nil"/>
              <w:tr2bl w:val="nil"/>
            </w:tcBorders>
            <w:vAlign w:val="center"/>
          </w:tcPr>
          <w:p w14:paraId="6A611C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第6部分：</w:t>
            </w:r>
            <w:r>
              <w:rPr>
                <w:rFonts w:hint="default" w:ascii="Times New Roman" w:hAnsi="Times New Roman" w:cs="Times New Roman"/>
                <w:color w:val="auto"/>
                <w:highlight w:val="none"/>
              </w:rPr>
              <w:t>金属</w:t>
            </w:r>
            <w:r>
              <w:rPr>
                <w:rFonts w:hint="default" w:ascii="Times New Roman" w:hAnsi="Times New Roman" w:cs="Times New Roman"/>
                <w:color w:val="auto"/>
                <w:highlight w:val="none"/>
                <w:lang w:val="en-US" w:eastAsia="zh-CN"/>
              </w:rPr>
              <w:t>和类金属</w:t>
            </w:r>
            <w:r>
              <w:rPr>
                <w:rFonts w:hint="default" w:ascii="Times New Roman" w:hAnsi="Times New Roman" w:cs="Times New Roman"/>
                <w:color w:val="auto"/>
                <w:highlight w:val="none"/>
              </w:rPr>
              <w:t>指标</w:t>
            </w:r>
            <w:r>
              <w:rPr>
                <w:rFonts w:hint="default" w:ascii="Times New Roman" w:hAnsi="Times New Roman" w:cs="Times New Roman"/>
                <w:color w:val="auto"/>
                <w:highlight w:val="none"/>
                <w:lang w:eastAsia="zh-CN"/>
              </w:rPr>
              <w:t>GB/T5750.6-2023 13</w:t>
            </w:r>
          </w:p>
        </w:tc>
      </w:tr>
      <w:tr w14:paraId="27324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887D4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6885" w:type="dxa"/>
            <w:tcBorders>
              <w:tl2br w:val="nil"/>
              <w:tr2bl w:val="nil"/>
            </w:tcBorders>
            <w:vAlign w:val="center"/>
          </w:tcPr>
          <w:p w14:paraId="016F5A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第6部分：</w:t>
            </w:r>
            <w:r>
              <w:rPr>
                <w:rFonts w:hint="default" w:ascii="Times New Roman" w:hAnsi="Times New Roman" w:cs="Times New Roman"/>
                <w:color w:val="auto"/>
                <w:highlight w:val="none"/>
              </w:rPr>
              <w:t>金属</w:t>
            </w:r>
            <w:r>
              <w:rPr>
                <w:rFonts w:hint="default" w:ascii="Times New Roman" w:hAnsi="Times New Roman" w:cs="Times New Roman"/>
                <w:color w:val="auto"/>
                <w:highlight w:val="none"/>
                <w:lang w:val="en-US" w:eastAsia="zh-CN"/>
              </w:rPr>
              <w:t>和类金属</w:t>
            </w:r>
            <w:r>
              <w:rPr>
                <w:rFonts w:hint="default" w:ascii="Times New Roman" w:hAnsi="Times New Roman" w:cs="Times New Roman"/>
                <w:color w:val="auto"/>
                <w:highlight w:val="none"/>
              </w:rPr>
              <w:t>指标</w:t>
            </w:r>
            <w:r>
              <w:rPr>
                <w:rFonts w:hint="default" w:ascii="Times New Roman" w:hAnsi="Times New Roman" w:cs="Times New Roman"/>
                <w:color w:val="auto"/>
                <w:highlight w:val="none"/>
                <w:lang w:eastAsia="zh-CN"/>
              </w:rPr>
              <w:t>GB/T5750.6-2023 14</w:t>
            </w:r>
          </w:p>
        </w:tc>
      </w:tr>
      <w:tr w14:paraId="3AB6A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A450C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6885" w:type="dxa"/>
            <w:tcBorders>
              <w:tl2br w:val="nil"/>
              <w:tr2bl w:val="nil"/>
            </w:tcBorders>
            <w:vAlign w:val="center"/>
          </w:tcPr>
          <w:p w14:paraId="0CA325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生活饮用水标准检验方法 </w:t>
            </w:r>
            <w:r>
              <w:rPr>
                <w:rFonts w:hint="default" w:ascii="Times New Roman" w:hAnsi="Times New Roman" w:cs="Times New Roman"/>
                <w:color w:val="auto"/>
                <w:highlight w:val="none"/>
                <w:lang w:val="en-US" w:eastAsia="zh-CN"/>
              </w:rPr>
              <w:t>第6部分：</w:t>
            </w:r>
            <w:r>
              <w:rPr>
                <w:rFonts w:hint="default" w:ascii="Times New Roman" w:hAnsi="Times New Roman" w:cs="Times New Roman"/>
                <w:color w:val="auto"/>
                <w:highlight w:val="none"/>
              </w:rPr>
              <w:t>金属</w:t>
            </w:r>
            <w:r>
              <w:rPr>
                <w:rFonts w:hint="default" w:ascii="Times New Roman" w:hAnsi="Times New Roman" w:cs="Times New Roman"/>
                <w:color w:val="auto"/>
                <w:highlight w:val="none"/>
                <w:lang w:val="en-US" w:eastAsia="zh-CN"/>
              </w:rPr>
              <w:t>和类金属</w:t>
            </w:r>
            <w:r>
              <w:rPr>
                <w:rFonts w:hint="default" w:ascii="Times New Roman" w:hAnsi="Times New Roman" w:cs="Times New Roman"/>
                <w:color w:val="auto"/>
                <w:highlight w:val="none"/>
              </w:rPr>
              <w:t xml:space="preserve">指标 </w:t>
            </w:r>
            <w:r>
              <w:rPr>
                <w:rFonts w:hint="default" w:ascii="Times New Roman" w:hAnsi="Times New Roman" w:cs="Times New Roman"/>
                <w:color w:val="auto"/>
                <w:highlight w:val="none"/>
                <w:lang w:eastAsia="zh-CN"/>
              </w:rPr>
              <w:t>GB/T 5750.6-2023 12</w:t>
            </w:r>
          </w:p>
        </w:tc>
      </w:tr>
      <w:tr w14:paraId="7A339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81463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氟</w:t>
            </w:r>
            <w:r>
              <w:rPr>
                <w:rFonts w:hint="default" w:ascii="Times New Roman" w:hAnsi="Times New Roman" w:cs="Times New Roman"/>
                <w:color w:val="auto"/>
                <w:highlight w:val="none"/>
                <w:lang w:eastAsia="zh-CN"/>
              </w:rPr>
              <w:t>化物</w:t>
            </w:r>
          </w:p>
        </w:tc>
        <w:tc>
          <w:tcPr>
            <w:tcW w:w="6885" w:type="dxa"/>
            <w:tcBorders>
              <w:tl2br w:val="nil"/>
              <w:tr2bl w:val="nil"/>
            </w:tcBorders>
            <w:vAlign w:val="center"/>
          </w:tcPr>
          <w:p w14:paraId="17C04B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 氟化物的测定 氟试剂分光光度法HJ488-2009</w:t>
            </w:r>
          </w:p>
        </w:tc>
      </w:tr>
      <w:tr w14:paraId="64FDC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C17B7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溶解性总固体</w:t>
            </w:r>
          </w:p>
        </w:tc>
        <w:tc>
          <w:tcPr>
            <w:tcW w:w="6885" w:type="dxa"/>
            <w:tcBorders>
              <w:tl2br w:val="nil"/>
              <w:tr2bl w:val="nil"/>
            </w:tcBorders>
            <w:vAlign w:val="center"/>
          </w:tcPr>
          <w:p w14:paraId="370B57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生活饮用水标准检验方法 第4部分：感官性状和物理指标 </w:t>
            </w:r>
            <w:r>
              <w:rPr>
                <w:rFonts w:hint="default" w:ascii="Times New Roman" w:hAnsi="Times New Roman" w:cs="Times New Roman"/>
                <w:color w:val="auto"/>
                <w:highlight w:val="none"/>
                <w:lang w:eastAsia="zh-CN"/>
              </w:rPr>
              <w:t>GB/T 5750.4-2023 11</w:t>
            </w:r>
          </w:p>
        </w:tc>
      </w:tr>
      <w:tr w14:paraId="63316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1DDECFB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菌落总数</w:t>
            </w:r>
          </w:p>
        </w:tc>
        <w:tc>
          <w:tcPr>
            <w:tcW w:w="6885" w:type="dxa"/>
            <w:tcBorders>
              <w:tl2br w:val="nil"/>
              <w:tr2bl w:val="nil"/>
            </w:tcBorders>
            <w:vAlign w:val="center"/>
          </w:tcPr>
          <w:p w14:paraId="733216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生活饮用水标准检验方法 第12部分：微生物指标GB/T 5750.12-2023 4</w:t>
            </w:r>
          </w:p>
        </w:tc>
      </w:tr>
    </w:tbl>
    <w:p w14:paraId="738262F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5、监测仪器</w:t>
      </w:r>
    </w:p>
    <w:p w14:paraId="25E7B852">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监测仪器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1"/>
        <w:gridCol w:w="2997"/>
        <w:gridCol w:w="1587"/>
        <w:gridCol w:w="1837"/>
      </w:tblGrid>
      <w:tr w14:paraId="72003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tcPr>
          <w:p w14:paraId="633BAF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1758" w:type="pct"/>
            <w:tcBorders>
              <w:tl2br w:val="nil"/>
              <w:tr2bl w:val="nil"/>
            </w:tcBorders>
          </w:tcPr>
          <w:p w14:paraId="15BEBA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仪器名称</w:t>
            </w:r>
          </w:p>
        </w:tc>
        <w:tc>
          <w:tcPr>
            <w:tcW w:w="931" w:type="pct"/>
            <w:tcBorders>
              <w:tl2br w:val="nil"/>
              <w:tr2bl w:val="nil"/>
            </w:tcBorders>
          </w:tcPr>
          <w:p w14:paraId="3AB614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型号</w:t>
            </w:r>
          </w:p>
        </w:tc>
        <w:tc>
          <w:tcPr>
            <w:tcW w:w="1077" w:type="pct"/>
            <w:tcBorders>
              <w:tl2br w:val="nil"/>
              <w:tr2bl w:val="nil"/>
            </w:tcBorders>
          </w:tcPr>
          <w:p w14:paraId="675051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编号</w:t>
            </w:r>
          </w:p>
        </w:tc>
      </w:tr>
      <w:tr w14:paraId="3053A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73F5AC7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1758" w:type="pct"/>
            <w:tcBorders>
              <w:tl2br w:val="nil"/>
              <w:tr2bl w:val="nil"/>
            </w:tcBorders>
            <w:vAlign w:val="center"/>
          </w:tcPr>
          <w:p w14:paraId="672FF4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便携式pH计</w:t>
            </w:r>
          </w:p>
        </w:tc>
        <w:tc>
          <w:tcPr>
            <w:tcW w:w="931" w:type="pct"/>
            <w:tcBorders>
              <w:tl2br w:val="nil"/>
              <w:tr2bl w:val="nil"/>
            </w:tcBorders>
            <w:vAlign w:val="center"/>
          </w:tcPr>
          <w:p w14:paraId="239B35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PHBJ-260</w:t>
            </w:r>
          </w:p>
        </w:tc>
        <w:tc>
          <w:tcPr>
            <w:tcW w:w="1077" w:type="pct"/>
            <w:tcBorders>
              <w:tl2br w:val="nil"/>
              <w:tr2bl w:val="nil"/>
            </w:tcBorders>
            <w:vAlign w:val="center"/>
          </w:tcPr>
          <w:p w14:paraId="121401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HFYQ-2043</w:t>
            </w:r>
          </w:p>
        </w:tc>
      </w:tr>
      <w:tr w14:paraId="3BA4E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0A1F5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p>
        </w:tc>
        <w:tc>
          <w:tcPr>
            <w:tcW w:w="1758" w:type="pct"/>
            <w:tcBorders>
              <w:tl2br w:val="nil"/>
              <w:tr2bl w:val="nil"/>
            </w:tcBorders>
            <w:vAlign w:val="center"/>
          </w:tcPr>
          <w:p w14:paraId="1FDDF4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离子色谱仪</w:t>
            </w:r>
          </w:p>
        </w:tc>
        <w:tc>
          <w:tcPr>
            <w:tcW w:w="931" w:type="pct"/>
            <w:tcBorders>
              <w:tl2br w:val="nil"/>
              <w:tr2bl w:val="nil"/>
            </w:tcBorders>
            <w:vAlign w:val="center"/>
          </w:tcPr>
          <w:p w14:paraId="58DD6A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PIC-10</w:t>
            </w:r>
          </w:p>
        </w:tc>
        <w:tc>
          <w:tcPr>
            <w:tcW w:w="1077" w:type="pct"/>
            <w:tcBorders>
              <w:tl2br w:val="nil"/>
              <w:tr2bl w:val="nil"/>
            </w:tcBorders>
            <w:vAlign w:val="center"/>
          </w:tcPr>
          <w:p w14:paraId="438158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HFYQ-1004</w:t>
            </w:r>
          </w:p>
        </w:tc>
      </w:tr>
      <w:tr w14:paraId="79B4D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BAB732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1758" w:type="pct"/>
            <w:tcBorders>
              <w:tl2br w:val="nil"/>
              <w:tr2bl w:val="nil"/>
            </w:tcBorders>
            <w:vAlign w:val="center"/>
          </w:tcPr>
          <w:p w14:paraId="54DBEB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离子色谱仪</w:t>
            </w:r>
          </w:p>
        </w:tc>
        <w:tc>
          <w:tcPr>
            <w:tcW w:w="931" w:type="pct"/>
            <w:tcBorders>
              <w:tl2br w:val="nil"/>
              <w:tr2bl w:val="nil"/>
            </w:tcBorders>
            <w:vAlign w:val="center"/>
          </w:tcPr>
          <w:p w14:paraId="06CA83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PIC-10</w:t>
            </w:r>
          </w:p>
        </w:tc>
        <w:tc>
          <w:tcPr>
            <w:tcW w:w="1077" w:type="pct"/>
            <w:tcBorders>
              <w:tl2br w:val="nil"/>
              <w:tr2bl w:val="nil"/>
            </w:tcBorders>
            <w:vAlign w:val="center"/>
          </w:tcPr>
          <w:p w14:paraId="56C00C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HFYQ-1004</w:t>
            </w:r>
          </w:p>
        </w:tc>
      </w:tr>
      <w:tr w14:paraId="4CEBF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8E1C07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p>
        </w:tc>
        <w:tc>
          <w:tcPr>
            <w:tcW w:w="1758" w:type="pct"/>
            <w:tcBorders>
              <w:tl2br w:val="nil"/>
              <w:tr2bl w:val="nil"/>
            </w:tcBorders>
            <w:vAlign w:val="center"/>
          </w:tcPr>
          <w:p w14:paraId="7AD4F0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酸式滴定管</w:t>
            </w:r>
          </w:p>
        </w:tc>
        <w:tc>
          <w:tcPr>
            <w:tcW w:w="931" w:type="pct"/>
            <w:tcBorders>
              <w:tl2br w:val="nil"/>
              <w:tr2bl w:val="nil"/>
            </w:tcBorders>
            <w:vAlign w:val="center"/>
          </w:tcPr>
          <w:p w14:paraId="5DF31A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L</w:t>
            </w:r>
          </w:p>
        </w:tc>
        <w:tc>
          <w:tcPr>
            <w:tcW w:w="1077" w:type="pct"/>
            <w:tcBorders>
              <w:tl2br w:val="nil"/>
              <w:tr2bl w:val="nil"/>
            </w:tcBorders>
            <w:vAlign w:val="center"/>
          </w:tcPr>
          <w:p w14:paraId="3145E8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FBF7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2AE5A3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高锰酸盐指数</w:t>
            </w:r>
          </w:p>
          <w:p w14:paraId="2037D1E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耗氧量</w:t>
            </w:r>
            <w:r>
              <w:rPr>
                <w:rFonts w:hint="default" w:ascii="Times New Roman" w:hAnsi="Times New Roman" w:cs="Times New Roman"/>
                <w:color w:val="auto"/>
                <w:highlight w:val="none"/>
                <w:lang w:eastAsia="zh-CN"/>
              </w:rPr>
              <w:t>）</w:t>
            </w:r>
          </w:p>
        </w:tc>
        <w:tc>
          <w:tcPr>
            <w:tcW w:w="1758" w:type="pct"/>
            <w:tcBorders>
              <w:tl2br w:val="nil"/>
              <w:tr2bl w:val="nil"/>
            </w:tcBorders>
            <w:vAlign w:val="center"/>
          </w:tcPr>
          <w:p w14:paraId="2D564A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酸式滴定管</w:t>
            </w:r>
          </w:p>
        </w:tc>
        <w:tc>
          <w:tcPr>
            <w:tcW w:w="931" w:type="pct"/>
            <w:tcBorders>
              <w:tl2br w:val="nil"/>
              <w:tr2bl w:val="nil"/>
            </w:tcBorders>
            <w:vAlign w:val="center"/>
          </w:tcPr>
          <w:p w14:paraId="46EC6B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L</w:t>
            </w:r>
          </w:p>
        </w:tc>
        <w:tc>
          <w:tcPr>
            <w:tcW w:w="1077" w:type="pct"/>
            <w:tcBorders>
              <w:tl2br w:val="nil"/>
              <w:tr2bl w:val="nil"/>
            </w:tcBorders>
            <w:vAlign w:val="center"/>
          </w:tcPr>
          <w:p w14:paraId="5B5DE7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AABF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179C553D">
            <w:pPr>
              <w:pStyle w:val="46"/>
              <w:bidi w:val="0"/>
              <w:ind w:firstLine="0" w:firstLineChars="0"/>
              <w:rPr>
                <w:rFonts w:hint="default" w:ascii="Times New Roman" w:hAnsi="Times New Roman" w:cs="Times New Roman"/>
                <w:color w:val="auto"/>
                <w:highlight w:val="none"/>
                <w:lang w:eastAsia="zh-CN"/>
              </w:rPr>
            </w:pPr>
          </w:p>
        </w:tc>
        <w:tc>
          <w:tcPr>
            <w:tcW w:w="1758" w:type="pct"/>
            <w:tcBorders>
              <w:tl2br w:val="nil"/>
              <w:tr2bl w:val="nil"/>
            </w:tcBorders>
            <w:vAlign w:val="center"/>
          </w:tcPr>
          <w:p w14:paraId="014FF9C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电热恒温水浴锅</w:t>
            </w:r>
          </w:p>
        </w:tc>
        <w:tc>
          <w:tcPr>
            <w:tcW w:w="931" w:type="pct"/>
            <w:tcBorders>
              <w:tl2br w:val="nil"/>
              <w:tr2bl w:val="nil"/>
            </w:tcBorders>
            <w:vAlign w:val="center"/>
          </w:tcPr>
          <w:p w14:paraId="3DB8A06C">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DZKW-S4</w:t>
            </w:r>
          </w:p>
        </w:tc>
        <w:tc>
          <w:tcPr>
            <w:tcW w:w="1077" w:type="pct"/>
            <w:tcBorders>
              <w:tl2br w:val="nil"/>
              <w:tr2bl w:val="nil"/>
            </w:tcBorders>
            <w:vAlign w:val="center"/>
          </w:tcPr>
          <w:p w14:paraId="0D378C5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HFYQ-1033</w:t>
            </w:r>
          </w:p>
        </w:tc>
      </w:tr>
      <w:tr w14:paraId="20A4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1889C0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758" w:type="pct"/>
            <w:tcBorders>
              <w:tl2br w:val="nil"/>
              <w:tr2bl w:val="nil"/>
            </w:tcBorders>
            <w:vAlign w:val="center"/>
          </w:tcPr>
          <w:p w14:paraId="18D52C2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紫外可见分光光度计</w:t>
            </w:r>
          </w:p>
        </w:tc>
        <w:tc>
          <w:tcPr>
            <w:tcW w:w="931" w:type="pct"/>
            <w:tcBorders>
              <w:tl2br w:val="nil"/>
              <w:tr2bl w:val="nil"/>
            </w:tcBorders>
            <w:vAlign w:val="center"/>
          </w:tcPr>
          <w:p w14:paraId="7E1E10E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T6新世纪</w:t>
            </w:r>
          </w:p>
        </w:tc>
        <w:tc>
          <w:tcPr>
            <w:tcW w:w="1077" w:type="pct"/>
            <w:tcBorders>
              <w:tl2br w:val="nil"/>
              <w:tr2bl w:val="nil"/>
            </w:tcBorders>
            <w:vAlign w:val="center"/>
          </w:tcPr>
          <w:p w14:paraId="7D436E6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HFYQ-1049</w:t>
            </w:r>
          </w:p>
        </w:tc>
      </w:tr>
      <w:tr w14:paraId="26231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DE8A76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总硬度</w:t>
            </w:r>
          </w:p>
        </w:tc>
        <w:tc>
          <w:tcPr>
            <w:tcW w:w="1758" w:type="pct"/>
            <w:tcBorders>
              <w:tl2br w:val="nil"/>
              <w:tr2bl w:val="nil"/>
            </w:tcBorders>
            <w:vAlign w:val="center"/>
          </w:tcPr>
          <w:p w14:paraId="1FF5D1F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酸式滴定管</w:t>
            </w:r>
          </w:p>
        </w:tc>
        <w:tc>
          <w:tcPr>
            <w:tcW w:w="931" w:type="pct"/>
            <w:tcBorders>
              <w:tl2br w:val="nil"/>
              <w:tr2bl w:val="nil"/>
            </w:tcBorders>
            <w:vAlign w:val="center"/>
          </w:tcPr>
          <w:p w14:paraId="03302C95">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L</w:t>
            </w:r>
          </w:p>
        </w:tc>
        <w:tc>
          <w:tcPr>
            <w:tcW w:w="1077" w:type="pct"/>
            <w:tcBorders>
              <w:tl2br w:val="nil"/>
              <w:tr2bl w:val="nil"/>
            </w:tcBorders>
            <w:vAlign w:val="center"/>
          </w:tcPr>
          <w:p w14:paraId="4270EB6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2E8D4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57C57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硝酸盐</w:t>
            </w:r>
          </w:p>
          <w:p w14:paraId="4483A7E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以N计</w:t>
            </w:r>
            <w:r>
              <w:rPr>
                <w:rFonts w:hint="default" w:ascii="Times New Roman" w:hAnsi="Times New Roman" w:cs="Times New Roman"/>
                <w:color w:val="auto"/>
                <w:highlight w:val="none"/>
                <w:lang w:eastAsia="zh-CN"/>
              </w:rPr>
              <w:t>）</w:t>
            </w:r>
          </w:p>
        </w:tc>
        <w:tc>
          <w:tcPr>
            <w:tcW w:w="1758" w:type="pct"/>
            <w:tcBorders>
              <w:tl2br w:val="nil"/>
              <w:tr2bl w:val="nil"/>
            </w:tcBorders>
            <w:vAlign w:val="center"/>
          </w:tcPr>
          <w:p w14:paraId="4957505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紫外可见分光光度计</w:t>
            </w:r>
          </w:p>
        </w:tc>
        <w:tc>
          <w:tcPr>
            <w:tcW w:w="931" w:type="pct"/>
            <w:tcBorders>
              <w:tl2br w:val="nil"/>
              <w:tr2bl w:val="nil"/>
            </w:tcBorders>
            <w:vAlign w:val="center"/>
          </w:tcPr>
          <w:p w14:paraId="39A7618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T6新世纪</w:t>
            </w:r>
          </w:p>
        </w:tc>
        <w:tc>
          <w:tcPr>
            <w:tcW w:w="1077" w:type="pct"/>
            <w:tcBorders>
              <w:tl2br w:val="nil"/>
              <w:tr2bl w:val="nil"/>
            </w:tcBorders>
            <w:vAlign w:val="center"/>
          </w:tcPr>
          <w:p w14:paraId="765E767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HFYQ-1049</w:t>
            </w:r>
          </w:p>
        </w:tc>
      </w:tr>
      <w:tr w14:paraId="72872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04665E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亚硝酸盐</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以N计</w:t>
            </w:r>
            <w:r>
              <w:rPr>
                <w:rFonts w:hint="default" w:ascii="Times New Roman" w:hAnsi="Times New Roman" w:cs="Times New Roman"/>
                <w:color w:val="auto"/>
                <w:highlight w:val="none"/>
                <w:lang w:eastAsia="zh-CN"/>
              </w:rPr>
              <w:t>）</w:t>
            </w:r>
          </w:p>
        </w:tc>
        <w:tc>
          <w:tcPr>
            <w:tcW w:w="1758" w:type="pct"/>
            <w:tcBorders>
              <w:tl2br w:val="nil"/>
              <w:tr2bl w:val="nil"/>
            </w:tcBorders>
            <w:vAlign w:val="center"/>
          </w:tcPr>
          <w:p w14:paraId="6825FA0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2D94A59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39DE7BD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46919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0E8D89C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硫酸盐</w:t>
            </w:r>
          </w:p>
        </w:tc>
        <w:tc>
          <w:tcPr>
            <w:tcW w:w="1758" w:type="pct"/>
            <w:tcBorders>
              <w:tl2br w:val="nil"/>
              <w:tr2bl w:val="nil"/>
            </w:tcBorders>
            <w:vAlign w:val="center"/>
          </w:tcPr>
          <w:p w14:paraId="7EEAAB5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258F517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545C012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50482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2A25BE0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氯化物</w:t>
            </w:r>
          </w:p>
        </w:tc>
        <w:tc>
          <w:tcPr>
            <w:tcW w:w="1758" w:type="pct"/>
            <w:tcBorders>
              <w:tl2br w:val="nil"/>
              <w:tr2bl w:val="nil"/>
            </w:tcBorders>
            <w:vAlign w:val="center"/>
          </w:tcPr>
          <w:p w14:paraId="2B2B876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酸式滴定管</w:t>
            </w:r>
          </w:p>
        </w:tc>
        <w:tc>
          <w:tcPr>
            <w:tcW w:w="931" w:type="pct"/>
            <w:tcBorders>
              <w:tl2br w:val="nil"/>
              <w:tr2bl w:val="nil"/>
            </w:tcBorders>
            <w:vAlign w:val="center"/>
          </w:tcPr>
          <w:p w14:paraId="5AB24EA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L</w:t>
            </w:r>
          </w:p>
        </w:tc>
        <w:tc>
          <w:tcPr>
            <w:tcW w:w="1077" w:type="pct"/>
            <w:tcBorders>
              <w:tl2br w:val="nil"/>
              <w:tr2bl w:val="nil"/>
            </w:tcBorders>
            <w:vAlign w:val="center"/>
          </w:tcPr>
          <w:p w14:paraId="48C48EC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19A7A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59104A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铁</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锰</w:t>
            </w:r>
          </w:p>
        </w:tc>
        <w:tc>
          <w:tcPr>
            <w:tcW w:w="1758" w:type="pct"/>
            <w:tcBorders>
              <w:tl2br w:val="nil"/>
              <w:tr2bl w:val="nil"/>
            </w:tcBorders>
            <w:vAlign w:val="center"/>
          </w:tcPr>
          <w:p w14:paraId="61E4D7E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原子吸收分光光度计</w:t>
            </w:r>
          </w:p>
        </w:tc>
        <w:tc>
          <w:tcPr>
            <w:tcW w:w="931" w:type="pct"/>
            <w:tcBorders>
              <w:tl2br w:val="nil"/>
              <w:tr2bl w:val="nil"/>
            </w:tcBorders>
            <w:vAlign w:val="center"/>
          </w:tcPr>
          <w:p w14:paraId="4718836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TAS-990AFG</w:t>
            </w:r>
          </w:p>
        </w:tc>
        <w:tc>
          <w:tcPr>
            <w:tcW w:w="1077" w:type="pct"/>
            <w:tcBorders>
              <w:tl2br w:val="nil"/>
              <w:tr2bl w:val="nil"/>
            </w:tcBorders>
            <w:vAlign w:val="center"/>
          </w:tcPr>
          <w:p w14:paraId="5AC80E6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HFYQ-1005</w:t>
            </w:r>
          </w:p>
        </w:tc>
      </w:tr>
      <w:tr w14:paraId="3F7C1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7D398A9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总大肠菌群</w:t>
            </w:r>
          </w:p>
        </w:tc>
        <w:tc>
          <w:tcPr>
            <w:tcW w:w="1758" w:type="pct"/>
            <w:tcBorders>
              <w:tl2br w:val="nil"/>
              <w:tr2bl w:val="nil"/>
            </w:tcBorders>
            <w:vAlign w:val="center"/>
          </w:tcPr>
          <w:p w14:paraId="6F18FE9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电热恒温培养箱</w:t>
            </w:r>
          </w:p>
        </w:tc>
        <w:tc>
          <w:tcPr>
            <w:tcW w:w="931" w:type="pct"/>
            <w:tcBorders>
              <w:tl2br w:val="nil"/>
              <w:tr2bl w:val="nil"/>
            </w:tcBorders>
            <w:vAlign w:val="center"/>
          </w:tcPr>
          <w:p w14:paraId="525BEF2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HN-36BS</w:t>
            </w:r>
          </w:p>
        </w:tc>
        <w:tc>
          <w:tcPr>
            <w:tcW w:w="1077" w:type="pct"/>
            <w:tcBorders>
              <w:tl2br w:val="nil"/>
              <w:tr2bl w:val="nil"/>
            </w:tcBorders>
            <w:vAlign w:val="center"/>
          </w:tcPr>
          <w:p w14:paraId="340BB7C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HFYQ-1022</w:t>
            </w:r>
          </w:p>
        </w:tc>
      </w:tr>
      <w:tr w14:paraId="50239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51B533EC">
            <w:pPr>
              <w:pStyle w:val="46"/>
              <w:bidi w:val="0"/>
              <w:ind w:firstLine="0" w:firstLineChars="0"/>
              <w:rPr>
                <w:rFonts w:hint="default" w:ascii="Times New Roman" w:hAnsi="Times New Roman" w:cs="Times New Roman"/>
                <w:color w:val="auto"/>
                <w:highlight w:val="none"/>
              </w:rPr>
            </w:pPr>
          </w:p>
        </w:tc>
        <w:tc>
          <w:tcPr>
            <w:tcW w:w="1758" w:type="pct"/>
            <w:tcBorders>
              <w:tl2br w:val="nil"/>
              <w:tr2bl w:val="nil"/>
            </w:tcBorders>
            <w:vAlign w:val="center"/>
          </w:tcPr>
          <w:p w14:paraId="570EB4E9">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手提式压力蒸汽灭菌器</w:t>
            </w:r>
          </w:p>
        </w:tc>
        <w:tc>
          <w:tcPr>
            <w:tcW w:w="931" w:type="pct"/>
            <w:tcBorders>
              <w:tl2br w:val="nil"/>
              <w:tr2bl w:val="nil"/>
            </w:tcBorders>
            <w:vAlign w:val="center"/>
          </w:tcPr>
          <w:p w14:paraId="213C78B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JSM280G-18</w:t>
            </w:r>
          </w:p>
        </w:tc>
        <w:tc>
          <w:tcPr>
            <w:tcW w:w="1077" w:type="pct"/>
            <w:tcBorders>
              <w:tl2br w:val="nil"/>
              <w:tr2bl w:val="nil"/>
            </w:tcBorders>
            <w:vAlign w:val="center"/>
          </w:tcPr>
          <w:p w14:paraId="60A5E85C">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HFYQ-1019</w:t>
            </w:r>
          </w:p>
        </w:tc>
      </w:tr>
      <w:tr w14:paraId="7FB90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984AF7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挥发酚</w:t>
            </w:r>
          </w:p>
        </w:tc>
        <w:tc>
          <w:tcPr>
            <w:tcW w:w="1758" w:type="pct"/>
            <w:tcBorders>
              <w:tl2br w:val="nil"/>
              <w:tr2bl w:val="nil"/>
            </w:tcBorders>
            <w:vAlign w:val="center"/>
          </w:tcPr>
          <w:p w14:paraId="63D0C10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6E2ED6DE">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05661D4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5BF78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59919F3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氰化物</w:t>
            </w:r>
          </w:p>
        </w:tc>
        <w:tc>
          <w:tcPr>
            <w:tcW w:w="1758" w:type="pct"/>
            <w:tcBorders>
              <w:tl2br w:val="nil"/>
              <w:tr2bl w:val="nil"/>
            </w:tcBorders>
            <w:vAlign w:val="center"/>
          </w:tcPr>
          <w:p w14:paraId="52953DD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7E9D44E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1CBE2FA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78ACF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74B230A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汞</w:t>
            </w:r>
          </w:p>
        </w:tc>
        <w:tc>
          <w:tcPr>
            <w:tcW w:w="1758" w:type="pct"/>
            <w:tcBorders>
              <w:tl2br w:val="nil"/>
              <w:tr2bl w:val="nil"/>
            </w:tcBorders>
            <w:vAlign w:val="center"/>
          </w:tcPr>
          <w:p w14:paraId="5180B10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原子荧光光度计</w:t>
            </w:r>
          </w:p>
        </w:tc>
        <w:tc>
          <w:tcPr>
            <w:tcW w:w="931" w:type="pct"/>
            <w:tcBorders>
              <w:tl2br w:val="nil"/>
              <w:tr2bl w:val="nil"/>
            </w:tcBorders>
            <w:vAlign w:val="center"/>
          </w:tcPr>
          <w:p w14:paraId="13037C1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AFS-2202E</w:t>
            </w:r>
          </w:p>
        </w:tc>
        <w:tc>
          <w:tcPr>
            <w:tcW w:w="1077" w:type="pct"/>
            <w:tcBorders>
              <w:tl2br w:val="nil"/>
              <w:tr2bl w:val="nil"/>
            </w:tcBorders>
            <w:vAlign w:val="center"/>
          </w:tcPr>
          <w:p w14:paraId="66EB173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HFYQ-1006</w:t>
            </w:r>
          </w:p>
        </w:tc>
      </w:tr>
      <w:tr w14:paraId="71C83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5C306E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六价铬</w:t>
            </w:r>
          </w:p>
        </w:tc>
        <w:tc>
          <w:tcPr>
            <w:tcW w:w="1758" w:type="pct"/>
            <w:tcBorders>
              <w:tl2br w:val="nil"/>
              <w:tr2bl w:val="nil"/>
            </w:tcBorders>
            <w:vAlign w:val="center"/>
          </w:tcPr>
          <w:p w14:paraId="1BF5E3B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2E16D065">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74B3FEF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421B8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0805206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1758" w:type="pct"/>
            <w:tcBorders>
              <w:tl2br w:val="nil"/>
              <w:tr2bl w:val="nil"/>
            </w:tcBorders>
            <w:vAlign w:val="center"/>
          </w:tcPr>
          <w:p w14:paraId="39707F3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原子吸收分光光度计</w:t>
            </w:r>
          </w:p>
        </w:tc>
        <w:tc>
          <w:tcPr>
            <w:tcW w:w="931" w:type="pct"/>
            <w:tcBorders>
              <w:tl2br w:val="nil"/>
              <w:tr2bl w:val="nil"/>
            </w:tcBorders>
            <w:vAlign w:val="center"/>
          </w:tcPr>
          <w:p w14:paraId="5585BB1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TAS-990AFG</w:t>
            </w:r>
          </w:p>
        </w:tc>
        <w:tc>
          <w:tcPr>
            <w:tcW w:w="1077" w:type="pct"/>
            <w:tcBorders>
              <w:tl2br w:val="nil"/>
              <w:tr2bl w:val="nil"/>
            </w:tcBorders>
            <w:vAlign w:val="center"/>
          </w:tcPr>
          <w:p w14:paraId="04C67CD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HFYQ-1005</w:t>
            </w:r>
          </w:p>
        </w:tc>
      </w:tr>
      <w:tr w14:paraId="48C00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7CE64F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1758" w:type="pct"/>
            <w:tcBorders>
              <w:tl2br w:val="nil"/>
              <w:tr2bl w:val="nil"/>
            </w:tcBorders>
            <w:vAlign w:val="center"/>
          </w:tcPr>
          <w:p w14:paraId="712BA45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原子吸收分光光度计</w:t>
            </w:r>
          </w:p>
        </w:tc>
        <w:tc>
          <w:tcPr>
            <w:tcW w:w="931" w:type="pct"/>
            <w:tcBorders>
              <w:tl2br w:val="nil"/>
              <w:tr2bl w:val="nil"/>
            </w:tcBorders>
            <w:vAlign w:val="center"/>
          </w:tcPr>
          <w:p w14:paraId="78EA926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TAS-990AFG</w:t>
            </w:r>
          </w:p>
        </w:tc>
        <w:tc>
          <w:tcPr>
            <w:tcW w:w="1077" w:type="pct"/>
            <w:tcBorders>
              <w:tl2br w:val="nil"/>
              <w:tr2bl w:val="nil"/>
            </w:tcBorders>
            <w:vAlign w:val="center"/>
          </w:tcPr>
          <w:p w14:paraId="33B9739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HFYQ-1005</w:t>
            </w:r>
          </w:p>
        </w:tc>
      </w:tr>
      <w:tr w14:paraId="73387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A4DA6B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氟</w:t>
            </w:r>
            <w:r>
              <w:rPr>
                <w:rFonts w:hint="default" w:ascii="Times New Roman" w:hAnsi="Times New Roman" w:cs="Times New Roman"/>
                <w:color w:val="auto"/>
                <w:highlight w:val="none"/>
                <w:lang w:eastAsia="zh-CN"/>
              </w:rPr>
              <w:t>化物</w:t>
            </w:r>
          </w:p>
        </w:tc>
        <w:tc>
          <w:tcPr>
            <w:tcW w:w="1758" w:type="pct"/>
            <w:tcBorders>
              <w:tl2br w:val="nil"/>
              <w:tr2bl w:val="nil"/>
            </w:tcBorders>
            <w:vAlign w:val="center"/>
          </w:tcPr>
          <w:p w14:paraId="0073CA2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5DA983C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3E19491C">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04768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A58A62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溶解性总固体</w:t>
            </w:r>
          </w:p>
        </w:tc>
        <w:tc>
          <w:tcPr>
            <w:tcW w:w="1758" w:type="pct"/>
            <w:tcBorders>
              <w:tl2br w:val="nil"/>
              <w:tr2bl w:val="nil"/>
            </w:tcBorders>
            <w:vAlign w:val="center"/>
          </w:tcPr>
          <w:p w14:paraId="3C7C5CCA">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紫外可见分光光度计</w:t>
            </w:r>
          </w:p>
        </w:tc>
        <w:tc>
          <w:tcPr>
            <w:tcW w:w="931" w:type="pct"/>
            <w:tcBorders>
              <w:tl2br w:val="nil"/>
              <w:tr2bl w:val="nil"/>
            </w:tcBorders>
            <w:vAlign w:val="center"/>
          </w:tcPr>
          <w:p w14:paraId="654340E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T6新世纪</w:t>
            </w:r>
          </w:p>
        </w:tc>
        <w:tc>
          <w:tcPr>
            <w:tcW w:w="1077" w:type="pct"/>
            <w:tcBorders>
              <w:tl2br w:val="nil"/>
              <w:tr2bl w:val="nil"/>
            </w:tcBorders>
            <w:vAlign w:val="center"/>
          </w:tcPr>
          <w:p w14:paraId="3E743343">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HFYQ-1049</w:t>
            </w:r>
          </w:p>
        </w:tc>
      </w:tr>
      <w:tr w14:paraId="0DF43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79047D2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菌落总数</w:t>
            </w:r>
          </w:p>
        </w:tc>
        <w:tc>
          <w:tcPr>
            <w:tcW w:w="1758" w:type="pct"/>
            <w:tcBorders>
              <w:tl2br w:val="nil"/>
              <w:tr2bl w:val="nil"/>
            </w:tcBorders>
            <w:vAlign w:val="center"/>
          </w:tcPr>
          <w:p w14:paraId="6FF65177">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分析天平</w:t>
            </w:r>
          </w:p>
        </w:tc>
        <w:tc>
          <w:tcPr>
            <w:tcW w:w="931" w:type="pct"/>
            <w:tcBorders>
              <w:tl2br w:val="nil"/>
              <w:tr2bl w:val="nil"/>
            </w:tcBorders>
            <w:vAlign w:val="center"/>
          </w:tcPr>
          <w:p w14:paraId="1763125F">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AUW220D</w:t>
            </w:r>
          </w:p>
        </w:tc>
        <w:tc>
          <w:tcPr>
            <w:tcW w:w="1077" w:type="pct"/>
            <w:tcBorders>
              <w:tl2br w:val="nil"/>
              <w:tr2bl w:val="nil"/>
            </w:tcBorders>
            <w:vAlign w:val="center"/>
          </w:tcPr>
          <w:p w14:paraId="28AE8BD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HFYQ-1041</w:t>
            </w:r>
          </w:p>
        </w:tc>
      </w:tr>
      <w:tr w14:paraId="19A20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52BF2372">
            <w:pPr>
              <w:pStyle w:val="46"/>
              <w:bidi w:val="0"/>
              <w:ind w:firstLine="0" w:firstLineChars="0"/>
              <w:rPr>
                <w:rFonts w:hint="default" w:ascii="Times New Roman" w:hAnsi="Times New Roman" w:cs="Times New Roman"/>
                <w:color w:val="auto"/>
                <w:highlight w:val="none"/>
                <w:lang w:val="en-US" w:eastAsia="zh-CN"/>
              </w:rPr>
            </w:pPr>
          </w:p>
        </w:tc>
        <w:tc>
          <w:tcPr>
            <w:tcW w:w="1758" w:type="pct"/>
            <w:tcBorders>
              <w:tl2br w:val="nil"/>
              <w:tr2bl w:val="nil"/>
            </w:tcBorders>
            <w:vAlign w:val="center"/>
          </w:tcPr>
          <w:p w14:paraId="3207238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真空干燥箱</w:t>
            </w:r>
          </w:p>
        </w:tc>
        <w:tc>
          <w:tcPr>
            <w:tcW w:w="931" w:type="pct"/>
            <w:tcBorders>
              <w:tl2br w:val="nil"/>
              <w:tr2bl w:val="nil"/>
            </w:tcBorders>
            <w:vAlign w:val="center"/>
          </w:tcPr>
          <w:p w14:paraId="729108F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DZ-2BCⅣ</w:t>
            </w:r>
          </w:p>
        </w:tc>
        <w:tc>
          <w:tcPr>
            <w:tcW w:w="1077" w:type="pct"/>
            <w:tcBorders>
              <w:tl2br w:val="nil"/>
              <w:tr2bl w:val="nil"/>
            </w:tcBorders>
            <w:vAlign w:val="center"/>
          </w:tcPr>
          <w:p w14:paraId="63FBE09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HFYQ-1015</w:t>
            </w:r>
          </w:p>
        </w:tc>
      </w:tr>
    </w:tbl>
    <w:p w14:paraId="5DD63EF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4.2.3.2</w:t>
      </w:r>
      <w:r>
        <w:rPr>
          <w:rFonts w:hint="default" w:ascii="Times New Roman" w:hAnsi="Times New Roman" w:cs="Times New Roman"/>
          <w:color w:val="auto"/>
          <w:highlight w:val="none"/>
        </w:rPr>
        <w:t>监测结果与评价</w:t>
      </w:r>
    </w:p>
    <w:p w14:paraId="58F09F8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地下水监测结果见下表。 </w:t>
      </w:r>
    </w:p>
    <w:p w14:paraId="342103C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地下水监测结果表     单位：mg/L</w:t>
      </w:r>
    </w:p>
    <w:tbl>
      <w:tblPr>
        <w:tblStyle w:val="24"/>
        <w:tblW w:w="91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2"/>
        <w:gridCol w:w="1900"/>
        <w:gridCol w:w="1900"/>
        <w:gridCol w:w="1901"/>
        <w:gridCol w:w="1275"/>
      </w:tblGrid>
      <w:tr w14:paraId="3E278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tblHeader/>
          <w:jc w:val="center"/>
        </w:trPr>
        <w:tc>
          <w:tcPr>
            <w:tcW w:w="2142" w:type="dxa"/>
            <w:vMerge w:val="restart"/>
            <w:tcBorders>
              <w:tl2br w:val="nil"/>
              <w:tr2bl w:val="nil"/>
            </w:tcBorders>
            <w:noWrap w:val="0"/>
            <w:vAlign w:val="center"/>
          </w:tcPr>
          <w:p w14:paraId="6F8CBB8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5701" w:type="dxa"/>
            <w:gridSpan w:val="3"/>
            <w:tcBorders>
              <w:tl2br w:val="nil"/>
              <w:tr2bl w:val="nil"/>
            </w:tcBorders>
            <w:noWrap w:val="0"/>
            <w:vAlign w:val="center"/>
          </w:tcPr>
          <w:p w14:paraId="1FCC21F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检测结果</w:t>
            </w:r>
            <w:r>
              <w:rPr>
                <w:rFonts w:hint="default" w:ascii="Times New Roman" w:hAnsi="Times New Roman" w:cs="Times New Roman"/>
                <w:color w:val="auto"/>
                <w:highlight w:val="none"/>
                <w:lang w:val="en-US" w:eastAsia="zh-CN"/>
              </w:rPr>
              <w:t>2025.01.14</w:t>
            </w:r>
          </w:p>
        </w:tc>
        <w:tc>
          <w:tcPr>
            <w:tcW w:w="1275" w:type="dxa"/>
            <w:vMerge w:val="restart"/>
            <w:tcBorders>
              <w:tl2br w:val="nil"/>
              <w:tr2bl w:val="nil"/>
            </w:tcBorders>
            <w:noWrap w:val="0"/>
            <w:vAlign w:val="center"/>
          </w:tcPr>
          <w:p w14:paraId="677D731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单位</w:t>
            </w:r>
          </w:p>
        </w:tc>
      </w:tr>
      <w:tr w14:paraId="04859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tblHeader/>
          <w:jc w:val="center"/>
        </w:trPr>
        <w:tc>
          <w:tcPr>
            <w:tcW w:w="2142" w:type="dxa"/>
            <w:vMerge w:val="continue"/>
            <w:tcBorders>
              <w:tl2br w:val="nil"/>
              <w:tr2bl w:val="nil"/>
            </w:tcBorders>
            <w:noWrap w:val="0"/>
            <w:vAlign w:val="center"/>
          </w:tcPr>
          <w:p w14:paraId="60BEE29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eastAsia="zh-CN"/>
              </w:rPr>
            </w:pPr>
          </w:p>
        </w:tc>
        <w:tc>
          <w:tcPr>
            <w:tcW w:w="1900" w:type="dxa"/>
            <w:tcBorders>
              <w:tl2br w:val="nil"/>
              <w:tr2bl w:val="nil"/>
            </w:tcBorders>
            <w:noWrap w:val="0"/>
            <w:vAlign w:val="center"/>
          </w:tcPr>
          <w:p w14:paraId="07E4F2DF">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地下水水</w:t>
            </w:r>
            <w:r>
              <w:rPr>
                <w:rFonts w:hint="default" w:ascii="Times New Roman" w:hAnsi="Times New Roman" w:cs="Times New Roman"/>
                <w:color w:val="auto"/>
                <w:highlight w:val="none"/>
                <w:lang w:val="en-US" w:eastAsia="zh-CN"/>
              </w:rPr>
              <w:t>位、水质</w:t>
            </w:r>
            <w:r>
              <w:rPr>
                <w:rFonts w:hint="default" w:ascii="Times New Roman" w:hAnsi="Times New Roman" w:cs="Times New Roman"/>
                <w:color w:val="auto"/>
                <w:highlight w:val="none"/>
              </w:rPr>
              <w:t>监测点</w:t>
            </w:r>
            <w:r>
              <w:rPr>
                <w:rFonts w:hint="default" w:ascii="Times New Roman" w:hAnsi="Times New Roman" w:cs="Times New Roman"/>
                <w:color w:val="auto"/>
                <w:highlight w:val="none"/>
                <w:lang w:val="en-US" w:eastAsia="zh-CN"/>
              </w:rPr>
              <w:t>W1</w:t>
            </w:r>
          </w:p>
        </w:tc>
        <w:tc>
          <w:tcPr>
            <w:tcW w:w="1900" w:type="dxa"/>
            <w:tcBorders>
              <w:tl2br w:val="nil"/>
              <w:tr2bl w:val="nil"/>
            </w:tcBorders>
            <w:noWrap w:val="0"/>
            <w:vAlign w:val="center"/>
          </w:tcPr>
          <w:p w14:paraId="7D2C69C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地下水水</w:t>
            </w:r>
            <w:r>
              <w:rPr>
                <w:rFonts w:hint="default" w:ascii="Times New Roman" w:hAnsi="Times New Roman" w:cs="Times New Roman"/>
                <w:color w:val="auto"/>
                <w:highlight w:val="none"/>
                <w:lang w:val="en-US" w:eastAsia="zh-CN"/>
              </w:rPr>
              <w:t>位、水质</w:t>
            </w:r>
            <w:r>
              <w:rPr>
                <w:rFonts w:hint="default" w:ascii="Times New Roman" w:hAnsi="Times New Roman" w:cs="Times New Roman"/>
                <w:color w:val="auto"/>
                <w:highlight w:val="none"/>
              </w:rPr>
              <w:t>监测点</w:t>
            </w:r>
            <w:r>
              <w:rPr>
                <w:rFonts w:hint="default" w:ascii="Times New Roman" w:hAnsi="Times New Roman" w:cs="Times New Roman"/>
                <w:color w:val="auto"/>
                <w:highlight w:val="none"/>
                <w:lang w:val="en-US" w:eastAsia="zh-CN"/>
              </w:rPr>
              <w:t>W2</w:t>
            </w:r>
          </w:p>
        </w:tc>
        <w:tc>
          <w:tcPr>
            <w:tcW w:w="1901" w:type="dxa"/>
            <w:tcBorders>
              <w:tl2br w:val="nil"/>
              <w:tr2bl w:val="nil"/>
            </w:tcBorders>
            <w:noWrap w:val="0"/>
            <w:vAlign w:val="center"/>
          </w:tcPr>
          <w:p w14:paraId="68E3B1B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地下水水</w:t>
            </w:r>
            <w:r>
              <w:rPr>
                <w:rFonts w:hint="default" w:ascii="Times New Roman" w:hAnsi="Times New Roman" w:cs="Times New Roman"/>
                <w:color w:val="auto"/>
                <w:highlight w:val="none"/>
                <w:lang w:val="en-US" w:eastAsia="zh-CN"/>
              </w:rPr>
              <w:t>位、水质</w:t>
            </w:r>
            <w:r>
              <w:rPr>
                <w:rFonts w:hint="default" w:ascii="Times New Roman" w:hAnsi="Times New Roman" w:cs="Times New Roman"/>
                <w:color w:val="auto"/>
                <w:highlight w:val="none"/>
              </w:rPr>
              <w:t>监测点</w:t>
            </w:r>
            <w:r>
              <w:rPr>
                <w:rFonts w:hint="default" w:ascii="Times New Roman" w:hAnsi="Times New Roman" w:cs="Times New Roman"/>
                <w:color w:val="auto"/>
                <w:highlight w:val="none"/>
                <w:lang w:val="en-US" w:eastAsia="zh-CN"/>
              </w:rPr>
              <w:t>W3</w:t>
            </w:r>
          </w:p>
        </w:tc>
        <w:tc>
          <w:tcPr>
            <w:tcW w:w="1275" w:type="dxa"/>
            <w:vMerge w:val="continue"/>
            <w:tcBorders>
              <w:tl2br w:val="nil"/>
              <w:tr2bl w:val="nil"/>
            </w:tcBorders>
            <w:noWrap w:val="0"/>
            <w:vAlign w:val="center"/>
          </w:tcPr>
          <w:p w14:paraId="3C810A5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p>
        </w:tc>
      </w:tr>
      <w:tr w14:paraId="2F3C7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3EF6E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p>
        </w:tc>
        <w:tc>
          <w:tcPr>
            <w:tcW w:w="1900" w:type="dxa"/>
            <w:tcBorders>
              <w:tl2br w:val="nil"/>
              <w:tr2bl w:val="nil"/>
            </w:tcBorders>
            <w:noWrap w:val="0"/>
            <w:vAlign w:val="center"/>
          </w:tcPr>
          <w:p w14:paraId="1E44CA3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1.32</w:t>
            </w:r>
          </w:p>
        </w:tc>
        <w:tc>
          <w:tcPr>
            <w:tcW w:w="1900" w:type="dxa"/>
            <w:tcBorders>
              <w:tl2br w:val="nil"/>
              <w:tr2bl w:val="nil"/>
            </w:tcBorders>
            <w:noWrap w:val="0"/>
            <w:vAlign w:val="center"/>
          </w:tcPr>
          <w:p w14:paraId="4036ADD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2.04</w:t>
            </w:r>
          </w:p>
        </w:tc>
        <w:tc>
          <w:tcPr>
            <w:tcW w:w="1901" w:type="dxa"/>
            <w:tcBorders>
              <w:tl2br w:val="nil"/>
              <w:tr2bl w:val="nil"/>
            </w:tcBorders>
            <w:noWrap w:val="0"/>
            <w:vAlign w:val="center"/>
          </w:tcPr>
          <w:p w14:paraId="06B7F1D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2.67</w:t>
            </w:r>
          </w:p>
        </w:tc>
        <w:tc>
          <w:tcPr>
            <w:tcW w:w="1275" w:type="dxa"/>
            <w:tcBorders>
              <w:tl2br w:val="nil"/>
              <w:tr2bl w:val="nil"/>
            </w:tcBorders>
            <w:noWrap w:val="0"/>
            <w:vAlign w:val="center"/>
          </w:tcPr>
          <w:p w14:paraId="2370F45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F5D8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64DC5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p>
        </w:tc>
        <w:tc>
          <w:tcPr>
            <w:tcW w:w="1900" w:type="dxa"/>
            <w:tcBorders>
              <w:tl2br w:val="nil"/>
              <w:tr2bl w:val="nil"/>
            </w:tcBorders>
            <w:noWrap w:val="0"/>
            <w:vAlign w:val="center"/>
          </w:tcPr>
          <w:p w14:paraId="422F39AE">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24.6</w:t>
            </w:r>
          </w:p>
        </w:tc>
        <w:tc>
          <w:tcPr>
            <w:tcW w:w="1900" w:type="dxa"/>
            <w:tcBorders>
              <w:tl2br w:val="nil"/>
              <w:tr2bl w:val="nil"/>
            </w:tcBorders>
            <w:noWrap w:val="0"/>
            <w:vAlign w:val="center"/>
          </w:tcPr>
          <w:p w14:paraId="03192AF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35.6</w:t>
            </w:r>
          </w:p>
        </w:tc>
        <w:tc>
          <w:tcPr>
            <w:tcW w:w="1901" w:type="dxa"/>
            <w:tcBorders>
              <w:tl2br w:val="nil"/>
              <w:tr2bl w:val="nil"/>
            </w:tcBorders>
            <w:noWrap w:val="0"/>
            <w:vAlign w:val="center"/>
          </w:tcPr>
          <w:p w14:paraId="10BC2036">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32.7</w:t>
            </w:r>
          </w:p>
        </w:tc>
        <w:tc>
          <w:tcPr>
            <w:tcW w:w="1275" w:type="dxa"/>
            <w:tcBorders>
              <w:tl2br w:val="nil"/>
              <w:tr2bl w:val="nil"/>
            </w:tcBorders>
            <w:noWrap w:val="0"/>
            <w:vAlign w:val="center"/>
          </w:tcPr>
          <w:p w14:paraId="0055FA8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8D55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1B619B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p>
        </w:tc>
        <w:tc>
          <w:tcPr>
            <w:tcW w:w="1900" w:type="dxa"/>
            <w:tcBorders>
              <w:tl2br w:val="nil"/>
              <w:tr2bl w:val="nil"/>
            </w:tcBorders>
            <w:noWrap w:val="0"/>
            <w:vAlign w:val="center"/>
          </w:tcPr>
          <w:p w14:paraId="0E4D735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38.8</w:t>
            </w:r>
          </w:p>
        </w:tc>
        <w:tc>
          <w:tcPr>
            <w:tcW w:w="1900" w:type="dxa"/>
            <w:tcBorders>
              <w:tl2br w:val="nil"/>
              <w:tr2bl w:val="nil"/>
            </w:tcBorders>
            <w:noWrap w:val="0"/>
            <w:vAlign w:val="center"/>
          </w:tcPr>
          <w:p w14:paraId="74D8DB43">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47.5</w:t>
            </w:r>
          </w:p>
        </w:tc>
        <w:tc>
          <w:tcPr>
            <w:tcW w:w="1901" w:type="dxa"/>
            <w:tcBorders>
              <w:tl2br w:val="nil"/>
              <w:tr2bl w:val="nil"/>
            </w:tcBorders>
            <w:noWrap w:val="0"/>
            <w:vAlign w:val="center"/>
          </w:tcPr>
          <w:p w14:paraId="241FF1A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49.7</w:t>
            </w:r>
          </w:p>
        </w:tc>
        <w:tc>
          <w:tcPr>
            <w:tcW w:w="1275" w:type="dxa"/>
            <w:tcBorders>
              <w:tl2br w:val="nil"/>
              <w:tr2bl w:val="nil"/>
            </w:tcBorders>
            <w:noWrap w:val="0"/>
            <w:vAlign w:val="center"/>
          </w:tcPr>
          <w:p w14:paraId="6AB9B3F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3A9AB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69D75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p>
        </w:tc>
        <w:tc>
          <w:tcPr>
            <w:tcW w:w="1900" w:type="dxa"/>
            <w:tcBorders>
              <w:tl2br w:val="nil"/>
              <w:tr2bl w:val="nil"/>
            </w:tcBorders>
            <w:noWrap w:val="0"/>
            <w:vAlign w:val="center"/>
          </w:tcPr>
          <w:p w14:paraId="52F8EE4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22.3</w:t>
            </w:r>
          </w:p>
        </w:tc>
        <w:tc>
          <w:tcPr>
            <w:tcW w:w="1900" w:type="dxa"/>
            <w:tcBorders>
              <w:tl2br w:val="nil"/>
              <w:tr2bl w:val="nil"/>
            </w:tcBorders>
            <w:noWrap w:val="0"/>
            <w:vAlign w:val="center"/>
          </w:tcPr>
          <w:p w14:paraId="7827038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33.7</w:t>
            </w:r>
          </w:p>
        </w:tc>
        <w:tc>
          <w:tcPr>
            <w:tcW w:w="1901" w:type="dxa"/>
            <w:tcBorders>
              <w:tl2br w:val="nil"/>
              <w:tr2bl w:val="nil"/>
            </w:tcBorders>
            <w:noWrap w:val="0"/>
            <w:vAlign w:val="center"/>
          </w:tcPr>
          <w:p w14:paraId="5FDAB99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31.8</w:t>
            </w:r>
          </w:p>
        </w:tc>
        <w:tc>
          <w:tcPr>
            <w:tcW w:w="1275" w:type="dxa"/>
            <w:tcBorders>
              <w:tl2br w:val="nil"/>
              <w:tr2bl w:val="nil"/>
            </w:tcBorders>
            <w:noWrap w:val="0"/>
            <w:vAlign w:val="center"/>
          </w:tcPr>
          <w:p w14:paraId="5EE6D16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55B9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36E2D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p>
        </w:tc>
        <w:tc>
          <w:tcPr>
            <w:tcW w:w="1900" w:type="dxa"/>
            <w:tcBorders>
              <w:tl2br w:val="nil"/>
              <w:tr2bl w:val="nil"/>
            </w:tcBorders>
            <w:noWrap w:val="0"/>
            <w:vAlign w:val="center"/>
          </w:tcPr>
          <w:p w14:paraId="79DBC8F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900" w:type="dxa"/>
            <w:tcBorders>
              <w:tl2br w:val="nil"/>
              <w:tr2bl w:val="nil"/>
            </w:tcBorders>
            <w:noWrap w:val="0"/>
            <w:vAlign w:val="center"/>
          </w:tcPr>
          <w:p w14:paraId="5CB7DC7E">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901" w:type="dxa"/>
            <w:tcBorders>
              <w:tl2br w:val="nil"/>
              <w:tr2bl w:val="nil"/>
            </w:tcBorders>
            <w:noWrap w:val="0"/>
            <w:vAlign w:val="center"/>
          </w:tcPr>
          <w:p w14:paraId="426B9D7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275" w:type="dxa"/>
            <w:tcBorders>
              <w:tl2br w:val="nil"/>
              <w:tr2bl w:val="nil"/>
            </w:tcBorders>
            <w:noWrap w:val="0"/>
            <w:vAlign w:val="center"/>
          </w:tcPr>
          <w:p w14:paraId="7935405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36DC4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5604F4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p>
        </w:tc>
        <w:tc>
          <w:tcPr>
            <w:tcW w:w="1900" w:type="dxa"/>
            <w:tcBorders>
              <w:tl2br w:val="nil"/>
              <w:tr2bl w:val="nil"/>
            </w:tcBorders>
            <w:noWrap w:val="0"/>
            <w:vAlign w:val="center"/>
          </w:tcPr>
          <w:p w14:paraId="40A90FC6">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110</w:t>
            </w:r>
          </w:p>
        </w:tc>
        <w:tc>
          <w:tcPr>
            <w:tcW w:w="1900" w:type="dxa"/>
            <w:tcBorders>
              <w:tl2br w:val="nil"/>
              <w:tr2bl w:val="nil"/>
            </w:tcBorders>
            <w:noWrap w:val="0"/>
            <w:vAlign w:val="center"/>
          </w:tcPr>
          <w:p w14:paraId="694B555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66.8</w:t>
            </w:r>
          </w:p>
        </w:tc>
        <w:tc>
          <w:tcPr>
            <w:tcW w:w="1901" w:type="dxa"/>
            <w:tcBorders>
              <w:tl2br w:val="nil"/>
              <w:tr2bl w:val="nil"/>
            </w:tcBorders>
            <w:noWrap w:val="0"/>
            <w:vAlign w:val="center"/>
          </w:tcPr>
          <w:p w14:paraId="424C1AF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50.2</w:t>
            </w:r>
          </w:p>
        </w:tc>
        <w:tc>
          <w:tcPr>
            <w:tcW w:w="1275" w:type="dxa"/>
            <w:tcBorders>
              <w:tl2br w:val="nil"/>
              <w:tr2bl w:val="nil"/>
            </w:tcBorders>
            <w:noWrap w:val="0"/>
            <w:vAlign w:val="center"/>
          </w:tcPr>
          <w:p w14:paraId="4C2CFFF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3AF6F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142" w:type="dxa"/>
            <w:tcBorders>
              <w:tl2br w:val="nil"/>
              <w:tr2bl w:val="nil"/>
            </w:tcBorders>
            <w:noWrap w:val="0"/>
            <w:vAlign w:val="center"/>
          </w:tcPr>
          <w:p w14:paraId="1F784A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900" w:type="dxa"/>
            <w:tcBorders>
              <w:tl2br w:val="nil"/>
              <w:tr2bl w:val="nil"/>
            </w:tcBorders>
            <w:noWrap w:val="0"/>
            <w:vAlign w:val="center"/>
          </w:tcPr>
          <w:p w14:paraId="157F2A7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67.8</w:t>
            </w:r>
          </w:p>
        </w:tc>
        <w:tc>
          <w:tcPr>
            <w:tcW w:w="1900" w:type="dxa"/>
            <w:tcBorders>
              <w:tl2br w:val="nil"/>
              <w:tr2bl w:val="nil"/>
            </w:tcBorders>
            <w:noWrap w:val="0"/>
            <w:vAlign w:val="center"/>
          </w:tcPr>
          <w:p w14:paraId="295A756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123</w:t>
            </w:r>
          </w:p>
        </w:tc>
        <w:tc>
          <w:tcPr>
            <w:tcW w:w="1901" w:type="dxa"/>
            <w:tcBorders>
              <w:tl2br w:val="nil"/>
              <w:tr2bl w:val="nil"/>
            </w:tcBorders>
            <w:noWrap w:val="0"/>
            <w:vAlign w:val="center"/>
          </w:tcPr>
          <w:p w14:paraId="3AB1834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135</w:t>
            </w:r>
          </w:p>
        </w:tc>
        <w:tc>
          <w:tcPr>
            <w:tcW w:w="1275" w:type="dxa"/>
            <w:tcBorders>
              <w:tl2br w:val="nil"/>
              <w:tr2bl w:val="nil"/>
            </w:tcBorders>
            <w:noWrap w:val="0"/>
            <w:vAlign w:val="center"/>
          </w:tcPr>
          <w:p w14:paraId="1538900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5154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29F7B8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900" w:type="dxa"/>
            <w:tcBorders>
              <w:tl2br w:val="nil"/>
              <w:tr2bl w:val="nil"/>
            </w:tcBorders>
            <w:noWrap w:val="0"/>
            <w:vAlign w:val="center"/>
          </w:tcPr>
          <w:p w14:paraId="41E096C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49.6</w:t>
            </w:r>
          </w:p>
        </w:tc>
        <w:tc>
          <w:tcPr>
            <w:tcW w:w="1900" w:type="dxa"/>
            <w:tcBorders>
              <w:tl2br w:val="nil"/>
              <w:tr2bl w:val="nil"/>
            </w:tcBorders>
            <w:noWrap w:val="0"/>
            <w:vAlign w:val="center"/>
          </w:tcPr>
          <w:p w14:paraId="44E673E6">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93.8</w:t>
            </w:r>
          </w:p>
        </w:tc>
        <w:tc>
          <w:tcPr>
            <w:tcW w:w="1901" w:type="dxa"/>
            <w:tcBorders>
              <w:tl2br w:val="nil"/>
              <w:tr2bl w:val="nil"/>
            </w:tcBorders>
            <w:noWrap w:val="0"/>
            <w:vAlign w:val="center"/>
          </w:tcPr>
          <w:p w14:paraId="174D42F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w:t>
            </w:r>
          </w:p>
        </w:tc>
        <w:tc>
          <w:tcPr>
            <w:tcW w:w="1275" w:type="dxa"/>
            <w:tcBorders>
              <w:tl2br w:val="nil"/>
              <w:tr2bl w:val="nil"/>
            </w:tcBorders>
            <w:noWrap w:val="0"/>
            <w:vAlign w:val="center"/>
          </w:tcPr>
          <w:p w14:paraId="22F4217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741B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1AF27B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pH</w:t>
            </w:r>
          </w:p>
        </w:tc>
        <w:tc>
          <w:tcPr>
            <w:tcW w:w="1900" w:type="dxa"/>
            <w:tcBorders>
              <w:tl2br w:val="nil"/>
              <w:tr2bl w:val="nil"/>
            </w:tcBorders>
            <w:noWrap w:val="0"/>
            <w:vAlign w:val="center"/>
          </w:tcPr>
          <w:p w14:paraId="093ABAA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w:t>
            </w:r>
          </w:p>
        </w:tc>
        <w:tc>
          <w:tcPr>
            <w:tcW w:w="1900" w:type="dxa"/>
            <w:tcBorders>
              <w:tl2br w:val="nil"/>
              <w:tr2bl w:val="nil"/>
            </w:tcBorders>
            <w:noWrap w:val="0"/>
            <w:vAlign w:val="center"/>
          </w:tcPr>
          <w:p w14:paraId="7C0320C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w:t>
            </w:r>
          </w:p>
        </w:tc>
        <w:tc>
          <w:tcPr>
            <w:tcW w:w="1901" w:type="dxa"/>
            <w:tcBorders>
              <w:tl2br w:val="nil"/>
              <w:tr2bl w:val="nil"/>
            </w:tcBorders>
            <w:noWrap w:val="0"/>
            <w:vAlign w:val="center"/>
          </w:tcPr>
          <w:p w14:paraId="6086530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w:t>
            </w:r>
          </w:p>
        </w:tc>
        <w:tc>
          <w:tcPr>
            <w:tcW w:w="1275" w:type="dxa"/>
            <w:tcBorders>
              <w:tl2br w:val="nil"/>
              <w:tr2bl w:val="nil"/>
            </w:tcBorders>
            <w:noWrap w:val="0"/>
            <w:vAlign w:val="center"/>
          </w:tcPr>
          <w:p w14:paraId="4B474CF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r>
      <w:tr w14:paraId="2BA7B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6CBA42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pacing w:val="-6"/>
                <w:sz w:val="21"/>
                <w:szCs w:val="21"/>
                <w:highlight w:val="none"/>
                <w:lang w:val="en-US" w:eastAsia="zh-CN"/>
              </w:rPr>
              <w:t>高锰酸盐指数</w:t>
            </w:r>
          </w:p>
        </w:tc>
        <w:tc>
          <w:tcPr>
            <w:tcW w:w="1900" w:type="dxa"/>
            <w:tcBorders>
              <w:tl2br w:val="nil"/>
              <w:tr2bl w:val="nil"/>
            </w:tcBorders>
            <w:noWrap w:val="0"/>
            <w:vAlign w:val="center"/>
          </w:tcPr>
          <w:p w14:paraId="05F7B58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w:t>
            </w:r>
          </w:p>
        </w:tc>
        <w:tc>
          <w:tcPr>
            <w:tcW w:w="1900" w:type="dxa"/>
            <w:tcBorders>
              <w:tl2br w:val="nil"/>
              <w:tr2bl w:val="nil"/>
            </w:tcBorders>
            <w:noWrap w:val="0"/>
            <w:vAlign w:val="center"/>
          </w:tcPr>
          <w:p w14:paraId="10B5CACF">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0.8</w:t>
            </w:r>
          </w:p>
        </w:tc>
        <w:tc>
          <w:tcPr>
            <w:tcW w:w="1901" w:type="dxa"/>
            <w:tcBorders>
              <w:tl2br w:val="nil"/>
              <w:tr2bl w:val="nil"/>
            </w:tcBorders>
            <w:noWrap w:val="0"/>
            <w:vAlign w:val="center"/>
          </w:tcPr>
          <w:p w14:paraId="6FE3BC1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0.8</w:t>
            </w:r>
          </w:p>
        </w:tc>
        <w:tc>
          <w:tcPr>
            <w:tcW w:w="1275" w:type="dxa"/>
            <w:tcBorders>
              <w:tl2br w:val="nil"/>
              <w:tr2bl w:val="nil"/>
            </w:tcBorders>
            <w:noWrap w:val="0"/>
            <w:vAlign w:val="center"/>
          </w:tcPr>
          <w:p w14:paraId="11CD5FAE">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12C9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0E1944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氨氮</w:t>
            </w:r>
          </w:p>
        </w:tc>
        <w:tc>
          <w:tcPr>
            <w:tcW w:w="1900" w:type="dxa"/>
            <w:tcBorders>
              <w:tl2br w:val="nil"/>
              <w:tr2bl w:val="nil"/>
            </w:tcBorders>
            <w:noWrap w:val="0"/>
            <w:vAlign w:val="center"/>
          </w:tcPr>
          <w:p w14:paraId="7CA8249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0.279</w:t>
            </w:r>
          </w:p>
        </w:tc>
        <w:tc>
          <w:tcPr>
            <w:tcW w:w="1900" w:type="dxa"/>
            <w:tcBorders>
              <w:tl2br w:val="nil"/>
              <w:tr2bl w:val="nil"/>
            </w:tcBorders>
            <w:noWrap w:val="0"/>
            <w:vAlign w:val="center"/>
          </w:tcPr>
          <w:p w14:paraId="3E06EE5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0.105</w:t>
            </w:r>
          </w:p>
        </w:tc>
        <w:tc>
          <w:tcPr>
            <w:tcW w:w="1901" w:type="dxa"/>
            <w:tcBorders>
              <w:tl2br w:val="nil"/>
              <w:tr2bl w:val="nil"/>
            </w:tcBorders>
            <w:noWrap w:val="0"/>
            <w:vAlign w:val="center"/>
          </w:tcPr>
          <w:p w14:paraId="5F3A5FF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0.155</w:t>
            </w:r>
          </w:p>
        </w:tc>
        <w:tc>
          <w:tcPr>
            <w:tcW w:w="1275" w:type="dxa"/>
            <w:tcBorders>
              <w:tl2br w:val="nil"/>
              <w:tr2bl w:val="nil"/>
            </w:tcBorders>
            <w:noWrap w:val="0"/>
            <w:vAlign w:val="center"/>
          </w:tcPr>
          <w:p w14:paraId="4680E4D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4CE77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6F5A59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总硬度</w:t>
            </w:r>
          </w:p>
        </w:tc>
        <w:tc>
          <w:tcPr>
            <w:tcW w:w="1900" w:type="dxa"/>
            <w:tcBorders>
              <w:tl2br w:val="nil"/>
              <w:tr2bl w:val="nil"/>
            </w:tcBorders>
            <w:noWrap w:val="0"/>
            <w:vAlign w:val="center"/>
          </w:tcPr>
          <w:p w14:paraId="19DB04B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115</w:t>
            </w:r>
          </w:p>
        </w:tc>
        <w:tc>
          <w:tcPr>
            <w:tcW w:w="1900" w:type="dxa"/>
            <w:tcBorders>
              <w:tl2br w:val="nil"/>
              <w:tr2bl w:val="nil"/>
            </w:tcBorders>
            <w:noWrap w:val="0"/>
            <w:vAlign w:val="center"/>
          </w:tcPr>
          <w:p w14:paraId="23282B6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176</w:t>
            </w:r>
          </w:p>
        </w:tc>
        <w:tc>
          <w:tcPr>
            <w:tcW w:w="1901" w:type="dxa"/>
            <w:tcBorders>
              <w:tl2br w:val="nil"/>
              <w:tr2bl w:val="nil"/>
            </w:tcBorders>
            <w:noWrap w:val="0"/>
            <w:vAlign w:val="center"/>
          </w:tcPr>
          <w:p w14:paraId="23F69AA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124</w:t>
            </w:r>
          </w:p>
        </w:tc>
        <w:tc>
          <w:tcPr>
            <w:tcW w:w="1275" w:type="dxa"/>
            <w:tcBorders>
              <w:tl2br w:val="nil"/>
              <w:tr2bl w:val="nil"/>
            </w:tcBorders>
            <w:noWrap w:val="0"/>
            <w:vAlign w:val="center"/>
          </w:tcPr>
          <w:p w14:paraId="375D7E6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058B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0A8A0E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硝酸盐（以N计）</w:t>
            </w:r>
          </w:p>
        </w:tc>
        <w:tc>
          <w:tcPr>
            <w:tcW w:w="1900" w:type="dxa"/>
            <w:tcBorders>
              <w:tl2br w:val="nil"/>
              <w:tr2bl w:val="nil"/>
            </w:tcBorders>
            <w:noWrap w:val="0"/>
            <w:vAlign w:val="center"/>
          </w:tcPr>
          <w:p w14:paraId="2E4C6A4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w:t>
            </w:r>
          </w:p>
        </w:tc>
        <w:tc>
          <w:tcPr>
            <w:tcW w:w="1900" w:type="dxa"/>
            <w:tcBorders>
              <w:tl2br w:val="nil"/>
              <w:tr2bl w:val="nil"/>
            </w:tcBorders>
            <w:noWrap w:val="0"/>
            <w:vAlign w:val="center"/>
          </w:tcPr>
          <w:p w14:paraId="5B1FBBB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7.85</w:t>
            </w:r>
          </w:p>
        </w:tc>
        <w:tc>
          <w:tcPr>
            <w:tcW w:w="1901" w:type="dxa"/>
            <w:tcBorders>
              <w:tl2br w:val="nil"/>
              <w:tr2bl w:val="nil"/>
            </w:tcBorders>
            <w:noWrap w:val="0"/>
            <w:vAlign w:val="center"/>
          </w:tcPr>
          <w:p w14:paraId="0F514B06">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8.50</w:t>
            </w:r>
          </w:p>
        </w:tc>
        <w:tc>
          <w:tcPr>
            <w:tcW w:w="1275" w:type="dxa"/>
            <w:tcBorders>
              <w:tl2br w:val="nil"/>
              <w:tr2bl w:val="nil"/>
            </w:tcBorders>
            <w:noWrap w:val="0"/>
            <w:vAlign w:val="center"/>
          </w:tcPr>
          <w:p w14:paraId="6AF6DAF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0C2D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2F049D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亚硝酸盐（以N计）</w:t>
            </w:r>
          </w:p>
        </w:tc>
        <w:tc>
          <w:tcPr>
            <w:tcW w:w="1900" w:type="dxa"/>
            <w:tcBorders>
              <w:tl2br w:val="nil"/>
              <w:tr2bl w:val="nil"/>
            </w:tcBorders>
            <w:noWrap w:val="0"/>
            <w:vAlign w:val="center"/>
          </w:tcPr>
          <w:p w14:paraId="07A40CB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0.001L</w:t>
            </w:r>
          </w:p>
        </w:tc>
        <w:tc>
          <w:tcPr>
            <w:tcW w:w="1900" w:type="dxa"/>
            <w:tcBorders>
              <w:tl2br w:val="nil"/>
              <w:tr2bl w:val="nil"/>
            </w:tcBorders>
            <w:noWrap w:val="0"/>
            <w:vAlign w:val="center"/>
          </w:tcPr>
          <w:p w14:paraId="7E0536A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0.001L</w:t>
            </w:r>
          </w:p>
        </w:tc>
        <w:tc>
          <w:tcPr>
            <w:tcW w:w="1901" w:type="dxa"/>
            <w:tcBorders>
              <w:tl2br w:val="nil"/>
              <w:tr2bl w:val="nil"/>
            </w:tcBorders>
            <w:noWrap w:val="0"/>
            <w:vAlign w:val="center"/>
          </w:tcPr>
          <w:p w14:paraId="1C59CA4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0.001L</w:t>
            </w:r>
          </w:p>
        </w:tc>
        <w:tc>
          <w:tcPr>
            <w:tcW w:w="1275" w:type="dxa"/>
            <w:tcBorders>
              <w:tl2br w:val="nil"/>
              <w:tr2bl w:val="nil"/>
            </w:tcBorders>
            <w:noWrap w:val="0"/>
            <w:vAlign w:val="center"/>
          </w:tcPr>
          <w:p w14:paraId="0BFF068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25B54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4D635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硫酸盐</w:t>
            </w:r>
          </w:p>
        </w:tc>
        <w:tc>
          <w:tcPr>
            <w:tcW w:w="1900" w:type="dxa"/>
            <w:tcBorders>
              <w:tl2br w:val="nil"/>
              <w:tr2bl w:val="nil"/>
            </w:tcBorders>
            <w:noWrap w:val="0"/>
            <w:vAlign w:val="center"/>
          </w:tcPr>
          <w:p w14:paraId="6D0CB82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1900" w:type="dxa"/>
            <w:tcBorders>
              <w:tl2br w:val="nil"/>
              <w:tr2bl w:val="nil"/>
            </w:tcBorders>
            <w:noWrap w:val="0"/>
            <w:vAlign w:val="center"/>
          </w:tcPr>
          <w:p w14:paraId="5B36F90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94</w:t>
            </w:r>
          </w:p>
        </w:tc>
        <w:tc>
          <w:tcPr>
            <w:tcW w:w="1901" w:type="dxa"/>
            <w:tcBorders>
              <w:tl2br w:val="nil"/>
              <w:tr2bl w:val="nil"/>
            </w:tcBorders>
            <w:noWrap w:val="0"/>
            <w:vAlign w:val="center"/>
          </w:tcPr>
          <w:p w14:paraId="02BDB3C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104</w:t>
            </w:r>
          </w:p>
        </w:tc>
        <w:tc>
          <w:tcPr>
            <w:tcW w:w="1275" w:type="dxa"/>
            <w:tcBorders>
              <w:tl2br w:val="nil"/>
              <w:tr2bl w:val="nil"/>
            </w:tcBorders>
            <w:noWrap w:val="0"/>
            <w:vAlign w:val="center"/>
          </w:tcPr>
          <w:p w14:paraId="5921CF9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535AF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66B725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氯化物</w:t>
            </w:r>
          </w:p>
        </w:tc>
        <w:tc>
          <w:tcPr>
            <w:tcW w:w="1900" w:type="dxa"/>
            <w:tcBorders>
              <w:tl2br w:val="nil"/>
              <w:tr2bl w:val="nil"/>
            </w:tcBorders>
            <w:noWrap w:val="0"/>
            <w:vAlign w:val="center"/>
          </w:tcPr>
          <w:p w14:paraId="71A854B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68.1</w:t>
            </w:r>
          </w:p>
        </w:tc>
        <w:tc>
          <w:tcPr>
            <w:tcW w:w="1900" w:type="dxa"/>
            <w:tcBorders>
              <w:tl2br w:val="nil"/>
              <w:tr2bl w:val="nil"/>
            </w:tcBorders>
            <w:noWrap w:val="0"/>
            <w:vAlign w:val="center"/>
          </w:tcPr>
          <w:p w14:paraId="28CD1143">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124</w:t>
            </w:r>
          </w:p>
        </w:tc>
        <w:tc>
          <w:tcPr>
            <w:tcW w:w="1901" w:type="dxa"/>
            <w:tcBorders>
              <w:tl2br w:val="nil"/>
              <w:tr2bl w:val="nil"/>
            </w:tcBorders>
            <w:noWrap w:val="0"/>
            <w:vAlign w:val="center"/>
          </w:tcPr>
          <w:p w14:paraId="0C46770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137</w:t>
            </w:r>
          </w:p>
        </w:tc>
        <w:tc>
          <w:tcPr>
            <w:tcW w:w="1275" w:type="dxa"/>
            <w:tcBorders>
              <w:tl2br w:val="nil"/>
              <w:tr2bl w:val="nil"/>
            </w:tcBorders>
            <w:noWrap w:val="0"/>
            <w:vAlign w:val="center"/>
          </w:tcPr>
          <w:p w14:paraId="7E0527F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0994B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4F2C5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铁</w:t>
            </w:r>
          </w:p>
        </w:tc>
        <w:tc>
          <w:tcPr>
            <w:tcW w:w="1900" w:type="dxa"/>
            <w:tcBorders>
              <w:tl2br w:val="nil"/>
              <w:tr2bl w:val="nil"/>
            </w:tcBorders>
            <w:noWrap w:val="0"/>
            <w:vAlign w:val="center"/>
          </w:tcPr>
          <w:p w14:paraId="5E6C7B5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0.43</w:t>
            </w:r>
          </w:p>
        </w:tc>
        <w:tc>
          <w:tcPr>
            <w:tcW w:w="1900" w:type="dxa"/>
            <w:tcBorders>
              <w:tl2br w:val="nil"/>
              <w:tr2bl w:val="nil"/>
            </w:tcBorders>
            <w:noWrap w:val="0"/>
            <w:vAlign w:val="center"/>
          </w:tcPr>
          <w:p w14:paraId="5A1F0B76">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0.03L</w:t>
            </w:r>
          </w:p>
        </w:tc>
        <w:tc>
          <w:tcPr>
            <w:tcW w:w="1901" w:type="dxa"/>
            <w:tcBorders>
              <w:tl2br w:val="nil"/>
              <w:tr2bl w:val="nil"/>
            </w:tcBorders>
            <w:noWrap w:val="0"/>
            <w:vAlign w:val="center"/>
          </w:tcPr>
          <w:p w14:paraId="0D8B4C9E">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0.03L</w:t>
            </w:r>
          </w:p>
        </w:tc>
        <w:tc>
          <w:tcPr>
            <w:tcW w:w="1275" w:type="dxa"/>
            <w:tcBorders>
              <w:tl2br w:val="nil"/>
              <w:tr2bl w:val="nil"/>
            </w:tcBorders>
            <w:noWrap w:val="0"/>
            <w:vAlign w:val="center"/>
          </w:tcPr>
          <w:p w14:paraId="36E868F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4A00B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2C8399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锰</w:t>
            </w:r>
          </w:p>
        </w:tc>
        <w:tc>
          <w:tcPr>
            <w:tcW w:w="1900" w:type="dxa"/>
            <w:tcBorders>
              <w:tl2br w:val="nil"/>
              <w:tr2bl w:val="nil"/>
            </w:tcBorders>
            <w:noWrap w:val="0"/>
            <w:vAlign w:val="center"/>
          </w:tcPr>
          <w:p w14:paraId="79032E68">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0.43</w:t>
            </w:r>
          </w:p>
        </w:tc>
        <w:tc>
          <w:tcPr>
            <w:tcW w:w="1900" w:type="dxa"/>
            <w:tcBorders>
              <w:tl2br w:val="nil"/>
              <w:tr2bl w:val="nil"/>
            </w:tcBorders>
            <w:noWrap w:val="0"/>
            <w:vAlign w:val="center"/>
          </w:tcPr>
          <w:p w14:paraId="67A6C88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0.01L</w:t>
            </w:r>
          </w:p>
        </w:tc>
        <w:tc>
          <w:tcPr>
            <w:tcW w:w="1901" w:type="dxa"/>
            <w:tcBorders>
              <w:tl2br w:val="nil"/>
              <w:tr2bl w:val="nil"/>
            </w:tcBorders>
            <w:noWrap w:val="0"/>
            <w:vAlign w:val="center"/>
          </w:tcPr>
          <w:p w14:paraId="7E1BFC2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75" w:type="dxa"/>
            <w:tcBorders>
              <w:tl2br w:val="nil"/>
              <w:tr2bl w:val="nil"/>
            </w:tcBorders>
            <w:noWrap w:val="0"/>
            <w:vAlign w:val="center"/>
          </w:tcPr>
          <w:p w14:paraId="7D6FDC5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4BDF4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142" w:type="dxa"/>
            <w:tcBorders>
              <w:tl2br w:val="nil"/>
              <w:tr2bl w:val="nil"/>
            </w:tcBorders>
            <w:noWrap w:val="0"/>
            <w:vAlign w:val="center"/>
          </w:tcPr>
          <w:p w14:paraId="399D3B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总大肠菌群</w:t>
            </w:r>
          </w:p>
        </w:tc>
        <w:tc>
          <w:tcPr>
            <w:tcW w:w="1900" w:type="dxa"/>
            <w:tcBorders>
              <w:tl2br w:val="nil"/>
              <w:tr2bl w:val="nil"/>
            </w:tcBorders>
            <w:noWrap w:val="0"/>
            <w:vAlign w:val="center"/>
          </w:tcPr>
          <w:p w14:paraId="56D47B6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&lt;2</w:t>
            </w:r>
          </w:p>
        </w:tc>
        <w:tc>
          <w:tcPr>
            <w:tcW w:w="1900" w:type="dxa"/>
            <w:tcBorders>
              <w:tl2br w:val="nil"/>
              <w:tr2bl w:val="nil"/>
            </w:tcBorders>
            <w:noWrap w:val="0"/>
            <w:vAlign w:val="center"/>
          </w:tcPr>
          <w:p w14:paraId="5EAE1E6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&lt;2</w:t>
            </w:r>
          </w:p>
        </w:tc>
        <w:tc>
          <w:tcPr>
            <w:tcW w:w="1901" w:type="dxa"/>
            <w:tcBorders>
              <w:tl2br w:val="nil"/>
              <w:tr2bl w:val="nil"/>
            </w:tcBorders>
            <w:noWrap w:val="0"/>
            <w:vAlign w:val="center"/>
          </w:tcPr>
          <w:p w14:paraId="28E9CEC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&lt;2</w:t>
            </w:r>
          </w:p>
        </w:tc>
        <w:tc>
          <w:tcPr>
            <w:tcW w:w="1275" w:type="dxa"/>
            <w:tcBorders>
              <w:tl2br w:val="nil"/>
              <w:tr2bl w:val="nil"/>
            </w:tcBorders>
            <w:noWrap w:val="0"/>
            <w:vAlign w:val="center"/>
          </w:tcPr>
          <w:p w14:paraId="3BD8CA7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MPN/100mL</w:t>
            </w:r>
          </w:p>
        </w:tc>
      </w:tr>
      <w:tr w14:paraId="266996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2F1734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挥发酚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eastAsia="zh-CN"/>
              </w:rPr>
              <w:t>）</w:t>
            </w:r>
          </w:p>
        </w:tc>
        <w:tc>
          <w:tcPr>
            <w:tcW w:w="1900" w:type="dxa"/>
            <w:tcBorders>
              <w:tl2br w:val="nil"/>
              <w:tr2bl w:val="nil"/>
            </w:tcBorders>
            <w:noWrap w:val="0"/>
            <w:vAlign w:val="center"/>
          </w:tcPr>
          <w:p w14:paraId="7AE9C0A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900" w:type="dxa"/>
            <w:tcBorders>
              <w:tl2br w:val="nil"/>
              <w:tr2bl w:val="nil"/>
            </w:tcBorders>
            <w:noWrap w:val="0"/>
            <w:vAlign w:val="center"/>
          </w:tcPr>
          <w:p w14:paraId="636C65A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901" w:type="dxa"/>
            <w:tcBorders>
              <w:tl2br w:val="nil"/>
              <w:tr2bl w:val="nil"/>
            </w:tcBorders>
            <w:noWrap w:val="0"/>
            <w:vAlign w:val="center"/>
          </w:tcPr>
          <w:p w14:paraId="5CE4338F">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275" w:type="dxa"/>
            <w:tcBorders>
              <w:tl2br w:val="nil"/>
              <w:tr2bl w:val="nil"/>
            </w:tcBorders>
            <w:noWrap w:val="0"/>
            <w:vAlign w:val="center"/>
          </w:tcPr>
          <w:p w14:paraId="78C34AA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4E85A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5C9348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rPr>
              <w:t>氰化物</w:t>
            </w:r>
          </w:p>
        </w:tc>
        <w:tc>
          <w:tcPr>
            <w:tcW w:w="1900" w:type="dxa"/>
            <w:tcBorders>
              <w:tl2br w:val="nil"/>
              <w:tr2bl w:val="nil"/>
            </w:tcBorders>
            <w:noWrap w:val="0"/>
            <w:vAlign w:val="center"/>
          </w:tcPr>
          <w:p w14:paraId="73010633">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900" w:type="dxa"/>
            <w:tcBorders>
              <w:tl2br w:val="nil"/>
              <w:tr2bl w:val="nil"/>
            </w:tcBorders>
            <w:noWrap w:val="0"/>
            <w:vAlign w:val="center"/>
          </w:tcPr>
          <w:p w14:paraId="6C1965A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901" w:type="dxa"/>
            <w:tcBorders>
              <w:tl2br w:val="nil"/>
              <w:tr2bl w:val="nil"/>
            </w:tcBorders>
            <w:noWrap w:val="0"/>
            <w:vAlign w:val="center"/>
          </w:tcPr>
          <w:p w14:paraId="48310E3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275" w:type="dxa"/>
            <w:tcBorders>
              <w:tl2br w:val="nil"/>
              <w:tr2bl w:val="nil"/>
            </w:tcBorders>
            <w:noWrap w:val="0"/>
            <w:vAlign w:val="center"/>
          </w:tcPr>
          <w:p w14:paraId="3181EF9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353A0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6A30C0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砷</w:t>
            </w:r>
          </w:p>
        </w:tc>
        <w:tc>
          <w:tcPr>
            <w:tcW w:w="1900" w:type="dxa"/>
            <w:tcBorders>
              <w:tl2br w:val="nil"/>
              <w:tr2bl w:val="nil"/>
            </w:tcBorders>
            <w:noWrap w:val="0"/>
            <w:vAlign w:val="center"/>
          </w:tcPr>
          <w:p w14:paraId="05BEBD8F">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900" w:type="dxa"/>
            <w:tcBorders>
              <w:tl2br w:val="nil"/>
              <w:tr2bl w:val="nil"/>
            </w:tcBorders>
            <w:noWrap w:val="0"/>
            <w:vAlign w:val="center"/>
          </w:tcPr>
          <w:p w14:paraId="74EE54AE">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901" w:type="dxa"/>
            <w:tcBorders>
              <w:tl2br w:val="nil"/>
              <w:tr2bl w:val="nil"/>
            </w:tcBorders>
            <w:noWrap w:val="0"/>
            <w:vAlign w:val="center"/>
          </w:tcPr>
          <w:p w14:paraId="28715C9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275" w:type="dxa"/>
            <w:tcBorders>
              <w:tl2br w:val="nil"/>
              <w:tr2bl w:val="nil"/>
            </w:tcBorders>
            <w:noWrap w:val="0"/>
            <w:vAlign w:val="center"/>
          </w:tcPr>
          <w:p w14:paraId="542DB9D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4BF9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18803F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汞</w:t>
            </w:r>
          </w:p>
        </w:tc>
        <w:tc>
          <w:tcPr>
            <w:tcW w:w="1900" w:type="dxa"/>
            <w:tcBorders>
              <w:tl2br w:val="nil"/>
              <w:tr2bl w:val="nil"/>
            </w:tcBorders>
            <w:noWrap w:val="0"/>
            <w:vAlign w:val="center"/>
          </w:tcPr>
          <w:p w14:paraId="767E1DF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0.00004L</w:t>
            </w:r>
          </w:p>
        </w:tc>
        <w:tc>
          <w:tcPr>
            <w:tcW w:w="1900" w:type="dxa"/>
            <w:tcBorders>
              <w:tl2br w:val="nil"/>
              <w:tr2bl w:val="nil"/>
            </w:tcBorders>
            <w:noWrap w:val="0"/>
            <w:vAlign w:val="center"/>
          </w:tcPr>
          <w:p w14:paraId="0313474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0.00004L</w:t>
            </w:r>
          </w:p>
        </w:tc>
        <w:tc>
          <w:tcPr>
            <w:tcW w:w="1901" w:type="dxa"/>
            <w:tcBorders>
              <w:tl2br w:val="nil"/>
              <w:tr2bl w:val="nil"/>
            </w:tcBorders>
            <w:noWrap w:val="0"/>
            <w:vAlign w:val="center"/>
          </w:tcPr>
          <w:p w14:paraId="5B459D2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0.00004L</w:t>
            </w:r>
          </w:p>
        </w:tc>
        <w:tc>
          <w:tcPr>
            <w:tcW w:w="1275" w:type="dxa"/>
            <w:tcBorders>
              <w:tl2br w:val="nil"/>
              <w:tr2bl w:val="nil"/>
            </w:tcBorders>
            <w:noWrap w:val="0"/>
            <w:vAlign w:val="center"/>
          </w:tcPr>
          <w:p w14:paraId="6806F92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8E84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E9B0C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六价铬</w:t>
            </w:r>
          </w:p>
        </w:tc>
        <w:tc>
          <w:tcPr>
            <w:tcW w:w="1900" w:type="dxa"/>
            <w:tcBorders>
              <w:tl2br w:val="nil"/>
              <w:tr2bl w:val="nil"/>
            </w:tcBorders>
            <w:noWrap w:val="0"/>
            <w:vAlign w:val="center"/>
          </w:tcPr>
          <w:p w14:paraId="53DA56C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900" w:type="dxa"/>
            <w:tcBorders>
              <w:tl2br w:val="nil"/>
              <w:tr2bl w:val="nil"/>
            </w:tcBorders>
            <w:noWrap w:val="0"/>
            <w:vAlign w:val="center"/>
          </w:tcPr>
          <w:p w14:paraId="6E3A3D33">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901" w:type="dxa"/>
            <w:tcBorders>
              <w:tl2br w:val="nil"/>
              <w:tr2bl w:val="nil"/>
            </w:tcBorders>
            <w:noWrap w:val="0"/>
            <w:vAlign w:val="center"/>
          </w:tcPr>
          <w:p w14:paraId="53443DE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275" w:type="dxa"/>
            <w:tcBorders>
              <w:tl2br w:val="nil"/>
              <w:tr2bl w:val="nil"/>
            </w:tcBorders>
            <w:noWrap w:val="0"/>
            <w:vAlign w:val="center"/>
          </w:tcPr>
          <w:p w14:paraId="43FFF74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631D0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1B3DC6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铅</w:t>
            </w:r>
          </w:p>
        </w:tc>
        <w:tc>
          <w:tcPr>
            <w:tcW w:w="1900" w:type="dxa"/>
            <w:tcBorders>
              <w:tl2br w:val="nil"/>
              <w:tr2bl w:val="nil"/>
            </w:tcBorders>
            <w:noWrap w:val="0"/>
            <w:vAlign w:val="center"/>
          </w:tcPr>
          <w:p w14:paraId="250E73A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0.0025L</w:t>
            </w:r>
          </w:p>
        </w:tc>
        <w:tc>
          <w:tcPr>
            <w:tcW w:w="1900" w:type="dxa"/>
            <w:tcBorders>
              <w:tl2br w:val="nil"/>
              <w:tr2bl w:val="nil"/>
            </w:tcBorders>
            <w:noWrap w:val="0"/>
            <w:vAlign w:val="center"/>
          </w:tcPr>
          <w:p w14:paraId="65274DAD">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0.0025L</w:t>
            </w:r>
          </w:p>
        </w:tc>
        <w:tc>
          <w:tcPr>
            <w:tcW w:w="1901" w:type="dxa"/>
            <w:tcBorders>
              <w:tl2br w:val="nil"/>
              <w:tr2bl w:val="nil"/>
            </w:tcBorders>
            <w:noWrap w:val="0"/>
            <w:vAlign w:val="center"/>
          </w:tcPr>
          <w:p w14:paraId="4F57F09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0.0025L</w:t>
            </w:r>
          </w:p>
        </w:tc>
        <w:tc>
          <w:tcPr>
            <w:tcW w:w="1275" w:type="dxa"/>
            <w:tcBorders>
              <w:tl2br w:val="nil"/>
              <w:tr2bl w:val="nil"/>
            </w:tcBorders>
            <w:noWrap w:val="0"/>
            <w:vAlign w:val="center"/>
          </w:tcPr>
          <w:p w14:paraId="2F9E72C2">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FABB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6C414C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镉</w:t>
            </w:r>
          </w:p>
        </w:tc>
        <w:tc>
          <w:tcPr>
            <w:tcW w:w="1900" w:type="dxa"/>
            <w:tcBorders>
              <w:tl2br w:val="nil"/>
              <w:tr2bl w:val="nil"/>
            </w:tcBorders>
            <w:noWrap w:val="0"/>
            <w:vAlign w:val="center"/>
          </w:tcPr>
          <w:p w14:paraId="7B5934AF">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0.0005L</w:t>
            </w:r>
          </w:p>
        </w:tc>
        <w:tc>
          <w:tcPr>
            <w:tcW w:w="1900" w:type="dxa"/>
            <w:tcBorders>
              <w:tl2br w:val="nil"/>
              <w:tr2bl w:val="nil"/>
            </w:tcBorders>
            <w:noWrap w:val="0"/>
            <w:vAlign w:val="center"/>
          </w:tcPr>
          <w:p w14:paraId="7D1B8173">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0.0005L</w:t>
            </w:r>
          </w:p>
        </w:tc>
        <w:tc>
          <w:tcPr>
            <w:tcW w:w="1901" w:type="dxa"/>
            <w:tcBorders>
              <w:tl2br w:val="nil"/>
              <w:tr2bl w:val="nil"/>
            </w:tcBorders>
            <w:noWrap w:val="0"/>
            <w:vAlign w:val="center"/>
          </w:tcPr>
          <w:p w14:paraId="356CD009">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0.0005L</w:t>
            </w:r>
          </w:p>
        </w:tc>
        <w:tc>
          <w:tcPr>
            <w:tcW w:w="1275" w:type="dxa"/>
            <w:tcBorders>
              <w:tl2br w:val="nil"/>
              <w:tr2bl w:val="nil"/>
            </w:tcBorders>
            <w:noWrap w:val="0"/>
            <w:vAlign w:val="center"/>
          </w:tcPr>
          <w:p w14:paraId="43A04001">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101AC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3C71E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氟</w:t>
            </w:r>
            <w:r>
              <w:rPr>
                <w:rFonts w:hint="default" w:ascii="Times New Roman" w:hAnsi="Times New Roman" w:eastAsia="宋体" w:cs="Times New Roman"/>
                <w:color w:val="auto"/>
                <w:sz w:val="21"/>
                <w:szCs w:val="21"/>
                <w:highlight w:val="none"/>
                <w:lang w:eastAsia="zh-CN"/>
              </w:rPr>
              <w:t>化物</w:t>
            </w:r>
          </w:p>
        </w:tc>
        <w:tc>
          <w:tcPr>
            <w:tcW w:w="1900" w:type="dxa"/>
            <w:tcBorders>
              <w:tl2br w:val="nil"/>
              <w:tr2bl w:val="nil"/>
            </w:tcBorders>
            <w:noWrap w:val="0"/>
            <w:vAlign w:val="center"/>
          </w:tcPr>
          <w:p w14:paraId="53B8932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0.22</w:t>
            </w:r>
          </w:p>
        </w:tc>
        <w:tc>
          <w:tcPr>
            <w:tcW w:w="1900" w:type="dxa"/>
            <w:tcBorders>
              <w:tl2br w:val="nil"/>
              <w:tr2bl w:val="nil"/>
            </w:tcBorders>
            <w:noWrap w:val="0"/>
            <w:vAlign w:val="center"/>
          </w:tcPr>
          <w:p w14:paraId="527D25F7">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1901" w:type="dxa"/>
            <w:tcBorders>
              <w:tl2br w:val="nil"/>
              <w:tr2bl w:val="nil"/>
            </w:tcBorders>
            <w:noWrap w:val="0"/>
            <w:vAlign w:val="center"/>
          </w:tcPr>
          <w:p w14:paraId="35DED8A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0.17</w:t>
            </w:r>
          </w:p>
        </w:tc>
        <w:tc>
          <w:tcPr>
            <w:tcW w:w="1275" w:type="dxa"/>
            <w:tcBorders>
              <w:tl2br w:val="nil"/>
              <w:tr2bl w:val="nil"/>
            </w:tcBorders>
            <w:noWrap w:val="0"/>
            <w:vAlign w:val="center"/>
          </w:tcPr>
          <w:p w14:paraId="47EE6EF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73B49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142" w:type="dxa"/>
            <w:tcBorders>
              <w:tl2br w:val="nil"/>
              <w:tr2bl w:val="nil"/>
            </w:tcBorders>
            <w:noWrap w:val="0"/>
            <w:vAlign w:val="center"/>
          </w:tcPr>
          <w:p w14:paraId="72EC30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rPr>
              <w:t>溶解性总固体</w:t>
            </w:r>
          </w:p>
        </w:tc>
        <w:tc>
          <w:tcPr>
            <w:tcW w:w="1900" w:type="dxa"/>
            <w:tcBorders>
              <w:tl2br w:val="nil"/>
              <w:tr2bl w:val="nil"/>
            </w:tcBorders>
            <w:noWrap w:val="0"/>
            <w:vAlign w:val="center"/>
          </w:tcPr>
          <w:p w14:paraId="456E8CCC">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w:t>
            </w:r>
          </w:p>
        </w:tc>
        <w:tc>
          <w:tcPr>
            <w:tcW w:w="1900" w:type="dxa"/>
            <w:tcBorders>
              <w:tl2br w:val="nil"/>
              <w:tr2bl w:val="nil"/>
            </w:tcBorders>
            <w:noWrap w:val="0"/>
            <w:vAlign w:val="center"/>
          </w:tcPr>
          <w:p w14:paraId="713629B0">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301</w:t>
            </w:r>
          </w:p>
        </w:tc>
        <w:tc>
          <w:tcPr>
            <w:tcW w:w="1901" w:type="dxa"/>
            <w:tcBorders>
              <w:tl2br w:val="nil"/>
              <w:tr2bl w:val="nil"/>
            </w:tcBorders>
            <w:noWrap w:val="0"/>
            <w:vAlign w:val="center"/>
          </w:tcPr>
          <w:p w14:paraId="284F3C0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198</w:t>
            </w:r>
          </w:p>
        </w:tc>
        <w:tc>
          <w:tcPr>
            <w:tcW w:w="1275" w:type="dxa"/>
            <w:tcBorders>
              <w:tl2br w:val="nil"/>
              <w:tr2bl w:val="nil"/>
            </w:tcBorders>
            <w:noWrap w:val="0"/>
            <w:vAlign w:val="center"/>
          </w:tcPr>
          <w:p w14:paraId="6431E065">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r>
      <w:tr w14:paraId="0AEB2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142" w:type="dxa"/>
            <w:tcBorders>
              <w:tl2br w:val="nil"/>
              <w:tr2bl w:val="nil"/>
            </w:tcBorders>
            <w:noWrap w:val="0"/>
            <w:vAlign w:val="center"/>
          </w:tcPr>
          <w:p w14:paraId="4EEDC1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细菌总数</w:t>
            </w:r>
          </w:p>
        </w:tc>
        <w:tc>
          <w:tcPr>
            <w:tcW w:w="1900" w:type="dxa"/>
            <w:tcBorders>
              <w:tl2br w:val="nil"/>
              <w:tr2bl w:val="nil"/>
            </w:tcBorders>
            <w:noWrap w:val="0"/>
            <w:vAlign w:val="center"/>
          </w:tcPr>
          <w:p w14:paraId="1324F5E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1900" w:type="dxa"/>
            <w:tcBorders>
              <w:tl2br w:val="nil"/>
              <w:tr2bl w:val="nil"/>
            </w:tcBorders>
            <w:noWrap w:val="0"/>
            <w:vAlign w:val="center"/>
          </w:tcPr>
          <w:p w14:paraId="679B8554">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1901" w:type="dxa"/>
            <w:tcBorders>
              <w:tl2br w:val="nil"/>
              <w:tr2bl w:val="nil"/>
            </w:tcBorders>
            <w:noWrap w:val="0"/>
            <w:vAlign w:val="center"/>
          </w:tcPr>
          <w:p w14:paraId="7A2B2A0B">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1275" w:type="dxa"/>
            <w:tcBorders>
              <w:tl2br w:val="nil"/>
              <w:tr2bl w:val="nil"/>
            </w:tcBorders>
            <w:noWrap w:val="0"/>
            <w:vAlign w:val="center"/>
          </w:tcPr>
          <w:p w14:paraId="7AAEBE1A">
            <w:pPr>
              <w:pStyle w:val="4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CFU/mL</w:t>
            </w:r>
          </w:p>
        </w:tc>
      </w:tr>
    </w:tbl>
    <w:p w14:paraId="2141CCF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注：pH为无量纲；L表示小于方法检出限；其中菌落总数单位为CFU/ml；总大肠菌数单位MPN/100ml。</w:t>
      </w:r>
    </w:p>
    <w:p w14:paraId="3BD7BA92">
      <w:pPr>
        <w:pStyle w:val="6"/>
        <w:bidi w:val="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8"/>
          <w:highlight w:val="none"/>
          <w:lang w:val="en-US" w:eastAsia="zh-CN" w:bidi="ar-SA"/>
        </w:rPr>
        <w:t xml:space="preserve">4.2.3.2地下水环境现状评价 </w:t>
      </w:r>
      <w:r>
        <w:rPr>
          <w:rFonts w:hint="default" w:ascii="Times New Roman" w:hAnsi="Times New Roman" w:cs="Times New Roman"/>
          <w:color w:val="auto"/>
          <w:highlight w:val="none"/>
        </w:rPr>
        <w:t xml:space="preserve">  </w:t>
      </w:r>
    </w:p>
    <w:p w14:paraId="05F9897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1、评价标准</w:t>
      </w:r>
    </w:p>
    <w:p w14:paraId="344A6B2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根据评价区地下水水质状况和使用功能，地下水评价执行《地下水质量标准》(GB/T14848-2017)Ⅲ类标准。</w:t>
      </w:r>
    </w:p>
    <w:p w14:paraId="13290F6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2、评价方法</w:t>
      </w:r>
    </w:p>
    <w:p w14:paraId="19222775">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采用单项标准指数法对地下水现状监测结果进行评价，评价模式如下：</w:t>
      </w:r>
    </w:p>
    <w:p w14:paraId="34FCB4EE">
      <w:pPr>
        <w:pStyle w:val="27"/>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Pi=Ci/Csi</w:t>
      </w:r>
    </w:p>
    <w:p w14:paraId="73320CD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式中：Pi—第i个水质因子的标准指数，无量纲；</w:t>
      </w:r>
    </w:p>
    <w:p w14:paraId="175CED1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Ci—第i个水质因子的监测质量浓度值，mg/L；</w:t>
      </w:r>
    </w:p>
    <w:p w14:paraId="7CF793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Csi—第i个水质因子的标准质量浓度值，mg/L。</w:t>
      </w:r>
    </w:p>
    <w:p w14:paraId="5FA2932B">
      <w:pPr>
        <w:pStyle w:val="27"/>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019175" cy="419100"/>
            <wp:effectExtent l="0" t="0" r="9525" b="0"/>
            <wp:docPr id="207" name="图片 207" descr="C:\Users\Administrator\AppData\Roaming\Tencent\Users\171099826\QQ\WinTemp\RichOle\D2X1C@@Q$2E[]V86NBFWO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C:\Users\Administrator\AppData\Roaming\Tencent\Users\171099826\QQ\WinTemp\RichOle\D2X1C@@Q$2E[]V86NBFWOEE.png"/>
                    <pic:cNvPicPr>
                      <a:picLocks noChangeAspect="1" noChangeArrowheads="1"/>
                    </pic:cNvPicPr>
                  </pic:nvPicPr>
                  <pic:blipFill>
                    <a:blip r:embed="rId39">
                      <a:extLst>
                        <a:ext uri="{28A0092B-C50C-407E-A947-70E740481C1C}">
                          <a14:useLocalDpi xmlns:a14="http://schemas.microsoft.com/office/drawing/2010/main" val="0"/>
                        </a:ext>
                      </a:extLst>
                    </a:blip>
                    <a:srcRect r="1527"/>
                    <a:stretch>
                      <a:fillRect/>
                    </a:stretch>
                  </pic:blipFill>
                  <pic:spPr>
                    <a:xfrm>
                      <a:off x="0" y="0"/>
                      <a:ext cx="1019175" cy="419100"/>
                    </a:xfrm>
                    <a:prstGeom prst="rect">
                      <a:avLst/>
                    </a:prstGeom>
                    <a:noFill/>
                    <a:ln>
                      <a:noFill/>
                    </a:ln>
                  </pic:spPr>
                </pic:pic>
              </a:graphicData>
            </a:graphic>
          </wp:inline>
        </w:drawing>
      </w:r>
    </w:p>
    <w:p w14:paraId="7F4DD558">
      <w:pPr>
        <w:pStyle w:val="27"/>
        <w:bidi w:val="0"/>
        <w:ind w:left="0" w:leftChars="0"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pH≤7.0时</w:t>
      </w:r>
    </w:p>
    <w:p w14:paraId="5866ED5C">
      <w:pPr>
        <w:pStyle w:val="27"/>
        <w:bidi w:val="0"/>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057275" cy="438150"/>
            <wp:effectExtent l="0" t="0" r="9525" b="0"/>
            <wp:docPr id="206" name="图片 206" descr="C:\Users\Administrator\AppData\Roaming\Tencent\Users\171099826\QQ\WinTemp\RichOle\@K%@UQL46{N`PKPCZ37L}2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Administrator\AppData\Roaming\Tencent\Users\171099826\QQ\WinTemp\RichOle\@K%@UQL46{N`PKPCZ37L}2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57275" cy="438150"/>
                    </a:xfrm>
                    <a:prstGeom prst="rect">
                      <a:avLst/>
                    </a:prstGeom>
                    <a:noFill/>
                    <a:ln>
                      <a:noFill/>
                    </a:ln>
                  </pic:spPr>
                </pic:pic>
              </a:graphicData>
            </a:graphic>
          </wp:inline>
        </w:drawing>
      </w:r>
    </w:p>
    <w:p w14:paraId="6AD3003F">
      <w:pPr>
        <w:pStyle w:val="27"/>
        <w:bidi w:val="0"/>
        <w:ind w:left="0" w:leftChars="0"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pH＞7.0时</w:t>
      </w:r>
    </w:p>
    <w:p w14:paraId="6994882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式中：P</w:t>
      </w:r>
      <w:r>
        <w:rPr>
          <w:rFonts w:hint="default" w:ascii="Times New Roman" w:hAnsi="Times New Roman" w:cs="Times New Roman"/>
          <w:color w:val="auto"/>
          <w:highlight w:val="none"/>
          <w:vertAlign w:val="subscript"/>
          <w:lang w:val="zh-CN"/>
        </w:rPr>
        <w:t>pH</w:t>
      </w:r>
      <w:r>
        <w:rPr>
          <w:rFonts w:hint="default" w:ascii="Times New Roman" w:hAnsi="Times New Roman" w:cs="Times New Roman"/>
          <w:color w:val="auto"/>
          <w:highlight w:val="none"/>
          <w:lang w:val="zh-CN"/>
        </w:rPr>
        <w:t>——pH的标准指数，无量纲；</w:t>
      </w:r>
    </w:p>
    <w:p w14:paraId="283355F3">
      <w:pPr>
        <w:pStyle w:val="27"/>
        <w:bidi w:val="0"/>
        <w:ind w:firstLine="1200" w:firstLineChars="5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pH——pH监测值；</w:t>
      </w:r>
    </w:p>
    <w:p w14:paraId="0AF9A62A">
      <w:pPr>
        <w:pStyle w:val="27"/>
        <w:bidi w:val="0"/>
        <w:ind w:firstLine="1200" w:firstLineChars="5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w:t>
      </w:r>
      <w:r>
        <w:rPr>
          <w:rFonts w:hint="default" w:ascii="Times New Roman" w:hAnsi="Times New Roman" w:cs="Times New Roman"/>
          <w:color w:val="auto"/>
          <w:highlight w:val="none"/>
          <w:vertAlign w:val="subscript"/>
          <w:lang w:val="zh-CN"/>
        </w:rPr>
        <w:t>su</w:t>
      </w:r>
      <w:r>
        <w:rPr>
          <w:rFonts w:hint="default" w:ascii="Times New Roman" w:hAnsi="Times New Roman" w:cs="Times New Roman"/>
          <w:color w:val="auto"/>
          <w:highlight w:val="none"/>
          <w:lang w:val="zh-CN"/>
        </w:rPr>
        <w:t>——标准中pH的上限值；</w:t>
      </w:r>
    </w:p>
    <w:p w14:paraId="7E2257EF">
      <w:pPr>
        <w:pStyle w:val="27"/>
        <w:bidi w:val="0"/>
        <w:ind w:firstLine="1200" w:firstLineChars="5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w:t>
      </w:r>
      <w:r>
        <w:rPr>
          <w:rFonts w:hint="default" w:ascii="Times New Roman" w:hAnsi="Times New Roman" w:cs="Times New Roman"/>
          <w:color w:val="auto"/>
          <w:highlight w:val="none"/>
          <w:vertAlign w:val="subscript"/>
          <w:lang w:val="zh-CN"/>
        </w:rPr>
        <w:t>sd</w:t>
      </w:r>
      <w:r>
        <w:rPr>
          <w:rFonts w:hint="default" w:ascii="Times New Roman" w:hAnsi="Times New Roman" w:cs="Times New Roman"/>
          <w:color w:val="auto"/>
          <w:highlight w:val="none"/>
          <w:lang w:val="zh-CN"/>
        </w:rPr>
        <w:t>——标准中pH的下限值。</w:t>
      </w:r>
    </w:p>
    <w:p w14:paraId="3A0F79F7">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当标准指数＞1时，表示该水质参数所表征的污染物已满足不了标准要求，水体已受到污染；反之，则满足标准要求。</w:t>
      </w:r>
    </w:p>
    <w:p w14:paraId="65DF4957">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3、评价结果</w:t>
      </w:r>
    </w:p>
    <w:p w14:paraId="0003DF7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地下水监测评价成果表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573"/>
        <w:gridCol w:w="1568"/>
        <w:gridCol w:w="1573"/>
        <w:gridCol w:w="1726"/>
        <w:gridCol w:w="1863"/>
      </w:tblGrid>
      <w:tr w14:paraId="5A9D56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19" w:hRule="atLeast"/>
          <w:jc w:val="center"/>
        </w:trPr>
        <w:tc>
          <w:tcPr>
            <w:tcW w:w="947" w:type="pct"/>
            <w:vMerge w:val="restart"/>
            <w:vAlign w:val="center"/>
          </w:tcPr>
          <w:p w14:paraId="0768C6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2930" w:type="pct"/>
            <w:gridSpan w:val="3"/>
            <w:vAlign w:val="center"/>
          </w:tcPr>
          <w:p w14:paraId="3E9A7CB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121" w:type="pct"/>
            <w:vMerge w:val="restart"/>
            <w:vAlign w:val="center"/>
          </w:tcPr>
          <w:p w14:paraId="41E832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标准值（mg/L）</w:t>
            </w:r>
          </w:p>
        </w:tc>
      </w:tr>
      <w:tr w14:paraId="2CC16B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41" w:hRule="atLeast"/>
          <w:jc w:val="center"/>
        </w:trPr>
        <w:tc>
          <w:tcPr>
            <w:tcW w:w="947" w:type="pct"/>
            <w:vMerge w:val="continue"/>
            <w:vAlign w:val="center"/>
          </w:tcPr>
          <w:p w14:paraId="2E12C8D5">
            <w:pPr>
              <w:pStyle w:val="46"/>
              <w:bidi w:val="0"/>
              <w:rPr>
                <w:rFonts w:hint="default" w:ascii="Times New Roman" w:hAnsi="Times New Roman" w:cs="Times New Roman"/>
                <w:color w:val="auto"/>
                <w:highlight w:val="none"/>
              </w:rPr>
            </w:pPr>
          </w:p>
        </w:tc>
        <w:tc>
          <w:tcPr>
            <w:tcW w:w="944" w:type="pct"/>
            <w:vAlign w:val="center"/>
          </w:tcPr>
          <w:p w14:paraId="25E847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947" w:type="pct"/>
            <w:vAlign w:val="center"/>
          </w:tcPr>
          <w:p w14:paraId="5182A2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1038" w:type="pct"/>
            <w:vAlign w:val="center"/>
          </w:tcPr>
          <w:p w14:paraId="2AB8FE0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c>
          <w:tcPr>
            <w:tcW w:w="1121" w:type="pct"/>
            <w:vMerge w:val="continue"/>
            <w:vAlign w:val="center"/>
          </w:tcPr>
          <w:p w14:paraId="2C56FADF">
            <w:pPr>
              <w:pStyle w:val="46"/>
              <w:bidi w:val="0"/>
              <w:rPr>
                <w:rFonts w:hint="default" w:ascii="Times New Roman" w:hAnsi="Times New Roman" w:cs="Times New Roman"/>
                <w:color w:val="auto"/>
                <w:highlight w:val="none"/>
              </w:rPr>
            </w:pPr>
          </w:p>
        </w:tc>
      </w:tr>
      <w:tr w14:paraId="166CB0C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41" w:hRule="atLeast"/>
          <w:jc w:val="center"/>
        </w:trPr>
        <w:tc>
          <w:tcPr>
            <w:tcW w:w="947" w:type="pct"/>
            <w:vAlign w:val="center"/>
          </w:tcPr>
          <w:p w14:paraId="3E6A79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w:t>
            </w:r>
          </w:p>
        </w:tc>
        <w:tc>
          <w:tcPr>
            <w:tcW w:w="944" w:type="pct"/>
            <w:vAlign w:val="center"/>
          </w:tcPr>
          <w:p w14:paraId="4E1120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0.47 </w:t>
            </w:r>
          </w:p>
        </w:tc>
        <w:tc>
          <w:tcPr>
            <w:tcW w:w="947" w:type="pct"/>
            <w:vAlign w:val="center"/>
          </w:tcPr>
          <w:p w14:paraId="1277A9D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0.20 </w:t>
            </w:r>
          </w:p>
        </w:tc>
        <w:tc>
          <w:tcPr>
            <w:tcW w:w="1038" w:type="pct"/>
            <w:vAlign w:val="center"/>
          </w:tcPr>
          <w:p w14:paraId="0E6DF2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0.20 </w:t>
            </w:r>
          </w:p>
        </w:tc>
        <w:tc>
          <w:tcPr>
            <w:tcW w:w="1121" w:type="pct"/>
            <w:vAlign w:val="center"/>
          </w:tcPr>
          <w:p w14:paraId="33FE80F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6.5~8.5</w:t>
            </w:r>
          </w:p>
        </w:tc>
      </w:tr>
      <w:tr w14:paraId="41EBD22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5" w:hRule="atLeast"/>
          <w:jc w:val="center"/>
        </w:trPr>
        <w:tc>
          <w:tcPr>
            <w:tcW w:w="947" w:type="pct"/>
            <w:vAlign w:val="center"/>
          </w:tcPr>
          <w:p w14:paraId="4B9DDD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氨氮</w:t>
            </w:r>
          </w:p>
        </w:tc>
        <w:tc>
          <w:tcPr>
            <w:tcW w:w="944" w:type="pct"/>
            <w:vAlign w:val="center"/>
          </w:tcPr>
          <w:p w14:paraId="2207759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0.558</w:t>
            </w:r>
          </w:p>
        </w:tc>
        <w:tc>
          <w:tcPr>
            <w:tcW w:w="947" w:type="pct"/>
            <w:vAlign w:val="center"/>
          </w:tcPr>
          <w:p w14:paraId="2A5D7E6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0.21</w:t>
            </w:r>
          </w:p>
        </w:tc>
        <w:tc>
          <w:tcPr>
            <w:tcW w:w="1038" w:type="pct"/>
            <w:vAlign w:val="center"/>
          </w:tcPr>
          <w:p w14:paraId="1C349F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0.31</w:t>
            </w:r>
          </w:p>
        </w:tc>
        <w:tc>
          <w:tcPr>
            <w:tcW w:w="1121" w:type="pct"/>
            <w:vAlign w:val="center"/>
          </w:tcPr>
          <w:p w14:paraId="3E55830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r>
      <w:tr w14:paraId="56F39E7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74" w:hRule="atLeast"/>
          <w:jc w:val="center"/>
        </w:trPr>
        <w:tc>
          <w:tcPr>
            <w:tcW w:w="947" w:type="pct"/>
            <w:vAlign w:val="center"/>
          </w:tcPr>
          <w:p w14:paraId="4F89F4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硝酸盐（以N计）</w:t>
            </w:r>
          </w:p>
        </w:tc>
        <w:tc>
          <w:tcPr>
            <w:tcW w:w="944" w:type="pct"/>
            <w:vAlign w:val="center"/>
          </w:tcPr>
          <w:p w14:paraId="415F4F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0.0045</w:t>
            </w:r>
          </w:p>
        </w:tc>
        <w:tc>
          <w:tcPr>
            <w:tcW w:w="947" w:type="pct"/>
            <w:vAlign w:val="center"/>
          </w:tcPr>
          <w:p w14:paraId="07A083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0.3925</w:t>
            </w:r>
          </w:p>
        </w:tc>
        <w:tc>
          <w:tcPr>
            <w:tcW w:w="1038" w:type="pct"/>
            <w:vAlign w:val="center"/>
          </w:tcPr>
          <w:p w14:paraId="631110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0.425</w:t>
            </w:r>
          </w:p>
        </w:tc>
        <w:tc>
          <w:tcPr>
            <w:tcW w:w="1121" w:type="pct"/>
            <w:vAlign w:val="center"/>
          </w:tcPr>
          <w:p w14:paraId="4AFEA7B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r>
      <w:tr w14:paraId="5399A1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501DB0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亚硝酸盐（以N计）</w:t>
            </w:r>
          </w:p>
        </w:tc>
        <w:tc>
          <w:tcPr>
            <w:tcW w:w="944" w:type="pct"/>
            <w:vAlign w:val="center"/>
          </w:tcPr>
          <w:p w14:paraId="5734259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947" w:type="pct"/>
            <w:vAlign w:val="center"/>
          </w:tcPr>
          <w:p w14:paraId="73B751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2C588CD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21" w:type="pct"/>
            <w:vAlign w:val="center"/>
          </w:tcPr>
          <w:p w14:paraId="4BBA948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r>
      <w:tr w14:paraId="601672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56" w:hRule="atLeast"/>
          <w:jc w:val="center"/>
        </w:trPr>
        <w:tc>
          <w:tcPr>
            <w:tcW w:w="947" w:type="pct"/>
            <w:vAlign w:val="center"/>
          </w:tcPr>
          <w:p w14:paraId="57DA06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挥发酚（类）</w:t>
            </w:r>
          </w:p>
        </w:tc>
        <w:tc>
          <w:tcPr>
            <w:tcW w:w="944" w:type="pct"/>
            <w:vAlign w:val="center"/>
          </w:tcPr>
          <w:p w14:paraId="48A782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54EF75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05F364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75079C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w:t>
            </w:r>
          </w:p>
        </w:tc>
      </w:tr>
      <w:tr w14:paraId="02A761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01" w:hRule="atLeast"/>
          <w:jc w:val="center"/>
        </w:trPr>
        <w:tc>
          <w:tcPr>
            <w:tcW w:w="947" w:type="pct"/>
            <w:vAlign w:val="center"/>
          </w:tcPr>
          <w:p w14:paraId="009381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氰化物</w:t>
            </w:r>
          </w:p>
        </w:tc>
        <w:tc>
          <w:tcPr>
            <w:tcW w:w="944" w:type="pct"/>
            <w:vAlign w:val="center"/>
          </w:tcPr>
          <w:p w14:paraId="2D24F2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4AB94C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409A71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3FEBE73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r>
      <w:tr w14:paraId="7AFDD93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82" w:hRule="atLeast"/>
          <w:jc w:val="center"/>
        </w:trPr>
        <w:tc>
          <w:tcPr>
            <w:tcW w:w="947" w:type="pct"/>
            <w:vAlign w:val="center"/>
          </w:tcPr>
          <w:p w14:paraId="007D4F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944" w:type="pct"/>
            <w:vAlign w:val="center"/>
          </w:tcPr>
          <w:p w14:paraId="6B069C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20B89C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7DEAE6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1013695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w:t>
            </w:r>
          </w:p>
        </w:tc>
      </w:tr>
      <w:tr w14:paraId="184FD7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30" w:hRule="atLeast"/>
          <w:jc w:val="center"/>
        </w:trPr>
        <w:tc>
          <w:tcPr>
            <w:tcW w:w="947" w:type="pct"/>
            <w:vAlign w:val="center"/>
          </w:tcPr>
          <w:p w14:paraId="2BC017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944" w:type="pct"/>
            <w:vAlign w:val="center"/>
          </w:tcPr>
          <w:p w14:paraId="0E7B31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560991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542F3A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3DADDB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0.001</w:t>
            </w:r>
          </w:p>
        </w:tc>
      </w:tr>
      <w:tr w14:paraId="2E8F5C8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2780D6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六价铬</w:t>
            </w:r>
          </w:p>
        </w:tc>
        <w:tc>
          <w:tcPr>
            <w:tcW w:w="944" w:type="pct"/>
            <w:vAlign w:val="center"/>
          </w:tcPr>
          <w:p w14:paraId="52BE26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18C6C3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4FAC39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509DBC4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r>
      <w:tr w14:paraId="2038BC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59" w:hRule="atLeast"/>
          <w:jc w:val="center"/>
        </w:trPr>
        <w:tc>
          <w:tcPr>
            <w:tcW w:w="947" w:type="pct"/>
            <w:vAlign w:val="center"/>
          </w:tcPr>
          <w:p w14:paraId="015345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总硬度</w:t>
            </w:r>
          </w:p>
        </w:tc>
        <w:tc>
          <w:tcPr>
            <w:tcW w:w="944" w:type="pct"/>
            <w:vAlign w:val="center"/>
          </w:tcPr>
          <w:p w14:paraId="5AE5690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0.26 </w:t>
            </w:r>
          </w:p>
        </w:tc>
        <w:tc>
          <w:tcPr>
            <w:tcW w:w="947" w:type="pct"/>
            <w:vAlign w:val="center"/>
          </w:tcPr>
          <w:p w14:paraId="0DD00C5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0.39 </w:t>
            </w:r>
          </w:p>
        </w:tc>
        <w:tc>
          <w:tcPr>
            <w:tcW w:w="1038" w:type="pct"/>
            <w:vAlign w:val="center"/>
          </w:tcPr>
          <w:p w14:paraId="63260D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0.28 </w:t>
            </w:r>
          </w:p>
        </w:tc>
        <w:tc>
          <w:tcPr>
            <w:tcW w:w="1121" w:type="pct"/>
            <w:vAlign w:val="center"/>
          </w:tcPr>
          <w:p w14:paraId="6BF7DC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450</w:t>
            </w:r>
          </w:p>
        </w:tc>
      </w:tr>
      <w:tr w14:paraId="55000A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22DF8C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氟化物</w:t>
            </w:r>
          </w:p>
        </w:tc>
        <w:tc>
          <w:tcPr>
            <w:tcW w:w="944" w:type="pct"/>
            <w:vAlign w:val="center"/>
          </w:tcPr>
          <w:p w14:paraId="3CA07D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0.22</w:t>
            </w:r>
          </w:p>
        </w:tc>
        <w:tc>
          <w:tcPr>
            <w:tcW w:w="947" w:type="pct"/>
            <w:vAlign w:val="center"/>
          </w:tcPr>
          <w:p w14:paraId="6858EE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0.16</w:t>
            </w:r>
          </w:p>
        </w:tc>
        <w:tc>
          <w:tcPr>
            <w:tcW w:w="1038" w:type="pct"/>
            <w:vAlign w:val="center"/>
          </w:tcPr>
          <w:p w14:paraId="4B68998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0.17</w:t>
            </w:r>
          </w:p>
        </w:tc>
        <w:tc>
          <w:tcPr>
            <w:tcW w:w="1121" w:type="pct"/>
            <w:vAlign w:val="center"/>
          </w:tcPr>
          <w:p w14:paraId="4555C29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r>
      <w:tr w14:paraId="07B658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73E873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944" w:type="pct"/>
            <w:vAlign w:val="center"/>
          </w:tcPr>
          <w:p w14:paraId="21BB0C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47" w:type="pct"/>
            <w:vAlign w:val="center"/>
          </w:tcPr>
          <w:p w14:paraId="49AC32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038" w:type="pct"/>
            <w:vAlign w:val="center"/>
          </w:tcPr>
          <w:p w14:paraId="23A304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21" w:type="pct"/>
            <w:vAlign w:val="center"/>
          </w:tcPr>
          <w:p w14:paraId="219BA4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w:t>
            </w:r>
          </w:p>
        </w:tc>
      </w:tr>
      <w:tr w14:paraId="2FC4717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546C03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镉</w:t>
            </w:r>
          </w:p>
        </w:tc>
        <w:tc>
          <w:tcPr>
            <w:tcW w:w="944" w:type="pct"/>
            <w:vAlign w:val="center"/>
          </w:tcPr>
          <w:p w14:paraId="374277E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947" w:type="pct"/>
            <w:vAlign w:val="center"/>
          </w:tcPr>
          <w:p w14:paraId="7D0A97A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38" w:type="pct"/>
            <w:vAlign w:val="center"/>
          </w:tcPr>
          <w:p w14:paraId="22A41B1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21" w:type="pct"/>
            <w:vAlign w:val="center"/>
          </w:tcPr>
          <w:p w14:paraId="79D5297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0.005</w:t>
            </w:r>
          </w:p>
        </w:tc>
      </w:tr>
      <w:tr w14:paraId="11B957D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0450CB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铁</w:t>
            </w:r>
          </w:p>
        </w:tc>
        <w:tc>
          <w:tcPr>
            <w:tcW w:w="944" w:type="pct"/>
            <w:vAlign w:val="center"/>
          </w:tcPr>
          <w:p w14:paraId="104D59A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1.43 </w:t>
            </w:r>
          </w:p>
        </w:tc>
        <w:tc>
          <w:tcPr>
            <w:tcW w:w="947" w:type="pct"/>
            <w:vAlign w:val="center"/>
          </w:tcPr>
          <w:p w14:paraId="07F9203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38" w:type="pct"/>
            <w:vAlign w:val="center"/>
          </w:tcPr>
          <w:p w14:paraId="348AE72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21" w:type="pct"/>
            <w:vAlign w:val="center"/>
          </w:tcPr>
          <w:p w14:paraId="303666E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r>
      <w:tr w14:paraId="53DD8B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531EFA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锰</w:t>
            </w:r>
          </w:p>
        </w:tc>
        <w:tc>
          <w:tcPr>
            <w:tcW w:w="944" w:type="pct"/>
            <w:vAlign w:val="center"/>
          </w:tcPr>
          <w:p w14:paraId="40C3E8E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4.30 </w:t>
            </w:r>
          </w:p>
        </w:tc>
        <w:tc>
          <w:tcPr>
            <w:tcW w:w="947" w:type="pct"/>
            <w:vAlign w:val="center"/>
          </w:tcPr>
          <w:p w14:paraId="772A446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38" w:type="pct"/>
            <w:vAlign w:val="center"/>
          </w:tcPr>
          <w:p w14:paraId="7AC4F3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21" w:type="pct"/>
            <w:vAlign w:val="center"/>
          </w:tcPr>
          <w:p w14:paraId="08B99A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w:t>
            </w:r>
          </w:p>
        </w:tc>
      </w:tr>
      <w:tr w14:paraId="4120B89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7A266B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溶解性总固体</w:t>
            </w:r>
          </w:p>
        </w:tc>
        <w:tc>
          <w:tcPr>
            <w:tcW w:w="944" w:type="pct"/>
            <w:vAlign w:val="center"/>
          </w:tcPr>
          <w:p w14:paraId="6C3FED9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0.202</w:t>
            </w:r>
          </w:p>
        </w:tc>
        <w:tc>
          <w:tcPr>
            <w:tcW w:w="947" w:type="pct"/>
            <w:vAlign w:val="center"/>
          </w:tcPr>
          <w:p w14:paraId="54E817E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0.301</w:t>
            </w:r>
          </w:p>
        </w:tc>
        <w:tc>
          <w:tcPr>
            <w:tcW w:w="1038" w:type="pct"/>
            <w:vAlign w:val="center"/>
          </w:tcPr>
          <w:p w14:paraId="2961E2A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0.198</w:t>
            </w:r>
          </w:p>
        </w:tc>
        <w:tc>
          <w:tcPr>
            <w:tcW w:w="1121" w:type="pct"/>
            <w:vAlign w:val="center"/>
          </w:tcPr>
          <w:p w14:paraId="1B17B14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1000</w:t>
            </w:r>
          </w:p>
        </w:tc>
      </w:tr>
      <w:tr w14:paraId="55FC028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2C44F9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高锰酸盐指数（耗氧量）</w:t>
            </w:r>
          </w:p>
        </w:tc>
        <w:tc>
          <w:tcPr>
            <w:tcW w:w="944" w:type="pct"/>
            <w:vAlign w:val="center"/>
          </w:tcPr>
          <w:p w14:paraId="49E4D77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0.23 </w:t>
            </w:r>
          </w:p>
        </w:tc>
        <w:tc>
          <w:tcPr>
            <w:tcW w:w="947" w:type="pct"/>
            <w:vAlign w:val="center"/>
          </w:tcPr>
          <w:p w14:paraId="14CBDE3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0.27 </w:t>
            </w:r>
          </w:p>
        </w:tc>
        <w:tc>
          <w:tcPr>
            <w:tcW w:w="1038" w:type="pct"/>
            <w:vAlign w:val="center"/>
          </w:tcPr>
          <w:p w14:paraId="6F3C2BC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0.27 </w:t>
            </w:r>
          </w:p>
        </w:tc>
        <w:tc>
          <w:tcPr>
            <w:tcW w:w="1121" w:type="pct"/>
            <w:vAlign w:val="center"/>
          </w:tcPr>
          <w:p w14:paraId="39E3B4F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r>
      <w:tr w14:paraId="3EF12EF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0B26E2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硫酸盐</w:t>
            </w:r>
          </w:p>
        </w:tc>
        <w:tc>
          <w:tcPr>
            <w:tcW w:w="944" w:type="pct"/>
            <w:vAlign w:val="center"/>
          </w:tcPr>
          <w:p w14:paraId="700F29E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947" w:type="pct"/>
            <w:vAlign w:val="center"/>
          </w:tcPr>
          <w:p w14:paraId="4215A7C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0.376</w:t>
            </w:r>
          </w:p>
        </w:tc>
        <w:tc>
          <w:tcPr>
            <w:tcW w:w="1038" w:type="pct"/>
            <w:vAlign w:val="center"/>
          </w:tcPr>
          <w:p w14:paraId="454461D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0.416</w:t>
            </w:r>
          </w:p>
        </w:tc>
        <w:tc>
          <w:tcPr>
            <w:tcW w:w="1121" w:type="pct"/>
            <w:vAlign w:val="center"/>
          </w:tcPr>
          <w:p w14:paraId="650B5A1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r>
      <w:tr w14:paraId="006BC48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2A04FE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氯化物</w:t>
            </w:r>
          </w:p>
        </w:tc>
        <w:tc>
          <w:tcPr>
            <w:tcW w:w="944" w:type="pct"/>
            <w:vAlign w:val="center"/>
          </w:tcPr>
          <w:p w14:paraId="4EB3A93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0.2724</w:t>
            </w:r>
          </w:p>
        </w:tc>
        <w:tc>
          <w:tcPr>
            <w:tcW w:w="947" w:type="pct"/>
            <w:vAlign w:val="center"/>
          </w:tcPr>
          <w:p w14:paraId="383FBFD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0.496</w:t>
            </w:r>
          </w:p>
        </w:tc>
        <w:tc>
          <w:tcPr>
            <w:tcW w:w="1038" w:type="pct"/>
            <w:vAlign w:val="center"/>
          </w:tcPr>
          <w:p w14:paraId="4F5D0C7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0.548</w:t>
            </w:r>
          </w:p>
        </w:tc>
        <w:tc>
          <w:tcPr>
            <w:tcW w:w="1121" w:type="pct"/>
            <w:vAlign w:val="center"/>
          </w:tcPr>
          <w:p w14:paraId="13904FD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r>
      <w:tr w14:paraId="65C21F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6AAA86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总大肠菌群</w:t>
            </w:r>
          </w:p>
        </w:tc>
        <w:tc>
          <w:tcPr>
            <w:tcW w:w="944" w:type="pct"/>
            <w:vAlign w:val="center"/>
          </w:tcPr>
          <w:p w14:paraId="445F15D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0.67 </w:t>
            </w:r>
          </w:p>
        </w:tc>
        <w:tc>
          <w:tcPr>
            <w:tcW w:w="947" w:type="pct"/>
            <w:vAlign w:val="center"/>
          </w:tcPr>
          <w:p w14:paraId="1F1628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0.67 </w:t>
            </w:r>
          </w:p>
        </w:tc>
        <w:tc>
          <w:tcPr>
            <w:tcW w:w="1038" w:type="pct"/>
            <w:vAlign w:val="center"/>
          </w:tcPr>
          <w:p w14:paraId="45E99FF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0.67 </w:t>
            </w:r>
          </w:p>
        </w:tc>
        <w:tc>
          <w:tcPr>
            <w:tcW w:w="1121" w:type="pct"/>
            <w:vAlign w:val="center"/>
          </w:tcPr>
          <w:p w14:paraId="2AFDB95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r>
      <w:tr w14:paraId="43EDB4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7" w:type="pct"/>
            <w:vAlign w:val="center"/>
          </w:tcPr>
          <w:p w14:paraId="21D29E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细菌总数</w:t>
            </w:r>
          </w:p>
        </w:tc>
        <w:tc>
          <w:tcPr>
            <w:tcW w:w="944" w:type="pct"/>
            <w:vAlign w:val="center"/>
          </w:tcPr>
          <w:p w14:paraId="1401CD6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947" w:type="pct"/>
            <w:vAlign w:val="center"/>
          </w:tcPr>
          <w:p w14:paraId="67D82FC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0.35</w:t>
            </w:r>
          </w:p>
        </w:tc>
        <w:tc>
          <w:tcPr>
            <w:tcW w:w="1038" w:type="pct"/>
            <w:vAlign w:val="center"/>
          </w:tcPr>
          <w:p w14:paraId="745D26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1121" w:type="pct"/>
            <w:vAlign w:val="center"/>
          </w:tcPr>
          <w:p w14:paraId="6AE5277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r>
    </w:tbl>
    <w:p w14:paraId="05B7BBA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由以上地下水标准指数分析可知，</w:t>
      </w:r>
      <w:bookmarkStart w:id="235" w:name="_Hlk134695475"/>
      <w:r>
        <w:rPr>
          <w:rFonts w:hint="default" w:ascii="Times New Roman" w:hAnsi="Times New Roman" w:cs="Times New Roman"/>
          <w:color w:val="auto"/>
          <w:highlight w:val="none"/>
        </w:rPr>
        <w:t>除铁、锰外，各监测点位的监测因子指标均满足《地下水质量标准》（GB/T14848-2017）中的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类标准要求。铁、锰超标的原因是黑龙江原生地质条件所致。</w:t>
      </w:r>
      <w:bookmarkEnd w:id="235"/>
    </w:p>
    <w:p w14:paraId="6601CF6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4、地下水化学类型</w:t>
      </w:r>
    </w:p>
    <w:p w14:paraId="6D6AD97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用舒卡列夫分类法对地下水化学类型进行评价。地下水化学类型的舒卡列夫分类是根据地下水中6种主要离子（Na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合并于Na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）。具体步骤如下：</w:t>
      </w:r>
    </w:p>
    <w:p w14:paraId="1A822D5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根据水质分析结果，将6种主要离子中含量大于25%毫克当量的阴离子和阳离子进行组合，可组合出49型水，并将每型用一个阿拉伯数字作为代号。</w:t>
      </w:r>
    </w:p>
    <w:p w14:paraId="13536723">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10</w:t>
      </w:r>
      <w:r>
        <w:rPr>
          <w:rFonts w:hint="default" w:ascii="Times New Roman" w:hAnsi="Times New Roman" w:eastAsia="宋体" w:cs="Times New Roman"/>
          <w:color w:val="auto"/>
          <w:highlight w:val="none"/>
        </w:rPr>
        <w:t>舒卡列夫分类表</w:t>
      </w:r>
    </w:p>
    <w:tbl>
      <w:tblPr>
        <w:tblStyle w:val="24"/>
        <w:tblW w:w="494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5"/>
        <w:gridCol w:w="777"/>
        <w:gridCol w:w="1123"/>
        <w:gridCol w:w="1098"/>
        <w:gridCol w:w="992"/>
        <w:gridCol w:w="921"/>
        <w:gridCol w:w="1004"/>
        <w:gridCol w:w="1003"/>
      </w:tblGrid>
      <w:tr w14:paraId="1C529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86" w:type="pct"/>
            <w:vAlign w:val="center"/>
          </w:tcPr>
          <w:p w14:paraId="2B61D66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超过25%毫克当量的离子</w:t>
            </w:r>
          </w:p>
        </w:tc>
        <w:tc>
          <w:tcPr>
            <w:tcW w:w="457" w:type="pct"/>
            <w:vAlign w:val="center"/>
          </w:tcPr>
          <w:p w14:paraId="21EC474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HCO</w:t>
            </w:r>
            <w:r>
              <w:rPr>
                <w:rFonts w:hint="default" w:ascii="Times New Roman" w:hAnsi="Times New Roman" w:cs="Times New Roman"/>
                <w:color w:val="auto"/>
                <w:highlight w:val="none"/>
                <w:vertAlign w:val="superscript"/>
                <w:lang w:val="zh-CN"/>
              </w:rPr>
              <w:t>3-</w:t>
            </w:r>
          </w:p>
        </w:tc>
        <w:tc>
          <w:tcPr>
            <w:tcW w:w="661" w:type="pct"/>
            <w:vAlign w:val="center"/>
          </w:tcPr>
          <w:p w14:paraId="605CD1B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HCO</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 SO4</w:t>
            </w:r>
            <w:r>
              <w:rPr>
                <w:rFonts w:hint="default" w:ascii="Times New Roman" w:hAnsi="Times New Roman" w:cs="Times New Roman"/>
                <w:color w:val="auto"/>
                <w:highlight w:val="none"/>
                <w:vertAlign w:val="superscript"/>
                <w:lang w:val="zh-CN"/>
              </w:rPr>
              <w:t>2-</w:t>
            </w:r>
          </w:p>
        </w:tc>
        <w:tc>
          <w:tcPr>
            <w:tcW w:w="646" w:type="pct"/>
            <w:vAlign w:val="center"/>
          </w:tcPr>
          <w:p w14:paraId="1C4A5E6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HCO</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 SO4</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 Cl-</w:t>
            </w:r>
          </w:p>
        </w:tc>
        <w:tc>
          <w:tcPr>
            <w:tcW w:w="584" w:type="pct"/>
            <w:vAlign w:val="center"/>
          </w:tcPr>
          <w:p w14:paraId="2178313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HCO</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 Cl-</w:t>
            </w:r>
          </w:p>
        </w:tc>
        <w:tc>
          <w:tcPr>
            <w:tcW w:w="542" w:type="pct"/>
            <w:vAlign w:val="center"/>
          </w:tcPr>
          <w:p w14:paraId="61E0D99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SO4</w:t>
            </w:r>
            <w:r>
              <w:rPr>
                <w:rFonts w:hint="default" w:ascii="Times New Roman" w:hAnsi="Times New Roman" w:cs="Times New Roman"/>
                <w:color w:val="auto"/>
                <w:highlight w:val="none"/>
                <w:vertAlign w:val="superscript"/>
                <w:lang w:val="zh-CN"/>
              </w:rPr>
              <w:t>2-</w:t>
            </w:r>
          </w:p>
        </w:tc>
        <w:tc>
          <w:tcPr>
            <w:tcW w:w="591" w:type="pct"/>
            <w:vAlign w:val="center"/>
          </w:tcPr>
          <w:p w14:paraId="267D82F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SO4</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vertAlign w:val="baseline"/>
                <w:lang w:val="zh-CN"/>
              </w:rPr>
              <w:t xml:space="preserve">- </w:t>
            </w:r>
            <w:r>
              <w:rPr>
                <w:rFonts w:hint="default" w:ascii="Times New Roman" w:hAnsi="Times New Roman" w:cs="Times New Roman"/>
                <w:color w:val="auto"/>
                <w:highlight w:val="none"/>
                <w:lang w:val="zh-CN"/>
              </w:rPr>
              <w:t>Cl</w:t>
            </w:r>
            <w:r>
              <w:rPr>
                <w:rFonts w:hint="default" w:ascii="Times New Roman" w:hAnsi="Times New Roman" w:cs="Times New Roman"/>
                <w:color w:val="auto"/>
                <w:highlight w:val="none"/>
                <w:vertAlign w:val="superscript"/>
                <w:lang w:val="zh-CN"/>
              </w:rPr>
              <w:t>-</w:t>
            </w:r>
          </w:p>
        </w:tc>
        <w:tc>
          <w:tcPr>
            <w:tcW w:w="590" w:type="pct"/>
            <w:vAlign w:val="center"/>
          </w:tcPr>
          <w:p w14:paraId="4D4FDC1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w:t>
            </w:r>
            <w:r>
              <w:rPr>
                <w:rFonts w:hint="default" w:ascii="Times New Roman" w:hAnsi="Times New Roman" w:cs="Times New Roman"/>
                <w:color w:val="auto"/>
                <w:highlight w:val="none"/>
                <w:vertAlign w:val="superscript"/>
                <w:lang w:val="zh-CN"/>
              </w:rPr>
              <w:t>l-</w:t>
            </w:r>
          </w:p>
        </w:tc>
      </w:tr>
      <w:tr w14:paraId="6EB6E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366AD0D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p>
        </w:tc>
        <w:tc>
          <w:tcPr>
            <w:tcW w:w="457" w:type="pct"/>
            <w:vAlign w:val="center"/>
          </w:tcPr>
          <w:p w14:paraId="24D9735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661" w:type="pct"/>
            <w:vAlign w:val="center"/>
          </w:tcPr>
          <w:p w14:paraId="66A82CF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w:t>
            </w:r>
          </w:p>
        </w:tc>
        <w:tc>
          <w:tcPr>
            <w:tcW w:w="646" w:type="pct"/>
            <w:vAlign w:val="center"/>
          </w:tcPr>
          <w:p w14:paraId="05D4C4E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15</w:t>
            </w:r>
          </w:p>
        </w:tc>
        <w:tc>
          <w:tcPr>
            <w:tcW w:w="584" w:type="pct"/>
            <w:vAlign w:val="center"/>
          </w:tcPr>
          <w:p w14:paraId="582EE07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22</w:t>
            </w:r>
          </w:p>
        </w:tc>
        <w:tc>
          <w:tcPr>
            <w:tcW w:w="542" w:type="pct"/>
            <w:vAlign w:val="center"/>
          </w:tcPr>
          <w:p w14:paraId="54DE12A6">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29</w:t>
            </w:r>
          </w:p>
        </w:tc>
        <w:tc>
          <w:tcPr>
            <w:tcW w:w="591" w:type="pct"/>
            <w:vAlign w:val="center"/>
          </w:tcPr>
          <w:p w14:paraId="742317A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36</w:t>
            </w:r>
          </w:p>
        </w:tc>
        <w:tc>
          <w:tcPr>
            <w:tcW w:w="590" w:type="pct"/>
            <w:vAlign w:val="center"/>
          </w:tcPr>
          <w:p w14:paraId="40CC395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43</w:t>
            </w:r>
          </w:p>
        </w:tc>
      </w:tr>
      <w:tr w14:paraId="7B13E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590C06B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c>
          <w:tcPr>
            <w:tcW w:w="457" w:type="pct"/>
            <w:vAlign w:val="center"/>
          </w:tcPr>
          <w:p w14:paraId="041B86A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661" w:type="pct"/>
            <w:vAlign w:val="center"/>
          </w:tcPr>
          <w:p w14:paraId="4863B93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9</w:t>
            </w:r>
          </w:p>
        </w:tc>
        <w:tc>
          <w:tcPr>
            <w:tcW w:w="646" w:type="pct"/>
            <w:vAlign w:val="center"/>
          </w:tcPr>
          <w:p w14:paraId="7AA5029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16</w:t>
            </w:r>
          </w:p>
        </w:tc>
        <w:tc>
          <w:tcPr>
            <w:tcW w:w="584" w:type="pct"/>
            <w:vAlign w:val="center"/>
          </w:tcPr>
          <w:p w14:paraId="6ACAACF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23</w:t>
            </w:r>
          </w:p>
        </w:tc>
        <w:tc>
          <w:tcPr>
            <w:tcW w:w="542" w:type="pct"/>
            <w:vAlign w:val="center"/>
          </w:tcPr>
          <w:p w14:paraId="329B94C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w:t>
            </w:r>
          </w:p>
        </w:tc>
        <w:tc>
          <w:tcPr>
            <w:tcW w:w="591" w:type="pct"/>
            <w:vAlign w:val="center"/>
          </w:tcPr>
          <w:p w14:paraId="0DE2884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37</w:t>
            </w:r>
          </w:p>
        </w:tc>
        <w:tc>
          <w:tcPr>
            <w:tcW w:w="590" w:type="pct"/>
            <w:vAlign w:val="center"/>
          </w:tcPr>
          <w:p w14:paraId="382A659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44</w:t>
            </w:r>
          </w:p>
        </w:tc>
      </w:tr>
      <w:tr w14:paraId="093B6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2198F4E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c>
          <w:tcPr>
            <w:tcW w:w="457" w:type="pct"/>
            <w:vAlign w:val="center"/>
          </w:tcPr>
          <w:p w14:paraId="0FC5510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661" w:type="pct"/>
            <w:vAlign w:val="center"/>
          </w:tcPr>
          <w:p w14:paraId="7473047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c>
          <w:tcPr>
            <w:tcW w:w="646" w:type="pct"/>
            <w:vAlign w:val="center"/>
          </w:tcPr>
          <w:p w14:paraId="5B5C968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17</w:t>
            </w:r>
          </w:p>
        </w:tc>
        <w:tc>
          <w:tcPr>
            <w:tcW w:w="584" w:type="pct"/>
            <w:vAlign w:val="center"/>
          </w:tcPr>
          <w:p w14:paraId="100DCF7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w:t>
            </w:r>
          </w:p>
        </w:tc>
        <w:tc>
          <w:tcPr>
            <w:tcW w:w="542" w:type="pct"/>
            <w:vAlign w:val="center"/>
          </w:tcPr>
          <w:p w14:paraId="3810E9E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31</w:t>
            </w:r>
          </w:p>
        </w:tc>
        <w:tc>
          <w:tcPr>
            <w:tcW w:w="591" w:type="pct"/>
            <w:vAlign w:val="center"/>
          </w:tcPr>
          <w:p w14:paraId="658CA27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38</w:t>
            </w:r>
          </w:p>
        </w:tc>
        <w:tc>
          <w:tcPr>
            <w:tcW w:w="590" w:type="pct"/>
            <w:vAlign w:val="center"/>
          </w:tcPr>
          <w:p w14:paraId="1765DAAD">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45</w:t>
            </w:r>
          </w:p>
        </w:tc>
      </w:tr>
      <w:tr w14:paraId="57AF6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4713024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Na</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p>
        </w:tc>
        <w:tc>
          <w:tcPr>
            <w:tcW w:w="457" w:type="pct"/>
            <w:vAlign w:val="center"/>
          </w:tcPr>
          <w:p w14:paraId="3203B91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c>
          <w:tcPr>
            <w:tcW w:w="661" w:type="pct"/>
            <w:vAlign w:val="center"/>
          </w:tcPr>
          <w:p w14:paraId="66D998D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11</w:t>
            </w:r>
          </w:p>
        </w:tc>
        <w:tc>
          <w:tcPr>
            <w:tcW w:w="646" w:type="pct"/>
            <w:vAlign w:val="center"/>
          </w:tcPr>
          <w:p w14:paraId="41A3020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18</w:t>
            </w:r>
          </w:p>
        </w:tc>
        <w:tc>
          <w:tcPr>
            <w:tcW w:w="584" w:type="pct"/>
            <w:vAlign w:val="center"/>
          </w:tcPr>
          <w:p w14:paraId="51FA382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25</w:t>
            </w:r>
          </w:p>
        </w:tc>
        <w:tc>
          <w:tcPr>
            <w:tcW w:w="542" w:type="pct"/>
            <w:vAlign w:val="center"/>
          </w:tcPr>
          <w:p w14:paraId="06A0516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32</w:t>
            </w:r>
          </w:p>
        </w:tc>
        <w:tc>
          <w:tcPr>
            <w:tcW w:w="591" w:type="pct"/>
            <w:vAlign w:val="center"/>
          </w:tcPr>
          <w:p w14:paraId="6AB923E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39</w:t>
            </w:r>
          </w:p>
        </w:tc>
        <w:tc>
          <w:tcPr>
            <w:tcW w:w="590" w:type="pct"/>
            <w:vAlign w:val="center"/>
          </w:tcPr>
          <w:p w14:paraId="7A83016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46</w:t>
            </w:r>
          </w:p>
        </w:tc>
      </w:tr>
      <w:tr w14:paraId="7F6EE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2904EE4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Na</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c>
          <w:tcPr>
            <w:tcW w:w="457" w:type="pct"/>
            <w:vAlign w:val="center"/>
          </w:tcPr>
          <w:p w14:paraId="3B5FFB5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c>
          <w:tcPr>
            <w:tcW w:w="661" w:type="pct"/>
            <w:vAlign w:val="center"/>
          </w:tcPr>
          <w:p w14:paraId="4CF683D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12</w:t>
            </w:r>
          </w:p>
        </w:tc>
        <w:tc>
          <w:tcPr>
            <w:tcW w:w="646" w:type="pct"/>
            <w:vAlign w:val="center"/>
          </w:tcPr>
          <w:p w14:paraId="13835CB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19</w:t>
            </w:r>
          </w:p>
        </w:tc>
        <w:tc>
          <w:tcPr>
            <w:tcW w:w="584" w:type="pct"/>
            <w:vAlign w:val="center"/>
          </w:tcPr>
          <w:p w14:paraId="44A1AEE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26</w:t>
            </w:r>
          </w:p>
        </w:tc>
        <w:tc>
          <w:tcPr>
            <w:tcW w:w="542" w:type="pct"/>
            <w:vAlign w:val="center"/>
          </w:tcPr>
          <w:p w14:paraId="61C15CE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33</w:t>
            </w:r>
          </w:p>
        </w:tc>
        <w:tc>
          <w:tcPr>
            <w:tcW w:w="591" w:type="pct"/>
            <w:vAlign w:val="center"/>
          </w:tcPr>
          <w:p w14:paraId="61CBE2D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40</w:t>
            </w:r>
          </w:p>
        </w:tc>
        <w:tc>
          <w:tcPr>
            <w:tcW w:w="590" w:type="pct"/>
            <w:vAlign w:val="center"/>
          </w:tcPr>
          <w:p w14:paraId="32EAB84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47</w:t>
            </w:r>
          </w:p>
        </w:tc>
      </w:tr>
      <w:tr w14:paraId="16107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13EFC81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vertAlign w:val="baseline"/>
                <w:lang w:val="zh-CN"/>
              </w:rPr>
              <w:t>Na</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vertAlign w:val="baseline"/>
                <w:lang w:val="zh-CN"/>
              </w:rPr>
              <w:t>-Mg</w:t>
            </w:r>
            <w:r>
              <w:rPr>
                <w:rFonts w:hint="default" w:ascii="Times New Roman" w:hAnsi="Times New Roman" w:cs="Times New Roman"/>
                <w:color w:val="auto"/>
                <w:highlight w:val="none"/>
                <w:vertAlign w:val="superscript"/>
                <w:lang w:val="zh-CN"/>
              </w:rPr>
              <w:t>2+</w:t>
            </w:r>
          </w:p>
        </w:tc>
        <w:tc>
          <w:tcPr>
            <w:tcW w:w="457" w:type="pct"/>
            <w:vAlign w:val="center"/>
          </w:tcPr>
          <w:p w14:paraId="30640F0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w:t>
            </w:r>
          </w:p>
        </w:tc>
        <w:tc>
          <w:tcPr>
            <w:tcW w:w="661" w:type="pct"/>
            <w:vAlign w:val="center"/>
          </w:tcPr>
          <w:p w14:paraId="04A46E9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13</w:t>
            </w:r>
          </w:p>
        </w:tc>
        <w:tc>
          <w:tcPr>
            <w:tcW w:w="646" w:type="pct"/>
            <w:vAlign w:val="center"/>
          </w:tcPr>
          <w:p w14:paraId="6E64411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w:t>
            </w:r>
          </w:p>
        </w:tc>
        <w:tc>
          <w:tcPr>
            <w:tcW w:w="584" w:type="pct"/>
            <w:vAlign w:val="center"/>
          </w:tcPr>
          <w:p w14:paraId="48AB4A3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27</w:t>
            </w:r>
          </w:p>
        </w:tc>
        <w:tc>
          <w:tcPr>
            <w:tcW w:w="542" w:type="pct"/>
            <w:vAlign w:val="center"/>
          </w:tcPr>
          <w:p w14:paraId="3A93929E">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34</w:t>
            </w:r>
          </w:p>
        </w:tc>
        <w:tc>
          <w:tcPr>
            <w:tcW w:w="591" w:type="pct"/>
            <w:vAlign w:val="center"/>
          </w:tcPr>
          <w:p w14:paraId="705CEA3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41</w:t>
            </w:r>
          </w:p>
        </w:tc>
        <w:tc>
          <w:tcPr>
            <w:tcW w:w="590" w:type="pct"/>
            <w:vAlign w:val="center"/>
          </w:tcPr>
          <w:p w14:paraId="3DE31669">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48</w:t>
            </w:r>
          </w:p>
        </w:tc>
      </w:tr>
      <w:tr w14:paraId="785CD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1F72117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Na</w:t>
            </w:r>
            <w:r>
              <w:rPr>
                <w:rFonts w:hint="default" w:ascii="Times New Roman" w:hAnsi="Times New Roman" w:cs="Times New Roman"/>
                <w:color w:val="auto"/>
                <w:highlight w:val="none"/>
                <w:vertAlign w:val="superscript"/>
                <w:lang w:val="zh-CN"/>
              </w:rPr>
              <w:t>+</w:t>
            </w:r>
          </w:p>
        </w:tc>
        <w:tc>
          <w:tcPr>
            <w:tcW w:w="457" w:type="pct"/>
            <w:vAlign w:val="center"/>
          </w:tcPr>
          <w:p w14:paraId="4269C147">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w:t>
            </w:r>
          </w:p>
        </w:tc>
        <w:tc>
          <w:tcPr>
            <w:tcW w:w="661" w:type="pct"/>
            <w:vAlign w:val="center"/>
          </w:tcPr>
          <w:p w14:paraId="6962FA7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w:t>
            </w:r>
          </w:p>
        </w:tc>
        <w:tc>
          <w:tcPr>
            <w:tcW w:w="646" w:type="pct"/>
            <w:vAlign w:val="center"/>
          </w:tcPr>
          <w:p w14:paraId="77B6F4C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21</w:t>
            </w:r>
          </w:p>
        </w:tc>
        <w:tc>
          <w:tcPr>
            <w:tcW w:w="584" w:type="pct"/>
            <w:vAlign w:val="center"/>
          </w:tcPr>
          <w:p w14:paraId="26280BD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28</w:t>
            </w:r>
          </w:p>
        </w:tc>
        <w:tc>
          <w:tcPr>
            <w:tcW w:w="542" w:type="pct"/>
            <w:vAlign w:val="center"/>
          </w:tcPr>
          <w:p w14:paraId="33C82F81">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35</w:t>
            </w:r>
          </w:p>
        </w:tc>
        <w:tc>
          <w:tcPr>
            <w:tcW w:w="591" w:type="pct"/>
            <w:vAlign w:val="center"/>
          </w:tcPr>
          <w:p w14:paraId="36808E9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42</w:t>
            </w:r>
          </w:p>
        </w:tc>
        <w:tc>
          <w:tcPr>
            <w:tcW w:w="590" w:type="pct"/>
            <w:vAlign w:val="center"/>
          </w:tcPr>
          <w:p w14:paraId="299DDF95">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49</w:t>
            </w:r>
          </w:p>
        </w:tc>
      </w:tr>
    </w:tbl>
    <w:p w14:paraId="01D144A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八大离子的检测结果统计表</w:t>
      </w:r>
    </w:p>
    <w:tbl>
      <w:tblPr>
        <w:tblStyle w:val="6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726"/>
        <w:gridCol w:w="1701"/>
        <w:gridCol w:w="1715"/>
        <w:gridCol w:w="1717"/>
      </w:tblGrid>
      <w:tr w14:paraId="3657B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3389" w:type="dxa"/>
            <w:gridSpan w:val="2"/>
            <w:vAlign w:val="center"/>
          </w:tcPr>
          <w:p w14:paraId="1DC4066C">
            <w:pPr>
              <w:pStyle w:val="46"/>
              <w:bidi w:val="0"/>
              <w:rPr>
                <w:rFonts w:hint="default" w:ascii="Times New Roman" w:hAnsi="Times New Roman" w:cs="Times New Roman"/>
                <w:color w:val="auto"/>
                <w:highlight w:val="none"/>
              </w:rPr>
            </w:pPr>
            <w:bookmarkStart w:id="236" w:name="_Toc32747"/>
            <w:bookmarkStart w:id="237" w:name="_Toc477954567"/>
            <w:r>
              <w:rPr>
                <w:rFonts w:hint="default" w:ascii="Times New Roman" w:hAnsi="Times New Roman" w:cs="Times New Roman"/>
                <w:color w:val="auto"/>
                <w:highlight w:val="none"/>
              </w:rPr>
              <w:t>☆01离子</w:t>
            </w:r>
          </w:p>
        </w:tc>
        <w:tc>
          <w:tcPr>
            <w:tcW w:w="1701" w:type="dxa"/>
            <w:vAlign w:val="center"/>
          </w:tcPr>
          <w:p w14:paraId="31BCA1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715" w:type="dxa"/>
            <w:vAlign w:val="center"/>
          </w:tcPr>
          <w:p w14:paraId="3EA9D4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meq/L</w:t>
            </w:r>
          </w:p>
        </w:tc>
        <w:tc>
          <w:tcPr>
            <w:tcW w:w="1717" w:type="dxa"/>
            <w:vAlign w:val="center"/>
          </w:tcPr>
          <w:p w14:paraId="6837EFA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w:t>
            </w:r>
          </w:p>
        </w:tc>
      </w:tr>
      <w:tr w14:paraId="09B5CE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restart"/>
            <w:vAlign w:val="center"/>
          </w:tcPr>
          <w:p w14:paraId="1E0DC1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阳</w:t>
            </w:r>
          </w:p>
          <w:p w14:paraId="36FDA0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245775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1DBAEF8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p>
        </w:tc>
        <w:tc>
          <w:tcPr>
            <w:tcW w:w="1701" w:type="dxa"/>
            <w:vAlign w:val="center"/>
          </w:tcPr>
          <w:p w14:paraId="72B04B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25.92</w:t>
            </w:r>
          </w:p>
        </w:tc>
        <w:tc>
          <w:tcPr>
            <w:tcW w:w="1715" w:type="dxa"/>
            <w:vAlign w:val="center"/>
          </w:tcPr>
          <w:p w14:paraId="483BFB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1.10 </w:t>
            </w:r>
          </w:p>
        </w:tc>
        <w:tc>
          <w:tcPr>
            <w:tcW w:w="1717" w:type="dxa"/>
            <w:vAlign w:val="center"/>
          </w:tcPr>
          <w:p w14:paraId="7896B5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22.51 </w:t>
            </w:r>
          </w:p>
        </w:tc>
      </w:tr>
      <w:tr w14:paraId="2AE7D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vAlign w:val="center"/>
          </w:tcPr>
          <w:p w14:paraId="656B8842">
            <w:pPr>
              <w:pStyle w:val="46"/>
              <w:bidi w:val="0"/>
              <w:rPr>
                <w:rFonts w:hint="default" w:ascii="Times New Roman" w:hAnsi="Times New Roman" w:cs="Times New Roman"/>
                <w:color w:val="auto"/>
                <w:highlight w:val="none"/>
              </w:rPr>
            </w:pPr>
          </w:p>
        </w:tc>
        <w:tc>
          <w:tcPr>
            <w:tcW w:w="1726" w:type="dxa"/>
            <w:vAlign w:val="center"/>
          </w:tcPr>
          <w:p w14:paraId="17B490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p>
        </w:tc>
        <w:tc>
          <w:tcPr>
            <w:tcW w:w="1701" w:type="dxa"/>
            <w:vAlign w:val="center"/>
          </w:tcPr>
          <w:p w14:paraId="29C361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38.8</w:t>
            </w:r>
          </w:p>
        </w:tc>
        <w:tc>
          <w:tcPr>
            <w:tcW w:w="1715" w:type="dxa"/>
            <w:vAlign w:val="center"/>
          </w:tcPr>
          <w:p w14:paraId="1C5502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1.94 </w:t>
            </w:r>
          </w:p>
        </w:tc>
        <w:tc>
          <w:tcPr>
            <w:tcW w:w="1717" w:type="dxa"/>
            <w:vAlign w:val="center"/>
          </w:tcPr>
          <w:p w14:paraId="7E1264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shd w:val="clear" w:color="FFFFFF" w:fill="D9D9D9"/>
                <w:lang w:val="en-US" w:eastAsia="zh-CN"/>
              </w:rPr>
              <w:t xml:space="preserve">39.58 </w:t>
            </w:r>
          </w:p>
        </w:tc>
      </w:tr>
      <w:tr w14:paraId="61691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vAlign w:val="center"/>
          </w:tcPr>
          <w:p w14:paraId="67FF51D3">
            <w:pPr>
              <w:pStyle w:val="46"/>
              <w:bidi w:val="0"/>
              <w:rPr>
                <w:rFonts w:hint="default" w:ascii="Times New Roman" w:hAnsi="Times New Roman" w:cs="Times New Roman"/>
                <w:color w:val="auto"/>
                <w:highlight w:val="none"/>
              </w:rPr>
            </w:pPr>
          </w:p>
        </w:tc>
        <w:tc>
          <w:tcPr>
            <w:tcW w:w="1726" w:type="dxa"/>
            <w:vAlign w:val="center"/>
          </w:tcPr>
          <w:p w14:paraId="7816A4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p>
        </w:tc>
        <w:tc>
          <w:tcPr>
            <w:tcW w:w="1701" w:type="dxa"/>
            <w:vAlign w:val="center"/>
          </w:tcPr>
          <w:p w14:paraId="38B905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22.3</w:t>
            </w:r>
          </w:p>
        </w:tc>
        <w:tc>
          <w:tcPr>
            <w:tcW w:w="1715" w:type="dxa"/>
            <w:vAlign w:val="center"/>
          </w:tcPr>
          <w:p w14:paraId="61F5086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1.86 </w:t>
            </w:r>
          </w:p>
        </w:tc>
        <w:tc>
          <w:tcPr>
            <w:tcW w:w="1717" w:type="dxa"/>
            <w:vAlign w:val="center"/>
          </w:tcPr>
          <w:p w14:paraId="3D225A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shd w:val="clear" w:color="FFFFFF" w:fill="D9D9D9"/>
                <w:lang w:val="en-US" w:eastAsia="zh-CN"/>
              </w:rPr>
              <w:t xml:space="preserve">37.91 </w:t>
            </w:r>
          </w:p>
        </w:tc>
      </w:tr>
      <w:tr w14:paraId="0A8B5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3" w:type="dxa"/>
            <w:vMerge w:val="continue"/>
            <w:vAlign w:val="center"/>
          </w:tcPr>
          <w:p w14:paraId="7B6CC09E">
            <w:pPr>
              <w:pStyle w:val="46"/>
              <w:bidi w:val="0"/>
              <w:rPr>
                <w:rFonts w:hint="default" w:ascii="Times New Roman" w:hAnsi="Times New Roman" w:cs="Times New Roman"/>
                <w:color w:val="auto"/>
                <w:highlight w:val="none"/>
              </w:rPr>
            </w:pPr>
          </w:p>
        </w:tc>
        <w:tc>
          <w:tcPr>
            <w:tcW w:w="1726" w:type="dxa"/>
            <w:vAlign w:val="center"/>
          </w:tcPr>
          <w:p w14:paraId="1FA7963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2B9A62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87.02</w:t>
            </w:r>
          </w:p>
        </w:tc>
        <w:tc>
          <w:tcPr>
            <w:tcW w:w="1715" w:type="dxa"/>
            <w:vAlign w:val="center"/>
          </w:tcPr>
          <w:p w14:paraId="532537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4.90 </w:t>
            </w:r>
          </w:p>
        </w:tc>
        <w:tc>
          <w:tcPr>
            <w:tcW w:w="1717" w:type="dxa"/>
            <w:vAlign w:val="center"/>
          </w:tcPr>
          <w:p w14:paraId="24E2ED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743EB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restart"/>
            <w:vAlign w:val="center"/>
          </w:tcPr>
          <w:p w14:paraId="3494A3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阴</w:t>
            </w:r>
          </w:p>
          <w:p w14:paraId="458D21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543100F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2160AD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p>
        </w:tc>
        <w:tc>
          <w:tcPr>
            <w:tcW w:w="1701" w:type="dxa"/>
            <w:vAlign w:val="center"/>
          </w:tcPr>
          <w:p w14:paraId="6F5808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110</w:t>
            </w:r>
          </w:p>
        </w:tc>
        <w:tc>
          <w:tcPr>
            <w:tcW w:w="1715" w:type="dxa"/>
            <w:vAlign w:val="center"/>
          </w:tcPr>
          <w:p w14:paraId="44D393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2.20 </w:t>
            </w:r>
          </w:p>
        </w:tc>
        <w:tc>
          <w:tcPr>
            <w:tcW w:w="1717" w:type="dxa"/>
            <w:vAlign w:val="center"/>
          </w:tcPr>
          <w:p w14:paraId="29857A3C">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42.75 </w:t>
            </w:r>
          </w:p>
        </w:tc>
      </w:tr>
      <w:tr w14:paraId="2A3D60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continue"/>
            <w:vAlign w:val="center"/>
          </w:tcPr>
          <w:p w14:paraId="5A54F18D">
            <w:pPr>
              <w:pStyle w:val="46"/>
              <w:bidi w:val="0"/>
              <w:rPr>
                <w:rFonts w:hint="default" w:ascii="Times New Roman" w:hAnsi="Times New Roman" w:cs="Times New Roman"/>
                <w:color w:val="auto"/>
                <w:highlight w:val="none"/>
              </w:rPr>
            </w:pPr>
          </w:p>
        </w:tc>
        <w:tc>
          <w:tcPr>
            <w:tcW w:w="1726" w:type="dxa"/>
            <w:vAlign w:val="center"/>
          </w:tcPr>
          <w:p w14:paraId="11422D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p>
        </w:tc>
        <w:tc>
          <w:tcPr>
            <w:tcW w:w="1701" w:type="dxa"/>
            <w:vAlign w:val="center"/>
          </w:tcPr>
          <w:p w14:paraId="431DF1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67.8</w:t>
            </w:r>
          </w:p>
        </w:tc>
        <w:tc>
          <w:tcPr>
            <w:tcW w:w="1715" w:type="dxa"/>
            <w:vAlign w:val="center"/>
          </w:tcPr>
          <w:p w14:paraId="71DE38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1.91 </w:t>
            </w:r>
          </w:p>
        </w:tc>
        <w:tc>
          <w:tcPr>
            <w:tcW w:w="1717" w:type="dxa"/>
            <w:vAlign w:val="center"/>
          </w:tcPr>
          <w:p w14:paraId="114DEC5B">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37.15 </w:t>
            </w:r>
          </w:p>
        </w:tc>
      </w:tr>
      <w:tr w14:paraId="6F9239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vAlign w:val="center"/>
          </w:tcPr>
          <w:p w14:paraId="314221FC">
            <w:pPr>
              <w:pStyle w:val="46"/>
              <w:bidi w:val="0"/>
              <w:rPr>
                <w:rFonts w:hint="default" w:ascii="Times New Roman" w:hAnsi="Times New Roman" w:cs="Times New Roman"/>
                <w:color w:val="auto"/>
                <w:highlight w:val="none"/>
              </w:rPr>
            </w:pPr>
          </w:p>
        </w:tc>
        <w:tc>
          <w:tcPr>
            <w:tcW w:w="1726" w:type="dxa"/>
            <w:vAlign w:val="center"/>
          </w:tcPr>
          <w:p w14:paraId="6DE5A4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1701" w:type="dxa"/>
            <w:vAlign w:val="center"/>
          </w:tcPr>
          <w:p w14:paraId="5F71E7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49.6</w:t>
            </w:r>
          </w:p>
        </w:tc>
        <w:tc>
          <w:tcPr>
            <w:tcW w:w="1715" w:type="dxa"/>
            <w:vAlign w:val="center"/>
          </w:tcPr>
          <w:p w14:paraId="768EFC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1.03 </w:t>
            </w:r>
          </w:p>
        </w:tc>
        <w:tc>
          <w:tcPr>
            <w:tcW w:w="1717" w:type="dxa"/>
            <w:vAlign w:val="center"/>
          </w:tcPr>
          <w:p w14:paraId="48DE9FC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20.10 </w:t>
            </w:r>
          </w:p>
        </w:tc>
      </w:tr>
      <w:tr w14:paraId="336B7E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3" w:type="dxa"/>
            <w:vMerge w:val="continue"/>
            <w:vAlign w:val="center"/>
          </w:tcPr>
          <w:p w14:paraId="2AC53C40">
            <w:pPr>
              <w:pStyle w:val="46"/>
              <w:bidi w:val="0"/>
              <w:rPr>
                <w:rFonts w:hint="default" w:ascii="Times New Roman" w:hAnsi="Times New Roman" w:cs="Times New Roman"/>
                <w:color w:val="auto"/>
                <w:highlight w:val="none"/>
              </w:rPr>
            </w:pPr>
          </w:p>
        </w:tc>
        <w:tc>
          <w:tcPr>
            <w:tcW w:w="1726" w:type="dxa"/>
            <w:vAlign w:val="center"/>
          </w:tcPr>
          <w:p w14:paraId="5053D5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2C0D55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227.4</w:t>
            </w:r>
          </w:p>
        </w:tc>
        <w:tc>
          <w:tcPr>
            <w:tcW w:w="1715" w:type="dxa"/>
            <w:vAlign w:val="center"/>
          </w:tcPr>
          <w:p w14:paraId="1DA8D2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5.14 </w:t>
            </w:r>
          </w:p>
        </w:tc>
        <w:tc>
          <w:tcPr>
            <w:tcW w:w="1717" w:type="dxa"/>
            <w:vAlign w:val="center"/>
          </w:tcPr>
          <w:p w14:paraId="78E0E6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45259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3" w:type="dxa"/>
            <w:vAlign w:val="center"/>
          </w:tcPr>
          <w:p w14:paraId="48FB2BC7">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化学类型</w:t>
            </w:r>
          </w:p>
        </w:tc>
        <w:tc>
          <w:tcPr>
            <w:tcW w:w="6859" w:type="dxa"/>
            <w:gridSpan w:val="4"/>
            <w:vAlign w:val="center"/>
          </w:tcPr>
          <w:p w14:paraId="4B0E633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HCO</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zh-CN"/>
              </w:rPr>
              <w:t>C</w:t>
            </w:r>
            <w:r>
              <w:rPr>
                <w:rFonts w:hint="default" w:ascii="Times New Roman" w:hAnsi="Times New Roman" w:cs="Times New Roman"/>
                <w:color w:val="auto"/>
                <w:highlight w:val="none"/>
                <w:vertAlign w:val="baseline"/>
                <w:lang w:val="zh-CN"/>
              </w:rPr>
              <w:t>l</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vertAlign w:val="baseline"/>
                <w:lang w:val="zh-CN"/>
              </w:rPr>
              <w:t>—</w:t>
            </w: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r>
      <w:tr w14:paraId="3F2C4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89" w:type="dxa"/>
            <w:gridSpan w:val="2"/>
            <w:vAlign w:val="center"/>
          </w:tcPr>
          <w:p w14:paraId="679339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☆02离子</w:t>
            </w:r>
          </w:p>
        </w:tc>
        <w:tc>
          <w:tcPr>
            <w:tcW w:w="1701" w:type="dxa"/>
            <w:vAlign w:val="center"/>
          </w:tcPr>
          <w:p w14:paraId="3AEC9C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715" w:type="dxa"/>
            <w:vAlign w:val="center"/>
          </w:tcPr>
          <w:p w14:paraId="0B4039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meq/L</w:t>
            </w:r>
          </w:p>
        </w:tc>
        <w:tc>
          <w:tcPr>
            <w:tcW w:w="1717" w:type="dxa"/>
            <w:vAlign w:val="center"/>
          </w:tcPr>
          <w:p w14:paraId="6FFA4D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w:t>
            </w:r>
          </w:p>
        </w:tc>
      </w:tr>
      <w:tr w14:paraId="5C072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1663" w:type="dxa"/>
            <w:vMerge w:val="restart"/>
            <w:vAlign w:val="center"/>
          </w:tcPr>
          <w:p w14:paraId="09F8A4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阳</w:t>
            </w:r>
          </w:p>
          <w:p w14:paraId="746B12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100EF7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4D2984E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p>
        </w:tc>
        <w:tc>
          <w:tcPr>
            <w:tcW w:w="1701" w:type="dxa"/>
            <w:vAlign w:val="center"/>
          </w:tcPr>
          <w:p w14:paraId="78B73D8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37.64</w:t>
            </w:r>
          </w:p>
        </w:tc>
        <w:tc>
          <w:tcPr>
            <w:tcW w:w="1715" w:type="dxa"/>
            <w:vAlign w:val="center"/>
          </w:tcPr>
          <w:p w14:paraId="29A357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1.60 </w:t>
            </w:r>
          </w:p>
        </w:tc>
        <w:tc>
          <w:tcPr>
            <w:tcW w:w="1717" w:type="dxa"/>
            <w:vAlign w:val="center"/>
          </w:tcPr>
          <w:p w14:paraId="4CDD2E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23.59 </w:t>
            </w:r>
          </w:p>
        </w:tc>
      </w:tr>
      <w:tr w14:paraId="27411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663" w:type="dxa"/>
            <w:vMerge w:val="continue"/>
            <w:vAlign w:val="center"/>
          </w:tcPr>
          <w:p w14:paraId="7C678742">
            <w:pPr>
              <w:pStyle w:val="46"/>
              <w:bidi w:val="0"/>
              <w:rPr>
                <w:rFonts w:hint="default" w:ascii="Times New Roman" w:hAnsi="Times New Roman" w:cs="Times New Roman"/>
                <w:color w:val="auto"/>
                <w:highlight w:val="none"/>
              </w:rPr>
            </w:pPr>
          </w:p>
        </w:tc>
        <w:tc>
          <w:tcPr>
            <w:tcW w:w="1726" w:type="dxa"/>
            <w:vAlign w:val="center"/>
          </w:tcPr>
          <w:p w14:paraId="6D0692C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p>
        </w:tc>
        <w:tc>
          <w:tcPr>
            <w:tcW w:w="1701" w:type="dxa"/>
            <w:vAlign w:val="center"/>
          </w:tcPr>
          <w:p w14:paraId="60E68DD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47.5</w:t>
            </w:r>
          </w:p>
        </w:tc>
        <w:tc>
          <w:tcPr>
            <w:tcW w:w="1715" w:type="dxa"/>
            <w:vAlign w:val="center"/>
          </w:tcPr>
          <w:p w14:paraId="72CD97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2.38 </w:t>
            </w:r>
          </w:p>
        </w:tc>
        <w:tc>
          <w:tcPr>
            <w:tcW w:w="1717" w:type="dxa"/>
            <w:vAlign w:val="center"/>
          </w:tcPr>
          <w:p w14:paraId="0E84185E">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35.01 </w:t>
            </w:r>
          </w:p>
        </w:tc>
      </w:tr>
      <w:tr w14:paraId="73FE4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663" w:type="dxa"/>
            <w:vMerge w:val="continue"/>
            <w:vAlign w:val="center"/>
          </w:tcPr>
          <w:p w14:paraId="1A8D711D">
            <w:pPr>
              <w:pStyle w:val="46"/>
              <w:bidi w:val="0"/>
              <w:rPr>
                <w:rFonts w:hint="default" w:ascii="Times New Roman" w:hAnsi="Times New Roman" w:cs="Times New Roman"/>
                <w:color w:val="auto"/>
                <w:highlight w:val="none"/>
              </w:rPr>
            </w:pPr>
          </w:p>
        </w:tc>
        <w:tc>
          <w:tcPr>
            <w:tcW w:w="1726" w:type="dxa"/>
            <w:vAlign w:val="center"/>
          </w:tcPr>
          <w:p w14:paraId="45A494F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p>
        </w:tc>
        <w:tc>
          <w:tcPr>
            <w:tcW w:w="1701" w:type="dxa"/>
            <w:vAlign w:val="center"/>
          </w:tcPr>
          <w:p w14:paraId="5A19A5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33.7</w:t>
            </w:r>
          </w:p>
        </w:tc>
        <w:tc>
          <w:tcPr>
            <w:tcW w:w="1715" w:type="dxa"/>
            <w:vAlign w:val="center"/>
          </w:tcPr>
          <w:p w14:paraId="576B03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2.81 </w:t>
            </w:r>
          </w:p>
        </w:tc>
        <w:tc>
          <w:tcPr>
            <w:tcW w:w="1717" w:type="dxa"/>
            <w:vAlign w:val="center"/>
          </w:tcPr>
          <w:p w14:paraId="551D2678">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41.40 </w:t>
            </w:r>
          </w:p>
        </w:tc>
      </w:tr>
      <w:tr w14:paraId="6375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56D6787E">
            <w:pPr>
              <w:pStyle w:val="46"/>
              <w:bidi w:val="0"/>
              <w:rPr>
                <w:rFonts w:hint="default" w:ascii="Times New Roman" w:hAnsi="Times New Roman" w:cs="Times New Roman"/>
                <w:color w:val="auto"/>
                <w:highlight w:val="none"/>
              </w:rPr>
            </w:pPr>
          </w:p>
        </w:tc>
        <w:tc>
          <w:tcPr>
            <w:tcW w:w="1726" w:type="dxa"/>
            <w:vAlign w:val="center"/>
          </w:tcPr>
          <w:p w14:paraId="0C399BE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7B39BB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118.84</w:t>
            </w:r>
          </w:p>
        </w:tc>
        <w:tc>
          <w:tcPr>
            <w:tcW w:w="1715" w:type="dxa"/>
            <w:vAlign w:val="center"/>
          </w:tcPr>
          <w:p w14:paraId="78DEF9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6.78 </w:t>
            </w:r>
          </w:p>
        </w:tc>
        <w:tc>
          <w:tcPr>
            <w:tcW w:w="1717" w:type="dxa"/>
            <w:vAlign w:val="center"/>
          </w:tcPr>
          <w:p w14:paraId="55DAB6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2D9AB2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vAlign w:val="center"/>
          </w:tcPr>
          <w:p w14:paraId="0A38993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阴</w:t>
            </w:r>
          </w:p>
          <w:p w14:paraId="2B08EB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37D724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34C52F04">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p>
        </w:tc>
        <w:tc>
          <w:tcPr>
            <w:tcW w:w="1701" w:type="dxa"/>
            <w:vAlign w:val="center"/>
          </w:tcPr>
          <w:p w14:paraId="7B3E3E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66.8</w:t>
            </w:r>
          </w:p>
        </w:tc>
        <w:tc>
          <w:tcPr>
            <w:tcW w:w="1715" w:type="dxa"/>
            <w:vAlign w:val="center"/>
          </w:tcPr>
          <w:p w14:paraId="194FD0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1.10 </w:t>
            </w:r>
          </w:p>
        </w:tc>
        <w:tc>
          <w:tcPr>
            <w:tcW w:w="1717" w:type="dxa"/>
            <w:vAlign w:val="center"/>
          </w:tcPr>
          <w:p w14:paraId="13E42A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16.81 </w:t>
            </w:r>
          </w:p>
        </w:tc>
      </w:tr>
      <w:tr w14:paraId="5C2EE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307D25DD">
            <w:pPr>
              <w:pStyle w:val="46"/>
              <w:bidi w:val="0"/>
              <w:rPr>
                <w:rFonts w:hint="default" w:ascii="Times New Roman" w:hAnsi="Times New Roman" w:cs="Times New Roman"/>
                <w:color w:val="auto"/>
                <w:highlight w:val="none"/>
              </w:rPr>
            </w:pPr>
          </w:p>
        </w:tc>
        <w:tc>
          <w:tcPr>
            <w:tcW w:w="1726" w:type="dxa"/>
            <w:vAlign w:val="center"/>
          </w:tcPr>
          <w:p w14:paraId="23DDAEC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p>
        </w:tc>
        <w:tc>
          <w:tcPr>
            <w:tcW w:w="1701" w:type="dxa"/>
            <w:vAlign w:val="center"/>
          </w:tcPr>
          <w:p w14:paraId="1575D9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123</w:t>
            </w:r>
          </w:p>
        </w:tc>
        <w:tc>
          <w:tcPr>
            <w:tcW w:w="1715" w:type="dxa"/>
            <w:vAlign w:val="center"/>
          </w:tcPr>
          <w:p w14:paraId="197406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3.46 </w:t>
            </w:r>
          </w:p>
        </w:tc>
        <w:tc>
          <w:tcPr>
            <w:tcW w:w="1717" w:type="dxa"/>
            <w:vAlign w:val="center"/>
          </w:tcPr>
          <w:p w14:paraId="645A3D07">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53.19 </w:t>
            </w:r>
          </w:p>
        </w:tc>
      </w:tr>
      <w:tr w14:paraId="77DA9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548E874C">
            <w:pPr>
              <w:pStyle w:val="46"/>
              <w:bidi w:val="0"/>
              <w:rPr>
                <w:rFonts w:hint="default" w:ascii="Times New Roman" w:hAnsi="Times New Roman" w:cs="Times New Roman"/>
                <w:color w:val="auto"/>
                <w:highlight w:val="none"/>
              </w:rPr>
            </w:pPr>
          </w:p>
        </w:tc>
        <w:tc>
          <w:tcPr>
            <w:tcW w:w="1726" w:type="dxa"/>
            <w:vAlign w:val="center"/>
          </w:tcPr>
          <w:p w14:paraId="7E36933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1701" w:type="dxa"/>
            <w:vAlign w:val="center"/>
          </w:tcPr>
          <w:p w14:paraId="053540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93.8</w:t>
            </w:r>
          </w:p>
        </w:tc>
        <w:tc>
          <w:tcPr>
            <w:tcW w:w="1715" w:type="dxa"/>
            <w:vAlign w:val="center"/>
          </w:tcPr>
          <w:p w14:paraId="0ED3C38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1.95 </w:t>
            </w:r>
          </w:p>
        </w:tc>
        <w:tc>
          <w:tcPr>
            <w:tcW w:w="1717" w:type="dxa"/>
            <w:vAlign w:val="center"/>
          </w:tcPr>
          <w:p w14:paraId="1064A325">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30.00 </w:t>
            </w:r>
          </w:p>
        </w:tc>
      </w:tr>
      <w:tr w14:paraId="7E75C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222836CE">
            <w:pPr>
              <w:pStyle w:val="46"/>
              <w:bidi w:val="0"/>
              <w:rPr>
                <w:rFonts w:hint="default" w:ascii="Times New Roman" w:hAnsi="Times New Roman" w:cs="Times New Roman"/>
                <w:color w:val="auto"/>
                <w:highlight w:val="none"/>
              </w:rPr>
            </w:pPr>
          </w:p>
        </w:tc>
        <w:tc>
          <w:tcPr>
            <w:tcW w:w="1726" w:type="dxa"/>
            <w:vAlign w:val="center"/>
          </w:tcPr>
          <w:p w14:paraId="466D7C4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65DC90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283.6</w:t>
            </w:r>
          </w:p>
        </w:tc>
        <w:tc>
          <w:tcPr>
            <w:tcW w:w="1715" w:type="dxa"/>
            <w:vAlign w:val="center"/>
          </w:tcPr>
          <w:p w14:paraId="026F73B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6.51 </w:t>
            </w:r>
          </w:p>
        </w:tc>
        <w:tc>
          <w:tcPr>
            <w:tcW w:w="1717" w:type="dxa"/>
            <w:vAlign w:val="center"/>
          </w:tcPr>
          <w:p w14:paraId="7D47BE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15AE7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Align w:val="center"/>
          </w:tcPr>
          <w:p w14:paraId="5CC57A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化学类型</w:t>
            </w:r>
          </w:p>
        </w:tc>
        <w:tc>
          <w:tcPr>
            <w:tcW w:w="6859" w:type="dxa"/>
            <w:gridSpan w:val="4"/>
            <w:vAlign w:val="center"/>
          </w:tcPr>
          <w:p w14:paraId="45687CB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SO</w:t>
            </w:r>
            <w:r>
              <w:rPr>
                <w:rFonts w:hint="default" w:ascii="Times New Roman" w:hAnsi="Times New Roman" w:cs="Times New Roman"/>
                <w:color w:val="auto"/>
                <w:highlight w:val="none"/>
                <w:vertAlign w:val="subscript"/>
                <w:lang w:val="zh-CN"/>
              </w:rPr>
              <w:t>4</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vertAlign w:val="superscript"/>
                <w:lang w:val="en-US" w:eastAsia="zh-CN"/>
              </w:rPr>
              <w:t>+</w:t>
            </w:r>
            <w:r>
              <w:rPr>
                <w:rFonts w:hint="default" w:ascii="Times New Roman" w:hAnsi="Times New Roman" w:cs="Times New Roman"/>
                <w:color w:val="auto"/>
                <w:highlight w:val="none"/>
                <w:vertAlign w:val="baseline"/>
                <w:lang w:val="zh-CN"/>
              </w:rPr>
              <w:t xml:space="preserve"> </w:t>
            </w:r>
            <w:r>
              <w:rPr>
                <w:rFonts w:hint="default" w:ascii="Times New Roman" w:hAnsi="Times New Roman" w:cs="Times New Roman"/>
                <w:color w:val="auto"/>
                <w:highlight w:val="none"/>
                <w:lang w:val="zh-CN"/>
              </w:rPr>
              <w:t>Cl</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vertAlign w:val="baseline"/>
                <w:lang w:val="zh-CN"/>
              </w:rPr>
              <w:t>—</w:t>
            </w: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r>
      <w:tr w14:paraId="2053BE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3389" w:type="dxa"/>
            <w:gridSpan w:val="2"/>
            <w:vAlign w:val="center"/>
          </w:tcPr>
          <w:p w14:paraId="7C25DD8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☆03离子</w:t>
            </w:r>
          </w:p>
        </w:tc>
        <w:tc>
          <w:tcPr>
            <w:tcW w:w="1701" w:type="dxa"/>
            <w:vAlign w:val="center"/>
          </w:tcPr>
          <w:p w14:paraId="0B6BBC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715" w:type="dxa"/>
            <w:vAlign w:val="center"/>
          </w:tcPr>
          <w:p w14:paraId="2D288B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meq/L</w:t>
            </w:r>
          </w:p>
        </w:tc>
        <w:tc>
          <w:tcPr>
            <w:tcW w:w="1717" w:type="dxa"/>
            <w:vAlign w:val="center"/>
          </w:tcPr>
          <w:p w14:paraId="0F0289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meq%</w:t>
            </w:r>
          </w:p>
        </w:tc>
      </w:tr>
      <w:tr w14:paraId="02FBA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vAlign w:val="center"/>
          </w:tcPr>
          <w:p w14:paraId="5825B8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阳</w:t>
            </w:r>
          </w:p>
          <w:p w14:paraId="552E75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7F30BA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1B0ACC8B">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p>
        </w:tc>
        <w:tc>
          <w:tcPr>
            <w:tcW w:w="1701" w:type="dxa"/>
            <w:vAlign w:val="center"/>
          </w:tcPr>
          <w:p w14:paraId="1E5CF1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35.37</w:t>
            </w:r>
          </w:p>
        </w:tc>
        <w:tc>
          <w:tcPr>
            <w:tcW w:w="1715" w:type="dxa"/>
            <w:vAlign w:val="center"/>
          </w:tcPr>
          <w:p w14:paraId="2D3F28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1.49 </w:t>
            </w:r>
          </w:p>
        </w:tc>
        <w:tc>
          <w:tcPr>
            <w:tcW w:w="1717" w:type="dxa"/>
            <w:vAlign w:val="center"/>
          </w:tcPr>
          <w:p w14:paraId="6689D96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22.49 </w:t>
            </w:r>
          </w:p>
        </w:tc>
      </w:tr>
      <w:tr w14:paraId="2B29A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1A2E1EBD">
            <w:pPr>
              <w:pStyle w:val="46"/>
              <w:bidi w:val="0"/>
              <w:rPr>
                <w:rFonts w:hint="default" w:ascii="Times New Roman" w:hAnsi="Times New Roman" w:cs="Times New Roman"/>
                <w:color w:val="auto"/>
                <w:highlight w:val="none"/>
              </w:rPr>
            </w:pPr>
          </w:p>
        </w:tc>
        <w:tc>
          <w:tcPr>
            <w:tcW w:w="1726" w:type="dxa"/>
            <w:vAlign w:val="center"/>
          </w:tcPr>
          <w:p w14:paraId="4495428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p>
        </w:tc>
        <w:tc>
          <w:tcPr>
            <w:tcW w:w="1701" w:type="dxa"/>
            <w:vAlign w:val="center"/>
          </w:tcPr>
          <w:p w14:paraId="748CE8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49.7</w:t>
            </w:r>
          </w:p>
        </w:tc>
        <w:tc>
          <w:tcPr>
            <w:tcW w:w="1715" w:type="dxa"/>
            <w:vAlign w:val="center"/>
          </w:tcPr>
          <w:p w14:paraId="17B1BB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2.49 </w:t>
            </w:r>
          </w:p>
        </w:tc>
        <w:tc>
          <w:tcPr>
            <w:tcW w:w="1717" w:type="dxa"/>
            <w:vAlign w:val="center"/>
          </w:tcPr>
          <w:p w14:paraId="2CFD2F90">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37.51 </w:t>
            </w:r>
          </w:p>
        </w:tc>
      </w:tr>
      <w:tr w14:paraId="44D71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0853CBC2">
            <w:pPr>
              <w:pStyle w:val="46"/>
              <w:bidi w:val="0"/>
              <w:rPr>
                <w:rFonts w:hint="default" w:ascii="Times New Roman" w:hAnsi="Times New Roman" w:cs="Times New Roman"/>
                <w:color w:val="auto"/>
                <w:highlight w:val="none"/>
              </w:rPr>
            </w:pPr>
          </w:p>
        </w:tc>
        <w:tc>
          <w:tcPr>
            <w:tcW w:w="1726" w:type="dxa"/>
            <w:vAlign w:val="center"/>
          </w:tcPr>
          <w:p w14:paraId="0AFA449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p>
        </w:tc>
        <w:tc>
          <w:tcPr>
            <w:tcW w:w="1701" w:type="dxa"/>
            <w:vAlign w:val="center"/>
          </w:tcPr>
          <w:p w14:paraId="1FF28A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31.8</w:t>
            </w:r>
          </w:p>
        </w:tc>
        <w:tc>
          <w:tcPr>
            <w:tcW w:w="1715" w:type="dxa"/>
            <w:vAlign w:val="center"/>
          </w:tcPr>
          <w:p w14:paraId="5FDC9C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2.65 </w:t>
            </w:r>
          </w:p>
        </w:tc>
        <w:tc>
          <w:tcPr>
            <w:tcW w:w="1717" w:type="dxa"/>
            <w:vAlign w:val="center"/>
          </w:tcPr>
          <w:p w14:paraId="0443133B">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40.00 </w:t>
            </w:r>
          </w:p>
        </w:tc>
      </w:tr>
      <w:tr w14:paraId="17986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28881420">
            <w:pPr>
              <w:pStyle w:val="46"/>
              <w:bidi w:val="0"/>
              <w:rPr>
                <w:rFonts w:hint="default" w:ascii="Times New Roman" w:hAnsi="Times New Roman" w:cs="Times New Roman"/>
                <w:color w:val="auto"/>
                <w:highlight w:val="none"/>
              </w:rPr>
            </w:pPr>
          </w:p>
        </w:tc>
        <w:tc>
          <w:tcPr>
            <w:tcW w:w="1726" w:type="dxa"/>
            <w:vAlign w:val="center"/>
          </w:tcPr>
          <w:p w14:paraId="260F5BA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32C833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116.87</w:t>
            </w:r>
          </w:p>
        </w:tc>
        <w:tc>
          <w:tcPr>
            <w:tcW w:w="1715" w:type="dxa"/>
            <w:vAlign w:val="center"/>
          </w:tcPr>
          <w:p w14:paraId="5D9E956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6.63 </w:t>
            </w:r>
          </w:p>
        </w:tc>
        <w:tc>
          <w:tcPr>
            <w:tcW w:w="1717" w:type="dxa"/>
            <w:vAlign w:val="center"/>
          </w:tcPr>
          <w:p w14:paraId="55017F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7BF37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vAlign w:val="center"/>
          </w:tcPr>
          <w:p w14:paraId="7A2922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阴</w:t>
            </w:r>
          </w:p>
          <w:p w14:paraId="201B3B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离</w:t>
            </w:r>
          </w:p>
          <w:p w14:paraId="0C4EE4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子</w:t>
            </w:r>
          </w:p>
        </w:tc>
        <w:tc>
          <w:tcPr>
            <w:tcW w:w="1726" w:type="dxa"/>
            <w:vAlign w:val="center"/>
          </w:tcPr>
          <w:p w14:paraId="52A70568">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p>
        </w:tc>
        <w:tc>
          <w:tcPr>
            <w:tcW w:w="1701" w:type="dxa"/>
            <w:vAlign w:val="center"/>
          </w:tcPr>
          <w:p w14:paraId="4FC4B0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50.2</w:t>
            </w:r>
          </w:p>
        </w:tc>
        <w:tc>
          <w:tcPr>
            <w:tcW w:w="1715" w:type="dxa"/>
            <w:vAlign w:val="center"/>
          </w:tcPr>
          <w:p w14:paraId="405454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0.82 </w:t>
            </w:r>
          </w:p>
        </w:tc>
        <w:tc>
          <w:tcPr>
            <w:tcW w:w="1717" w:type="dxa"/>
            <w:vAlign w:val="center"/>
          </w:tcPr>
          <w:p w14:paraId="697225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12.15 </w:t>
            </w:r>
          </w:p>
        </w:tc>
      </w:tr>
      <w:tr w14:paraId="4B118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254EBF24">
            <w:pPr>
              <w:pStyle w:val="46"/>
              <w:bidi w:val="0"/>
              <w:rPr>
                <w:rFonts w:hint="default" w:ascii="Times New Roman" w:hAnsi="Times New Roman" w:cs="Times New Roman"/>
                <w:color w:val="auto"/>
                <w:highlight w:val="none"/>
              </w:rPr>
            </w:pPr>
          </w:p>
        </w:tc>
        <w:tc>
          <w:tcPr>
            <w:tcW w:w="1726" w:type="dxa"/>
            <w:vAlign w:val="center"/>
          </w:tcPr>
          <w:p w14:paraId="70FE4F6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p>
        </w:tc>
        <w:tc>
          <w:tcPr>
            <w:tcW w:w="1701" w:type="dxa"/>
            <w:vAlign w:val="center"/>
          </w:tcPr>
          <w:p w14:paraId="715F2C4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135</w:t>
            </w:r>
          </w:p>
        </w:tc>
        <w:tc>
          <w:tcPr>
            <w:tcW w:w="1715" w:type="dxa"/>
            <w:vAlign w:val="center"/>
          </w:tcPr>
          <w:p w14:paraId="5CEC44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3.80 </w:t>
            </w:r>
          </w:p>
        </w:tc>
        <w:tc>
          <w:tcPr>
            <w:tcW w:w="1717" w:type="dxa"/>
            <w:vAlign w:val="center"/>
          </w:tcPr>
          <w:p w14:paraId="08CFE8E8">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56.16 </w:t>
            </w:r>
          </w:p>
        </w:tc>
      </w:tr>
      <w:tr w14:paraId="75571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1231C06D">
            <w:pPr>
              <w:pStyle w:val="46"/>
              <w:bidi w:val="0"/>
              <w:rPr>
                <w:rFonts w:hint="default" w:ascii="Times New Roman" w:hAnsi="Times New Roman" w:cs="Times New Roman"/>
                <w:color w:val="auto"/>
                <w:highlight w:val="none"/>
              </w:rPr>
            </w:pPr>
          </w:p>
        </w:tc>
        <w:tc>
          <w:tcPr>
            <w:tcW w:w="1726" w:type="dxa"/>
            <w:vAlign w:val="center"/>
          </w:tcPr>
          <w:p w14:paraId="3FA2FB52">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tc>
        <w:tc>
          <w:tcPr>
            <w:tcW w:w="1701" w:type="dxa"/>
            <w:vAlign w:val="center"/>
          </w:tcPr>
          <w:p w14:paraId="7FD8FB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103</w:t>
            </w:r>
          </w:p>
        </w:tc>
        <w:tc>
          <w:tcPr>
            <w:tcW w:w="1715" w:type="dxa"/>
            <w:vAlign w:val="center"/>
          </w:tcPr>
          <w:p w14:paraId="1C5ED8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2.15 </w:t>
            </w:r>
          </w:p>
        </w:tc>
        <w:tc>
          <w:tcPr>
            <w:tcW w:w="1717" w:type="dxa"/>
            <w:vAlign w:val="center"/>
          </w:tcPr>
          <w:p w14:paraId="68EA397C">
            <w:pPr>
              <w:pStyle w:val="46"/>
              <w:bidi w:val="0"/>
              <w:rPr>
                <w:rFonts w:hint="default" w:ascii="Times New Roman" w:hAnsi="Times New Roman" w:cs="Times New Roman"/>
                <w:color w:val="auto"/>
                <w:highlight w:val="none"/>
                <w:shd w:val="clear" w:color="FFFFFF" w:fill="D9D9D9"/>
              </w:rPr>
            </w:pPr>
            <w:r>
              <w:rPr>
                <w:rFonts w:hint="default" w:ascii="Times New Roman" w:hAnsi="Times New Roman" w:cs="Times New Roman"/>
                <w:color w:val="auto"/>
                <w:highlight w:val="none"/>
                <w:shd w:val="clear" w:color="FFFFFF" w:fill="D9D9D9"/>
                <w:lang w:val="en-US" w:eastAsia="zh-CN"/>
              </w:rPr>
              <w:t xml:space="preserve">31.69 </w:t>
            </w:r>
          </w:p>
        </w:tc>
      </w:tr>
      <w:tr w14:paraId="033BD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vAlign w:val="center"/>
          </w:tcPr>
          <w:p w14:paraId="36014740">
            <w:pPr>
              <w:pStyle w:val="46"/>
              <w:bidi w:val="0"/>
              <w:rPr>
                <w:rFonts w:hint="default" w:ascii="Times New Roman" w:hAnsi="Times New Roman" w:cs="Times New Roman"/>
                <w:color w:val="auto"/>
                <w:highlight w:val="none"/>
              </w:rPr>
            </w:pPr>
          </w:p>
        </w:tc>
        <w:tc>
          <w:tcPr>
            <w:tcW w:w="1726" w:type="dxa"/>
            <w:vAlign w:val="center"/>
          </w:tcPr>
          <w:p w14:paraId="407BBA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总计</w:t>
            </w:r>
          </w:p>
        </w:tc>
        <w:tc>
          <w:tcPr>
            <w:tcW w:w="1701" w:type="dxa"/>
            <w:vAlign w:val="center"/>
          </w:tcPr>
          <w:p w14:paraId="616C14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288.2</w:t>
            </w:r>
          </w:p>
        </w:tc>
        <w:tc>
          <w:tcPr>
            <w:tcW w:w="1715" w:type="dxa"/>
            <w:vAlign w:val="center"/>
          </w:tcPr>
          <w:p w14:paraId="7156CB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6.77 </w:t>
            </w:r>
          </w:p>
        </w:tc>
        <w:tc>
          <w:tcPr>
            <w:tcW w:w="1717" w:type="dxa"/>
            <w:vAlign w:val="center"/>
          </w:tcPr>
          <w:p w14:paraId="5AB10AA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100.00 </w:t>
            </w:r>
          </w:p>
        </w:tc>
      </w:tr>
      <w:tr w14:paraId="3D5FA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shd w:val="clear" w:color="auto" w:fill="auto"/>
            <w:vAlign w:val="center"/>
          </w:tcPr>
          <w:p w14:paraId="61664F65">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化学类型</w:t>
            </w:r>
          </w:p>
        </w:tc>
        <w:tc>
          <w:tcPr>
            <w:tcW w:w="6859" w:type="dxa"/>
            <w:gridSpan w:val="4"/>
            <w:shd w:val="clear" w:color="auto" w:fill="auto"/>
            <w:vAlign w:val="center"/>
          </w:tcPr>
          <w:p w14:paraId="3404B682">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zh-CN"/>
              </w:rPr>
              <w:t>SO</w:t>
            </w:r>
            <w:r>
              <w:rPr>
                <w:rFonts w:hint="default" w:ascii="Times New Roman" w:hAnsi="Times New Roman" w:cs="Times New Roman"/>
                <w:color w:val="auto"/>
                <w:highlight w:val="none"/>
                <w:vertAlign w:val="subscript"/>
                <w:lang w:val="zh-CN"/>
              </w:rPr>
              <w:t>4</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lang w:val="zh-CN"/>
              </w:rPr>
              <w:t>Cl</w:t>
            </w:r>
            <w:r>
              <w:rPr>
                <w:rFonts w:hint="default" w:ascii="Times New Roman" w:hAnsi="Times New Roman" w:cs="Times New Roman"/>
                <w:color w:val="auto"/>
                <w:highlight w:val="none"/>
                <w:vertAlign w:val="superscript"/>
                <w:lang w:val="zh-CN"/>
              </w:rPr>
              <w:t>-</w:t>
            </w:r>
            <w:r>
              <w:rPr>
                <w:rFonts w:hint="default" w:ascii="Times New Roman" w:hAnsi="Times New Roman" w:cs="Times New Roman"/>
                <w:color w:val="auto"/>
                <w:highlight w:val="none"/>
                <w:vertAlign w:val="baseline"/>
                <w:lang w:val="zh-CN"/>
              </w:rPr>
              <w:t>—</w:t>
            </w:r>
            <w:r>
              <w:rPr>
                <w:rFonts w:hint="default" w:ascii="Times New Roman" w:hAnsi="Times New Roman" w:cs="Times New Roman"/>
                <w:color w:val="auto"/>
                <w:highlight w:val="none"/>
                <w:lang w:val="zh-CN"/>
              </w:rPr>
              <w:t>Ca</w:t>
            </w:r>
            <w:r>
              <w:rPr>
                <w:rFonts w:hint="default" w:ascii="Times New Roman" w:hAnsi="Times New Roman" w:cs="Times New Roman"/>
                <w:color w:val="auto"/>
                <w:highlight w:val="none"/>
                <w:vertAlign w:val="superscript"/>
                <w:lang w:val="zh-CN"/>
              </w:rPr>
              <w:t>2+</w:t>
            </w:r>
            <w:r>
              <w:rPr>
                <w:rFonts w:hint="default" w:ascii="Times New Roman" w:hAnsi="Times New Roman" w:cs="Times New Roman"/>
                <w:color w:val="auto"/>
                <w:highlight w:val="none"/>
                <w:lang w:val="zh-CN"/>
              </w:rPr>
              <w:t>-Mg</w:t>
            </w:r>
            <w:r>
              <w:rPr>
                <w:rFonts w:hint="default" w:ascii="Times New Roman" w:hAnsi="Times New Roman" w:cs="Times New Roman"/>
                <w:color w:val="auto"/>
                <w:highlight w:val="none"/>
                <w:vertAlign w:val="superscript"/>
                <w:lang w:val="zh-CN"/>
              </w:rPr>
              <w:t>2+</w:t>
            </w:r>
          </w:p>
        </w:tc>
      </w:tr>
    </w:tbl>
    <w:p w14:paraId="7E16DA6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5、阴阳离子平衡</w:t>
      </w:r>
    </w:p>
    <w:p w14:paraId="4DC48771">
      <w:pPr>
        <w:pStyle w:val="27"/>
        <w:spacing w:line="240" w:lineRule="auto"/>
        <w:ind w:firstLine="320"/>
        <w:jc w:val="center"/>
        <w:rPr>
          <w:rFonts w:hint="default" w:ascii="Times New Roman" w:hAnsi="Times New Roman" w:cs="Times New Roman"/>
          <w:color w:val="auto"/>
          <w:highlight w:val="none"/>
        </w:rPr>
      </w:pPr>
      <w:r>
        <w:rPr>
          <w:rFonts w:hint="default" w:ascii="Times New Roman" w:hAnsi="Times New Roman" w:cs="Times New Roman"/>
          <w:color w:val="auto"/>
          <w:sz w:val="16"/>
          <w:szCs w:val="16"/>
          <w:highlight w:val="none"/>
        </w:rPr>
        <w:drawing>
          <wp:inline distT="0" distB="0" distL="0" distR="0">
            <wp:extent cx="1628775" cy="544830"/>
            <wp:effectExtent l="0" t="0" r="9525" b="7620"/>
            <wp:docPr id="111009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9127"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635193" cy="547289"/>
                    </a:xfrm>
                    <a:prstGeom prst="rect">
                      <a:avLst/>
                    </a:prstGeom>
                    <a:noFill/>
                    <a:ln>
                      <a:noFill/>
                    </a:ln>
                  </pic:spPr>
                </pic:pic>
              </a:graphicData>
            </a:graphic>
          </wp:inline>
        </w:drawing>
      </w:r>
    </w:p>
    <w:p w14:paraId="078CC98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其中：E为相对误差，mc和ma分别是阴阳离子的毫克当量浓度（meq/L)。E应小于正负5%，一般情况下，检测结果为质量浓度ρ(C)mg/L，阴阳离子的相对误差，根据上式，须将质量浓度除以其分子量转化为摩尔浓度c (mmol/L)，然后乘以各自带的电荷数，计算得到毫克当量浓度。阴阳离子各取毫克当量浓度总和，代入上式进行计算，得出相对误差。</w:t>
      </w:r>
    </w:p>
    <w:p w14:paraId="3F1CF559">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default" w:ascii="Times New Roman" w:hAnsi="Times New Roman" w:cs="Times New Roman"/>
          <w:color w:val="auto"/>
          <w:highlight w:val="none"/>
          <w:lang w:val="en-US" w:eastAsia="zh-CN"/>
        </w:rPr>
        <w:t xml:space="preserve">2 </w:t>
      </w:r>
      <w:r>
        <w:rPr>
          <w:rFonts w:hint="default" w:ascii="Times New Roman" w:hAnsi="Times New Roman" w:cs="Times New Roman"/>
          <w:color w:val="auto"/>
          <w:highlight w:val="none"/>
        </w:rPr>
        <w:t>阴阳离子平衡表</w:t>
      </w:r>
    </w:p>
    <w:tbl>
      <w:tblPr>
        <w:tblStyle w:val="24"/>
        <w:tblW w:w="8558"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99"/>
        <w:gridCol w:w="2398"/>
        <w:gridCol w:w="1484"/>
        <w:gridCol w:w="1509"/>
        <w:gridCol w:w="1968"/>
      </w:tblGrid>
      <w:tr w14:paraId="3D06F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7" w:hRule="atLeast"/>
        </w:trPr>
        <w:tc>
          <w:tcPr>
            <w:tcW w:w="0" w:type="auto"/>
            <w:tcBorders>
              <w:tl2br w:val="nil"/>
              <w:tr2bl w:val="nil"/>
            </w:tcBorders>
            <w:shd w:val="clear" w:color="auto" w:fill="auto"/>
            <w:noWrap/>
            <w:vAlign w:val="center"/>
          </w:tcPr>
          <w:p w14:paraId="3062D24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监测点</w:t>
            </w:r>
          </w:p>
        </w:tc>
        <w:tc>
          <w:tcPr>
            <w:tcW w:w="0" w:type="auto"/>
            <w:tcBorders>
              <w:tl2br w:val="nil"/>
              <w:tr2bl w:val="nil"/>
            </w:tcBorders>
            <w:shd w:val="clear" w:color="auto" w:fill="auto"/>
            <w:noWrap/>
            <w:vAlign w:val="center"/>
          </w:tcPr>
          <w:p w14:paraId="123BE22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w:t>
            </w:r>
          </w:p>
        </w:tc>
        <w:tc>
          <w:tcPr>
            <w:tcW w:w="1484" w:type="dxa"/>
            <w:tcBorders>
              <w:tl2br w:val="nil"/>
              <w:tr2bl w:val="nil"/>
            </w:tcBorders>
            <w:shd w:val="clear" w:color="auto" w:fill="auto"/>
            <w:vAlign w:val="center"/>
          </w:tcPr>
          <w:p w14:paraId="25E04DCC">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阳离子合计</w:t>
            </w:r>
          </w:p>
        </w:tc>
        <w:tc>
          <w:tcPr>
            <w:tcW w:w="1509" w:type="dxa"/>
            <w:tcBorders>
              <w:tl2br w:val="nil"/>
              <w:tr2bl w:val="nil"/>
            </w:tcBorders>
            <w:shd w:val="clear" w:color="auto" w:fill="auto"/>
            <w:vAlign w:val="center"/>
          </w:tcPr>
          <w:p w14:paraId="58F7338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阴离子合计</w:t>
            </w:r>
          </w:p>
        </w:tc>
        <w:tc>
          <w:tcPr>
            <w:tcW w:w="0" w:type="auto"/>
            <w:tcBorders>
              <w:tl2br w:val="nil"/>
              <w:tr2bl w:val="nil"/>
            </w:tcBorders>
            <w:shd w:val="clear" w:color="auto" w:fill="auto"/>
            <w:vAlign w:val="center"/>
          </w:tcPr>
          <w:p w14:paraId="4F425BD7">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相对误差</w:t>
            </w:r>
          </w:p>
        </w:tc>
      </w:tr>
      <w:tr w14:paraId="2F704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0" w:type="auto"/>
            <w:tcBorders>
              <w:tl2br w:val="nil"/>
              <w:tr2bl w:val="nil"/>
            </w:tcBorders>
            <w:shd w:val="clear" w:color="auto" w:fill="auto"/>
            <w:noWrap/>
            <w:vAlign w:val="bottom"/>
          </w:tcPr>
          <w:p w14:paraId="7D7EB1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0" w:type="auto"/>
            <w:tcBorders>
              <w:tl2br w:val="nil"/>
              <w:tr2bl w:val="nil"/>
            </w:tcBorders>
            <w:shd w:val="clear" w:color="auto" w:fill="auto"/>
            <w:noWrap/>
            <w:vAlign w:val="bottom"/>
          </w:tcPr>
          <w:p w14:paraId="0AE447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毫克当量mEq/L</w:t>
            </w:r>
          </w:p>
        </w:tc>
        <w:tc>
          <w:tcPr>
            <w:tcW w:w="1484" w:type="dxa"/>
            <w:tcBorders>
              <w:tl2br w:val="nil"/>
              <w:tr2bl w:val="nil"/>
            </w:tcBorders>
            <w:shd w:val="clear" w:color="auto" w:fill="auto"/>
            <w:noWrap/>
            <w:vAlign w:val="bottom"/>
          </w:tcPr>
          <w:p w14:paraId="700273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4.90 </w:t>
            </w:r>
          </w:p>
        </w:tc>
        <w:tc>
          <w:tcPr>
            <w:tcW w:w="1509" w:type="dxa"/>
            <w:tcBorders>
              <w:tl2br w:val="nil"/>
              <w:tr2bl w:val="nil"/>
            </w:tcBorders>
            <w:shd w:val="clear" w:color="auto" w:fill="auto"/>
            <w:noWrap/>
            <w:vAlign w:val="bottom"/>
          </w:tcPr>
          <w:p w14:paraId="3B37A4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4.75 </w:t>
            </w:r>
          </w:p>
        </w:tc>
        <w:tc>
          <w:tcPr>
            <w:tcW w:w="0" w:type="auto"/>
            <w:tcBorders>
              <w:tl2br w:val="nil"/>
              <w:tr2bl w:val="nil"/>
            </w:tcBorders>
            <w:shd w:val="clear" w:color="auto" w:fill="auto"/>
            <w:noWrap/>
            <w:vAlign w:val="bottom"/>
          </w:tcPr>
          <w:p w14:paraId="353C9E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1.609349642</w:t>
            </w:r>
          </w:p>
        </w:tc>
      </w:tr>
      <w:tr w14:paraId="565F8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1" w:hRule="atLeast"/>
        </w:trPr>
        <w:tc>
          <w:tcPr>
            <w:tcW w:w="0" w:type="auto"/>
            <w:tcBorders>
              <w:tl2br w:val="nil"/>
              <w:tr2bl w:val="nil"/>
            </w:tcBorders>
            <w:shd w:val="clear" w:color="auto" w:fill="auto"/>
            <w:noWrap/>
            <w:vAlign w:val="bottom"/>
          </w:tcPr>
          <w:p w14:paraId="0CBA80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0" w:type="auto"/>
            <w:tcBorders>
              <w:tl2br w:val="nil"/>
              <w:tr2bl w:val="nil"/>
            </w:tcBorders>
            <w:shd w:val="clear" w:color="auto" w:fill="auto"/>
            <w:noWrap/>
            <w:vAlign w:val="bottom"/>
          </w:tcPr>
          <w:p w14:paraId="2A1C6B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毫克当量mEq/L</w:t>
            </w:r>
          </w:p>
        </w:tc>
        <w:tc>
          <w:tcPr>
            <w:tcW w:w="1484" w:type="dxa"/>
            <w:tcBorders>
              <w:tl2br w:val="nil"/>
              <w:tr2bl w:val="nil"/>
            </w:tcBorders>
            <w:shd w:val="clear" w:color="auto" w:fill="auto"/>
            <w:noWrap/>
            <w:vAlign w:val="bottom"/>
          </w:tcPr>
          <w:p w14:paraId="056DDC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6.78 </w:t>
            </w:r>
          </w:p>
        </w:tc>
        <w:tc>
          <w:tcPr>
            <w:tcW w:w="1509" w:type="dxa"/>
            <w:tcBorders>
              <w:tl2br w:val="nil"/>
              <w:tr2bl w:val="nil"/>
            </w:tcBorders>
            <w:shd w:val="clear" w:color="auto" w:fill="auto"/>
            <w:noWrap/>
            <w:vAlign w:val="bottom"/>
          </w:tcPr>
          <w:p w14:paraId="42EBCC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6.51 </w:t>
            </w:r>
          </w:p>
        </w:tc>
        <w:tc>
          <w:tcPr>
            <w:tcW w:w="0" w:type="auto"/>
            <w:tcBorders>
              <w:tl2br w:val="nil"/>
              <w:tr2bl w:val="nil"/>
            </w:tcBorders>
            <w:shd w:val="clear" w:color="auto" w:fill="auto"/>
            <w:noWrap/>
            <w:vAlign w:val="bottom"/>
          </w:tcPr>
          <w:p w14:paraId="2B5850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2.026167743</w:t>
            </w:r>
          </w:p>
        </w:tc>
      </w:tr>
      <w:tr w14:paraId="374A5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0" w:type="auto"/>
            <w:tcBorders>
              <w:tl2br w:val="nil"/>
              <w:tr2bl w:val="nil"/>
            </w:tcBorders>
            <w:shd w:val="clear" w:color="auto" w:fill="auto"/>
            <w:noWrap/>
            <w:vAlign w:val="bottom"/>
          </w:tcPr>
          <w:p w14:paraId="0A95EE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0" w:type="auto"/>
            <w:tcBorders>
              <w:tl2br w:val="nil"/>
              <w:tr2bl w:val="nil"/>
            </w:tcBorders>
            <w:shd w:val="clear" w:color="auto" w:fill="auto"/>
            <w:noWrap/>
            <w:vAlign w:val="bottom"/>
          </w:tcPr>
          <w:p w14:paraId="5ABACF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毫克当量mEq/L</w:t>
            </w:r>
          </w:p>
        </w:tc>
        <w:tc>
          <w:tcPr>
            <w:tcW w:w="1484" w:type="dxa"/>
            <w:tcBorders>
              <w:tl2br w:val="nil"/>
              <w:tr2bl w:val="nil"/>
            </w:tcBorders>
            <w:shd w:val="clear" w:color="auto" w:fill="auto"/>
            <w:noWrap/>
            <w:vAlign w:val="bottom"/>
          </w:tcPr>
          <w:p w14:paraId="4F11BC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6.63 </w:t>
            </w:r>
          </w:p>
        </w:tc>
        <w:tc>
          <w:tcPr>
            <w:tcW w:w="1509" w:type="dxa"/>
            <w:tcBorders>
              <w:tl2br w:val="nil"/>
              <w:tr2bl w:val="nil"/>
            </w:tcBorders>
            <w:shd w:val="clear" w:color="auto" w:fill="auto"/>
            <w:noWrap/>
            <w:vAlign w:val="bottom"/>
          </w:tcPr>
          <w:p w14:paraId="52E751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6.77 </w:t>
            </w:r>
          </w:p>
        </w:tc>
        <w:tc>
          <w:tcPr>
            <w:tcW w:w="0" w:type="auto"/>
            <w:tcBorders>
              <w:tl2br w:val="nil"/>
              <w:tr2bl w:val="nil"/>
            </w:tcBorders>
            <w:shd w:val="clear" w:color="auto" w:fill="auto"/>
            <w:noWrap/>
            <w:vAlign w:val="bottom"/>
          </w:tcPr>
          <w:p w14:paraId="3B8984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-1.092801017</w:t>
            </w:r>
          </w:p>
        </w:tc>
      </w:tr>
    </w:tbl>
    <w:p w14:paraId="35F257C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由上表可知，相对误差小于5%，地下水监测结果可靠。</w:t>
      </w:r>
    </w:p>
    <w:p w14:paraId="52A19CC8">
      <w:pPr>
        <w:pStyle w:val="41"/>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4.2.4声环境质量现状评价</w:t>
      </w:r>
      <w:bookmarkEnd w:id="236"/>
      <w:bookmarkEnd w:id="237"/>
    </w:p>
    <w:p w14:paraId="5919F2F3">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4.2.4.1声环境现状监测</w:t>
      </w:r>
    </w:p>
    <w:p w14:paraId="02F71E50">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（1）数据来源</w:t>
      </w:r>
    </w:p>
    <w:p w14:paraId="2CDD5A0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本项目声环境质量现状监测数据</w:t>
      </w:r>
      <w:r>
        <w:rPr>
          <w:rFonts w:hint="default" w:ascii="Times New Roman" w:hAnsi="Times New Roman" w:cs="Times New Roman"/>
          <w:color w:val="auto"/>
          <w:highlight w:val="none"/>
          <w:lang w:val="en-US" w:eastAsia="zh-CN"/>
        </w:rPr>
        <w:t>委托</w:t>
      </w:r>
      <w:r>
        <w:rPr>
          <w:rFonts w:hint="default" w:ascii="Times New Roman" w:hAnsi="Times New Roman" w:cs="Times New Roman"/>
          <w:color w:val="auto"/>
          <w:highlight w:val="none"/>
          <w:lang w:eastAsia="zh-CN"/>
        </w:rPr>
        <w:t>黑龙江汉风环境检测技术有限公司</w:t>
      </w:r>
      <w:r>
        <w:rPr>
          <w:rFonts w:hint="default" w:ascii="Times New Roman" w:hAnsi="Times New Roman" w:cs="Times New Roman"/>
          <w:color w:val="auto"/>
          <w:highlight w:val="none"/>
        </w:rPr>
        <w:t>，详细情况见附件。</w:t>
      </w:r>
    </w:p>
    <w:p w14:paraId="461BB309">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（2）监测点位</w:t>
      </w:r>
    </w:p>
    <w:p w14:paraId="4CB541DD">
      <w:pPr>
        <w:pStyle w:val="27"/>
        <w:bidi w:val="0"/>
        <w:rPr>
          <w:rFonts w:hint="default" w:ascii="Times New Roman" w:hAnsi="Times New Roman" w:cs="Times New Roman"/>
          <w:color w:val="auto"/>
          <w:highlight w:val="none"/>
        </w:rPr>
      </w:pPr>
      <w:r>
        <w:rPr>
          <w:rFonts w:hint="default" w:ascii="Times New Roman" w:hAnsi="Times New Roman" w:cs="Times New Roman"/>
          <w:color w:val="auto"/>
          <w:spacing w:val="16"/>
          <w:sz w:val="24"/>
          <w:szCs w:val="24"/>
          <w:highlight w:val="none"/>
        </w:rPr>
        <w:t>本项目</w:t>
      </w:r>
      <w:r>
        <w:rPr>
          <w:rFonts w:hint="default" w:ascii="Times New Roman" w:hAnsi="Times New Roman" w:cs="Times New Roman"/>
          <w:color w:val="auto"/>
          <w:spacing w:val="16"/>
          <w:sz w:val="24"/>
          <w:szCs w:val="24"/>
          <w:highlight w:val="none"/>
          <w:lang w:val="en-US" w:eastAsia="zh-CN"/>
        </w:rPr>
        <w:t>在厂界四周和周边敏感点</w:t>
      </w:r>
      <w:r>
        <w:rPr>
          <w:rFonts w:hint="default" w:ascii="Times New Roman" w:hAnsi="Times New Roman" w:cs="Times New Roman"/>
          <w:color w:val="auto"/>
          <w:spacing w:val="16"/>
          <w:sz w:val="24"/>
          <w:szCs w:val="24"/>
          <w:highlight w:val="none"/>
        </w:rPr>
        <w:t>共布设</w:t>
      </w:r>
      <w:r>
        <w:rPr>
          <w:rFonts w:hint="default" w:ascii="Times New Roman" w:hAnsi="Times New Roman" w:cs="Times New Roman"/>
          <w:color w:val="auto"/>
          <w:spacing w:val="16"/>
          <w:sz w:val="24"/>
          <w:szCs w:val="24"/>
          <w:highlight w:val="none"/>
          <w:lang w:val="en-US" w:eastAsia="zh-CN"/>
        </w:rPr>
        <w:t>8</w:t>
      </w:r>
      <w:r>
        <w:rPr>
          <w:rFonts w:hint="default" w:ascii="Times New Roman" w:hAnsi="Times New Roman" w:cs="Times New Roman"/>
          <w:color w:val="auto"/>
          <w:spacing w:val="16"/>
          <w:sz w:val="24"/>
          <w:szCs w:val="24"/>
          <w:highlight w:val="none"/>
        </w:rPr>
        <w:t>个声环境质量现状监测点</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声环境现状监测点位布置具体见下表。</w:t>
      </w:r>
    </w:p>
    <w:p w14:paraId="1994E202">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声环境现状监测点位表</w:t>
      </w:r>
    </w:p>
    <w:tbl>
      <w:tblPr>
        <w:tblStyle w:val="24"/>
        <w:tblW w:w="83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64"/>
        <w:gridCol w:w="5455"/>
      </w:tblGrid>
      <w:tr w14:paraId="67786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864" w:type="dxa"/>
            <w:tcBorders>
              <w:bottom w:val="single" w:color="auto" w:sz="12" w:space="0"/>
            </w:tcBorders>
            <w:noWrap w:val="0"/>
            <w:vAlign w:val="center"/>
          </w:tcPr>
          <w:p w14:paraId="4720D7B6">
            <w:pPr>
              <w:pStyle w:val="54"/>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5455" w:type="dxa"/>
            <w:tcBorders>
              <w:bottom w:val="single" w:color="auto" w:sz="12" w:space="0"/>
            </w:tcBorders>
            <w:noWrap w:val="0"/>
            <w:vAlign w:val="center"/>
          </w:tcPr>
          <w:p w14:paraId="096502CE">
            <w:pPr>
              <w:pStyle w:val="54"/>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监测位置</w:t>
            </w:r>
          </w:p>
        </w:tc>
      </w:tr>
      <w:tr w14:paraId="11F9A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2864" w:type="dxa"/>
            <w:tcBorders>
              <w:top w:val="single" w:color="auto" w:sz="12" w:space="0"/>
              <w:tl2br w:val="nil"/>
              <w:tr2bl w:val="nil"/>
            </w:tcBorders>
            <w:noWrap w:val="0"/>
            <w:vAlign w:val="center"/>
          </w:tcPr>
          <w:p w14:paraId="4FEC1106">
            <w:pPr>
              <w:pStyle w:val="54"/>
              <w:bidi w:val="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N1</w:t>
            </w:r>
          </w:p>
        </w:tc>
        <w:tc>
          <w:tcPr>
            <w:tcW w:w="5455" w:type="dxa"/>
            <w:tcBorders>
              <w:top w:val="single" w:color="auto" w:sz="12" w:space="0"/>
              <w:tl2br w:val="nil"/>
              <w:tr2bl w:val="nil"/>
            </w:tcBorders>
            <w:noWrap w:val="0"/>
            <w:vAlign w:val="center"/>
          </w:tcPr>
          <w:p w14:paraId="2378D7F0">
            <w:pPr>
              <w:pStyle w:val="54"/>
              <w:bidi w:val="0"/>
              <w:ind w:firstLine="0" w:firstLineChars="0"/>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厂界北侧1</w:t>
            </w:r>
          </w:p>
        </w:tc>
      </w:tr>
      <w:tr w14:paraId="7470D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59F76051">
            <w:pPr>
              <w:pStyle w:val="54"/>
              <w:bidi w:val="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N2</w:t>
            </w:r>
          </w:p>
        </w:tc>
        <w:tc>
          <w:tcPr>
            <w:tcW w:w="5455" w:type="dxa"/>
            <w:tcBorders>
              <w:tl2br w:val="nil"/>
              <w:tr2bl w:val="nil"/>
            </w:tcBorders>
            <w:noWrap w:val="0"/>
            <w:vAlign w:val="center"/>
          </w:tcPr>
          <w:p w14:paraId="1BA99092">
            <w:pPr>
              <w:pStyle w:val="54"/>
              <w:bidi w:val="0"/>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厂界北侧2</w:t>
            </w:r>
          </w:p>
        </w:tc>
      </w:tr>
      <w:tr w14:paraId="6F3F2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2AA8B9F6">
            <w:pPr>
              <w:pStyle w:val="54"/>
              <w:bidi w:val="0"/>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rPr>
              <w:t>N</w:t>
            </w:r>
            <w:r>
              <w:rPr>
                <w:rFonts w:hint="default" w:ascii="Times New Roman" w:hAnsi="Times New Roman" w:cs="Times New Roman"/>
                <w:color w:val="auto"/>
                <w:sz w:val="22"/>
                <w:szCs w:val="22"/>
                <w:highlight w:val="none"/>
                <w:lang w:val="en-US" w:eastAsia="zh-CN"/>
              </w:rPr>
              <w:t>3</w:t>
            </w:r>
          </w:p>
        </w:tc>
        <w:tc>
          <w:tcPr>
            <w:tcW w:w="5455" w:type="dxa"/>
            <w:tcBorders>
              <w:tl2br w:val="nil"/>
              <w:tr2bl w:val="nil"/>
            </w:tcBorders>
            <w:noWrap w:val="0"/>
            <w:vAlign w:val="center"/>
          </w:tcPr>
          <w:p w14:paraId="5C20CDF4">
            <w:pPr>
              <w:pStyle w:val="54"/>
              <w:bidi w:val="0"/>
              <w:ind w:firstLine="0" w:firstLineChars="0"/>
              <w:rPr>
                <w:rFonts w:hint="default" w:ascii="Times New Roman" w:hAnsi="Times New Roman" w:eastAsia="宋体" w:cs="Times New Roman"/>
                <w:color w:val="auto"/>
                <w:kern w:val="0"/>
                <w:sz w:val="22"/>
                <w:szCs w:val="22"/>
                <w:highlight w:val="none"/>
                <w:lang w:val="en-US" w:eastAsia="zh-CN" w:bidi="ar-SA"/>
              </w:rPr>
            </w:pPr>
            <w:r>
              <w:rPr>
                <w:rFonts w:hint="default" w:ascii="Times New Roman" w:hAnsi="Times New Roman" w:eastAsia="宋体" w:cs="Times New Roman"/>
                <w:color w:val="auto"/>
                <w:kern w:val="0"/>
                <w:sz w:val="22"/>
                <w:szCs w:val="22"/>
                <w:highlight w:val="none"/>
                <w:lang w:val="en-US" w:eastAsia="zh-CN" w:bidi="ar-SA"/>
              </w:rPr>
              <w:t>厂界东侧1</w:t>
            </w:r>
          </w:p>
        </w:tc>
      </w:tr>
      <w:tr w14:paraId="01D82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0B8258B2">
            <w:pPr>
              <w:pStyle w:val="54"/>
              <w:bidi w:val="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N</w:t>
            </w:r>
            <w:r>
              <w:rPr>
                <w:rFonts w:hint="default" w:ascii="Times New Roman" w:hAnsi="Times New Roman" w:cs="Times New Roman"/>
                <w:color w:val="auto"/>
                <w:sz w:val="22"/>
                <w:szCs w:val="22"/>
                <w:highlight w:val="none"/>
                <w:lang w:val="en-US" w:eastAsia="zh-CN"/>
              </w:rPr>
              <w:t>4</w:t>
            </w:r>
          </w:p>
        </w:tc>
        <w:tc>
          <w:tcPr>
            <w:tcW w:w="5455" w:type="dxa"/>
            <w:tcBorders>
              <w:tl2br w:val="nil"/>
              <w:tr2bl w:val="nil"/>
            </w:tcBorders>
            <w:noWrap w:val="0"/>
            <w:vAlign w:val="center"/>
          </w:tcPr>
          <w:p w14:paraId="4AF57580">
            <w:pPr>
              <w:pStyle w:val="54"/>
              <w:bidi w:val="0"/>
              <w:ind w:firstLine="0" w:firstLineChars="0"/>
              <w:rPr>
                <w:rFonts w:hint="default" w:ascii="Times New Roman" w:hAnsi="Times New Roman" w:eastAsia="宋体" w:cs="Times New Roman"/>
                <w:color w:val="auto"/>
                <w:kern w:val="0"/>
                <w:sz w:val="22"/>
                <w:szCs w:val="22"/>
                <w:highlight w:val="none"/>
                <w:lang w:val="en-US" w:eastAsia="zh-CN" w:bidi="ar-SA"/>
              </w:rPr>
            </w:pPr>
            <w:r>
              <w:rPr>
                <w:rFonts w:hint="default" w:ascii="Times New Roman" w:hAnsi="Times New Roman" w:eastAsia="宋体" w:cs="Times New Roman"/>
                <w:color w:val="auto"/>
                <w:kern w:val="0"/>
                <w:sz w:val="22"/>
                <w:szCs w:val="22"/>
                <w:highlight w:val="none"/>
                <w:lang w:val="en-US" w:eastAsia="zh-CN" w:bidi="ar-SA"/>
              </w:rPr>
              <w:t>厂界东侧2</w:t>
            </w:r>
          </w:p>
        </w:tc>
      </w:tr>
      <w:tr w14:paraId="25CC2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5BE774C3">
            <w:pPr>
              <w:pStyle w:val="54"/>
              <w:bidi w:val="0"/>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rPr>
              <w:t>N</w:t>
            </w:r>
            <w:r>
              <w:rPr>
                <w:rFonts w:hint="default" w:ascii="Times New Roman" w:hAnsi="Times New Roman" w:cs="Times New Roman"/>
                <w:color w:val="auto"/>
                <w:sz w:val="22"/>
                <w:szCs w:val="22"/>
                <w:highlight w:val="none"/>
                <w:lang w:val="en-US" w:eastAsia="zh-CN"/>
              </w:rPr>
              <w:t>5</w:t>
            </w:r>
          </w:p>
        </w:tc>
        <w:tc>
          <w:tcPr>
            <w:tcW w:w="5455" w:type="dxa"/>
            <w:tcBorders>
              <w:tl2br w:val="nil"/>
              <w:tr2bl w:val="nil"/>
            </w:tcBorders>
            <w:noWrap w:val="0"/>
            <w:vAlign w:val="center"/>
          </w:tcPr>
          <w:p w14:paraId="18AEFEBF">
            <w:pPr>
              <w:pStyle w:val="54"/>
              <w:bidi w:val="0"/>
              <w:ind w:firstLine="0" w:firstLineChars="0"/>
              <w:rPr>
                <w:rFonts w:hint="default" w:ascii="Times New Roman" w:hAnsi="Times New Roman" w:eastAsia="宋体" w:cs="Times New Roman"/>
                <w:color w:val="auto"/>
                <w:kern w:val="0"/>
                <w:sz w:val="22"/>
                <w:szCs w:val="22"/>
                <w:highlight w:val="none"/>
                <w:lang w:val="en-US" w:eastAsia="zh-CN" w:bidi="ar-SA"/>
              </w:rPr>
            </w:pPr>
            <w:r>
              <w:rPr>
                <w:rFonts w:hint="default" w:ascii="Times New Roman" w:hAnsi="Times New Roman" w:eastAsia="宋体" w:cs="Times New Roman"/>
                <w:color w:val="auto"/>
                <w:kern w:val="0"/>
                <w:sz w:val="22"/>
                <w:szCs w:val="22"/>
                <w:highlight w:val="none"/>
                <w:lang w:val="en-US" w:eastAsia="zh-CN" w:bidi="ar-SA"/>
              </w:rPr>
              <w:t>厂界南侧</w:t>
            </w:r>
          </w:p>
        </w:tc>
      </w:tr>
      <w:tr w14:paraId="779FC0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6C883498">
            <w:pPr>
              <w:pStyle w:val="54"/>
              <w:bidi w:val="0"/>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rPr>
              <w:t>N</w:t>
            </w:r>
            <w:r>
              <w:rPr>
                <w:rFonts w:hint="default" w:ascii="Times New Roman" w:hAnsi="Times New Roman" w:cs="Times New Roman"/>
                <w:color w:val="auto"/>
                <w:sz w:val="22"/>
                <w:szCs w:val="22"/>
                <w:highlight w:val="none"/>
                <w:lang w:val="en-US" w:eastAsia="zh-CN"/>
              </w:rPr>
              <w:t>6</w:t>
            </w:r>
          </w:p>
        </w:tc>
        <w:tc>
          <w:tcPr>
            <w:tcW w:w="5455" w:type="dxa"/>
            <w:tcBorders>
              <w:tl2br w:val="nil"/>
              <w:tr2bl w:val="nil"/>
            </w:tcBorders>
            <w:noWrap w:val="0"/>
            <w:vAlign w:val="center"/>
          </w:tcPr>
          <w:p w14:paraId="19AEFEF7">
            <w:pPr>
              <w:pStyle w:val="54"/>
              <w:bidi w:val="0"/>
              <w:ind w:firstLine="0" w:firstLineChars="0"/>
              <w:rPr>
                <w:rFonts w:hint="default" w:ascii="Times New Roman" w:hAnsi="Times New Roman" w:eastAsia="宋体" w:cs="Times New Roman"/>
                <w:color w:val="auto"/>
                <w:kern w:val="0"/>
                <w:sz w:val="22"/>
                <w:szCs w:val="22"/>
                <w:highlight w:val="none"/>
                <w:lang w:val="en-US" w:eastAsia="zh-CN" w:bidi="ar-SA"/>
              </w:rPr>
            </w:pPr>
            <w:r>
              <w:rPr>
                <w:rFonts w:hint="default" w:ascii="Times New Roman" w:hAnsi="Times New Roman" w:eastAsia="宋体" w:cs="Times New Roman"/>
                <w:color w:val="auto"/>
                <w:kern w:val="0"/>
                <w:sz w:val="22"/>
                <w:szCs w:val="22"/>
                <w:highlight w:val="none"/>
                <w:lang w:val="en-US" w:eastAsia="zh-CN" w:bidi="ar-SA"/>
              </w:rPr>
              <w:t>厂界西侧1</w:t>
            </w:r>
          </w:p>
        </w:tc>
      </w:tr>
      <w:tr w14:paraId="1A568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864" w:type="dxa"/>
            <w:tcBorders>
              <w:tl2br w:val="nil"/>
              <w:tr2bl w:val="nil"/>
            </w:tcBorders>
            <w:noWrap w:val="0"/>
            <w:vAlign w:val="center"/>
          </w:tcPr>
          <w:p w14:paraId="77129186">
            <w:pPr>
              <w:pStyle w:val="54"/>
              <w:bidi w:val="0"/>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rPr>
              <w:t>N</w:t>
            </w:r>
            <w:r>
              <w:rPr>
                <w:rFonts w:hint="default" w:ascii="Times New Roman" w:hAnsi="Times New Roman" w:cs="Times New Roman"/>
                <w:color w:val="auto"/>
                <w:sz w:val="22"/>
                <w:szCs w:val="22"/>
                <w:highlight w:val="none"/>
                <w:lang w:val="en-US" w:eastAsia="zh-CN"/>
              </w:rPr>
              <w:t>7</w:t>
            </w:r>
          </w:p>
        </w:tc>
        <w:tc>
          <w:tcPr>
            <w:tcW w:w="5455" w:type="dxa"/>
            <w:tcBorders>
              <w:tl2br w:val="nil"/>
              <w:tr2bl w:val="nil"/>
            </w:tcBorders>
            <w:noWrap w:val="0"/>
            <w:vAlign w:val="center"/>
          </w:tcPr>
          <w:p w14:paraId="400891C9">
            <w:pPr>
              <w:pStyle w:val="54"/>
              <w:bidi w:val="0"/>
              <w:ind w:firstLine="0" w:firstLineChars="0"/>
              <w:rPr>
                <w:rFonts w:hint="default" w:ascii="Times New Roman" w:hAnsi="Times New Roman" w:eastAsia="宋体" w:cs="Times New Roman"/>
                <w:color w:val="auto"/>
                <w:kern w:val="0"/>
                <w:sz w:val="22"/>
                <w:szCs w:val="22"/>
                <w:highlight w:val="none"/>
                <w:lang w:val="en-US" w:eastAsia="zh-CN" w:bidi="ar-SA"/>
              </w:rPr>
            </w:pPr>
            <w:r>
              <w:rPr>
                <w:rFonts w:hint="default" w:ascii="Times New Roman" w:hAnsi="Times New Roman" w:eastAsia="宋体" w:cs="Times New Roman"/>
                <w:color w:val="auto"/>
                <w:kern w:val="0"/>
                <w:sz w:val="22"/>
                <w:szCs w:val="22"/>
                <w:highlight w:val="none"/>
                <w:lang w:val="en-US" w:eastAsia="zh-CN" w:bidi="ar-SA"/>
              </w:rPr>
              <w:t>厂界西侧2</w:t>
            </w:r>
          </w:p>
        </w:tc>
      </w:tr>
      <w:tr w14:paraId="27DC7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864" w:type="dxa"/>
            <w:tcBorders>
              <w:tl2br w:val="nil"/>
              <w:tr2bl w:val="nil"/>
            </w:tcBorders>
            <w:noWrap w:val="0"/>
            <w:vAlign w:val="center"/>
          </w:tcPr>
          <w:p w14:paraId="78ACF00F">
            <w:pPr>
              <w:pStyle w:val="54"/>
              <w:bidi w:val="0"/>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N8</w:t>
            </w:r>
          </w:p>
        </w:tc>
        <w:tc>
          <w:tcPr>
            <w:tcW w:w="5455" w:type="dxa"/>
            <w:tcBorders>
              <w:tl2br w:val="nil"/>
              <w:tr2bl w:val="nil"/>
            </w:tcBorders>
            <w:noWrap w:val="0"/>
            <w:vAlign w:val="center"/>
          </w:tcPr>
          <w:p w14:paraId="27895381">
            <w:pPr>
              <w:pStyle w:val="54"/>
              <w:bidi w:val="0"/>
              <w:ind w:firstLine="0" w:firstLineChars="0"/>
              <w:rPr>
                <w:rFonts w:hint="default" w:ascii="Times New Roman" w:hAnsi="Times New Roman" w:cs="Times New Roman"/>
                <w:color w:val="auto"/>
                <w:sz w:val="22"/>
                <w:szCs w:val="22"/>
                <w:highlight w:val="none"/>
                <w:lang w:val="en-US"/>
              </w:rPr>
            </w:pPr>
            <w:r>
              <w:rPr>
                <w:rFonts w:hint="default" w:ascii="Times New Roman" w:hAnsi="Times New Roman" w:eastAsia="宋体" w:cs="Times New Roman"/>
                <w:color w:val="auto"/>
                <w:sz w:val="22"/>
                <w:szCs w:val="22"/>
                <w:highlight w:val="none"/>
                <w:lang w:val="en-US" w:eastAsia="zh-CN"/>
              </w:rPr>
              <w:t>南甸子村六队</w:t>
            </w:r>
          </w:p>
        </w:tc>
      </w:tr>
    </w:tbl>
    <w:p w14:paraId="54D06A5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（3）监测时间</w:t>
      </w:r>
    </w:p>
    <w:p w14:paraId="7B667917">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月</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lang w:val="zh-CN"/>
        </w:rPr>
        <w:t>日～</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lang w:val="zh-CN"/>
        </w:rPr>
        <w:t>日，连续两天。</w:t>
      </w:r>
    </w:p>
    <w:p w14:paraId="58CD39C5">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（4）监测结果</w:t>
      </w:r>
    </w:p>
    <w:p w14:paraId="10AAA72E">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监测结果见下表。</w:t>
      </w:r>
    </w:p>
    <w:p w14:paraId="49B5BC25">
      <w:pPr>
        <w:pStyle w:val="27"/>
        <w:bidi w:val="0"/>
        <w:rPr>
          <w:rFonts w:hint="default" w:ascii="Times New Roman" w:hAnsi="Times New Roman" w:cs="Times New Roman"/>
          <w:color w:val="auto"/>
          <w:highlight w:val="none"/>
          <w:lang w:val="zh-CN"/>
        </w:rPr>
      </w:pPr>
    </w:p>
    <w:p w14:paraId="197F066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 xml:space="preserve">4 </w:t>
      </w:r>
      <w:r>
        <w:rPr>
          <w:rFonts w:hint="default" w:ascii="Times New Roman" w:hAnsi="Times New Roman" w:cs="Times New Roman"/>
          <w:color w:val="auto"/>
          <w:highlight w:val="none"/>
        </w:rPr>
        <w:t>声环境现状监测结果</w:t>
      </w:r>
    </w:p>
    <w:tbl>
      <w:tblPr>
        <w:tblStyle w:val="24"/>
        <w:tblW w:w="83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2509"/>
        <w:gridCol w:w="1257"/>
        <w:gridCol w:w="1257"/>
        <w:gridCol w:w="1257"/>
        <w:gridCol w:w="1"/>
        <w:gridCol w:w="1258"/>
      </w:tblGrid>
      <w:tr w14:paraId="37EB9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tblHeader/>
          <w:jc w:val="center"/>
        </w:trPr>
        <w:tc>
          <w:tcPr>
            <w:tcW w:w="819" w:type="dxa"/>
            <w:vMerge w:val="restart"/>
            <w:tcBorders>
              <w:tl2br w:val="nil"/>
              <w:tr2bl w:val="nil"/>
            </w:tcBorders>
            <w:noWrap w:val="0"/>
            <w:vAlign w:val="center"/>
          </w:tcPr>
          <w:p w14:paraId="290C631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序号</w:t>
            </w:r>
          </w:p>
        </w:tc>
        <w:tc>
          <w:tcPr>
            <w:tcW w:w="2509" w:type="dxa"/>
            <w:vMerge w:val="restart"/>
            <w:tcBorders>
              <w:tl2br w:val="nil"/>
              <w:tr2bl w:val="nil"/>
            </w:tcBorders>
            <w:noWrap w:val="0"/>
            <w:vAlign w:val="center"/>
          </w:tcPr>
          <w:p w14:paraId="4F1E25C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采样点位</w:t>
            </w:r>
          </w:p>
        </w:tc>
        <w:tc>
          <w:tcPr>
            <w:tcW w:w="2514" w:type="dxa"/>
            <w:gridSpan w:val="2"/>
            <w:tcBorders>
              <w:tl2br w:val="nil"/>
              <w:tr2bl w:val="nil"/>
            </w:tcBorders>
            <w:noWrap w:val="0"/>
            <w:vAlign w:val="center"/>
          </w:tcPr>
          <w:p w14:paraId="4F8A4D46">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检测结果</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2025.01.14</w:t>
            </w:r>
          </w:p>
        </w:tc>
        <w:tc>
          <w:tcPr>
            <w:tcW w:w="2516" w:type="dxa"/>
            <w:gridSpan w:val="3"/>
            <w:tcBorders>
              <w:tl2br w:val="nil"/>
              <w:tr2bl w:val="nil"/>
            </w:tcBorders>
            <w:noWrap w:val="0"/>
            <w:vAlign w:val="center"/>
          </w:tcPr>
          <w:p w14:paraId="409BE31A">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检测结果</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2025.01.15</w:t>
            </w:r>
          </w:p>
        </w:tc>
      </w:tr>
      <w:tr w14:paraId="655A5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tblHeader/>
          <w:jc w:val="center"/>
        </w:trPr>
        <w:tc>
          <w:tcPr>
            <w:tcW w:w="819" w:type="dxa"/>
            <w:vMerge w:val="continue"/>
            <w:tcBorders>
              <w:tl2br w:val="nil"/>
              <w:tr2bl w:val="nil"/>
            </w:tcBorders>
            <w:noWrap w:val="0"/>
            <w:vAlign w:val="center"/>
          </w:tcPr>
          <w:p w14:paraId="161880EB">
            <w:pPr>
              <w:pStyle w:val="46"/>
              <w:bidi w:val="0"/>
              <w:rPr>
                <w:rFonts w:hint="default" w:ascii="Times New Roman" w:hAnsi="Times New Roman" w:cs="Times New Roman"/>
                <w:color w:val="auto"/>
                <w:highlight w:val="none"/>
              </w:rPr>
            </w:pPr>
          </w:p>
        </w:tc>
        <w:tc>
          <w:tcPr>
            <w:tcW w:w="2509" w:type="dxa"/>
            <w:vMerge w:val="continue"/>
            <w:tcBorders>
              <w:tl2br w:val="nil"/>
              <w:tr2bl w:val="nil"/>
            </w:tcBorders>
            <w:noWrap w:val="0"/>
            <w:vAlign w:val="center"/>
          </w:tcPr>
          <w:p w14:paraId="54AE4002">
            <w:pPr>
              <w:pStyle w:val="46"/>
              <w:bidi w:val="0"/>
              <w:rPr>
                <w:rFonts w:hint="default" w:ascii="Times New Roman" w:hAnsi="Times New Roman" w:cs="Times New Roman"/>
                <w:color w:val="auto"/>
                <w:highlight w:val="none"/>
                <w:lang w:eastAsia="zh-CN"/>
              </w:rPr>
            </w:pPr>
          </w:p>
        </w:tc>
        <w:tc>
          <w:tcPr>
            <w:tcW w:w="1257" w:type="dxa"/>
            <w:tcBorders>
              <w:tl2br w:val="nil"/>
              <w:tr2bl w:val="nil"/>
            </w:tcBorders>
            <w:noWrap w:val="0"/>
            <w:vAlign w:val="center"/>
          </w:tcPr>
          <w:p w14:paraId="55F4D26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1257" w:type="dxa"/>
            <w:tcBorders>
              <w:tl2br w:val="nil"/>
              <w:tr2bl w:val="nil"/>
            </w:tcBorders>
            <w:noWrap w:val="0"/>
            <w:vAlign w:val="center"/>
          </w:tcPr>
          <w:p w14:paraId="57072DA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c>
          <w:tcPr>
            <w:tcW w:w="1258" w:type="dxa"/>
            <w:gridSpan w:val="2"/>
            <w:tcBorders>
              <w:tl2br w:val="nil"/>
              <w:tr2bl w:val="nil"/>
            </w:tcBorders>
            <w:noWrap w:val="0"/>
            <w:vAlign w:val="center"/>
          </w:tcPr>
          <w:p w14:paraId="1D7BA8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昼间</w:t>
            </w:r>
          </w:p>
        </w:tc>
        <w:tc>
          <w:tcPr>
            <w:tcW w:w="1258" w:type="dxa"/>
            <w:tcBorders>
              <w:tl2br w:val="nil"/>
              <w:tr2bl w:val="nil"/>
            </w:tcBorders>
            <w:noWrap w:val="0"/>
            <w:vAlign w:val="center"/>
          </w:tcPr>
          <w:p w14:paraId="02617B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61E69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1F3C1FB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w:t>
            </w:r>
          </w:p>
        </w:tc>
        <w:tc>
          <w:tcPr>
            <w:tcW w:w="2509" w:type="dxa"/>
            <w:tcBorders>
              <w:tl2br w:val="nil"/>
              <w:tr2bl w:val="nil"/>
            </w:tcBorders>
            <w:noWrap w:val="0"/>
            <w:vAlign w:val="center"/>
          </w:tcPr>
          <w:p w14:paraId="04A1817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厂界北侧1</w:t>
            </w:r>
          </w:p>
        </w:tc>
        <w:tc>
          <w:tcPr>
            <w:tcW w:w="1257" w:type="dxa"/>
            <w:tcBorders>
              <w:tl2br w:val="nil"/>
              <w:tr2bl w:val="nil"/>
            </w:tcBorders>
            <w:noWrap w:val="0"/>
            <w:vAlign w:val="center"/>
          </w:tcPr>
          <w:p w14:paraId="15BD4A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w:t>
            </w:r>
          </w:p>
        </w:tc>
        <w:tc>
          <w:tcPr>
            <w:tcW w:w="1257" w:type="dxa"/>
            <w:tcBorders>
              <w:tl2br w:val="nil"/>
              <w:tr2bl w:val="nil"/>
            </w:tcBorders>
            <w:noWrap w:val="0"/>
            <w:vAlign w:val="center"/>
          </w:tcPr>
          <w:p w14:paraId="50F8B3B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1257" w:type="dxa"/>
            <w:tcBorders>
              <w:tl2br w:val="nil"/>
              <w:tr2bl w:val="nil"/>
            </w:tcBorders>
            <w:noWrap w:val="0"/>
            <w:vAlign w:val="center"/>
          </w:tcPr>
          <w:p w14:paraId="0B2644D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259" w:type="dxa"/>
            <w:gridSpan w:val="2"/>
            <w:tcBorders>
              <w:tl2br w:val="nil"/>
              <w:tr2bl w:val="nil"/>
            </w:tcBorders>
            <w:noWrap w:val="0"/>
            <w:vAlign w:val="center"/>
          </w:tcPr>
          <w:p w14:paraId="1C7924D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w:t>
            </w:r>
          </w:p>
        </w:tc>
      </w:tr>
      <w:tr w14:paraId="06054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50A2180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2509" w:type="dxa"/>
            <w:tcBorders>
              <w:tl2br w:val="nil"/>
              <w:tr2bl w:val="nil"/>
            </w:tcBorders>
            <w:noWrap w:val="0"/>
            <w:vAlign w:val="center"/>
          </w:tcPr>
          <w:p w14:paraId="7717865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厂界北侧2</w:t>
            </w:r>
          </w:p>
        </w:tc>
        <w:tc>
          <w:tcPr>
            <w:tcW w:w="1257" w:type="dxa"/>
            <w:tcBorders>
              <w:tl2br w:val="nil"/>
              <w:tr2bl w:val="nil"/>
            </w:tcBorders>
            <w:noWrap w:val="0"/>
            <w:vAlign w:val="center"/>
          </w:tcPr>
          <w:p w14:paraId="0883BDF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7" w:type="dxa"/>
            <w:tcBorders>
              <w:tl2br w:val="nil"/>
              <w:tr2bl w:val="nil"/>
            </w:tcBorders>
            <w:noWrap w:val="0"/>
            <w:vAlign w:val="center"/>
          </w:tcPr>
          <w:p w14:paraId="4D88DAD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w:t>
            </w:r>
          </w:p>
        </w:tc>
        <w:tc>
          <w:tcPr>
            <w:tcW w:w="1257" w:type="dxa"/>
            <w:tcBorders>
              <w:tl2br w:val="nil"/>
              <w:tr2bl w:val="nil"/>
            </w:tcBorders>
            <w:noWrap w:val="0"/>
            <w:vAlign w:val="center"/>
          </w:tcPr>
          <w:p w14:paraId="7943E96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9" w:type="dxa"/>
            <w:gridSpan w:val="2"/>
            <w:tcBorders>
              <w:tl2br w:val="nil"/>
              <w:tr2bl w:val="nil"/>
            </w:tcBorders>
            <w:noWrap w:val="0"/>
            <w:vAlign w:val="center"/>
          </w:tcPr>
          <w:p w14:paraId="015ADBA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r>
      <w:tr w14:paraId="01404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39657A9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509" w:type="dxa"/>
            <w:tcBorders>
              <w:tl2br w:val="nil"/>
              <w:tr2bl w:val="nil"/>
            </w:tcBorders>
            <w:noWrap w:val="0"/>
            <w:vAlign w:val="center"/>
          </w:tcPr>
          <w:p w14:paraId="477AF4B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厂界东侧1</w:t>
            </w:r>
          </w:p>
        </w:tc>
        <w:tc>
          <w:tcPr>
            <w:tcW w:w="1257" w:type="dxa"/>
            <w:tcBorders>
              <w:tl2br w:val="nil"/>
              <w:tr2bl w:val="nil"/>
            </w:tcBorders>
            <w:noWrap w:val="0"/>
            <w:vAlign w:val="center"/>
          </w:tcPr>
          <w:p w14:paraId="2E30EC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w:t>
            </w:r>
          </w:p>
        </w:tc>
        <w:tc>
          <w:tcPr>
            <w:tcW w:w="1257" w:type="dxa"/>
            <w:tcBorders>
              <w:tl2br w:val="nil"/>
              <w:tr2bl w:val="nil"/>
            </w:tcBorders>
            <w:noWrap w:val="0"/>
            <w:vAlign w:val="center"/>
          </w:tcPr>
          <w:p w14:paraId="6BE2126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1257" w:type="dxa"/>
            <w:tcBorders>
              <w:tl2br w:val="nil"/>
              <w:tr2bl w:val="nil"/>
            </w:tcBorders>
            <w:noWrap w:val="0"/>
            <w:vAlign w:val="center"/>
          </w:tcPr>
          <w:p w14:paraId="3412EDD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w:t>
            </w:r>
          </w:p>
        </w:tc>
        <w:tc>
          <w:tcPr>
            <w:tcW w:w="1259" w:type="dxa"/>
            <w:gridSpan w:val="2"/>
            <w:tcBorders>
              <w:tl2br w:val="nil"/>
              <w:tr2bl w:val="nil"/>
            </w:tcBorders>
            <w:noWrap w:val="0"/>
            <w:vAlign w:val="center"/>
          </w:tcPr>
          <w:p w14:paraId="2528FD3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r>
      <w:tr w14:paraId="58041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0A66DC3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2509" w:type="dxa"/>
            <w:tcBorders>
              <w:tl2br w:val="nil"/>
              <w:tr2bl w:val="nil"/>
            </w:tcBorders>
            <w:noWrap w:val="0"/>
            <w:vAlign w:val="center"/>
          </w:tcPr>
          <w:p w14:paraId="383D15A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厂界东侧2</w:t>
            </w:r>
          </w:p>
        </w:tc>
        <w:tc>
          <w:tcPr>
            <w:tcW w:w="1257" w:type="dxa"/>
            <w:tcBorders>
              <w:tl2br w:val="nil"/>
              <w:tr2bl w:val="nil"/>
            </w:tcBorders>
            <w:noWrap w:val="0"/>
            <w:vAlign w:val="center"/>
          </w:tcPr>
          <w:p w14:paraId="75EB276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7" w:type="dxa"/>
            <w:tcBorders>
              <w:tl2br w:val="nil"/>
              <w:tr2bl w:val="nil"/>
            </w:tcBorders>
            <w:noWrap w:val="0"/>
            <w:vAlign w:val="center"/>
          </w:tcPr>
          <w:p w14:paraId="6DE939D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1257" w:type="dxa"/>
            <w:tcBorders>
              <w:tl2br w:val="nil"/>
              <w:tr2bl w:val="nil"/>
            </w:tcBorders>
            <w:noWrap w:val="0"/>
            <w:vAlign w:val="center"/>
          </w:tcPr>
          <w:p w14:paraId="4499201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259" w:type="dxa"/>
            <w:gridSpan w:val="2"/>
            <w:tcBorders>
              <w:tl2br w:val="nil"/>
              <w:tr2bl w:val="nil"/>
            </w:tcBorders>
            <w:noWrap w:val="0"/>
            <w:vAlign w:val="center"/>
          </w:tcPr>
          <w:p w14:paraId="23A764F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r>
      <w:tr w14:paraId="6B162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0A0DCD9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509" w:type="dxa"/>
            <w:tcBorders>
              <w:tl2br w:val="nil"/>
              <w:tr2bl w:val="nil"/>
            </w:tcBorders>
            <w:noWrap w:val="0"/>
            <w:vAlign w:val="center"/>
          </w:tcPr>
          <w:p w14:paraId="5A60CC8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厂界南侧</w:t>
            </w:r>
          </w:p>
        </w:tc>
        <w:tc>
          <w:tcPr>
            <w:tcW w:w="1257" w:type="dxa"/>
            <w:tcBorders>
              <w:tl2br w:val="nil"/>
              <w:tr2bl w:val="nil"/>
            </w:tcBorders>
            <w:noWrap w:val="0"/>
            <w:vAlign w:val="center"/>
          </w:tcPr>
          <w:p w14:paraId="3ECBF78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257" w:type="dxa"/>
            <w:tcBorders>
              <w:tl2br w:val="nil"/>
              <w:tr2bl w:val="nil"/>
            </w:tcBorders>
            <w:noWrap w:val="0"/>
            <w:vAlign w:val="center"/>
          </w:tcPr>
          <w:p w14:paraId="7F74A8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w:t>
            </w:r>
          </w:p>
        </w:tc>
        <w:tc>
          <w:tcPr>
            <w:tcW w:w="1257" w:type="dxa"/>
            <w:tcBorders>
              <w:tl2br w:val="nil"/>
              <w:tr2bl w:val="nil"/>
            </w:tcBorders>
            <w:noWrap w:val="0"/>
            <w:vAlign w:val="center"/>
          </w:tcPr>
          <w:p w14:paraId="40F6CA6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9" w:type="dxa"/>
            <w:gridSpan w:val="2"/>
            <w:tcBorders>
              <w:tl2br w:val="nil"/>
              <w:tr2bl w:val="nil"/>
            </w:tcBorders>
            <w:noWrap w:val="0"/>
            <w:vAlign w:val="center"/>
          </w:tcPr>
          <w:p w14:paraId="41AE5DB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r>
      <w:tr w14:paraId="34ABF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6D883C4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2509" w:type="dxa"/>
            <w:tcBorders>
              <w:tl2br w:val="nil"/>
              <w:tr2bl w:val="nil"/>
            </w:tcBorders>
            <w:noWrap w:val="0"/>
            <w:vAlign w:val="center"/>
          </w:tcPr>
          <w:p w14:paraId="5DA5319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厂界西侧1</w:t>
            </w:r>
          </w:p>
        </w:tc>
        <w:tc>
          <w:tcPr>
            <w:tcW w:w="1257" w:type="dxa"/>
            <w:tcBorders>
              <w:tl2br w:val="nil"/>
              <w:tr2bl w:val="nil"/>
            </w:tcBorders>
            <w:noWrap w:val="0"/>
            <w:vAlign w:val="center"/>
          </w:tcPr>
          <w:p w14:paraId="578AFFA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7" w:type="dxa"/>
            <w:tcBorders>
              <w:tl2br w:val="nil"/>
              <w:tr2bl w:val="nil"/>
            </w:tcBorders>
            <w:noWrap w:val="0"/>
            <w:vAlign w:val="center"/>
          </w:tcPr>
          <w:p w14:paraId="56898A6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1257" w:type="dxa"/>
            <w:tcBorders>
              <w:tl2br w:val="nil"/>
              <w:tr2bl w:val="nil"/>
            </w:tcBorders>
            <w:noWrap w:val="0"/>
            <w:vAlign w:val="center"/>
          </w:tcPr>
          <w:p w14:paraId="33E8CF5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59" w:type="dxa"/>
            <w:gridSpan w:val="2"/>
            <w:tcBorders>
              <w:tl2br w:val="nil"/>
              <w:tr2bl w:val="nil"/>
            </w:tcBorders>
            <w:noWrap w:val="0"/>
            <w:vAlign w:val="center"/>
          </w:tcPr>
          <w:p w14:paraId="713DB4C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w:t>
            </w:r>
          </w:p>
        </w:tc>
      </w:tr>
      <w:tr w14:paraId="2AA54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19" w:type="dxa"/>
            <w:tcBorders>
              <w:tl2br w:val="nil"/>
              <w:tr2bl w:val="nil"/>
            </w:tcBorders>
            <w:noWrap w:val="0"/>
            <w:vAlign w:val="center"/>
          </w:tcPr>
          <w:p w14:paraId="7EE85AE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2509" w:type="dxa"/>
            <w:tcBorders>
              <w:tl2br w:val="nil"/>
              <w:tr2bl w:val="nil"/>
            </w:tcBorders>
            <w:noWrap w:val="0"/>
            <w:vAlign w:val="center"/>
          </w:tcPr>
          <w:p w14:paraId="34FDC7F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厂界西侧2</w:t>
            </w:r>
          </w:p>
        </w:tc>
        <w:tc>
          <w:tcPr>
            <w:tcW w:w="1257" w:type="dxa"/>
            <w:tcBorders>
              <w:tl2br w:val="nil"/>
              <w:tr2bl w:val="nil"/>
            </w:tcBorders>
            <w:noWrap w:val="0"/>
            <w:vAlign w:val="center"/>
          </w:tcPr>
          <w:p w14:paraId="497255B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w:t>
            </w:r>
          </w:p>
        </w:tc>
        <w:tc>
          <w:tcPr>
            <w:tcW w:w="1257" w:type="dxa"/>
            <w:tcBorders>
              <w:tl2br w:val="nil"/>
              <w:tr2bl w:val="nil"/>
            </w:tcBorders>
            <w:noWrap w:val="0"/>
            <w:vAlign w:val="center"/>
          </w:tcPr>
          <w:p w14:paraId="473EF84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1257" w:type="dxa"/>
            <w:tcBorders>
              <w:tl2br w:val="nil"/>
              <w:tr2bl w:val="nil"/>
            </w:tcBorders>
            <w:noWrap w:val="0"/>
            <w:vAlign w:val="center"/>
          </w:tcPr>
          <w:p w14:paraId="7A4353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w:t>
            </w:r>
          </w:p>
        </w:tc>
        <w:tc>
          <w:tcPr>
            <w:tcW w:w="1259" w:type="dxa"/>
            <w:gridSpan w:val="2"/>
            <w:tcBorders>
              <w:tl2br w:val="nil"/>
              <w:tr2bl w:val="nil"/>
            </w:tcBorders>
            <w:noWrap w:val="0"/>
            <w:vAlign w:val="center"/>
          </w:tcPr>
          <w:p w14:paraId="513C3A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r>
      <w:tr w14:paraId="59ABD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819" w:type="dxa"/>
            <w:tcBorders>
              <w:tl2br w:val="nil"/>
              <w:tr2bl w:val="nil"/>
            </w:tcBorders>
            <w:noWrap w:val="0"/>
            <w:vAlign w:val="center"/>
          </w:tcPr>
          <w:p w14:paraId="4BA0EC8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2509" w:type="dxa"/>
            <w:tcBorders>
              <w:tl2br w:val="nil"/>
              <w:tr2bl w:val="nil"/>
            </w:tcBorders>
            <w:noWrap w:val="0"/>
            <w:vAlign w:val="center"/>
          </w:tcPr>
          <w:p w14:paraId="5084C1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南甸子村六队</w:t>
            </w:r>
          </w:p>
        </w:tc>
        <w:tc>
          <w:tcPr>
            <w:tcW w:w="1257" w:type="dxa"/>
            <w:tcBorders>
              <w:tl2br w:val="nil"/>
              <w:tr2bl w:val="nil"/>
            </w:tcBorders>
            <w:noWrap w:val="0"/>
            <w:vAlign w:val="center"/>
          </w:tcPr>
          <w:p w14:paraId="4123BD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257" w:type="dxa"/>
            <w:tcBorders>
              <w:tl2br w:val="nil"/>
              <w:tr2bl w:val="nil"/>
            </w:tcBorders>
            <w:noWrap w:val="0"/>
            <w:vAlign w:val="center"/>
          </w:tcPr>
          <w:p w14:paraId="00B7E2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1257" w:type="dxa"/>
            <w:tcBorders>
              <w:tl2br w:val="nil"/>
              <w:tr2bl w:val="nil"/>
            </w:tcBorders>
            <w:noWrap w:val="0"/>
            <w:vAlign w:val="center"/>
          </w:tcPr>
          <w:p w14:paraId="6D07FF1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1259" w:type="dxa"/>
            <w:gridSpan w:val="2"/>
            <w:tcBorders>
              <w:tl2br w:val="nil"/>
              <w:tr2bl w:val="nil"/>
            </w:tcBorders>
            <w:noWrap w:val="0"/>
            <w:vAlign w:val="center"/>
          </w:tcPr>
          <w:p w14:paraId="3FC4A49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r>
    </w:tbl>
    <w:p w14:paraId="12D561A2">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4.2.4.2声环境质量现状评价</w:t>
      </w:r>
    </w:p>
    <w:p w14:paraId="2049E07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（1）评价因子</w:t>
      </w:r>
    </w:p>
    <w:p w14:paraId="73B4C2C3">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选择等效连续A声级Leq（A）为本项目环境噪声的评价因子。</w:t>
      </w:r>
    </w:p>
    <w:p w14:paraId="664FC306">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（2）评价方法</w:t>
      </w:r>
    </w:p>
    <w:p w14:paraId="6E3B1932">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直接比较法。</w:t>
      </w:r>
    </w:p>
    <w:p w14:paraId="5BCE9A33">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（3）评价标准</w:t>
      </w:r>
    </w:p>
    <w:p w14:paraId="15B62319">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评价标准</w:t>
      </w:r>
      <w:r>
        <w:rPr>
          <w:rFonts w:hint="default" w:ascii="Times New Roman" w:hAnsi="Times New Roman" w:cs="Times New Roman"/>
          <w:color w:val="auto"/>
          <w:highlight w:val="none"/>
        </w:rPr>
        <w:t>厂界噪声执行</w:t>
      </w:r>
      <w:r>
        <w:rPr>
          <w:rFonts w:hint="default" w:ascii="Times New Roman" w:hAnsi="Times New Roman" w:cs="Times New Roman"/>
          <w:color w:val="auto"/>
          <w:highlight w:val="none"/>
          <w:lang w:val="zh-CN"/>
        </w:rPr>
        <w:t>《声环境质量标准》（GB3096-2008）中的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zh-CN"/>
        </w:rPr>
        <w:t>类标准（昼间55dB(A)，夜间45dB(A)），</w:t>
      </w:r>
      <w:r>
        <w:rPr>
          <w:rFonts w:hint="default" w:ascii="Times New Roman" w:hAnsi="Times New Roman" w:cs="Times New Roman"/>
          <w:color w:val="auto"/>
          <w:highlight w:val="none"/>
        </w:rPr>
        <w:t>敏感点处执行</w:t>
      </w:r>
      <w:r>
        <w:rPr>
          <w:rFonts w:hint="default" w:ascii="Times New Roman" w:hAnsi="Times New Roman" w:cs="Times New Roman"/>
          <w:color w:val="auto"/>
          <w:highlight w:val="none"/>
          <w:lang w:val="zh-CN"/>
        </w:rPr>
        <w:t>《声环境质量标准》（GB3096-2008）中的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zh-CN"/>
        </w:rPr>
        <w:t>类标准。</w:t>
      </w:r>
    </w:p>
    <w:p w14:paraId="5A6D064B">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（4）评价结论</w:t>
      </w:r>
    </w:p>
    <w:p w14:paraId="5A76A8C8">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通过将环境噪声现状监测结果与标准比较，</w:t>
      </w:r>
      <w:r>
        <w:rPr>
          <w:rFonts w:hint="default" w:ascii="Times New Roman" w:hAnsi="Times New Roman" w:cs="Times New Roman"/>
          <w:color w:val="auto"/>
          <w:highlight w:val="none"/>
        </w:rPr>
        <w:t>监测点均</w:t>
      </w:r>
      <w:r>
        <w:rPr>
          <w:rFonts w:hint="default" w:ascii="Times New Roman" w:hAnsi="Times New Roman" w:cs="Times New Roman"/>
          <w:color w:val="auto"/>
          <w:highlight w:val="none"/>
          <w:lang w:val="zh-CN"/>
        </w:rPr>
        <w:t>满足《声环境质量标准》（GB3096-2008）中的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zh-CN"/>
        </w:rPr>
        <w:t>类标准。</w:t>
      </w:r>
    </w:p>
    <w:p w14:paraId="18DCE9FA">
      <w:pPr>
        <w:pStyle w:val="27"/>
        <w:bidi w:val="0"/>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268595" cy="2879090"/>
            <wp:effectExtent l="0" t="0" r="8255" b="1651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42"/>
                    <a:stretch>
                      <a:fillRect/>
                    </a:stretch>
                  </pic:blipFill>
                  <pic:spPr>
                    <a:xfrm>
                      <a:off x="0" y="0"/>
                      <a:ext cx="5268595" cy="2879090"/>
                    </a:xfrm>
                    <a:prstGeom prst="rect">
                      <a:avLst/>
                    </a:prstGeom>
                    <a:noFill/>
                    <a:ln>
                      <a:noFill/>
                    </a:ln>
                  </pic:spPr>
                </pic:pic>
              </a:graphicData>
            </a:graphic>
          </wp:inline>
        </w:drawing>
      </w:r>
    </w:p>
    <w:p w14:paraId="73516083">
      <w:pPr>
        <w:pStyle w:val="29"/>
        <w:bidi w:val="0"/>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图   4-2-</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 xml:space="preserve">   大气 、噪声、土壤监测布点图</w:t>
      </w:r>
    </w:p>
    <w:p w14:paraId="678526D2">
      <w:pPr>
        <w:pStyle w:val="27"/>
        <w:bidi w:val="0"/>
        <w:ind w:left="0" w:leftChars="0" w:firstLine="0" w:firstLineChars="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rPr>
        <w:drawing>
          <wp:inline distT="0" distB="0" distL="114300" distR="114300">
            <wp:extent cx="5267325" cy="3050540"/>
            <wp:effectExtent l="0" t="0" r="9525" b="1651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43"/>
                    <a:stretch>
                      <a:fillRect/>
                    </a:stretch>
                  </pic:blipFill>
                  <pic:spPr>
                    <a:xfrm>
                      <a:off x="0" y="0"/>
                      <a:ext cx="5267325" cy="3050540"/>
                    </a:xfrm>
                    <a:prstGeom prst="rect">
                      <a:avLst/>
                    </a:prstGeom>
                    <a:noFill/>
                    <a:ln>
                      <a:noFill/>
                    </a:ln>
                  </pic:spPr>
                </pic:pic>
              </a:graphicData>
            </a:graphic>
          </wp:inline>
        </w:drawing>
      </w:r>
    </w:p>
    <w:p w14:paraId="20220527">
      <w:pPr>
        <w:pStyle w:val="29"/>
        <w:bidi w:val="0"/>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图4-2-</w:t>
      </w:r>
      <w:r>
        <w:rPr>
          <w:rFonts w:hint="default" w:ascii="Times New Roman" w:hAnsi="Times New Roman" w:cs="Times New Roman"/>
          <w:color w:val="auto"/>
          <w:highlight w:val="none"/>
          <w:lang w:val="en-US" w:eastAsia="zh-CN"/>
        </w:rPr>
        <w:t xml:space="preserve">3 </w:t>
      </w:r>
      <w:r>
        <w:rPr>
          <w:rFonts w:hint="default" w:ascii="Times New Roman" w:hAnsi="Times New Roman" w:eastAsia="宋体" w:cs="Times New Roman"/>
          <w:color w:val="auto"/>
          <w:highlight w:val="none"/>
          <w:lang w:val="en-US" w:eastAsia="zh-CN"/>
        </w:rPr>
        <w:t xml:space="preserve">   地下水环境监测布点图</w:t>
      </w:r>
    </w:p>
    <w:p w14:paraId="35545432">
      <w:pPr>
        <w:pStyle w:val="41"/>
        <w:bidi w:val="0"/>
        <w:rPr>
          <w:rFonts w:hint="default" w:ascii="Times New Roman" w:hAnsi="Times New Roman" w:cs="Times New Roman"/>
          <w:color w:val="auto"/>
          <w:highlight w:val="none"/>
        </w:rPr>
      </w:pPr>
      <w:bookmarkStart w:id="238" w:name="_Toc19000"/>
      <w:r>
        <w:rPr>
          <w:rFonts w:hint="default" w:ascii="Times New Roman" w:hAnsi="Times New Roman" w:cs="Times New Roman"/>
          <w:color w:val="auto"/>
          <w:highlight w:val="none"/>
        </w:rPr>
        <w:t>4.2.5土壤质量评价</w:t>
      </w:r>
      <w:bookmarkEnd w:id="238"/>
    </w:p>
    <w:p w14:paraId="09BC363A">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4.2.5.1土壤理化性质</w:t>
      </w:r>
    </w:p>
    <w:p w14:paraId="329D806F">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1、理化性质调查</w:t>
      </w:r>
    </w:p>
    <w:p w14:paraId="23FABA23">
      <w:pPr>
        <w:pStyle w:val="29"/>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5</w:t>
      </w:r>
      <w:r>
        <w:rPr>
          <w:rFonts w:hint="default" w:ascii="Times New Roman" w:hAnsi="Times New Roman" w:cs="Times New Roman"/>
          <w:color w:val="auto"/>
          <w:highlight w:val="none"/>
        </w:rPr>
        <w:t>土壤理化特性调查表</w:t>
      </w:r>
    </w:p>
    <w:tbl>
      <w:tblPr>
        <w:tblStyle w:val="24"/>
        <w:tblW w:w="464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005"/>
        <w:gridCol w:w="3713"/>
      </w:tblGrid>
      <w:tr w14:paraId="1A287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2" w:hRule="atLeast"/>
        </w:trPr>
        <w:tc>
          <w:tcPr>
            <w:tcW w:w="2594" w:type="pct"/>
            <w:vAlign w:val="center"/>
          </w:tcPr>
          <w:p w14:paraId="1506CB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点号</w:t>
            </w:r>
          </w:p>
        </w:tc>
        <w:tc>
          <w:tcPr>
            <w:tcW w:w="2405" w:type="pct"/>
            <w:vAlign w:val="center"/>
          </w:tcPr>
          <w:p w14:paraId="3E2C267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S2</w:t>
            </w:r>
          </w:p>
        </w:tc>
      </w:tr>
      <w:tr w14:paraId="55AFEB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2" w:hRule="atLeast"/>
        </w:trPr>
        <w:tc>
          <w:tcPr>
            <w:tcW w:w="2594" w:type="pct"/>
            <w:vAlign w:val="center"/>
          </w:tcPr>
          <w:p w14:paraId="36175B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层次</w:t>
            </w:r>
          </w:p>
        </w:tc>
        <w:tc>
          <w:tcPr>
            <w:tcW w:w="2405" w:type="pct"/>
            <w:vAlign w:val="center"/>
          </w:tcPr>
          <w:p w14:paraId="7BF2E9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m</w:t>
            </w:r>
          </w:p>
        </w:tc>
      </w:tr>
      <w:tr w14:paraId="26D2A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2" w:hRule="atLeast"/>
        </w:trPr>
        <w:tc>
          <w:tcPr>
            <w:tcW w:w="2594" w:type="pct"/>
            <w:vAlign w:val="center"/>
          </w:tcPr>
          <w:p w14:paraId="6BA2D1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阳离子交换量（me/100g）</w:t>
            </w:r>
          </w:p>
        </w:tc>
        <w:tc>
          <w:tcPr>
            <w:tcW w:w="2405" w:type="pct"/>
            <w:vAlign w:val="center"/>
          </w:tcPr>
          <w:p w14:paraId="003BD771">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6.2</w:t>
            </w:r>
          </w:p>
        </w:tc>
      </w:tr>
      <w:tr w14:paraId="02FA3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2" w:hRule="atLeast"/>
        </w:trPr>
        <w:tc>
          <w:tcPr>
            <w:tcW w:w="2594" w:type="pct"/>
            <w:vAlign w:val="center"/>
          </w:tcPr>
          <w:p w14:paraId="2BE015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氧化还原电位</w:t>
            </w:r>
          </w:p>
        </w:tc>
        <w:tc>
          <w:tcPr>
            <w:tcW w:w="2405" w:type="pct"/>
            <w:vAlign w:val="center"/>
          </w:tcPr>
          <w:p w14:paraId="3116CD4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431</w:t>
            </w:r>
          </w:p>
        </w:tc>
      </w:tr>
      <w:tr w14:paraId="76DE0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2" w:hRule="atLeast"/>
        </w:trPr>
        <w:tc>
          <w:tcPr>
            <w:tcW w:w="2594" w:type="pct"/>
            <w:vAlign w:val="center"/>
          </w:tcPr>
          <w:p w14:paraId="7CDCBE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土壤容重/（g/cm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2405" w:type="pct"/>
            <w:vAlign w:val="center"/>
          </w:tcPr>
          <w:p w14:paraId="2D21571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1.47</w:t>
            </w:r>
          </w:p>
        </w:tc>
      </w:tr>
      <w:tr w14:paraId="7B795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82" w:hRule="atLeast"/>
        </w:trPr>
        <w:tc>
          <w:tcPr>
            <w:tcW w:w="2594" w:type="pct"/>
            <w:vAlign w:val="center"/>
          </w:tcPr>
          <w:p w14:paraId="7230FA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总空隙</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w:t>
            </w:r>
          </w:p>
        </w:tc>
        <w:tc>
          <w:tcPr>
            <w:tcW w:w="2405" w:type="pct"/>
            <w:vAlign w:val="center"/>
          </w:tcPr>
          <w:p w14:paraId="2994AB7B">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38.9</w:t>
            </w:r>
          </w:p>
        </w:tc>
      </w:tr>
      <w:tr w14:paraId="60EFA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2594" w:type="pct"/>
            <w:vAlign w:val="center"/>
          </w:tcPr>
          <w:p w14:paraId="41D3BDC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土壤渗透率（mm/min）</w:t>
            </w:r>
          </w:p>
        </w:tc>
        <w:tc>
          <w:tcPr>
            <w:tcW w:w="2405" w:type="pct"/>
            <w:vAlign w:val="center"/>
          </w:tcPr>
          <w:p w14:paraId="51117C3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0.58</w:t>
            </w:r>
          </w:p>
        </w:tc>
      </w:tr>
    </w:tbl>
    <w:p w14:paraId="7D8F18B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2、土壤类型</w:t>
      </w:r>
    </w:p>
    <w:p w14:paraId="640ACA4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查阅“国家土壤信息服务平台”，项目厂址土壤类型为暗棕壤。项目所在区域土壤类型见下图。</w:t>
      </w:r>
    </w:p>
    <w:p w14:paraId="7294AC5C">
      <w:pPr>
        <w:pStyle w:val="27"/>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72405" cy="3263265"/>
            <wp:effectExtent l="0" t="0" r="4445" b="1333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44"/>
                    <a:stretch>
                      <a:fillRect/>
                    </a:stretch>
                  </pic:blipFill>
                  <pic:spPr>
                    <a:xfrm>
                      <a:off x="0" y="0"/>
                      <a:ext cx="5272405" cy="3263265"/>
                    </a:xfrm>
                    <a:prstGeom prst="rect">
                      <a:avLst/>
                    </a:prstGeom>
                    <a:noFill/>
                    <a:ln>
                      <a:noFill/>
                    </a:ln>
                  </pic:spPr>
                </pic:pic>
              </a:graphicData>
            </a:graphic>
          </wp:inline>
        </w:drawing>
      </w:r>
    </w:p>
    <w:p w14:paraId="3C4B27A7">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图4-2-</w:t>
      </w:r>
      <w:r>
        <w:rPr>
          <w:rFonts w:hint="eastAsia" w:cs="Times New Roman"/>
          <w:color w:val="auto"/>
          <w:highlight w:val="none"/>
          <w:lang w:val="en-US" w:eastAsia="zh-CN"/>
        </w:rPr>
        <w:t>4</w:t>
      </w:r>
      <w:r>
        <w:rPr>
          <w:rFonts w:hint="default" w:ascii="Times New Roman" w:hAnsi="Times New Roman" w:cs="Times New Roman"/>
          <w:color w:val="auto"/>
          <w:highlight w:val="none"/>
        </w:rPr>
        <w:t>土壤类型图</w:t>
      </w:r>
    </w:p>
    <w:p w14:paraId="0503AF18">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4.2.5.2土壤现状监测</w:t>
      </w:r>
    </w:p>
    <w:p w14:paraId="315EE2D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（1）数据来源</w:t>
      </w:r>
    </w:p>
    <w:p w14:paraId="7A054A1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本项目土壤监测由</w:t>
      </w:r>
      <w:r>
        <w:rPr>
          <w:rFonts w:hint="default" w:ascii="Times New Roman" w:hAnsi="Times New Roman" w:cs="Times New Roman"/>
          <w:color w:val="auto"/>
          <w:highlight w:val="none"/>
          <w:lang w:eastAsia="zh-CN"/>
        </w:rPr>
        <w:t>益铭检测技术服务（青岛）有限公司</w:t>
      </w:r>
      <w:r>
        <w:rPr>
          <w:rFonts w:hint="default" w:ascii="Times New Roman" w:hAnsi="Times New Roman" w:cs="Times New Roman"/>
          <w:color w:val="auto"/>
          <w:highlight w:val="none"/>
        </w:rPr>
        <w:t>出具检测报告，详细情况见附件。</w:t>
      </w:r>
    </w:p>
    <w:p w14:paraId="35A1D07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（2）监测布点</w:t>
      </w:r>
    </w:p>
    <w:p w14:paraId="711C1514">
      <w:pPr>
        <w:pStyle w:val="27"/>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在占地范围内</w:t>
      </w:r>
      <w:r>
        <w:rPr>
          <w:rFonts w:hint="default" w:ascii="Times New Roman" w:hAnsi="Times New Roman" w:cs="Times New Roman"/>
          <w:color w:val="auto"/>
          <w:sz w:val="24"/>
          <w:szCs w:val="24"/>
          <w:highlight w:val="none"/>
        </w:rPr>
        <w:t>共布设</w:t>
      </w:r>
      <w:r>
        <w:rPr>
          <w:rFonts w:hint="default" w:ascii="Times New Roman" w:hAnsi="Times New Roman" w:cs="Times New Roman"/>
          <w:color w:val="auto"/>
          <w:sz w:val="24"/>
          <w:szCs w:val="24"/>
          <w:highlight w:val="none"/>
          <w:lang w:val="en-US" w:eastAsia="zh-CN"/>
        </w:rPr>
        <w:t>3个柱状样，1个表层样点，占地范围外布设2个表层样。</w:t>
      </w:r>
    </w:p>
    <w:p w14:paraId="2ECE20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）监测项目</w:t>
      </w:r>
    </w:p>
    <w:p w14:paraId="0DF73A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各点位检测项目见下表</w:t>
      </w:r>
      <w:r>
        <w:rPr>
          <w:rFonts w:hint="default" w:ascii="Times New Roman" w:hAnsi="Times New Roman" w:cs="Times New Roman"/>
          <w:color w:val="auto"/>
          <w:highlight w:val="none"/>
        </w:rPr>
        <w:t>。</w:t>
      </w:r>
    </w:p>
    <w:p w14:paraId="08372B0E">
      <w:pPr>
        <w:pStyle w:val="27"/>
        <w:bidi w:val="0"/>
        <w:rPr>
          <w:rFonts w:hint="default" w:ascii="Times New Roman" w:hAnsi="Times New Roman" w:cs="Times New Roman"/>
          <w:color w:val="auto"/>
          <w:highlight w:val="none"/>
        </w:rPr>
      </w:pPr>
    </w:p>
    <w:p w14:paraId="57529A16">
      <w:pPr>
        <w:pStyle w:val="27"/>
        <w:bidi w:val="0"/>
        <w:rPr>
          <w:rFonts w:hint="default" w:ascii="Times New Roman" w:hAnsi="Times New Roman" w:cs="Times New Roman"/>
          <w:color w:val="auto"/>
          <w:highlight w:val="none"/>
        </w:rPr>
      </w:pPr>
    </w:p>
    <w:p w14:paraId="7E692954">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6</w:t>
      </w:r>
      <w:r>
        <w:rPr>
          <w:rFonts w:hint="default" w:ascii="Times New Roman" w:hAnsi="Times New Roman" w:cs="Times New Roman"/>
          <w:color w:val="auto"/>
          <w:highlight w:val="none"/>
        </w:rPr>
        <w:t>土壤环境质量现状监测布点</w:t>
      </w:r>
    </w:p>
    <w:tbl>
      <w:tblPr>
        <w:tblStyle w:val="24"/>
        <w:tblW w:w="90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858"/>
        <w:gridCol w:w="1772"/>
        <w:gridCol w:w="1057"/>
        <w:gridCol w:w="1250"/>
        <w:gridCol w:w="3261"/>
      </w:tblGrid>
      <w:tr w14:paraId="538C8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blHeader/>
          <w:jc w:val="center"/>
        </w:trPr>
        <w:tc>
          <w:tcPr>
            <w:tcW w:w="836" w:type="dxa"/>
            <w:noWrap w:val="0"/>
            <w:vAlign w:val="center"/>
          </w:tcPr>
          <w:p w14:paraId="2B0D6943">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pacing w:val="-11"/>
                <w:sz w:val="22"/>
                <w:szCs w:val="22"/>
                <w:highlight w:val="none"/>
              </w:rPr>
              <w:t>监测点位置</w:t>
            </w:r>
          </w:p>
        </w:tc>
        <w:tc>
          <w:tcPr>
            <w:tcW w:w="858" w:type="dxa"/>
            <w:noWrap w:val="0"/>
            <w:vAlign w:val="center"/>
          </w:tcPr>
          <w:p w14:paraId="6E22BED7">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监测点位名称</w:t>
            </w:r>
          </w:p>
        </w:tc>
        <w:tc>
          <w:tcPr>
            <w:tcW w:w="1772" w:type="dxa"/>
            <w:noWrap w:val="0"/>
            <w:vAlign w:val="center"/>
          </w:tcPr>
          <w:p w14:paraId="22CFBEFF">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经纬度</w:t>
            </w:r>
          </w:p>
        </w:tc>
        <w:tc>
          <w:tcPr>
            <w:tcW w:w="1057" w:type="dxa"/>
            <w:noWrap w:val="0"/>
            <w:vAlign w:val="center"/>
          </w:tcPr>
          <w:p w14:paraId="58994FD1">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相对项目位置</w:t>
            </w:r>
          </w:p>
        </w:tc>
        <w:tc>
          <w:tcPr>
            <w:tcW w:w="1250" w:type="dxa"/>
            <w:noWrap w:val="0"/>
            <w:vAlign w:val="center"/>
          </w:tcPr>
          <w:p w14:paraId="597C428F">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样品</w:t>
            </w:r>
          </w:p>
        </w:tc>
        <w:tc>
          <w:tcPr>
            <w:tcW w:w="3261" w:type="dxa"/>
            <w:noWrap w:val="0"/>
            <w:vAlign w:val="center"/>
          </w:tcPr>
          <w:p w14:paraId="0B82CB4E">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监测项目</w:t>
            </w:r>
          </w:p>
        </w:tc>
      </w:tr>
      <w:tr w14:paraId="0B18F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6" w:type="dxa"/>
            <w:vMerge w:val="restart"/>
            <w:noWrap w:val="0"/>
            <w:vAlign w:val="center"/>
          </w:tcPr>
          <w:p w14:paraId="5AC7DDF7">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r>
              <w:rPr>
                <w:rFonts w:hint="default" w:ascii="Times New Roman" w:hAnsi="Times New Roman" w:cs="Times New Roman"/>
                <w:iCs/>
                <w:color w:val="auto"/>
                <w:sz w:val="22"/>
                <w:szCs w:val="22"/>
                <w:highlight w:val="none"/>
              </w:rPr>
              <w:t>占地范围内</w:t>
            </w:r>
          </w:p>
        </w:tc>
        <w:tc>
          <w:tcPr>
            <w:tcW w:w="858" w:type="dxa"/>
            <w:noWrap w:val="0"/>
            <w:vAlign w:val="center"/>
          </w:tcPr>
          <w:p w14:paraId="2A0E6A7C">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1</w:t>
            </w:r>
          </w:p>
        </w:tc>
        <w:tc>
          <w:tcPr>
            <w:tcW w:w="1772" w:type="dxa"/>
            <w:noWrap w:val="0"/>
            <w:vAlign w:val="center"/>
          </w:tcPr>
          <w:p w14:paraId="4B4B2252">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130.74963255,</w:t>
            </w:r>
          </w:p>
          <w:p w14:paraId="1E8F92D9">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45.34413353</w:t>
            </w:r>
          </w:p>
        </w:tc>
        <w:tc>
          <w:tcPr>
            <w:tcW w:w="1057" w:type="dxa"/>
            <w:noWrap w:val="0"/>
            <w:vAlign w:val="center"/>
          </w:tcPr>
          <w:p w14:paraId="4351B9F4">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w:t>
            </w:r>
          </w:p>
        </w:tc>
        <w:tc>
          <w:tcPr>
            <w:tcW w:w="1250" w:type="dxa"/>
            <w:noWrap w:val="0"/>
            <w:vAlign w:val="center"/>
          </w:tcPr>
          <w:p w14:paraId="3BDEE7AF">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表层样0-0.2m</w:t>
            </w:r>
          </w:p>
        </w:tc>
        <w:tc>
          <w:tcPr>
            <w:tcW w:w="3261" w:type="dxa"/>
            <w:noWrap w:val="0"/>
            <w:vAlign w:val="center"/>
          </w:tcPr>
          <w:p w14:paraId="04B98046">
            <w:pPr>
              <w:pStyle w:val="54"/>
              <w:bidi w:val="0"/>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rPr>
              <w:t>pH</w:t>
            </w:r>
            <w:r>
              <w:rPr>
                <w:rFonts w:hint="default" w:ascii="Times New Roman" w:hAnsi="Times New Roman" w:cs="Times New Roman"/>
                <w:color w:val="auto"/>
                <w:sz w:val="22"/>
                <w:szCs w:val="22"/>
                <w:highlight w:val="none"/>
                <w:lang w:eastAsia="zh-CN"/>
              </w:rPr>
              <w:t>、</w:t>
            </w:r>
            <w:r>
              <w:rPr>
                <w:rFonts w:hint="default" w:ascii="Times New Roman" w:hAnsi="Times New Roman" w:cs="Times New Roman"/>
                <w:color w:val="auto"/>
                <w:sz w:val="22"/>
                <w:szCs w:val="22"/>
                <w:highlight w:val="none"/>
              </w:rPr>
              <w:t>镉、汞、砷、铅、</w:t>
            </w:r>
            <w:r>
              <w:rPr>
                <w:rFonts w:hint="default" w:ascii="Times New Roman" w:hAnsi="Times New Roman" w:cs="Times New Roman"/>
                <w:color w:val="auto"/>
                <w:sz w:val="22"/>
                <w:szCs w:val="22"/>
                <w:highlight w:val="none"/>
                <w:lang w:val="en-US" w:eastAsia="zh-CN"/>
              </w:rPr>
              <w:t>六价</w:t>
            </w:r>
            <w:r>
              <w:rPr>
                <w:rFonts w:hint="default" w:ascii="Times New Roman" w:hAnsi="Times New Roman" w:cs="Times New Roman"/>
                <w:color w:val="auto"/>
                <w:sz w:val="22"/>
                <w:szCs w:val="22"/>
                <w:highlight w:val="none"/>
              </w:rPr>
              <w:t>铬、铜、镍</w:t>
            </w:r>
            <w:r>
              <w:rPr>
                <w:rFonts w:hint="default" w:ascii="Times New Roman" w:hAnsi="Times New Roman" w:cs="Times New Roman"/>
                <w:color w:val="auto"/>
                <w:sz w:val="22"/>
                <w:szCs w:val="22"/>
                <w:highlight w:val="none"/>
                <w:lang w:val="en-US" w:eastAsia="zh-CN"/>
              </w:rPr>
              <w:t>和全盐量</w:t>
            </w:r>
          </w:p>
        </w:tc>
      </w:tr>
      <w:tr w14:paraId="7C08B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 w:type="dxa"/>
            <w:vMerge w:val="continue"/>
            <w:noWrap w:val="0"/>
            <w:vAlign w:val="center"/>
          </w:tcPr>
          <w:p w14:paraId="00E96331">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p>
        </w:tc>
        <w:tc>
          <w:tcPr>
            <w:tcW w:w="858" w:type="dxa"/>
            <w:noWrap w:val="0"/>
            <w:vAlign w:val="center"/>
          </w:tcPr>
          <w:p w14:paraId="7A84C1C3">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2</w:t>
            </w:r>
          </w:p>
        </w:tc>
        <w:tc>
          <w:tcPr>
            <w:tcW w:w="1772" w:type="dxa"/>
            <w:noWrap w:val="0"/>
            <w:vAlign w:val="center"/>
          </w:tcPr>
          <w:p w14:paraId="3629B6F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130.75159726,</w:t>
            </w:r>
          </w:p>
          <w:p w14:paraId="750FC7EF">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45.34286707</w:t>
            </w:r>
          </w:p>
        </w:tc>
        <w:tc>
          <w:tcPr>
            <w:tcW w:w="1057" w:type="dxa"/>
            <w:noWrap w:val="0"/>
            <w:vAlign w:val="center"/>
          </w:tcPr>
          <w:p w14:paraId="5EB23F8D">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cs="Times New Roman"/>
                <w:color w:val="auto"/>
                <w:sz w:val="22"/>
                <w:szCs w:val="22"/>
                <w:highlight w:val="none"/>
                <w:lang w:val="en-US" w:eastAsia="zh-CN"/>
              </w:rPr>
              <w:t>/</w:t>
            </w:r>
          </w:p>
        </w:tc>
        <w:tc>
          <w:tcPr>
            <w:tcW w:w="1250" w:type="dxa"/>
            <w:vMerge w:val="restart"/>
            <w:noWrap w:val="0"/>
            <w:vAlign w:val="center"/>
          </w:tcPr>
          <w:p w14:paraId="2C435C6D">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柱状样0-0.5m、0.5-1.5m、1.5-3m</w:t>
            </w:r>
          </w:p>
        </w:tc>
        <w:tc>
          <w:tcPr>
            <w:tcW w:w="3261" w:type="dxa"/>
            <w:noWrap w:val="0"/>
            <w:vAlign w:val="center"/>
          </w:tcPr>
          <w:p w14:paraId="244CDC0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rPr>
              <w:t>pH</w:t>
            </w:r>
            <w:r>
              <w:rPr>
                <w:rFonts w:hint="default" w:ascii="Times New Roman" w:hAnsi="Times New Roman" w:cs="Times New Roman"/>
                <w:color w:val="auto"/>
                <w:sz w:val="22"/>
                <w:szCs w:val="22"/>
                <w:highlight w:val="none"/>
                <w:lang w:val="en-US" w:eastAsia="zh-CN"/>
              </w:rPr>
              <w:t>和基本45项，全盐量</w:t>
            </w:r>
          </w:p>
        </w:tc>
      </w:tr>
      <w:tr w14:paraId="106B8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836" w:type="dxa"/>
            <w:vMerge w:val="continue"/>
            <w:noWrap w:val="0"/>
            <w:vAlign w:val="center"/>
          </w:tcPr>
          <w:p w14:paraId="21606CA8">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p>
        </w:tc>
        <w:tc>
          <w:tcPr>
            <w:tcW w:w="858" w:type="dxa"/>
            <w:noWrap w:val="0"/>
            <w:vAlign w:val="center"/>
          </w:tcPr>
          <w:p w14:paraId="3A94E4DC">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3</w:t>
            </w:r>
          </w:p>
        </w:tc>
        <w:tc>
          <w:tcPr>
            <w:tcW w:w="1772" w:type="dxa"/>
            <w:noWrap w:val="0"/>
            <w:vAlign w:val="center"/>
          </w:tcPr>
          <w:p w14:paraId="73038B21">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eastAsia="宋体" w:cs="Times New Roman"/>
                <w:color w:val="auto"/>
                <w:kern w:val="2"/>
                <w:sz w:val="22"/>
                <w:szCs w:val="22"/>
                <w:highlight w:val="none"/>
                <w:lang w:val="en-US" w:eastAsia="zh-CN" w:bidi="ar-SA"/>
              </w:rPr>
              <w:t>130.75046969,</w:t>
            </w:r>
          </w:p>
          <w:p w14:paraId="4FA6195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eastAsia="宋体" w:cs="Times New Roman"/>
                <w:color w:val="auto"/>
                <w:kern w:val="2"/>
                <w:sz w:val="22"/>
                <w:szCs w:val="22"/>
                <w:highlight w:val="none"/>
                <w:lang w:val="en-US" w:eastAsia="zh-CN" w:bidi="ar-SA"/>
              </w:rPr>
              <w:t>45.34201452</w:t>
            </w:r>
          </w:p>
        </w:tc>
        <w:tc>
          <w:tcPr>
            <w:tcW w:w="1057" w:type="dxa"/>
            <w:noWrap w:val="0"/>
            <w:vAlign w:val="center"/>
          </w:tcPr>
          <w:p w14:paraId="2AE2DCD9">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cs="Times New Roman"/>
                <w:color w:val="auto"/>
                <w:sz w:val="22"/>
                <w:szCs w:val="22"/>
                <w:highlight w:val="none"/>
                <w:lang w:val="en-US" w:eastAsia="zh-CN"/>
              </w:rPr>
              <w:t>/</w:t>
            </w:r>
          </w:p>
        </w:tc>
        <w:tc>
          <w:tcPr>
            <w:tcW w:w="1250" w:type="dxa"/>
            <w:vMerge w:val="continue"/>
            <w:noWrap w:val="0"/>
            <w:vAlign w:val="center"/>
          </w:tcPr>
          <w:p w14:paraId="20242DCA">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p>
        </w:tc>
        <w:tc>
          <w:tcPr>
            <w:tcW w:w="3261" w:type="dxa"/>
            <w:noWrap w:val="0"/>
            <w:vAlign w:val="center"/>
          </w:tcPr>
          <w:p w14:paraId="473E8824">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pH</w:t>
            </w:r>
            <w:r>
              <w:rPr>
                <w:rFonts w:hint="default" w:ascii="Times New Roman" w:hAnsi="Times New Roman" w:cs="Times New Roman"/>
                <w:color w:val="auto"/>
                <w:sz w:val="22"/>
                <w:szCs w:val="22"/>
                <w:highlight w:val="none"/>
                <w:lang w:eastAsia="zh-CN"/>
              </w:rPr>
              <w:t>、</w:t>
            </w:r>
            <w:r>
              <w:rPr>
                <w:rFonts w:hint="default" w:ascii="Times New Roman" w:hAnsi="Times New Roman" w:cs="Times New Roman"/>
                <w:color w:val="auto"/>
                <w:sz w:val="22"/>
                <w:szCs w:val="22"/>
                <w:highlight w:val="none"/>
              </w:rPr>
              <w:t>镉、汞、砷、铅、</w:t>
            </w:r>
            <w:r>
              <w:rPr>
                <w:rFonts w:hint="default" w:ascii="Times New Roman" w:hAnsi="Times New Roman" w:cs="Times New Roman"/>
                <w:color w:val="auto"/>
                <w:sz w:val="22"/>
                <w:szCs w:val="22"/>
                <w:highlight w:val="none"/>
                <w:lang w:val="en-US" w:eastAsia="zh-CN"/>
              </w:rPr>
              <w:t>六价铬</w:t>
            </w:r>
            <w:r>
              <w:rPr>
                <w:rFonts w:hint="default" w:ascii="Times New Roman" w:hAnsi="Times New Roman" w:cs="Times New Roman"/>
                <w:color w:val="auto"/>
                <w:sz w:val="22"/>
                <w:szCs w:val="22"/>
                <w:highlight w:val="none"/>
              </w:rPr>
              <w:t>、铜、镍</w:t>
            </w:r>
            <w:r>
              <w:rPr>
                <w:rFonts w:hint="default" w:ascii="Times New Roman" w:hAnsi="Times New Roman" w:cs="Times New Roman"/>
                <w:color w:val="auto"/>
                <w:sz w:val="22"/>
                <w:szCs w:val="22"/>
                <w:highlight w:val="none"/>
                <w:lang w:val="en-US" w:eastAsia="zh-CN"/>
              </w:rPr>
              <w:t>和全盐量</w:t>
            </w:r>
          </w:p>
        </w:tc>
      </w:tr>
      <w:tr w14:paraId="7D4E5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836" w:type="dxa"/>
            <w:vMerge w:val="continue"/>
            <w:noWrap w:val="0"/>
            <w:vAlign w:val="center"/>
          </w:tcPr>
          <w:p w14:paraId="7AEA2EB1">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p>
        </w:tc>
        <w:tc>
          <w:tcPr>
            <w:tcW w:w="858" w:type="dxa"/>
            <w:noWrap w:val="0"/>
            <w:vAlign w:val="center"/>
          </w:tcPr>
          <w:p w14:paraId="717BC2C0">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4</w:t>
            </w:r>
          </w:p>
        </w:tc>
        <w:tc>
          <w:tcPr>
            <w:tcW w:w="1772" w:type="dxa"/>
            <w:noWrap w:val="0"/>
            <w:vAlign w:val="center"/>
          </w:tcPr>
          <w:p w14:paraId="461990F1">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eastAsia="宋体" w:cs="Times New Roman"/>
                <w:color w:val="auto"/>
                <w:kern w:val="2"/>
                <w:sz w:val="22"/>
                <w:szCs w:val="22"/>
                <w:highlight w:val="none"/>
                <w:lang w:val="en-US" w:eastAsia="zh-CN" w:bidi="ar-SA"/>
              </w:rPr>
              <w:t>130.74955712,</w:t>
            </w:r>
          </w:p>
          <w:p w14:paraId="1E13D7FE">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eastAsia="宋体" w:cs="Times New Roman"/>
                <w:color w:val="auto"/>
                <w:kern w:val="2"/>
                <w:sz w:val="22"/>
                <w:szCs w:val="22"/>
                <w:highlight w:val="none"/>
                <w:lang w:val="en-US" w:eastAsia="zh-CN" w:bidi="ar-SA"/>
              </w:rPr>
              <w:t>45.34274581</w:t>
            </w:r>
          </w:p>
        </w:tc>
        <w:tc>
          <w:tcPr>
            <w:tcW w:w="1057" w:type="dxa"/>
            <w:noWrap w:val="0"/>
            <w:vAlign w:val="center"/>
          </w:tcPr>
          <w:p w14:paraId="79780C9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w:t>
            </w:r>
          </w:p>
        </w:tc>
        <w:tc>
          <w:tcPr>
            <w:tcW w:w="1250" w:type="dxa"/>
            <w:vMerge w:val="continue"/>
            <w:noWrap w:val="0"/>
            <w:vAlign w:val="center"/>
          </w:tcPr>
          <w:p w14:paraId="08DC5C67">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p>
        </w:tc>
        <w:tc>
          <w:tcPr>
            <w:tcW w:w="3261" w:type="dxa"/>
            <w:noWrap w:val="0"/>
            <w:vAlign w:val="center"/>
          </w:tcPr>
          <w:p w14:paraId="16C8931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pH</w:t>
            </w:r>
            <w:r>
              <w:rPr>
                <w:rFonts w:hint="default" w:ascii="Times New Roman" w:hAnsi="Times New Roman" w:cs="Times New Roman"/>
                <w:color w:val="auto"/>
                <w:sz w:val="22"/>
                <w:szCs w:val="22"/>
                <w:highlight w:val="none"/>
                <w:lang w:eastAsia="zh-CN"/>
              </w:rPr>
              <w:t>、</w:t>
            </w:r>
            <w:r>
              <w:rPr>
                <w:rFonts w:hint="default" w:ascii="Times New Roman" w:hAnsi="Times New Roman" w:cs="Times New Roman"/>
                <w:color w:val="auto"/>
                <w:sz w:val="22"/>
                <w:szCs w:val="22"/>
                <w:highlight w:val="none"/>
              </w:rPr>
              <w:t>镉、汞、砷、铅、</w:t>
            </w:r>
            <w:r>
              <w:rPr>
                <w:rFonts w:hint="default" w:ascii="Times New Roman" w:hAnsi="Times New Roman" w:cs="Times New Roman"/>
                <w:color w:val="auto"/>
                <w:sz w:val="22"/>
                <w:szCs w:val="22"/>
                <w:highlight w:val="none"/>
                <w:lang w:val="en-US" w:eastAsia="zh-CN"/>
              </w:rPr>
              <w:t>六价铬</w:t>
            </w:r>
            <w:r>
              <w:rPr>
                <w:rFonts w:hint="default" w:ascii="Times New Roman" w:hAnsi="Times New Roman" w:cs="Times New Roman"/>
                <w:color w:val="auto"/>
                <w:sz w:val="22"/>
                <w:szCs w:val="22"/>
                <w:highlight w:val="none"/>
              </w:rPr>
              <w:t>、铜、镍</w:t>
            </w:r>
            <w:r>
              <w:rPr>
                <w:rFonts w:hint="default" w:ascii="Times New Roman" w:hAnsi="Times New Roman" w:cs="Times New Roman"/>
                <w:color w:val="auto"/>
                <w:sz w:val="22"/>
                <w:szCs w:val="22"/>
                <w:highlight w:val="none"/>
                <w:lang w:val="en-US" w:eastAsia="zh-CN"/>
              </w:rPr>
              <w:t>和全盐量</w:t>
            </w:r>
          </w:p>
        </w:tc>
      </w:tr>
      <w:tr w14:paraId="0F906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restart"/>
            <w:noWrap w:val="0"/>
            <w:vAlign w:val="center"/>
          </w:tcPr>
          <w:p w14:paraId="76156EB5">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r>
              <w:rPr>
                <w:rFonts w:hint="default" w:ascii="Times New Roman" w:hAnsi="Times New Roman" w:cs="Times New Roman"/>
                <w:iCs/>
                <w:color w:val="auto"/>
                <w:sz w:val="22"/>
                <w:szCs w:val="22"/>
                <w:highlight w:val="none"/>
              </w:rPr>
              <w:t>占地范围外</w:t>
            </w:r>
          </w:p>
        </w:tc>
        <w:tc>
          <w:tcPr>
            <w:tcW w:w="858" w:type="dxa"/>
            <w:noWrap w:val="0"/>
            <w:vAlign w:val="center"/>
          </w:tcPr>
          <w:p w14:paraId="29967FCC">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5</w:t>
            </w:r>
          </w:p>
        </w:tc>
        <w:tc>
          <w:tcPr>
            <w:tcW w:w="1772" w:type="dxa"/>
            <w:noWrap w:val="0"/>
            <w:vAlign w:val="center"/>
          </w:tcPr>
          <w:p w14:paraId="65045761">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130.74751715,</w:t>
            </w:r>
          </w:p>
          <w:p w14:paraId="7064A3E8">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45.34460789</w:t>
            </w:r>
          </w:p>
        </w:tc>
        <w:tc>
          <w:tcPr>
            <w:tcW w:w="1057" w:type="dxa"/>
            <w:noWrap w:val="0"/>
            <w:vAlign w:val="center"/>
          </w:tcPr>
          <w:p w14:paraId="1CCA84BC">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rPr>
              <w:t>上风向</w:t>
            </w:r>
          </w:p>
        </w:tc>
        <w:tc>
          <w:tcPr>
            <w:tcW w:w="1250" w:type="dxa"/>
            <w:vMerge w:val="restart"/>
            <w:noWrap w:val="0"/>
            <w:vAlign w:val="center"/>
          </w:tcPr>
          <w:p w14:paraId="1D4580B6">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表层样0-0.2m</w:t>
            </w:r>
          </w:p>
        </w:tc>
        <w:tc>
          <w:tcPr>
            <w:tcW w:w="3261" w:type="dxa"/>
            <w:noWrap w:val="0"/>
            <w:vAlign w:val="center"/>
          </w:tcPr>
          <w:p w14:paraId="16497E99">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pH、镉、汞、砷、铅、铬、铜、镍、锌</w:t>
            </w:r>
            <w:r>
              <w:rPr>
                <w:rFonts w:hint="default" w:ascii="Times New Roman" w:hAnsi="Times New Roman" w:cs="Times New Roman"/>
                <w:color w:val="auto"/>
                <w:sz w:val="22"/>
                <w:szCs w:val="22"/>
                <w:highlight w:val="none"/>
                <w:lang w:val="en-US" w:eastAsia="zh-CN"/>
              </w:rPr>
              <w:t>和全盐量</w:t>
            </w:r>
          </w:p>
        </w:tc>
      </w:tr>
      <w:tr w14:paraId="5E3D5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continue"/>
            <w:noWrap w:val="0"/>
            <w:vAlign w:val="center"/>
          </w:tcPr>
          <w:p w14:paraId="2D73F8BC">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iCs/>
                <w:color w:val="auto"/>
                <w:sz w:val="22"/>
                <w:szCs w:val="22"/>
                <w:highlight w:val="none"/>
              </w:rPr>
            </w:pPr>
          </w:p>
        </w:tc>
        <w:tc>
          <w:tcPr>
            <w:tcW w:w="858" w:type="dxa"/>
            <w:noWrap w:val="0"/>
            <w:vAlign w:val="center"/>
          </w:tcPr>
          <w:p w14:paraId="71DC361E">
            <w:pPr>
              <w:keepNext w:val="0"/>
              <w:keepLines w:val="0"/>
              <w:pageBreakBefore w:val="0"/>
              <w:widowControl/>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S</w:t>
            </w:r>
            <w:r>
              <w:rPr>
                <w:rFonts w:hint="default" w:ascii="Times New Roman" w:hAnsi="Times New Roman" w:cs="Times New Roman"/>
                <w:color w:val="auto"/>
                <w:sz w:val="22"/>
                <w:szCs w:val="22"/>
                <w:highlight w:val="none"/>
              </w:rPr>
              <w:t>6</w:t>
            </w:r>
          </w:p>
        </w:tc>
        <w:tc>
          <w:tcPr>
            <w:tcW w:w="1772" w:type="dxa"/>
            <w:noWrap w:val="0"/>
            <w:vAlign w:val="center"/>
          </w:tcPr>
          <w:p w14:paraId="732D73CE">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130.75557992,</w:t>
            </w:r>
          </w:p>
          <w:p w14:paraId="501CD5EA">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45.34133674</w:t>
            </w:r>
          </w:p>
        </w:tc>
        <w:tc>
          <w:tcPr>
            <w:tcW w:w="1057" w:type="dxa"/>
            <w:noWrap w:val="0"/>
            <w:vAlign w:val="center"/>
          </w:tcPr>
          <w:p w14:paraId="5FE35846">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下风向</w:t>
            </w:r>
          </w:p>
        </w:tc>
        <w:tc>
          <w:tcPr>
            <w:tcW w:w="1250" w:type="dxa"/>
            <w:vMerge w:val="continue"/>
            <w:noWrap w:val="0"/>
            <w:vAlign w:val="center"/>
          </w:tcPr>
          <w:p w14:paraId="498EFCB1">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2"/>
                <w:szCs w:val="22"/>
                <w:highlight w:val="none"/>
              </w:rPr>
            </w:pPr>
          </w:p>
        </w:tc>
        <w:tc>
          <w:tcPr>
            <w:tcW w:w="3261" w:type="dxa"/>
            <w:noWrap w:val="0"/>
            <w:vAlign w:val="center"/>
          </w:tcPr>
          <w:p w14:paraId="2518C50F">
            <w:pPr>
              <w:pStyle w:val="63"/>
              <w:keepNext w:val="0"/>
              <w:keepLines w:val="0"/>
              <w:pageBreakBefore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rPr>
              <w:t>pH</w:t>
            </w:r>
            <w:r>
              <w:rPr>
                <w:rFonts w:hint="default" w:ascii="Times New Roman" w:hAnsi="Times New Roman" w:cs="Times New Roman"/>
                <w:color w:val="auto"/>
                <w:sz w:val="22"/>
                <w:szCs w:val="22"/>
                <w:highlight w:val="none"/>
                <w:lang w:eastAsia="zh-CN"/>
              </w:rPr>
              <w:t>、</w:t>
            </w:r>
            <w:r>
              <w:rPr>
                <w:rFonts w:hint="default" w:ascii="Times New Roman" w:hAnsi="Times New Roman" w:cs="Times New Roman"/>
                <w:color w:val="auto"/>
                <w:sz w:val="22"/>
                <w:szCs w:val="22"/>
                <w:highlight w:val="none"/>
              </w:rPr>
              <w:t>镉、汞、砷、铅、铬、铜、镍、锌</w:t>
            </w:r>
            <w:r>
              <w:rPr>
                <w:rFonts w:hint="default" w:ascii="Times New Roman" w:hAnsi="Times New Roman" w:cs="Times New Roman"/>
                <w:color w:val="auto"/>
                <w:sz w:val="22"/>
                <w:szCs w:val="22"/>
                <w:highlight w:val="none"/>
                <w:lang w:val="en-US" w:eastAsia="zh-CN"/>
              </w:rPr>
              <w:t>和全盐量</w:t>
            </w:r>
          </w:p>
        </w:tc>
      </w:tr>
    </w:tbl>
    <w:p w14:paraId="4BE8CAC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4294505</wp:posOffset>
                </wp:positionH>
                <wp:positionV relativeFrom="paragraph">
                  <wp:posOffset>-99060</wp:posOffset>
                </wp:positionV>
                <wp:extent cx="1019175" cy="914400"/>
                <wp:effectExtent l="0" t="0" r="0" b="0"/>
                <wp:wrapNone/>
                <wp:docPr id="947000719" name="Rectangle 339266"/>
                <wp:cNvGraphicFramePr/>
                <a:graphic xmlns:a="http://schemas.openxmlformats.org/drawingml/2006/main">
                  <a:graphicData uri="http://schemas.microsoft.com/office/word/2010/wordprocessingShape">
                    <wps:wsp>
                      <wps:cNvSpPr>
                        <a:spLocks noChangeArrowheads="1"/>
                      </wps:cNvSpPr>
                      <wps:spPr bwMode="auto">
                        <a:xfrm>
                          <a:off x="0" y="0"/>
                          <a:ext cx="1019175" cy="914400"/>
                        </a:xfrm>
                        <a:prstGeom prst="rect">
                          <a:avLst/>
                        </a:prstGeom>
                        <a:noFill/>
                        <a:ln>
                          <a:noFill/>
                        </a:ln>
                      </wps:spPr>
                      <wps:txbx>
                        <w:txbxContent>
                          <w:p w14:paraId="49922CDA"/>
                        </w:txbxContent>
                      </wps:txbx>
                      <wps:bodyPr rot="0" vert="horz" wrap="square" lIns="91440" tIns="45720" rIns="91440" bIns="45720" anchor="t" anchorCtr="0" upright="1">
                        <a:noAutofit/>
                      </wps:bodyPr>
                    </wps:wsp>
                  </a:graphicData>
                </a:graphic>
              </wp:anchor>
            </w:drawing>
          </mc:Choice>
          <mc:Fallback>
            <w:pict>
              <v:rect id="Rectangle 339266" o:spid="_x0000_s1026" o:spt="1" style="position:absolute;left:0pt;margin-left:338.15pt;margin-top:-7.8pt;height:72pt;width:80.25pt;z-index:251670528;mso-width-relative:page;mso-height-relative:page;" filled="f" stroked="f" coordsize="21600,21600" o:gfxdata="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x4ryXbAAAACwEAAA8AAAAAAAAA&#10;AQAgAAAAIgAAAGRycy9kb3ducmV2LnhtbFBLAQIUABQAAAAIAIdO4kCfR9FXDgIAABgEAAAOAAAA&#10;AAAAAAEAIAAAACoBAABkcnMvZTJvRG9jLnhtbFBLBQYAAAAABgAGAFkBAACqBQAAAAA=&#10;">
                <v:fill on="f" focussize="0,0"/>
                <v:stroke on="f"/>
                <v:imagedata o:title=""/>
                <o:lock v:ext="edit" aspectratio="f"/>
                <v:textbox>
                  <w:txbxContent>
                    <w:p w14:paraId="49922CDA"/>
                  </w:txbxContent>
                </v:textbox>
              </v:rect>
            </w:pict>
          </mc:Fallback>
        </mc:AlternateConten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）监测时间及频率</w:t>
      </w:r>
    </w:p>
    <w:p w14:paraId="15E710D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采样时间为202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日，每个监测点采样一天，一天1次。</w:t>
      </w:r>
    </w:p>
    <w:p w14:paraId="50EF872A">
      <w:pPr>
        <w:pStyle w:val="27"/>
        <w:bidi w:val="0"/>
        <w:rPr>
          <w:rFonts w:hint="default" w:ascii="Times New Roman" w:hAnsi="Times New Roman" w:cs="Times New Roman"/>
          <w:color w:val="auto"/>
          <w:highlight w:val="none"/>
        </w:rPr>
      </w:pPr>
      <w:bookmarkStart w:id="239" w:name="_Toc483218422"/>
      <w:r>
        <w:rPr>
          <w:rFonts w:hint="default" w:ascii="Times New Roman" w:hAnsi="Times New Roman" w:cs="Times New Roman"/>
          <w:color w:val="auto"/>
          <w:highlight w:val="none"/>
        </w:rPr>
        <w:t>（4）监测及分析方法</w:t>
      </w:r>
      <w:bookmarkEnd w:id="239"/>
    </w:p>
    <w:p w14:paraId="3712E48D">
      <w:pPr>
        <w:pStyle w:val="29"/>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7</w:t>
      </w:r>
      <w:r>
        <w:rPr>
          <w:rFonts w:hint="default" w:ascii="Times New Roman" w:hAnsi="Times New Roman" w:cs="Times New Roman"/>
          <w:color w:val="auto"/>
          <w:highlight w:val="none"/>
        </w:rPr>
        <w:t>土壤监测分析方法</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3412"/>
        <w:gridCol w:w="1863"/>
        <w:gridCol w:w="900"/>
        <w:gridCol w:w="829"/>
      </w:tblGrid>
      <w:tr w14:paraId="17602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8534C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检测项目</w:t>
            </w:r>
          </w:p>
        </w:tc>
        <w:tc>
          <w:tcPr>
            <w:tcW w:w="2002" w:type="pct"/>
            <w:tcBorders>
              <w:tl2br w:val="nil"/>
              <w:tr2bl w:val="nil"/>
            </w:tcBorders>
            <w:vAlign w:val="center"/>
          </w:tcPr>
          <w:p w14:paraId="0165AA8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检测依据</w:t>
            </w:r>
          </w:p>
        </w:tc>
        <w:tc>
          <w:tcPr>
            <w:tcW w:w="1093" w:type="pct"/>
            <w:tcBorders>
              <w:tl2br w:val="nil"/>
              <w:tr2bl w:val="nil"/>
            </w:tcBorders>
            <w:vAlign w:val="center"/>
          </w:tcPr>
          <w:p w14:paraId="347EE83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检测仪器名称及型号</w:t>
            </w:r>
          </w:p>
        </w:tc>
        <w:tc>
          <w:tcPr>
            <w:tcW w:w="528" w:type="pct"/>
            <w:tcBorders>
              <w:tl2br w:val="nil"/>
              <w:tr2bl w:val="nil"/>
            </w:tcBorders>
            <w:vAlign w:val="center"/>
          </w:tcPr>
          <w:p w14:paraId="20EF04C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检出限</w:t>
            </w:r>
          </w:p>
        </w:tc>
        <w:tc>
          <w:tcPr>
            <w:tcW w:w="486" w:type="pct"/>
            <w:tcBorders>
              <w:tl2br w:val="nil"/>
              <w:tr2bl w:val="nil"/>
            </w:tcBorders>
            <w:vAlign w:val="center"/>
          </w:tcPr>
          <w:p w14:paraId="2AF9957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单位</w:t>
            </w:r>
          </w:p>
        </w:tc>
      </w:tr>
      <w:tr w14:paraId="692D3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0560CA3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汞</w:t>
            </w:r>
          </w:p>
        </w:tc>
        <w:tc>
          <w:tcPr>
            <w:tcW w:w="2002" w:type="pct"/>
            <w:tcBorders>
              <w:tl2br w:val="nil"/>
              <w:tr2bl w:val="nil"/>
            </w:tcBorders>
            <w:vAlign w:val="center"/>
          </w:tcPr>
          <w:p w14:paraId="79D36DE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GB/T 22105.1-2008 土壤质量 总汞、总砷、总铅的测定 原子荧光法 第1部分：土壤中总汞的测定</w:t>
            </w:r>
          </w:p>
        </w:tc>
        <w:tc>
          <w:tcPr>
            <w:tcW w:w="1093" w:type="pct"/>
            <w:tcBorders>
              <w:tl2br w:val="nil"/>
              <w:tr2bl w:val="nil"/>
            </w:tcBorders>
            <w:vAlign w:val="center"/>
          </w:tcPr>
          <w:p w14:paraId="7E0A45D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原子荧光光度计AFS-8520</w:t>
            </w:r>
          </w:p>
        </w:tc>
        <w:tc>
          <w:tcPr>
            <w:tcW w:w="528" w:type="pct"/>
            <w:tcBorders>
              <w:tl2br w:val="nil"/>
              <w:tr2bl w:val="nil"/>
            </w:tcBorders>
            <w:vAlign w:val="center"/>
          </w:tcPr>
          <w:p w14:paraId="7AC5D0F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0.002</w:t>
            </w:r>
          </w:p>
        </w:tc>
        <w:tc>
          <w:tcPr>
            <w:tcW w:w="486" w:type="pct"/>
            <w:tcBorders>
              <w:tl2br w:val="nil"/>
              <w:tr2bl w:val="nil"/>
            </w:tcBorders>
            <w:vAlign w:val="center"/>
          </w:tcPr>
          <w:p w14:paraId="73F978F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0E7A9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69DAB0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w:t>
            </w:r>
          </w:p>
        </w:tc>
        <w:tc>
          <w:tcPr>
            <w:tcW w:w="2002" w:type="pct"/>
            <w:tcBorders>
              <w:tl2br w:val="nil"/>
              <w:tr2bl w:val="nil"/>
            </w:tcBorders>
            <w:vAlign w:val="center"/>
          </w:tcPr>
          <w:p w14:paraId="000051F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GB/T 22105.2-2008 土壤质量 总汞、总砷、总铅的测定原子荧光法 第2部分：土壤中总砷的测定</w:t>
            </w:r>
          </w:p>
        </w:tc>
        <w:tc>
          <w:tcPr>
            <w:tcW w:w="1093" w:type="pct"/>
            <w:tcBorders>
              <w:tl2br w:val="nil"/>
              <w:tr2bl w:val="nil"/>
            </w:tcBorders>
            <w:vAlign w:val="center"/>
          </w:tcPr>
          <w:p w14:paraId="35CC974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原子荧光光度计AFS-230E</w:t>
            </w:r>
          </w:p>
        </w:tc>
        <w:tc>
          <w:tcPr>
            <w:tcW w:w="528" w:type="pct"/>
            <w:tcBorders>
              <w:tl2br w:val="nil"/>
              <w:tr2bl w:val="nil"/>
            </w:tcBorders>
            <w:vAlign w:val="center"/>
          </w:tcPr>
          <w:p w14:paraId="2151111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0.01</w:t>
            </w:r>
          </w:p>
        </w:tc>
        <w:tc>
          <w:tcPr>
            <w:tcW w:w="486" w:type="pct"/>
            <w:tcBorders>
              <w:tl2br w:val="nil"/>
              <w:tr2bl w:val="nil"/>
            </w:tcBorders>
            <w:vAlign w:val="center"/>
          </w:tcPr>
          <w:p w14:paraId="3A2A1BF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2C035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7293689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铜</w:t>
            </w:r>
          </w:p>
        </w:tc>
        <w:tc>
          <w:tcPr>
            <w:tcW w:w="2002" w:type="pct"/>
            <w:vMerge w:val="restart"/>
            <w:tcBorders>
              <w:tl2br w:val="nil"/>
              <w:tr2bl w:val="nil"/>
            </w:tcBorders>
            <w:vAlign w:val="center"/>
          </w:tcPr>
          <w:p w14:paraId="33053BB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HJ 491-2019土壤和沉积物 铜、锌、铅、镍、铬的测定 火焰原子吸收分光光度法</w:t>
            </w:r>
          </w:p>
        </w:tc>
        <w:tc>
          <w:tcPr>
            <w:tcW w:w="1093" w:type="pct"/>
            <w:vMerge w:val="restart"/>
            <w:tcBorders>
              <w:tl2br w:val="nil"/>
              <w:tr2bl w:val="nil"/>
            </w:tcBorders>
            <w:vAlign w:val="center"/>
          </w:tcPr>
          <w:p w14:paraId="43346E2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火焰原子吸收分光光谱仪280FS</w:t>
            </w:r>
          </w:p>
        </w:tc>
        <w:tc>
          <w:tcPr>
            <w:tcW w:w="528" w:type="pct"/>
            <w:tcBorders>
              <w:tl2br w:val="nil"/>
              <w:tr2bl w:val="nil"/>
            </w:tcBorders>
            <w:vAlign w:val="center"/>
          </w:tcPr>
          <w:p w14:paraId="6B0B8BE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86" w:type="pct"/>
            <w:tcBorders>
              <w:tl2br w:val="nil"/>
              <w:tr2bl w:val="nil"/>
            </w:tcBorders>
            <w:vAlign w:val="center"/>
          </w:tcPr>
          <w:p w14:paraId="2F0B60C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785F0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19C756D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镍</w:t>
            </w:r>
          </w:p>
        </w:tc>
        <w:tc>
          <w:tcPr>
            <w:tcW w:w="2002" w:type="pct"/>
            <w:vMerge w:val="continue"/>
            <w:tcBorders>
              <w:tl2br w:val="nil"/>
              <w:tr2bl w:val="nil"/>
            </w:tcBorders>
            <w:vAlign w:val="center"/>
          </w:tcPr>
          <w:p w14:paraId="76523205">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DE3837A">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3780DB7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486" w:type="pct"/>
            <w:tcBorders>
              <w:tl2br w:val="nil"/>
              <w:tr2bl w:val="nil"/>
            </w:tcBorders>
            <w:vAlign w:val="center"/>
          </w:tcPr>
          <w:p w14:paraId="5572420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591C2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97AE7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铅</w:t>
            </w:r>
          </w:p>
        </w:tc>
        <w:tc>
          <w:tcPr>
            <w:tcW w:w="2002" w:type="pct"/>
            <w:vMerge w:val="restart"/>
            <w:tcBorders>
              <w:tl2br w:val="nil"/>
              <w:tr2bl w:val="nil"/>
            </w:tcBorders>
            <w:vAlign w:val="center"/>
          </w:tcPr>
          <w:p w14:paraId="0CD4DEA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GB/T 17141-1997土壤质量 铅、镉的测定 石墨炉原子吸收分光光度法</w:t>
            </w:r>
          </w:p>
        </w:tc>
        <w:tc>
          <w:tcPr>
            <w:tcW w:w="1093" w:type="pct"/>
            <w:vMerge w:val="restart"/>
            <w:tcBorders>
              <w:tl2br w:val="nil"/>
              <w:tr2bl w:val="nil"/>
            </w:tcBorders>
            <w:vAlign w:val="center"/>
          </w:tcPr>
          <w:p w14:paraId="48D5779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石墨炉原子吸收光谱仪280Z</w:t>
            </w:r>
          </w:p>
        </w:tc>
        <w:tc>
          <w:tcPr>
            <w:tcW w:w="528" w:type="pct"/>
            <w:tcBorders>
              <w:tl2br w:val="nil"/>
              <w:tr2bl w:val="nil"/>
            </w:tcBorders>
            <w:vAlign w:val="center"/>
          </w:tcPr>
          <w:p w14:paraId="0480C8B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676A0F5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7A8E7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338BE2F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2002" w:type="pct"/>
            <w:vMerge w:val="continue"/>
            <w:tcBorders>
              <w:tl2br w:val="nil"/>
              <w:tr2bl w:val="nil"/>
            </w:tcBorders>
            <w:vAlign w:val="center"/>
          </w:tcPr>
          <w:p w14:paraId="3ECC1FD6">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5FFCB45">
            <w:pPr>
              <w:pStyle w:val="46"/>
              <w:bidi w:val="0"/>
              <w:rPr>
                <w:rFonts w:hint="default" w:ascii="Times New Roman" w:hAnsi="Times New Roman" w:cs="Times New Roman"/>
                <w:color w:val="auto"/>
                <w:highlight w:val="none"/>
                <w:lang w:val="en-US" w:eastAsia="zh-CN"/>
              </w:rPr>
            </w:pPr>
          </w:p>
        </w:tc>
        <w:tc>
          <w:tcPr>
            <w:tcW w:w="528" w:type="pct"/>
            <w:tcBorders>
              <w:tl2br w:val="nil"/>
              <w:tr2bl w:val="nil"/>
            </w:tcBorders>
            <w:vAlign w:val="center"/>
          </w:tcPr>
          <w:p w14:paraId="53BD87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w:t>
            </w:r>
          </w:p>
        </w:tc>
        <w:tc>
          <w:tcPr>
            <w:tcW w:w="486" w:type="pct"/>
            <w:tcBorders>
              <w:tl2br w:val="nil"/>
              <w:tr2bl w:val="nil"/>
            </w:tcBorders>
            <w:vAlign w:val="center"/>
          </w:tcPr>
          <w:p w14:paraId="5CE2DBF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0530E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0E93804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铬（六价）</w:t>
            </w:r>
          </w:p>
        </w:tc>
        <w:tc>
          <w:tcPr>
            <w:tcW w:w="2002" w:type="pct"/>
            <w:tcBorders>
              <w:tl2br w:val="nil"/>
              <w:tr2bl w:val="nil"/>
            </w:tcBorders>
            <w:vAlign w:val="center"/>
          </w:tcPr>
          <w:p w14:paraId="79FE4B5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HJ 1082-2019土壤和沉积物  六价铬的测定  碱溶液提取-火焰原子吸收分光光度法</w:t>
            </w:r>
          </w:p>
        </w:tc>
        <w:tc>
          <w:tcPr>
            <w:tcW w:w="1093" w:type="pct"/>
            <w:tcBorders>
              <w:tl2br w:val="nil"/>
              <w:tr2bl w:val="nil"/>
            </w:tcBorders>
            <w:vAlign w:val="center"/>
          </w:tcPr>
          <w:p w14:paraId="55B6C19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火焰原子吸收分光光谱仪 280FS</w:t>
            </w:r>
          </w:p>
        </w:tc>
        <w:tc>
          <w:tcPr>
            <w:tcW w:w="528" w:type="pct"/>
            <w:tcBorders>
              <w:tl2br w:val="nil"/>
              <w:tr2bl w:val="nil"/>
            </w:tcBorders>
            <w:vAlign w:val="center"/>
          </w:tcPr>
          <w:p w14:paraId="2300FBC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0.5</w:t>
            </w:r>
          </w:p>
        </w:tc>
        <w:tc>
          <w:tcPr>
            <w:tcW w:w="486" w:type="pct"/>
            <w:tcBorders>
              <w:tl2br w:val="nil"/>
              <w:tr2bl w:val="nil"/>
            </w:tcBorders>
            <w:vAlign w:val="center"/>
          </w:tcPr>
          <w:p w14:paraId="3D954CF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58E81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515" w:type="dxa"/>
            <w:tcBorders>
              <w:tl2br w:val="nil"/>
              <w:tr2bl w:val="nil"/>
            </w:tcBorders>
            <w:vAlign w:val="center"/>
          </w:tcPr>
          <w:p w14:paraId="398A321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w:t>
            </w:r>
          </w:p>
        </w:tc>
        <w:tc>
          <w:tcPr>
            <w:tcW w:w="3412" w:type="dxa"/>
            <w:tcBorders>
              <w:tl2br w:val="nil"/>
              <w:tr2bl w:val="nil"/>
            </w:tcBorders>
            <w:vAlign w:val="center"/>
          </w:tcPr>
          <w:p w14:paraId="1A082D8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HJ 491-2019土壤和沉积物 铜、锌、铅、镍、铬的测定 火焰原子吸收分光光度法</w:t>
            </w:r>
          </w:p>
        </w:tc>
        <w:tc>
          <w:tcPr>
            <w:tcW w:w="1863" w:type="dxa"/>
            <w:tcBorders>
              <w:tl2br w:val="nil"/>
              <w:tr2bl w:val="nil"/>
            </w:tcBorders>
            <w:vAlign w:val="center"/>
          </w:tcPr>
          <w:p w14:paraId="7B9ACE5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火焰原子吸收分光光谱仪240FS</w:t>
            </w:r>
          </w:p>
        </w:tc>
        <w:tc>
          <w:tcPr>
            <w:tcW w:w="900" w:type="dxa"/>
            <w:tcBorders>
              <w:tl2br w:val="nil"/>
              <w:tr2bl w:val="nil"/>
            </w:tcBorders>
            <w:vAlign w:val="center"/>
          </w:tcPr>
          <w:p w14:paraId="27234A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29" w:type="dxa"/>
            <w:tcBorders>
              <w:tl2br w:val="nil"/>
              <w:tr2bl w:val="nil"/>
            </w:tcBorders>
            <w:vAlign w:val="center"/>
          </w:tcPr>
          <w:p w14:paraId="5B9E0C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mg/kg</w:t>
            </w:r>
          </w:p>
        </w:tc>
      </w:tr>
      <w:tr w14:paraId="1B9A6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515" w:type="dxa"/>
            <w:tcBorders>
              <w:tl2br w:val="nil"/>
              <w:tr2bl w:val="nil"/>
            </w:tcBorders>
            <w:vAlign w:val="center"/>
          </w:tcPr>
          <w:p w14:paraId="39ED2FF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铬（六价）</w:t>
            </w:r>
          </w:p>
        </w:tc>
        <w:tc>
          <w:tcPr>
            <w:tcW w:w="3412" w:type="dxa"/>
            <w:tcBorders>
              <w:tl2br w:val="nil"/>
              <w:tr2bl w:val="nil"/>
            </w:tcBorders>
            <w:vAlign w:val="center"/>
          </w:tcPr>
          <w:p w14:paraId="6DBE989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HJ 1082-2019土壤和沉积物 六价铬的测定 碱溶液提取-火焰原子吸收分光光度法</w:t>
            </w:r>
          </w:p>
        </w:tc>
        <w:tc>
          <w:tcPr>
            <w:tcW w:w="1863" w:type="dxa"/>
            <w:tcBorders>
              <w:tl2br w:val="nil"/>
              <w:tr2bl w:val="nil"/>
            </w:tcBorders>
            <w:vAlign w:val="center"/>
          </w:tcPr>
          <w:p w14:paraId="5BC66EA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火焰原子吸收分光光谱仪240FS</w:t>
            </w:r>
          </w:p>
        </w:tc>
        <w:tc>
          <w:tcPr>
            <w:tcW w:w="900" w:type="dxa"/>
            <w:tcBorders>
              <w:tl2br w:val="nil"/>
              <w:tr2bl w:val="nil"/>
            </w:tcBorders>
            <w:vAlign w:val="center"/>
          </w:tcPr>
          <w:p w14:paraId="138810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c>
          <w:tcPr>
            <w:tcW w:w="829" w:type="dxa"/>
            <w:tcBorders>
              <w:tl2br w:val="nil"/>
              <w:tr2bl w:val="nil"/>
            </w:tcBorders>
            <w:vAlign w:val="center"/>
          </w:tcPr>
          <w:p w14:paraId="00CC39A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mg/kg</w:t>
            </w:r>
          </w:p>
        </w:tc>
      </w:tr>
      <w:tr w14:paraId="388B9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124522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苯胺</w:t>
            </w:r>
          </w:p>
        </w:tc>
        <w:tc>
          <w:tcPr>
            <w:tcW w:w="2002" w:type="pct"/>
            <w:vMerge w:val="restart"/>
            <w:tcBorders>
              <w:tl2br w:val="nil"/>
              <w:tr2bl w:val="nil"/>
            </w:tcBorders>
            <w:vAlign w:val="center"/>
          </w:tcPr>
          <w:p w14:paraId="05603C4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HJ 834-2017 土壤和沉积物 半挥发性有机物的测定 气相色谱-质谱法</w:t>
            </w:r>
          </w:p>
        </w:tc>
        <w:tc>
          <w:tcPr>
            <w:tcW w:w="1093" w:type="pct"/>
            <w:vMerge w:val="restart"/>
            <w:tcBorders>
              <w:tl2br w:val="nil"/>
              <w:tr2bl w:val="nil"/>
            </w:tcBorders>
            <w:vAlign w:val="center"/>
          </w:tcPr>
          <w:p w14:paraId="5ACF764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气相色谱质谱联用仪8860-5977B</w:t>
            </w:r>
          </w:p>
        </w:tc>
        <w:tc>
          <w:tcPr>
            <w:tcW w:w="528" w:type="pct"/>
            <w:tcBorders>
              <w:tl2br w:val="nil"/>
              <w:tr2bl w:val="nil"/>
            </w:tcBorders>
            <w:vAlign w:val="center"/>
          </w:tcPr>
          <w:p w14:paraId="76408A4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0.05</w:t>
            </w:r>
          </w:p>
        </w:tc>
        <w:tc>
          <w:tcPr>
            <w:tcW w:w="486" w:type="pct"/>
            <w:tcBorders>
              <w:tl2br w:val="nil"/>
              <w:tr2bl w:val="nil"/>
            </w:tcBorders>
            <w:vAlign w:val="center"/>
          </w:tcPr>
          <w:p w14:paraId="12ADB42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11D10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7D2D54F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2-氯酚</w:t>
            </w:r>
          </w:p>
        </w:tc>
        <w:tc>
          <w:tcPr>
            <w:tcW w:w="2002" w:type="pct"/>
            <w:vMerge w:val="continue"/>
            <w:tcBorders>
              <w:tl2br w:val="nil"/>
              <w:tr2bl w:val="nil"/>
            </w:tcBorders>
            <w:vAlign w:val="center"/>
          </w:tcPr>
          <w:p w14:paraId="5D22923B">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0F94887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79C93A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0.06</w:t>
            </w:r>
          </w:p>
        </w:tc>
        <w:tc>
          <w:tcPr>
            <w:tcW w:w="486" w:type="pct"/>
            <w:tcBorders>
              <w:tl2br w:val="nil"/>
              <w:tr2bl w:val="nil"/>
            </w:tcBorders>
            <w:vAlign w:val="center"/>
          </w:tcPr>
          <w:p w14:paraId="770F8CC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595FD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687C0F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硝基苯</w:t>
            </w:r>
          </w:p>
        </w:tc>
        <w:tc>
          <w:tcPr>
            <w:tcW w:w="2002" w:type="pct"/>
            <w:vMerge w:val="continue"/>
            <w:tcBorders>
              <w:tl2br w:val="nil"/>
              <w:tr2bl w:val="nil"/>
            </w:tcBorders>
            <w:vAlign w:val="center"/>
          </w:tcPr>
          <w:p w14:paraId="27535E61">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5C1F44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3D79C9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0.09</w:t>
            </w:r>
          </w:p>
        </w:tc>
        <w:tc>
          <w:tcPr>
            <w:tcW w:w="486" w:type="pct"/>
            <w:tcBorders>
              <w:tl2br w:val="nil"/>
              <w:tr2bl w:val="nil"/>
            </w:tcBorders>
            <w:vAlign w:val="center"/>
          </w:tcPr>
          <w:p w14:paraId="6608178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66F2A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4F9679A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萘</w:t>
            </w:r>
          </w:p>
        </w:tc>
        <w:tc>
          <w:tcPr>
            <w:tcW w:w="2002" w:type="pct"/>
            <w:vMerge w:val="continue"/>
            <w:tcBorders>
              <w:tl2br w:val="nil"/>
              <w:tr2bl w:val="nil"/>
            </w:tcBorders>
            <w:vAlign w:val="center"/>
          </w:tcPr>
          <w:p w14:paraId="2585C498">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7D96127">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2B060EF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0.09</w:t>
            </w:r>
          </w:p>
        </w:tc>
        <w:tc>
          <w:tcPr>
            <w:tcW w:w="486" w:type="pct"/>
            <w:tcBorders>
              <w:tl2br w:val="nil"/>
              <w:tr2bl w:val="nil"/>
            </w:tcBorders>
            <w:vAlign w:val="center"/>
          </w:tcPr>
          <w:p w14:paraId="1CF4B9A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3959A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C63D00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苯并(a)蒽</w:t>
            </w:r>
          </w:p>
        </w:tc>
        <w:tc>
          <w:tcPr>
            <w:tcW w:w="2002" w:type="pct"/>
            <w:vMerge w:val="continue"/>
            <w:tcBorders>
              <w:tl2br w:val="nil"/>
              <w:tr2bl w:val="nil"/>
            </w:tcBorders>
            <w:vAlign w:val="center"/>
          </w:tcPr>
          <w:p w14:paraId="02064C1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AB4FF20">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848A5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08192BF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mg/kg</w:t>
            </w:r>
          </w:p>
        </w:tc>
      </w:tr>
      <w:tr w14:paraId="7B508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5519E3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䓛</w:t>
            </w:r>
          </w:p>
        </w:tc>
        <w:tc>
          <w:tcPr>
            <w:tcW w:w="2002" w:type="pct"/>
            <w:vMerge w:val="continue"/>
            <w:tcBorders>
              <w:tl2br w:val="nil"/>
              <w:tr2bl w:val="nil"/>
            </w:tcBorders>
            <w:vAlign w:val="center"/>
          </w:tcPr>
          <w:p w14:paraId="165DCC2F">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CCC11C3">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6E8CA20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060DC6A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6618C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5456D3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苯并(b)荧蒽</w:t>
            </w:r>
          </w:p>
        </w:tc>
        <w:tc>
          <w:tcPr>
            <w:tcW w:w="2002" w:type="pct"/>
            <w:vMerge w:val="continue"/>
            <w:tcBorders>
              <w:tl2br w:val="nil"/>
              <w:tr2bl w:val="nil"/>
            </w:tcBorders>
            <w:vAlign w:val="center"/>
          </w:tcPr>
          <w:p w14:paraId="6A1EF196">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0C33A6B5">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6CF1DDC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0.2</w:t>
            </w:r>
          </w:p>
        </w:tc>
        <w:tc>
          <w:tcPr>
            <w:tcW w:w="486" w:type="pct"/>
            <w:tcBorders>
              <w:tl2br w:val="nil"/>
              <w:tr2bl w:val="nil"/>
            </w:tcBorders>
            <w:vAlign w:val="center"/>
          </w:tcPr>
          <w:p w14:paraId="4BD4977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05E51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62CD9D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苯并(k)荧蒽</w:t>
            </w:r>
          </w:p>
        </w:tc>
        <w:tc>
          <w:tcPr>
            <w:tcW w:w="2002" w:type="pct"/>
            <w:vMerge w:val="continue"/>
            <w:tcBorders>
              <w:tl2br w:val="nil"/>
              <w:tr2bl w:val="nil"/>
            </w:tcBorders>
            <w:vAlign w:val="center"/>
          </w:tcPr>
          <w:p w14:paraId="5BA27468">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0F0D62B">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3186699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0B9E24A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6328D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1E9526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苯并(a)芘</w:t>
            </w:r>
          </w:p>
        </w:tc>
        <w:tc>
          <w:tcPr>
            <w:tcW w:w="2002" w:type="pct"/>
            <w:vMerge w:val="continue"/>
            <w:tcBorders>
              <w:tl2br w:val="nil"/>
              <w:tr2bl w:val="nil"/>
            </w:tcBorders>
            <w:vAlign w:val="center"/>
          </w:tcPr>
          <w:p w14:paraId="6B4D6E43">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63C9176">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79BEA6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16D3AA1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5146C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270283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茚并(1,2,3-c,d)芘</w:t>
            </w:r>
          </w:p>
        </w:tc>
        <w:tc>
          <w:tcPr>
            <w:tcW w:w="2002" w:type="pct"/>
            <w:vMerge w:val="continue"/>
            <w:tcBorders>
              <w:tl2br w:val="nil"/>
              <w:tr2bl w:val="nil"/>
            </w:tcBorders>
            <w:vAlign w:val="center"/>
          </w:tcPr>
          <w:p w14:paraId="0C91EEF5">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935C5F3">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28E9CC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28E7BC8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63592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DBD671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二苯并(a,h)蒽</w:t>
            </w:r>
          </w:p>
        </w:tc>
        <w:tc>
          <w:tcPr>
            <w:tcW w:w="2002" w:type="pct"/>
            <w:vMerge w:val="continue"/>
            <w:tcBorders>
              <w:tl2br w:val="nil"/>
              <w:tr2bl w:val="nil"/>
            </w:tcBorders>
            <w:vAlign w:val="center"/>
          </w:tcPr>
          <w:p w14:paraId="7959157B">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6C80938">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960241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0.1</w:t>
            </w:r>
          </w:p>
        </w:tc>
        <w:tc>
          <w:tcPr>
            <w:tcW w:w="486" w:type="pct"/>
            <w:tcBorders>
              <w:tl2br w:val="nil"/>
              <w:tr2bl w:val="nil"/>
            </w:tcBorders>
            <w:vAlign w:val="center"/>
          </w:tcPr>
          <w:p w14:paraId="16DE888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mg/kg</w:t>
            </w:r>
          </w:p>
        </w:tc>
      </w:tr>
      <w:tr w14:paraId="5F822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9D4B86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氯甲烷</w:t>
            </w:r>
          </w:p>
        </w:tc>
        <w:tc>
          <w:tcPr>
            <w:tcW w:w="2002" w:type="pct"/>
            <w:vMerge w:val="restart"/>
            <w:tcBorders>
              <w:tl2br w:val="nil"/>
              <w:tr2bl w:val="nil"/>
            </w:tcBorders>
            <w:vAlign w:val="center"/>
          </w:tcPr>
          <w:p w14:paraId="1FFBF17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HJ 605-2011 土壤和沉积物 挥发性有机物的测定 吹扫捕集/气相色谱-质谱法</w:t>
            </w:r>
          </w:p>
        </w:tc>
        <w:tc>
          <w:tcPr>
            <w:tcW w:w="1093" w:type="pct"/>
            <w:vMerge w:val="restart"/>
            <w:tcBorders>
              <w:tl2br w:val="nil"/>
              <w:tr2bl w:val="nil"/>
            </w:tcBorders>
            <w:vAlign w:val="center"/>
          </w:tcPr>
          <w:p w14:paraId="075A517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气相色谱质谱联用仪8860-5977B</w:t>
            </w:r>
          </w:p>
        </w:tc>
        <w:tc>
          <w:tcPr>
            <w:tcW w:w="528" w:type="pct"/>
            <w:tcBorders>
              <w:tl2br w:val="nil"/>
              <w:tr2bl w:val="nil"/>
            </w:tcBorders>
            <w:vAlign w:val="center"/>
          </w:tcPr>
          <w:p w14:paraId="6278A79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1.0</w:t>
            </w:r>
          </w:p>
        </w:tc>
        <w:tc>
          <w:tcPr>
            <w:tcW w:w="486" w:type="pct"/>
            <w:tcBorders>
              <w:tl2br w:val="nil"/>
              <w:tr2bl w:val="nil"/>
            </w:tcBorders>
            <w:vAlign w:val="center"/>
          </w:tcPr>
          <w:p w14:paraId="726221E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57E52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E33391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氯乙烯</w:t>
            </w:r>
          </w:p>
        </w:tc>
        <w:tc>
          <w:tcPr>
            <w:tcW w:w="2002" w:type="pct"/>
            <w:vMerge w:val="continue"/>
            <w:tcBorders>
              <w:tl2br w:val="nil"/>
              <w:tr2bl w:val="nil"/>
            </w:tcBorders>
            <w:vAlign w:val="center"/>
          </w:tcPr>
          <w:p w14:paraId="4F934E17">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3621F9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D1BAFC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1.0</w:t>
            </w:r>
          </w:p>
        </w:tc>
        <w:tc>
          <w:tcPr>
            <w:tcW w:w="486" w:type="pct"/>
            <w:tcBorders>
              <w:tl2br w:val="nil"/>
              <w:tr2bl w:val="nil"/>
            </w:tcBorders>
            <w:vAlign w:val="center"/>
          </w:tcPr>
          <w:p w14:paraId="49DC464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7602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2A6969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1,1-二氯乙烯</w:t>
            </w:r>
          </w:p>
        </w:tc>
        <w:tc>
          <w:tcPr>
            <w:tcW w:w="2002" w:type="pct"/>
            <w:vMerge w:val="continue"/>
            <w:tcBorders>
              <w:tl2br w:val="nil"/>
              <w:tr2bl w:val="nil"/>
            </w:tcBorders>
            <w:vAlign w:val="center"/>
          </w:tcPr>
          <w:p w14:paraId="17D8E2E0">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C85DE58">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50B8F1B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1.0</w:t>
            </w:r>
          </w:p>
        </w:tc>
        <w:tc>
          <w:tcPr>
            <w:tcW w:w="486" w:type="pct"/>
            <w:tcBorders>
              <w:tl2br w:val="nil"/>
              <w:tr2bl w:val="nil"/>
            </w:tcBorders>
            <w:vAlign w:val="center"/>
          </w:tcPr>
          <w:p w14:paraId="40718C0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4E414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941A44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二氯甲烷</w:t>
            </w:r>
          </w:p>
        </w:tc>
        <w:tc>
          <w:tcPr>
            <w:tcW w:w="2002" w:type="pct"/>
            <w:vMerge w:val="continue"/>
            <w:tcBorders>
              <w:tl2br w:val="nil"/>
              <w:tr2bl w:val="nil"/>
            </w:tcBorders>
            <w:vAlign w:val="center"/>
          </w:tcPr>
          <w:p w14:paraId="2DC71D85">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EDFD9D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DB8ECA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1.5</w:t>
            </w:r>
          </w:p>
        </w:tc>
        <w:tc>
          <w:tcPr>
            <w:tcW w:w="486" w:type="pct"/>
            <w:tcBorders>
              <w:tl2br w:val="nil"/>
              <w:tr2bl w:val="nil"/>
            </w:tcBorders>
            <w:vAlign w:val="center"/>
          </w:tcPr>
          <w:p w14:paraId="7E2B5D8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3AA4C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F8A5D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反-1,2-二氯乙烯</w:t>
            </w:r>
          </w:p>
        </w:tc>
        <w:tc>
          <w:tcPr>
            <w:tcW w:w="2002" w:type="pct"/>
            <w:vMerge w:val="continue"/>
            <w:tcBorders>
              <w:tl2br w:val="nil"/>
              <w:tr2bl w:val="nil"/>
            </w:tcBorders>
            <w:vAlign w:val="center"/>
          </w:tcPr>
          <w:p w14:paraId="051D0C4E">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26A8A3A0">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CD7884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1.4</w:t>
            </w:r>
          </w:p>
        </w:tc>
        <w:tc>
          <w:tcPr>
            <w:tcW w:w="486" w:type="pct"/>
            <w:tcBorders>
              <w:tl2br w:val="nil"/>
              <w:tr2bl w:val="nil"/>
            </w:tcBorders>
            <w:vAlign w:val="center"/>
          </w:tcPr>
          <w:p w14:paraId="1094F30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6C6D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F03945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1,1-二氯乙烷</w:t>
            </w:r>
          </w:p>
        </w:tc>
        <w:tc>
          <w:tcPr>
            <w:tcW w:w="2002" w:type="pct"/>
            <w:vMerge w:val="continue"/>
            <w:tcBorders>
              <w:tl2br w:val="nil"/>
              <w:tr2bl w:val="nil"/>
            </w:tcBorders>
            <w:vAlign w:val="center"/>
          </w:tcPr>
          <w:p w14:paraId="5A67C28F">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F94D7D9">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264EF8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280A8A7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3C9C0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CB924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顺-1,2-二氯乙烯</w:t>
            </w:r>
          </w:p>
        </w:tc>
        <w:tc>
          <w:tcPr>
            <w:tcW w:w="2002" w:type="pct"/>
            <w:vMerge w:val="continue"/>
            <w:tcBorders>
              <w:tl2br w:val="nil"/>
              <w:tr2bl w:val="nil"/>
            </w:tcBorders>
            <w:vAlign w:val="center"/>
          </w:tcPr>
          <w:p w14:paraId="77AB25B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4B29CD3D">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43D9F53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w:t>
            </w:r>
          </w:p>
        </w:tc>
        <w:tc>
          <w:tcPr>
            <w:tcW w:w="486" w:type="pct"/>
            <w:tcBorders>
              <w:tl2br w:val="nil"/>
              <w:tr2bl w:val="nil"/>
            </w:tcBorders>
            <w:vAlign w:val="center"/>
          </w:tcPr>
          <w:p w14:paraId="134D996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175D32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18FE1A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氯仿</w:t>
            </w:r>
          </w:p>
        </w:tc>
        <w:tc>
          <w:tcPr>
            <w:tcW w:w="2002" w:type="pct"/>
            <w:vMerge w:val="continue"/>
            <w:tcBorders>
              <w:tl2br w:val="nil"/>
              <w:tr2bl w:val="nil"/>
            </w:tcBorders>
            <w:vAlign w:val="center"/>
          </w:tcPr>
          <w:p w14:paraId="61417ECB">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D86DAC2">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924CBF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1.1</w:t>
            </w:r>
          </w:p>
        </w:tc>
        <w:tc>
          <w:tcPr>
            <w:tcW w:w="486" w:type="pct"/>
            <w:tcBorders>
              <w:tl2br w:val="nil"/>
              <w:tr2bl w:val="nil"/>
            </w:tcBorders>
            <w:vAlign w:val="center"/>
          </w:tcPr>
          <w:p w14:paraId="3091F63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D7A2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0855EB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1,1,1-三氯乙烷</w:t>
            </w:r>
          </w:p>
        </w:tc>
        <w:tc>
          <w:tcPr>
            <w:tcW w:w="2002" w:type="pct"/>
            <w:vMerge w:val="continue"/>
            <w:tcBorders>
              <w:tl2br w:val="nil"/>
              <w:tr2bl w:val="nil"/>
            </w:tcBorders>
            <w:vAlign w:val="center"/>
          </w:tcPr>
          <w:p w14:paraId="14B67B6A">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6519D1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6EDB3DE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w:t>
            </w:r>
          </w:p>
        </w:tc>
        <w:tc>
          <w:tcPr>
            <w:tcW w:w="486" w:type="pct"/>
            <w:tcBorders>
              <w:tl2br w:val="nil"/>
              <w:tr2bl w:val="nil"/>
            </w:tcBorders>
            <w:vAlign w:val="center"/>
          </w:tcPr>
          <w:p w14:paraId="0E4BA9E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B55A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4F8509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四氯化碳</w:t>
            </w:r>
          </w:p>
        </w:tc>
        <w:tc>
          <w:tcPr>
            <w:tcW w:w="2002" w:type="pct"/>
            <w:vMerge w:val="continue"/>
            <w:tcBorders>
              <w:tl2br w:val="nil"/>
              <w:tr2bl w:val="nil"/>
            </w:tcBorders>
            <w:vAlign w:val="center"/>
          </w:tcPr>
          <w:p w14:paraId="23B22FC0">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6E20B6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99A689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w:t>
            </w:r>
          </w:p>
        </w:tc>
        <w:tc>
          <w:tcPr>
            <w:tcW w:w="486" w:type="pct"/>
            <w:tcBorders>
              <w:tl2br w:val="nil"/>
              <w:tr2bl w:val="nil"/>
            </w:tcBorders>
            <w:vAlign w:val="center"/>
          </w:tcPr>
          <w:p w14:paraId="3BE511A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502B2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EA7B8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w:t>
            </w:r>
          </w:p>
        </w:tc>
        <w:tc>
          <w:tcPr>
            <w:tcW w:w="2002" w:type="pct"/>
            <w:vMerge w:val="continue"/>
            <w:tcBorders>
              <w:tl2br w:val="nil"/>
              <w:tr2bl w:val="nil"/>
            </w:tcBorders>
            <w:vAlign w:val="center"/>
          </w:tcPr>
          <w:p w14:paraId="488B1034">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0F1E9EE">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470D572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1.9</w:t>
            </w:r>
          </w:p>
        </w:tc>
        <w:tc>
          <w:tcPr>
            <w:tcW w:w="486" w:type="pct"/>
            <w:tcBorders>
              <w:tl2br w:val="nil"/>
              <w:tr2bl w:val="nil"/>
            </w:tcBorders>
            <w:vAlign w:val="center"/>
          </w:tcPr>
          <w:p w14:paraId="2A1F437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03BA1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939E29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1,2-二氯乙烷</w:t>
            </w:r>
          </w:p>
        </w:tc>
        <w:tc>
          <w:tcPr>
            <w:tcW w:w="2002" w:type="pct"/>
            <w:vMerge w:val="continue"/>
            <w:tcBorders>
              <w:tl2br w:val="nil"/>
              <w:tr2bl w:val="nil"/>
            </w:tcBorders>
            <w:vAlign w:val="center"/>
          </w:tcPr>
          <w:p w14:paraId="7479265B">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CDD47BD">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2314CF5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w:t>
            </w:r>
          </w:p>
        </w:tc>
        <w:tc>
          <w:tcPr>
            <w:tcW w:w="486" w:type="pct"/>
            <w:tcBorders>
              <w:tl2br w:val="nil"/>
              <w:tr2bl w:val="nil"/>
            </w:tcBorders>
            <w:vAlign w:val="center"/>
          </w:tcPr>
          <w:p w14:paraId="64E6FC9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1F4A5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EC79E1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三氯乙烯</w:t>
            </w:r>
          </w:p>
        </w:tc>
        <w:tc>
          <w:tcPr>
            <w:tcW w:w="2002" w:type="pct"/>
            <w:vMerge w:val="continue"/>
            <w:tcBorders>
              <w:tl2br w:val="nil"/>
              <w:tr2bl w:val="nil"/>
            </w:tcBorders>
            <w:vAlign w:val="center"/>
          </w:tcPr>
          <w:p w14:paraId="49571AE8">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0110B596">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9D5F3A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1F298B6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ECA1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ABA3C4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1,2-二氯丙烷</w:t>
            </w:r>
          </w:p>
        </w:tc>
        <w:tc>
          <w:tcPr>
            <w:tcW w:w="2002" w:type="pct"/>
            <w:vMerge w:val="continue"/>
            <w:tcBorders>
              <w:tl2br w:val="nil"/>
              <w:tr2bl w:val="nil"/>
            </w:tcBorders>
            <w:vAlign w:val="center"/>
          </w:tcPr>
          <w:p w14:paraId="4172B0E2">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B30FABF">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EC71E0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1.1</w:t>
            </w:r>
          </w:p>
        </w:tc>
        <w:tc>
          <w:tcPr>
            <w:tcW w:w="486" w:type="pct"/>
            <w:tcBorders>
              <w:tl2br w:val="nil"/>
              <w:tr2bl w:val="nil"/>
            </w:tcBorders>
            <w:vAlign w:val="center"/>
          </w:tcPr>
          <w:p w14:paraId="11F4D61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27D8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AD9A1E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甲苯</w:t>
            </w:r>
          </w:p>
        </w:tc>
        <w:tc>
          <w:tcPr>
            <w:tcW w:w="2002" w:type="pct"/>
            <w:vMerge w:val="continue"/>
            <w:tcBorders>
              <w:tl2br w:val="nil"/>
              <w:tr2bl w:val="nil"/>
            </w:tcBorders>
            <w:vAlign w:val="center"/>
          </w:tcPr>
          <w:p w14:paraId="4B52A7F1">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0AE67F60">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6DEA046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1.3</w:t>
            </w:r>
          </w:p>
        </w:tc>
        <w:tc>
          <w:tcPr>
            <w:tcW w:w="486" w:type="pct"/>
            <w:tcBorders>
              <w:tl2br w:val="nil"/>
              <w:tr2bl w:val="nil"/>
            </w:tcBorders>
            <w:vAlign w:val="center"/>
          </w:tcPr>
          <w:p w14:paraId="5D96DEF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23D5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B7D54B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1,1,2-三氯乙烷</w:t>
            </w:r>
          </w:p>
        </w:tc>
        <w:tc>
          <w:tcPr>
            <w:tcW w:w="2002" w:type="pct"/>
            <w:vMerge w:val="continue"/>
            <w:tcBorders>
              <w:tl2br w:val="nil"/>
              <w:tr2bl w:val="nil"/>
            </w:tcBorders>
            <w:vAlign w:val="center"/>
          </w:tcPr>
          <w:p w14:paraId="7A7550E6">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2B3D49FB">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44BF622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0658C8F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2101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DC832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四氯乙烯</w:t>
            </w:r>
          </w:p>
        </w:tc>
        <w:tc>
          <w:tcPr>
            <w:tcW w:w="2002" w:type="pct"/>
            <w:vMerge w:val="continue"/>
            <w:tcBorders>
              <w:tl2br w:val="nil"/>
              <w:tr2bl w:val="nil"/>
            </w:tcBorders>
            <w:vAlign w:val="center"/>
          </w:tcPr>
          <w:p w14:paraId="02CE8912">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73D1DAD2">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1BF2023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1.4</w:t>
            </w:r>
          </w:p>
        </w:tc>
        <w:tc>
          <w:tcPr>
            <w:tcW w:w="486" w:type="pct"/>
            <w:tcBorders>
              <w:tl2br w:val="nil"/>
              <w:tr2bl w:val="nil"/>
            </w:tcBorders>
            <w:vAlign w:val="center"/>
          </w:tcPr>
          <w:p w14:paraId="4B19A3E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D45F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54DFE0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氯苯</w:t>
            </w:r>
          </w:p>
        </w:tc>
        <w:tc>
          <w:tcPr>
            <w:tcW w:w="2002" w:type="pct"/>
            <w:vMerge w:val="continue"/>
            <w:tcBorders>
              <w:tl2br w:val="nil"/>
              <w:tr2bl w:val="nil"/>
            </w:tcBorders>
            <w:vAlign w:val="center"/>
          </w:tcPr>
          <w:p w14:paraId="6B687ED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04A5384C">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081BF3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0EE4190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2A12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5C7EF0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1,1,1,2-四氯乙烷</w:t>
            </w:r>
          </w:p>
        </w:tc>
        <w:tc>
          <w:tcPr>
            <w:tcW w:w="2002" w:type="pct"/>
            <w:vMerge w:val="continue"/>
            <w:tcBorders>
              <w:tl2br w:val="nil"/>
              <w:tr2bl w:val="nil"/>
            </w:tcBorders>
            <w:vAlign w:val="center"/>
          </w:tcPr>
          <w:p w14:paraId="2C02B5E2">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9856DEA">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27AB7E2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66887FA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4ED2F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DA969D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乙苯</w:t>
            </w:r>
          </w:p>
        </w:tc>
        <w:tc>
          <w:tcPr>
            <w:tcW w:w="2002" w:type="pct"/>
            <w:vMerge w:val="continue"/>
            <w:tcBorders>
              <w:tl2br w:val="nil"/>
              <w:tr2bl w:val="nil"/>
            </w:tcBorders>
            <w:vAlign w:val="center"/>
          </w:tcPr>
          <w:p w14:paraId="5EA8F7AB">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295E814">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FA3F9F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2F76588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946E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CEC8E0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间,对-二甲苯</w:t>
            </w:r>
          </w:p>
        </w:tc>
        <w:tc>
          <w:tcPr>
            <w:tcW w:w="2002" w:type="pct"/>
            <w:vMerge w:val="continue"/>
            <w:tcBorders>
              <w:tl2br w:val="nil"/>
              <w:tr2bl w:val="nil"/>
            </w:tcBorders>
            <w:vAlign w:val="center"/>
          </w:tcPr>
          <w:p w14:paraId="486B34D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3FC172B1">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7B7648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20D3C73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8CF9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8D6062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邻二甲苯</w:t>
            </w:r>
          </w:p>
        </w:tc>
        <w:tc>
          <w:tcPr>
            <w:tcW w:w="2002" w:type="pct"/>
            <w:vMerge w:val="continue"/>
            <w:tcBorders>
              <w:tl2br w:val="nil"/>
              <w:tr2bl w:val="nil"/>
            </w:tcBorders>
            <w:vAlign w:val="center"/>
          </w:tcPr>
          <w:p w14:paraId="77085E4E">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BCDADFA">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431A74D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43E5D52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5340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EFBE88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苯乙烯</w:t>
            </w:r>
          </w:p>
        </w:tc>
        <w:tc>
          <w:tcPr>
            <w:tcW w:w="2002" w:type="pct"/>
            <w:vMerge w:val="continue"/>
            <w:tcBorders>
              <w:tl2br w:val="nil"/>
              <w:tr2bl w:val="nil"/>
            </w:tcBorders>
            <w:vAlign w:val="center"/>
          </w:tcPr>
          <w:p w14:paraId="34756733">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2E5A040">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F28DC8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1.1</w:t>
            </w:r>
          </w:p>
        </w:tc>
        <w:tc>
          <w:tcPr>
            <w:tcW w:w="486" w:type="pct"/>
            <w:tcBorders>
              <w:tl2br w:val="nil"/>
              <w:tr2bl w:val="nil"/>
            </w:tcBorders>
            <w:vAlign w:val="center"/>
          </w:tcPr>
          <w:p w14:paraId="2D67F6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878E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99269B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1,1,2,2-四氯乙烷</w:t>
            </w:r>
          </w:p>
        </w:tc>
        <w:tc>
          <w:tcPr>
            <w:tcW w:w="2002" w:type="pct"/>
            <w:vMerge w:val="continue"/>
            <w:tcBorders>
              <w:tl2br w:val="nil"/>
              <w:tr2bl w:val="nil"/>
            </w:tcBorders>
            <w:vAlign w:val="center"/>
          </w:tcPr>
          <w:p w14:paraId="36BB91F6">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781D53ED">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782D887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4B8A30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1E750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5F898C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1,2,3-三氯丙烷</w:t>
            </w:r>
          </w:p>
        </w:tc>
        <w:tc>
          <w:tcPr>
            <w:tcW w:w="2002" w:type="pct"/>
            <w:vMerge w:val="continue"/>
            <w:tcBorders>
              <w:tl2br w:val="nil"/>
              <w:tr2bl w:val="nil"/>
            </w:tcBorders>
            <w:vAlign w:val="center"/>
          </w:tcPr>
          <w:p w14:paraId="3EB7CCB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6121FE6F">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00242CB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1.2</w:t>
            </w:r>
          </w:p>
        </w:tc>
        <w:tc>
          <w:tcPr>
            <w:tcW w:w="486" w:type="pct"/>
            <w:tcBorders>
              <w:tl2br w:val="nil"/>
              <w:tr2bl w:val="nil"/>
            </w:tcBorders>
            <w:vAlign w:val="center"/>
          </w:tcPr>
          <w:p w14:paraId="229CD3A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2B5FB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70F44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1,4-二氯苯</w:t>
            </w:r>
          </w:p>
        </w:tc>
        <w:tc>
          <w:tcPr>
            <w:tcW w:w="2002" w:type="pct"/>
            <w:vMerge w:val="continue"/>
            <w:tcBorders>
              <w:tl2br w:val="nil"/>
              <w:tr2bl w:val="nil"/>
            </w:tcBorders>
            <w:vAlign w:val="center"/>
          </w:tcPr>
          <w:p w14:paraId="0556BF34">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5A935345">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50DF7A7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1.5</w:t>
            </w:r>
          </w:p>
        </w:tc>
        <w:tc>
          <w:tcPr>
            <w:tcW w:w="486" w:type="pct"/>
            <w:tcBorders>
              <w:tl2br w:val="nil"/>
              <w:tr2bl w:val="nil"/>
            </w:tcBorders>
            <w:vAlign w:val="center"/>
          </w:tcPr>
          <w:p w14:paraId="206673F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62318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1C00B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1,2-二氯苯</w:t>
            </w:r>
          </w:p>
        </w:tc>
        <w:tc>
          <w:tcPr>
            <w:tcW w:w="2002" w:type="pct"/>
            <w:vMerge w:val="continue"/>
            <w:tcBorders>
              <w:tl2br w:val="nil"/>
              <w:tr2bl w:val="nil"/>
            </w:tcBorders>
            <w:vAlign w:val="center"/>
          </w:tcPr>
          <w:p w14:paraId="3B31779C">
            <w:pPr>
              <w:pStyle w:val="46"/>
              <w:bidi w:val="0"/>
              <w:rPr>
                <w:rFonts w:hint="default" w:ascii="Times New Roman" w:hAnsi="Times New Roman" w:cs="Times New Roman"/>
                <w:color w:val="auto"/>
                <w:highlight w:val="none"/>
                <w:lang w:eastAsia="zh-CN"/>
              </w:rPr>
            </w:pPr>
          </w:p>
        </w:tc>
        <w:tc>
          <w:tcPr>
            <w:tcW w:w="1093" w:type="pct"/>
            <w:vMerge w:val="continue"/>
            <w:tcBorders>
              <w:tl2br w:val="nil"/>
              <w:tr2bl w:val="nil"/>
            </w:tcBorders>
            <w:vAlign w:val="center"/>
          </w:tcPr>
          <w:p w14:paraId="1DC00A3E">
            <w:pPr>
              <w:pStyle w:val="46"/>
              <w:bidi w:val="0"/>
              <w:rPr>
                <w:rFonts w:hint="default" w:ascii="Times New Roman" w:hAnsi="Times New Roman" w:cs="Times New Roman"/>
                <w:color w:val="auto"/>
                <w:highlight w:val="none"/>
                <w:lang w:eastAsia="zh-CN"/>
              </w:rPr>
            </w:pPr>
          </w:p>
        </w:tc>
        <w:tc>
          <w:tcPr>
            <w:tcW w:w="528" w:type="pct"/>
            <w:tcBorders>
              <w:tl2br w:val="nil"/>
              <w:tr2bl w:val="nil"/>
            </w:tcBorders>
            <w:vAlign w:val="center"/>
          </w:tcPr>
          <w:p w14:paraId="45D0D3D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1.5</w:t>
            </w:r>
          </w:p>
        </w:tc>
        <w:tc>
          <w:tcPr>
            <w:tcW w:w="486" w:type="pct"/>
            <w:tcBorders>
              <w:tl2br w:val="nil"/>
              <w:tr2bl w:val="nil"/>
            </w:tcBorders>
            <w:vAlign w:val="center"/>
          </w:tcPr>
          <w:p w14:paraId="79940C5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μg/kg</w:t>
            </w:r>
          </w:p>
        </w:tc>
      </w:tr>
      <w:tr w14:paraId="759BF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FE649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2002" w:type="pct"/>
            <w:tcBorders>
              <w:tl2br w:val="nil"/>
              <w:tr2bl w:val="nil"/>
            </w:tcBorders>
            <w:vAlign w:val="center"/>
          </w:tcPr>
          <w:p w14:paraId="6A1D87E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HJ 962-2018土壤 pH 值的测定 电位法</w:t>
            </w:r>
          </w:p>
        </w:tc>
        <w:tc>
          <w:tcPr>
            <w:tcW w:w="1093" w:type="pct"/>
            <w:tcBorders>
              <w:tl2br w:val="nil"/>
              <w:tr2bl w:val="nil"/>
            </w:tcBorders>
            <w:vAlign w:val="center"/>
          </w:tcPr>
          <w:p w14:paraId="536DD97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pH计 PHS-3E</w:t>
            </w:r>
          </w:p>
        </w:tc>
        <w:tc>
          <w:tcPr>
            <w:tcW w:w="528" w:type="pct"/>
            <w:tcBorders>
              <w:tl2br w:val="nil"/>
              <w:tr2bl w:val="nil"/>
            </w:tcBorders>
            <w:vAlign w:val="center"/>
          </w:tcPr>
          <w:p w14:paraId="48A48D7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86" w:type="pct"/>
            <w:tcBorders>
              <w:tl2br w:val="nil"/>
              <w:tr2bl w:val="nil"/>
            </w:tcBorders>
            <w:vAlign w:val="center"/>
          </w:tcPr>
          <w:p w14:paraId="5AD2D0D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r>
    </w:tbl>
    <w:p w14:paraId="6FBEA50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（5）评价标准</w:t>
      </w:r>
    </w:p>
    <w:p w14:paraId="1C20FB9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本工程占地范围</w:t>
      </w:r>
      <w:r>
        <w:rPr>
          <w:rFonts w:hint="default" w:ascii="Times New Roman" w:hAnsi="Times New Roman" w:cs="Times New Roman"/>
          <w:color w:val="auto"/>
          <w:highlight w:val="none"/>
          <w:lang w:val="en-US" w:eastAsia="zh-CN"/>
        </w:rPr>
        <w:t>S1、S2</w:t>
      </w:r>
      <w:r>
        <w:rPr>
          <w:rFonts w:hint="default" w:ascii="Times New Roman" w:hAnsi="Times New Roman" w:cs="Times New Roman"/>
          <w:color w:val="auto"/>
          <w:highlight w:val="none"/>
        </w:rPr>
        <w:t>监测点的土壤环境质量现状</w:t>
      </w:r>
      <w:r>
        <w:rPr>
          <w:rFonts w:hint="default" w:ascii="Times New Roman" w:hAnsi="Times New Roman" w:cs="Times New Roman"/>
          <w:color w:val="auto"/>
          <w:highlight w:val="none"/>
          <w:lang w:val="en-US" w:eastAsia="zh-CN"/>
        </w:rPr>
        <w:t>执行</w:t>
      </w:r>
      <w:r>
        <w:rPr>
          <w:rFonts w:hint="default" w:ascii="Times New Roman" w:hAnsi="Times New Roman" w:cs="Times New Roman"/>
          <w:color w:val="auto"/>
          <w:highlight w:val="none"/>
        </w:rPr>
        <w:t>《土壤环境质量 建设用地土壤污染风险管控标准（试行）》（GB36600-2018）中的第二类用地风险筛选值，</w:t>
      </w:r>
      <w:r>
        <w:rPr>
          <w:rFonts w:hint="default" w:ascii="Times New Roman" w:hAnsi="Times New Roman" w:cs="Times New Roman"/>
          <w:color w:val="auto"/>
          <w:highlight w:val="none"/>
          <w:lang w:val="en-US" w:eastAsia="zh-CN"/>
        </w:rPr>
        <w:t>S3、S4、S5、S6</w:t>
      </w:r>
      <w:r>
        <w:rPr>
          <w:rFonts w:hint="default" w:ascii="Times New Roman" w:hAnsi="Times New Roman" w:cs="Times New Roman"/>
          <w:color w:val="auto"/>
          <w:highlight w:val="none"/>
        </w:rPr>
        <w:t>各监测点的土壤环境质量现状</w:t>
      </w:r>
      <w:r>
        <w:rPr>
          <w:rFonts w:hint="default" w:ascii="Times New Roman" w:hAnsi="Times New Roman" w:cs="Times New Roman"/>
          <w:color w:val="auto"/>
          <w:highlight w:val="none"/>
          <w:lang w:val="en-US" w:eastAsia="zh-CN"/>
        </w:rPr>
        <w:t>执行</w:t>
      </w:r>
      <w:r>
        <w:rPr>
          <w:rFonts w:hint="default" w:ascii="Times New Roman" w:hAnsi="Times New Roman" w:cs="Times New Roman"/>
          <w:color w:val="auto"/>
          <w:highlight w:val="none"/>
        </w:rPr>
        <w:t>《土壤环境质量 农用地土壤污染风险管控标准（试行）》（GB 15618-2018）中风险筛选值</w:t>
      </w:r>
    </w:p>
    <w:p w14:paraId="6EF2A20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（6）评价方法</w:t>
      </w:r>
    </w:p>
    <w:p w14:paraId="6D06FE2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本次土壤环境质量评价采用单因子标准指数法。单项土壤监测因子i 在第j点的污染指数。</w:t>
      </w:r>
    </w:p>
    <w:p w14:paraId="57073B1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Si=Ci/C0 </w:t>
      </w:r>
    </w:p>
    <w:p w14:paraId="25B62D0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式中：Si—土壤中i污染物的污染指数；</w:t>
      </w:r>
    </w:p>
    <w:p w14:paraId="57C2A3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Ci—第i 种污染物的实测浓度，（mg/L）；</w:t>
      </w:r>
    </w:p>
    <w:p w14:paraId="506C21E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C0 —第i种污染物的评价标准，（mg/L）。</w:t>
      </w:r>
    </w:p>
    <w:p w14:paraId="67ACCBC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土壤污染因子的标准指数大于1，表明该污染物超过了规定的标准限值，标准指数越大，说明超标越严重。</w:t>
      </w:r>
    </w:p>
    <w:p w14:paraId="28549D55">
      <w:pPr>
        <w:pStyle w:val="27"/>
        <w:numPr>
          <w:ilvl w:val="0"/>
          <w:numId w:val="0"/>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（7）</w:t>
      </w:r>
      <w:r>
        <w:rPr>
          <w:rFonts w:hint="default" w:ascii="Times New Roman" w:hAnsi="Times New Roman" w:cs="Times New Roman"/>
          <w:color w:val="auto"/>
          <w:highlight w:val="none"/>
          <w:lang w:val="en-US" w:eastAsia="zh-CN"/>
        </w:rPr>
        <w:t>监测结果</w:t>
      </w:r>
    </w:p>
    <w:p w14:paraId="18BE6DC1">
      <w:pPr>
        <w:pStyle w:val="27"/>
        <w:numPr>
          <w:ilvl w:val="0"/>
          <w:numId w:val="0"/>
        </w:numPr>
        <w:bidi w:val="0"/>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具体监测结果见下表</w:t>
      </w:r>
      <w:r>
        <w:rPr>
          <w:rFonts w:hint="default" w:ascii="Times New Roman" w:hAnsi="Times New Roman" w:cs="Times New Roman"/>
          <w:color w:val="auto"/>
          <w:highlight w:val="none"/>
          <w:lang w:eastAsia="zh-CN"/>
        </w:rPr>
        <w:t>。</w:t>
      </w:r>
    </w:p>
    <w:p w14:paraId="178487A2">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-1</w:t>
      </w:r>
      <w:r>
        <w:rPr>
          <w:rFonts w:hint="eastAsia" w:cs="Times New Roman"/>
          <w:color w:val="auto"/>
          <w:highlight w:val="none"/>
          <w:lang w:val="en-US" w:eastAsia="zh-CN"/>
        </w:rPr>
        <w:t>8</w:t>
      </w:r>
      <w:r>
        <w:rPr>
          <w:rFonts w:hint="default" w:ascii="Times New Roman" w:hAnsi="Times New Roman" w:cs="Times New Roman"/>
          <w:color w:val="auto"/>
          <w:highlight w:val="none"/>
        </w:rPr>
        <w:t>土壤现状监测结果（</w:t>
      </w:r>
      <w:r>
        <w:rPr>
          <w:rFonts w:hint="default" w:ascii="Times New Roman" w:hAnsi="Times New Roman" w:cs="Times New Roman"/>
          <w:color w:val="auto"/>
          <w:highlight w:val="none"/>
          <w:lang w:val="en-US" w:eastAsia="zh-CN"/>
        </w:rPr>
        <w:t>S1</w:t>
      </w:r>
      <w:r>
        <w:rPr>
          <w:rFonts w:hint="default" w:ascii="Times New Roman" w:hAnsi="Times New Roman" w:cs="Times New Roman"/>
          <w:color w:val="auto"/>
          <w:highlight w:val="none"/>
        </w:rPr>
        <w:t>）</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2249"/>
        <w:gridCol w:w="1299"/>
        <w:gridCol w:w="1400"/>
        <w:gridCol w:w="861"/>
        <w:gridCol w:w="1071"/>
        <w:gridCol w:w="7"/>
      </w:tblGrid>
      <w:tr w14:paraId="6C930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57" w:type="pct"/>
            <w:vMerge w:val="restart"/>
            <w:noWrap w:val="0"/>
            <w:vAlign w:val="center"/>
          </w:tcPr>
          <w:p w14:paraId="17D875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319" w:type="pct"/>
            <w:noWrap w:val="0"/>
            <w:vAlign w:val="center"/>
          </w:tcPr>
          <w:p w14:paraId="10B165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S1</w:t>
            </w:r>
          </w:p>
        </w:tc>
        <w:tc>
          <w:tcPr>
            <w:tcW w:w="762" w:type="pct"/>
            <w:vMerge w:val="restart"/>
            <w:noWrap w:val="0"/>
            <w:vAlign w:val="center"/>
          </w:tcPr>
          <w:p w14:paraId="4CBA32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821" w:type="pct"/>
            <w:vMerge w:val="restart"/>
            <w:noWrap w:val="0"/>
            <w:vAlign w:val="center"/>
          </w:tcPr>
          <w:p w14:paraId="50DE09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标准值（mg/kg）</w:t>
            </w:r>
          </w:p>
        </w:tc>
        <w:tc>
          <w:tcPr>
            <w:tcW w:w="505" w:type="pct"/>
            <w:vMerge w:val="restart"/>
            <w:noWrap w:val="0"/>
            <w:vAlign w:val="center"/>
          </w:tcPr>
          <w:p w14:paraId="3ED9A6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632" w:type="pct"/>
            <w:gridSpan w:val="2"/>
            <w:vMerge w:val="restart"/>
            <w:noWrap w:val="0"/>
            <w:vAlign w:val="center"/>
          </w:tcPr>
          <w:p w14:paraId="00FF4C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71FD7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957" w:type="pct"/>
            <w:vMerge w:val="continue"/>
            <w:noWrap w:val="0"/>
            <w:vAlign w:val="center"/>
          </w:tcPr>
          <w:p w14:paraId="305B8B8B">
            <w:pPr>
              <w:pStyle w:val="46"/>
              <w:bidi w:val="0"/>
              <w:rPr>
                <w:rFonts w:hint="default" w:ascii="Times New Roman" w:hAnsi="Times New Roman" w:cs="Times New Roman"/>
                <w:color w:val="auto"/>
                <w:highlight w:val="none"/>
              </w:rPr>
            </w:pPr>
          </w:p>
        </w:tc>
        <w:tc>
          <w:tcPr>
            <w:tcW w:w="1319" w:type="pct"/>
            <w:noWrap w:val="0"/>
            <w:vAlign w:val="center"/>
          </w:tcPr>
          <w:p w14:paraId="1657DBD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0-0.2m</w:t>
            </w:r>
          </w:p>
        </w:tc>
        <w:tc>
          <w:tcPr>
            <w:tcW w:w="762" w:type="pct"/>
            <w:vMerge w:val="continue"/>
            <w:noWrap w:val="0"/>
            <w:vAlign w:val="center"/>
          </w:tcPr>
          <w:p w14:paraId="39BFFD00">
            <w:pPr>
              <w:pStyle w:val="46"/>
              <w:bidi w:val="0"/>
              <w:rPr>
                <w:rFonts w:hint="default" w:ascii="Times New Roman" w:hAnsi="Times New Roman" w:cs="Times New Roman"/>
                <w:color w:val="auto"/>
                <w:highlight w:val="none"/>
              </w:rPr>
            </w:pPr>
          </w:p>
        </w:tc>
        <w:tc>
          <w:tcPr>
            <w:tcW w:w="821" w:type="pct"/>
            <w:vMerge w:val="continue"/>
            <w:noWrap w:val="0"/>
            <w:vAlign w:val="center"/>
          </w:tcPr>
          <w:p w14:paraId="21F92B66">
            <w:pPr>
              <w:pStyle w:val="46"/>
              <w:bidi w:val="0"/>
              <w:rPr>
                <w:rFonts w:hint="default" w:ascii="Times New Roman" w:hAnsi="Times New Roman" w:cs="Times New Roman"/>
                <w:color w:val="auto"/>
                <w:highlight w:val="none"/>
              </w:rPr>
            </w:pPr>
          </w:p>
        </w:tc>
        <w:tc>
          <w:tcPr>
            <w:tcW w:w="505" w:type="pct"/>
            <w:vMerge w:val="continue"/>
            <w:noWrap w:val="0"/>
            <w:vAlign w:val="center"/>
          </w:tcPr>
          <w:p w14:paraId="063CD76B">
            <w:pPr>
              <w:pStyle w:val="46"/>
              <w:bidi w:val="0"/>
              <w:rPr>
                <w:rFonts w:hint="default" w:ascii="Times New Roman" w:hAnsi="Times New Roman" w:cs="Times New Roman"/>
                <w:color w:val="auto"/>
                <w:highlight w:val="none"/>
              </w:rPr>
            </w:pPr>
          </w:p>
        </w:tc>
        <w:tc>
          <w:tcPr>
            <w:tcW w:w="632" w:type="pct"/>
            <w:gridSpan w:val="2"/>
            <w:vMerge w:val="continue"/>
            <w:noWrap w:val="0"/>
            <w:vAlign w:val="center"/>
          </w:tcPr>
          <w:p w14:paraId="09E951FF">
            <w:pPr>
              <w:pStyle w:val="46"/>
              <w:bidi w:val="0"/>
              <w:rPr>
                <w:rFonts w:hint="default" w:ascii="Times New Roman" w:hAnsi="Times New Roman" w:cs="Times New Roman"/>
                <w:color w:val="auto"/>
                <w:highlight w:val="none"/>
              </w:rPr>
            </w:pPr>
          </w:p>
        </w:tc>
      </w:tr>
      <w:tr w14:paraId="49F3F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3723961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1319" w:type="pct"/>
            <w:noWrap w:val="0"/>
            <w:vAlign w:val="center"/>
          </w:tcPr>
          <w:p w14:paraId="7A7D068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6.74</w:t>
            </w:r>
          </w:p>
        </w:tc>
        <w:tc>
          <w:tcPr>
            <w:tcW w:w="762" w:type="pct"/>
            <w:noWrap w:val="0"/>
            <w:vAlign w:val="center"/>
          </w:tcPr>
          <w:p w14:paraId="01C9FC7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821" w:type="pct"/>
            <w:noWrap w:val="0"/>
            <w:vAlign w:val="center"/>
          </w:tcPr>
          <w:p w14:paraId="580F09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5" w:type="pct"/>
            <w:noWrap w:val="0"/>
            <w:vAlign w:val="center"/>
          </w:tcPr>
          <w:p w14:paraId="3D7BCAB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8" w:type="pct"/>
            <w:noWrap w:val="0"/>
            <w:vAlign w:val="center"/>
          </w:tcPr>
          <w:p w14:paraId="6EC495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2B5F2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2801917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w:t>
            </w:r>
          </w:p>
        </w:tc>
        <w:tc>
          <w:tcPr>
            <w:tcW w:w="2249" w:type="dxa"/>
            <w:noWrap w:val="0"/>
            <w:vAlign w:val="center"/>
          </w:tcPr>
          <w:p w14:paraId="7DBD77D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1.72</w:t>
            </w:r>
          </w:p>
        </w:tc>
        <w:tc>
          <w:tcPr>
            <w:tcW w:w="1299" w:type="dxa"/>
            <w:noWrap w:val="0"/>
            <w:vAlign w:val="center"/>
          </w:tcPr>
          <w:p w14:paraId="11297F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563A8EE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505" w:type="pct"/>
            <w:noWrap w:val="0"/>
            <w:vAlign w:val="center"/>
          </w:tcPr>
          <w:p w14:paraId="316BD5C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737075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642F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008916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镉</w:t>
            </w:r>
          </w:p>
        </w:tc>
        <w:tc>
          <w:tcPr>
            <w:tcW w:w="2249" w:type="dxa"/>
            <w:noWrap w:val="0"/>
            <w:vAlign w:val="center"/>
          </w:tcPr>
          <w:p w14:paraId="1F1963E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0.06</w:t>
            </w:r>
          </w:p>
        </w:tc>
        <w:tc>
          <w:tcPr>
            <w:tcW w:w="1299" w:type="dxa"/>
            <w:noWrap w:val="0"/>
            <w:vAlign w:val="center"/>
          </w:tcPr>
          <w:p w14:paraId="113EBC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7FCFF00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w:t>
            </w:r>
          </w:p>
        </w:tc>
        <w:tc>
          <w:tcPr>
            <w:tcW w:w="505" w:type="pct"/>
            <w:noWrap w:val="0"/>
            <w:vAlign w:val="center"/>
          </w:tcPr>
          <w:p w14:paraId="13C0FEC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628" w:type="pct"/>
            <w:noWrap w:val="0"/>
            <w:vAlign w:val="center"/>
          </w:tcPr>
          <w:p w14:paraId="1B1D8E6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1CEE6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6B02E6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铬(六价)</w:t>
            </w:r>
          </w:p>
        </w:tc>
        <w:tc>
          <w:tcPr>
            <w:tcW w:w="2249" w:type="dxa"/>
            <w:noWrap w:val="0"/>
            <w:vAlign w:val="center"/>
          </w:tcPr>
          <w:p w14:paraId="49EB02C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1299" w:type="dxa"/>
            <w:noWrap w:val="0"/>
            <w:vAlign w:val="center"/>
          </w:tcPr>
          <w:p w14:paraId="335921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12898FF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5.7</w:t>
            </w:r>
          </w:p>
        </w:tc>
        <w:tc>
          <w:tcPr>
            <w:tcW w:w="505" w:type="pct"/>
            <w:noWrap w:val="0"/>
            <w:vAlign w:val="center"/>
          </w:tcPr>
          <w:p w14:paraId="614EA48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346C14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1C04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460BB2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2249" w:type="dxa"/>
            <w:noWrap w:val="0"/>
            <w:vAlign w:val="center"/>
          </w:tcPr>
          <w:p w14:paraId="68B2144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1299" w:type="dxa"/>
            <w:noWrap w:val="0"/>
            <w:vAlign w:val="center"/>
          </w:tcPr>
          <w:p w14:paraId="2EE306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36CAE95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18000</w:t>
            </w:r>
          </w:p>
        </w:tc>
        <w:tc>
          <w:tcPr>
            <w:tcW w:w="505" w:type="pct"/>
            <w:noWrap w:val="0"/>
            <w:vAlign w:val="center"/>
          </w:tcPr>
          <w:p w14:paraId="6C33F2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43C85A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700F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493C21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2249" w:type="dxa"/>
            <w:noWrap w:val="0"/>
            <w:vAlign w:val="center"/>
          </w:tcPr>
          <w:p w14:paraId="2302CC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1299" w:type="dxa"/>
            <w:noWrap w:val="0"/>
            <w:vAlign w:val="center"/>
          </w:tcPr>
          <w:p w14:paraId="5F47AE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643B63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800</w:t>
            </w:r>
          </w:p>
        </w:tc>
        <w:tc>
          <w:tcPr>
            <w:tcW w:w="505" w:type="pct"/>
            <w:noWrap w:val="0"/>
            <w:vAlign w:val="center"/>
          </w:tcPr>
          <w:p w14:paraId="7413F2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130933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C04B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29492A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2249" w:type="dxa"/>
            <w:noWrap w:val="0"/>
            <w:vAlign w:val="center"/>
          </w:tcPr>
          <w:p w14:paraId="3AB4F13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0.012</w:t>
            </w:r>
          </w:p>
        </w:tc>
        <w:tc>
          <w:tcPr>
            <w:tcW w:w="1299" w:type="dxa"/>
            <w:noWrap w:val="0"/>
            <w:vAlign w:val="center"/>
          </w:tcPr>
          <w:p w14:paraId="7090A5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278431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505" w:type="pct"/>
            <w:noWrap w:val="0"/>
            <w:vAlign w:val="center"/>
          </w:tcPr>
          <w:p w14:paraId="0C703D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7997EF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01F02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1632" w:type="dxa"/>
            <w:noWrap w:val="0"/>
            <w:vAlign w:val="center"/>
          </w:tcPr>
          <w:p w14:paraId="14B026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镍</w:t>
            </w:r>
          </w:p>
        </w:tc>
        <w:tc>
          <w:tcPr>
            <w:tcW w:w="2249" w:type="dxa"/>
            <w:noWrap w:val="0"/>
            <w:vAlign w:val="center"/>
          </w:tcPr>
          <w:p w14:paraId="3086FB1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1299" w:type="dxa"/>
            <w:noWrap w:val="0"/>
            <w:vAlign w:val="center"/>
          </w:tcPr>
          <w:p w14:paraId="6D0E2D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400" w:type="dxa"/>
            <w:noWrap w:val="0"/>
            <w:vAlign w:val="center"/>
          </w:tcPr>
          <w:p w14:paraId="505FE65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900</w:t>
            </w:r>
          </w:p>
        </w:tc>
        <w:tc>
          <w:tcPr>
            <w:tcW w:w="505" w:type="pct"/>
            <w:noWrap w:val="0"/>
            <w:vAlign w:val="center"/>
          </w:tcPr>
          <w:p w14:paraId="7379D1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69B096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628C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75B6FF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水溶性盐</w:t>
            </w:r>
          </w:p>
        </w:tc>
        <w:tc>
          <w:tcPr>
            <w:tcW w:w="1319" w:type="pct"/>
            <w:noWrap w:val="0"/>
            <w:vAlign w:val="center"/>
          </w:tcPr>
          <w:p w14:paraId="36FF144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0.92</w:t>
            </w:r>
          </w:p>
        </w:tc>
        <w:tc>
          <w:tcPr>
            <w:tcW w:w="762" w:type="pct"/>
            <w:noWrap w:val="0"/>
            <w:vAlign w:val="center"/>
          </w:tcPr>
          <w:p w14:paraId="517F7A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g/kg</w:t>
            </w:r>
          </w:p>
        </w:tc>
        <w:tc>
          <w:tcPr>
            <w:tcW w:w="821" w:type="pct"/>
            <w:noWrap w:val="0"/>
            <w:vAlign w:val="center"/>
          </w:tcPr>
          <w:p w14:paraId="3395631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5" w:type="pct"/>
            <w:noWrap w:val="0"/>
            <w:vAlign w:val="center"/>
          </w:tcPr>
          <w:p w14:paraId="733F2E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28" w:type="pct"/>
            <w:noWrap w:val="0"/>
            <w:vAlign w:val="center"/>
          </w:tcPr>
          <w:p w14:paraId="2A21CB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35A4C878">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9</w:t>
      </w:r>
      <w:r>
        <w:rPr>
          <w:rFonts w:hint="default" w:ascii="Times New Roman" w:hAnsi="Times New Roman" w:cs="Times New Roman"/>
          <w:color w:val="auto"/>
          <w:highlight w:val="none"/>
        </w:rPr>
        <w:t>土壤监测结果表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S2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           单位：mg/kg</w:t>
      </w:r>
    </w:p>
    <w:tbl>
      <w:tblPr>
        <w:tblStyle w:val="24"/>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859"/>
        <w:gridCol w:w="987"/>
        <w:gridCol w:w="962"/>
        <w:gridCol w:w="1125"/>
        <w:gridCol w:w="1560"/>
        <w:gridCol w:w="852"/>
        <w:gridCol w:w="815"/>
      </w:tblGrid>
      <w:tr w14:paraId="24F70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blHeader/>
        </w:trPr>
        <w:tc>
          <w:tcPr>
            <w:tcW w:w="796" w:type="pct"/>
            <w:vMerge w:val="restart"/>
            <w:noWrap w:val="0"/>
            <w:vAlign w:val="center"/>
          </w:tcPr>
          <w:p w14:paraId="23C4AFB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648" w:type="pct"/>
            <w:gridSpan w:val="3"/>
            <w:noWrap w:val="0"/>
            <w:vAlign w:val="center"/>
          </w:tcPr>
          <w:p w14:paraId="3826B3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S2柱状样</w:t>
            </w:r>
          </w:p>
        </w:tc>
        <w:tc>
          <w:tcPr>
            <w:tcW w:w="660" w:type="pct"/>
            <w:vMerge w:val="restart"/>
            <w:noWrap w:val="0"/>
            <w:vAlign w:val="center"/>
          </w:tcPr>
          <w:p w14:paraId="14EB7E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915" w:type="pct"/>
            <w:vMerge w:val="restart"/>
            <w:noWrap w:val="0"/>
            <w:vAlign w:val="center"/>
          </w:tcPr>
          <w:p w14:paraId="75E837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标准值（第二类用地筛选值，mg/kg）</w:t>
            </w:r>
          </w:p>
        </w:tc>
        <w:tc>
          <w:tcPr>
            <w:tcW w:w="500" w:type="pct"/>
            <w:vMerge w:val="restart"/>
            <w:noWrap w:val="0"/>
            <w:vAlign w:val="center"/>
          </w:tcPr>
          <w:p w14:paraId="5AF5A7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478" w:type="pct"/>
            <w:vMerge w:val="restart"/>
            <w:noWrap w:val="0"/>
            <w:vAlign w:val="center"/>
          </w:tcPr>
          <w:p w14:paraId="36E2D4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0A2AE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blHeader/>
        </w:trPr>
        <w:tc>
          <w:tcPr>
            <w:tcW w:w="796" w:type="pct"/>
            <w:vMerge w:val="continue"/>
            <w:noWrap w:val="0"/>
            <w:vAlign w:val="center"/>
          </w:tcPr>
          <w:p w14:paraId="3B624BD2">
            <w:pPr>
              <w:pStyle w:val="46"/>
              <w:bidi w:val="0"/>
              <w:rPr>
                <w:rFonts w:hint="default" w:ascii="Times New Roman" w:hAnsi="Times New Roman" w:cs="Times New Roman"/>
                <w:color w:val="auto"/>
                <w:highlight w:val="none"/>
              </w:rPr>
            </w:pPr>
          </w:p>
        </w:tc>
        <w:tc>
          <w:tcPr>
            <w:tcW w:w="504" w:type="pct"/>
            <w:noWrap w:val="0"/>
            <w:vAlign w:val="center"/>
          </w:tcPr>
          <w:p w14:paraId="06B5A5C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0-0.5m</w:t>
            </w:r>
          </w:p>
        </w:tc>
        <w:tc>
          <w:tcPr>
            <w:tcW w:w="579" w:type="pct"/>
            <w:noWrap w:val="0"/>
            <w:vAlign w:val="center"/>
          </w:tcPr>
          <w:p w14:paraId="5B65424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0.5-1.5m</w:t>
            </w:r>
          </w:p>
        </w:tc>
        <w:tc>
          <w:tcPr>
            <w:tcW w:w="564" w:type="pct"/>
            <w:noWrap w:val="0"/>
            <w:vAlign w:val="center"/>
          </w:tcPr>
          <w:p w14:paraId="5B670A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1.5-3m</w:t>
            </w:r>
          </w:p>
        </w:tc>
        <w:tc>
          <w:tcPr>
            <w:tcW w:w="660" w:type="pct"/>
            <w:vMerge w:val="continue"/>
            <w:noWrap w:val="0"/>
            <w:vAlign w:val="center"/>
          </w:tcPr>
          <w:p w14:paraId="0DF622BA">
            <w:pPr>
              <w:pStyle w:val="46"/>
              <w:bidi w:val="0"/>
              <w:rPr>
                <w:rFonts w:hint="default" w:ascii="Times New Roman" w:hAnsi="Times New Roman" w:cs="Times New Roman"/>
                <w:color w:val="auto"/>
                <w:highlight w:val="none"/>
              </w:rPr>
            </w:pPr>
          </w:p>
        </w:tc>
        <w:tc>
          <w:tcPr>
            <w:tcW w:w="915" w:type="pct"/>
            <w:vMerge w:val="continue"/>
            <w:noWrap w:val="0"/>
            <w:vAlign w:val="center"/>
          </w:tcPr>
          <w:p w14:paraId="3A140730">
            <w:pPr>
              <w:pStyle w:val="46"/>
              <w:bidi w:val="0"/>
              <w:rPr>
                <w:rFonts w:hint="default" w:ascii="Times New Roman" w:hAnsi="Times New Roman" w:cs="Times New Roman"/>
                <w:color w:val="auto"/>
                <w:highlight w:val="none"/>
              </w:rPr>
            </w:pPr>
          </w:p>
        </w:tc>
        <w:tc>
          <w:tcPr>
            <w:tcW w:w="500" w:type="pct"/>
            <w:vMerge w:val="continue"/>
            <w:noWrap w:val="0"/>
            <w:vAlign w:val="center"/>
          </w:tcPr>
          <w:p w14:paraId="537C7BA7">
            <w:pPr>
              <w:pStyle w:val="46"/>
              <w:bidi w:val="0"/>
              <w:rPr>
                <w:rFonts w:hint="default" w:ascii="Times New Roman" w:hAnsi="Times New Roman" w:cs="Times New Roman"/>
                <w:color w:val="auto"/>
                <w:highlight w:val="none"/>
              </w:rPr>
            </w:pPr>
          </w:p>
        </w:tc>
        <w:tc>
          <w:tcPr>
            <w:tcW w:w="478" w:type="pct"/>
            <w:vMerge w:val="continue"/>
            <w:noWrap w:val="0"/>
            <w:vAlign w:val="center"/>
          </w:tcPr>
          <w:p w14:paraId="427E7DA8">
            <w:pPr>
              <w:pStyle w:val="46"/>
              <w:bidi w:val="0"/>
              <w:rPr>
                <w:rFonts w:hint="default" w:ascii="Times New Roman" w:hAnsi="Times New Roman" w:cs="Times New Roman"/>
                <w:color w:val="auto"/>
                <w:highlight w:val="none"/>
              </w:rPr>
            </w:pPr>
          </w:p>
        </w:tc>
      </w:tr>
      <w:tr w14:paraId="7957B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7" w:type="dxa"/>
            <w:noWrap w:val="0"/>
            <w:vAlign w:val="center"/>
          </w:tcPr>
          <w:p w14:paraId="6BC0DE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859" w:type="dxa"/>
            <w:noWrap w:val="0"/>
            <w:vAlign w:val="center"/>
          </w:tcPr>
          <w:p w14:paraId="30EF5B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1.89</w:t>
            </w:r>
          </w:p>
        </w:tc>
        <w:tc>
          <w:tcPr>
            <w:tcW w:w="987" w:type="dxa"/>
            <w:noWrap w:val="0"/>
            <w:vAlign w:val="center"/>
          </w:tcPr>
          <w:p w14:paraId="1B80D7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5.83</w:t>
            </w:r>
          </w:p>
        </w:tc>
        <w:tc>
          <w:tcPr>
            <w:tcW w:w="962" w:type="dxa"/>
            <w:noWrap w:val="0"/>
            <w:vAlign w:val="center"/>
          </w:tcPr>
          <w:p w14:paraId="565A83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1.53</w:t>
            </w:r>
          </w:p>
        </w:tc>
        <w:tc>
          <w:tcPr>
            <w:tcW w:w="660" w:type="pct"/>
            <w:noWrap w:val="0"/>
            <w:vAlign w:val="center"/>
          </w:tcPr>
          <w:p w14:paraId="76A966F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4F89AD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60</w:t>
            </w:r>
          </w:p>
        </w:tc>
        <w:tc>
          <w:tcPr>
            <w:tcW w:w="500" w:type="pct"/>
            <w:noWrap w:val="0"/>
            <w:vAlign w:val="center"/>
          </w:tcPr>
          <w:p w14:paraId="00CF20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126AB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F94A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dxa"/>
            <w:noWrap w:val="0"/>
            <w:vAlign w:val="center"/>
          </w:tcPr>
          <w:p w14:paraId="26CB9E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镉</w:t>
            </w:r>
          </w:p>
        </w:tc>
        <w:tc>
          <w:tcPr>
            <w:tcW w:w="859" w:type="dxa"/>
            <w:noWrap w:val="0"/>
            <w:vAlign w:val="center"/>
          </w:tcPr>
          <w:p w14:paraId="30F0C95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987" w:type="dxa"/>
            <w:noWrap w:val="0"/>
            <w:vAlign w:val="center"/>
          </w:tcPr>
          <w:p w14:paraId="377A7C6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w:t>
            </w:r>
          </w:p>
        </w:tc>
        <w:tc>
          <w:tcPr>
            <w:tcW w:w="962" w:type="dxa"/>
            <w:noWrap w:val="0"/>
            <w:vAlign w:val="center"/>
          </w:tcPr>
          <w:p w14:paraId="2EAA3A1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660" w:type="pct"/>
            <w:noWrap w:val="0"/>
            <w:vAlign w:val="center"/>
          </w:tcPr>
          <w:p w14:paraId="58DD1DA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39E3C3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65</w:t>
            </w:r>
          </w:p>
        </w:tc>
        <w:tc>
          <w:tcPr>
            <w:tcW w:w="500" w:type="pct"/>
            <w:noWrap w:val="0"/>
            <w:vAlign w:val="center"/>
          </w:tcPr>
          <w:p w14:paraId="570F6B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391197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4266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dxa"/>
            <w:noWrap w:val="0"/>
            <w:vAlign w:val="center"/>
          </w:tcPr>
          <w:p w14:paraId="4F0E1D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铬(六价)</w:t>
            </w:r>
          </w:p>
        </w:tc>
        <w:tc>
          <w:tcPr>
            <w:tcW w:w="859" w:type="dxa"/>
            <w:noWrap w:val="0"/>
            <w:vAlign w:val="center"/>
          </w:tcPr>
          <w:p w14:paraId="72AC86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987" w:type="dxa"/>
            <w:noWrap w:val="0"/>
            <w:vAlign w:val="center"/>
          </w:tcPr>
          <w:p w14:paraId="09B1971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962" w:type="dxa"/>
            <w:noWrap w:val="0"/>
            <w:vAlign w:val="center"/>
          </w:tcPr>
          <w:p w14:paraId="12C18AE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60" w:type="pct"/>
            <w:noWrap w:val="0"/>
            <w:vAlign w:val="center"/>
          </w:tcPr>
          <w:p w14:paraId="4526CF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528398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5.7</w:t>
            </w:r>
          </w:p>
        </w:tc>
        <w:tc>
          <w:tcPr>
            <w:tcW w:w="500" w:type="pct"/>
            <w:noWrap w:val="0"/>
            <w:vAlign w:val="center"/>
          </w:tcPr>
          <w:p w14:paraId="18FD0FC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7CC22F3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D486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7" w:type="dxa"/>
            <w:noWrap w:val="0"/>
            <w:vAlign w:val="center"/>
          </w:tcPr>
          <w:p w14:paraId="4A640B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859" w:type="dxa"/>
            <w:noWrap w:val="0"/>
            <w:vAlign w:val="center"/>
          </w:tcPr>
          <w:p w14:paraId="3509B1C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987" w:type="dxa"/>
            <w:noWrap w:val="0"/>
            <w:vAlign w:val="center"/>
          </w:tcPr>
          <w:p w14:paraId="4850907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962" w:type="dxa"/>
            <w:noWrap w:val="0"/>
            <w:vAlign w:val="center"/>
          </w:tcPr>
          <w:p w14:paraId="0779C24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660" w:type="pct"/>
            <w:noWrap w:val="0"/>
            <w:vAlign w:val="center"/>
          </w:tcPr>
          <w:p w14:paraId="34A485B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24DEC8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18000</w:t>
            </w:r>
          </w:p>
        </w:tc>
        <w:tc>
          <w:tcPr>
            <w:tcW w:w="500" w:type="pct"/>
            <w:noWrap w:val="0"/>
            <w:vAlign w:val="center"/>
          </w:tcPr>
          <w:p w14:paraId="4133E7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B5DD6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6951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dxa"/>
            <w:noWrap w:val="0"/>
            <w:vAlign w:val="center"/>
          </w:tcPr>
          <w:p w14:paraId="5125FB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859" w:type="dxa"/>
            <w:noWrap w:val="0"/>
            <w:vAlign w:val="center"/>
          </w:tcPr>
          <w:p w14:paraId="168DE64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987" w:type="dxa"/>
            <w:noWrap w:val="0"/>
            <w:vAlign w:val="center"/>
          </w:tcPr>
          <w:p w14:paraId="7258972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w:t>
            </w:r>
          </w:p>
        </w:tc>
        <w:tc>
          <w:tcPr>
            <w:tcW w:w="962" w:type="dxa"/>
            <w:noWrap w:val="0"/>
            <w:vAlign w:val="center"/>
          </w:tcPr>
          <w:p w14:paraId="232D575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660" w:type="pct"/>
            <w:noWrap w:val="0"/>
            <w:vAlign w:val="center"/>
          </w:tcPr>
          <w:p w14:paraId="788778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5AEF7A6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800</w:t>
            </w:r>
          </w:p>
        </w:tc>
        <w:tc>
          <w:tcPr>
            <w:tcW w:w="500" w:type="pct"/>
            <w:noWrap w:val="0"/>
            <w:vAlign w:val="center"/>
          </w:tcPr>
          <w:p w14:paraId="568F88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112C91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2876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dxa"/>
            <w:noWrap w:val="0"/>
            <w:vAlign w:val="center"/>
          </w:tcPr>
          <w:p w14:paraId="7D0012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859" w:type="dxa"/>
            <w:noWrap w:val="0"/>
            <w:vAlign w:val="center"/>
          </w:tcPr>
          <w:p w14:paraId="304FF15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0.011</w:t>
            </w:r>
          </w:p>
        </w:tc>
        <w:tc>
          <w:tcPr>
            <w:tcW w:w="987" w:type="dxa"/>
            <w:noWrap w:val="0"/>
            <w:vAlign w:val="center"/>
          </w:tcPr>
          <w:p w14:paraId="01D826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0.018</w:t>
            </w:r>
          </w:p>
        </w:tc>
        <w:tc>
          <w:tcPr>
            <w:tcW w:w="962" w:type="dxa"/>
            <w:noWrap w:val="0"/>
            <w:vAlign w:val="center"/>
          </w:tcPr>
          <w:p w14:paraId="6EAD69A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0.011</w:t>
            </w:r>
          </w:p>
        </w:tc>
        <w:tc>
          <w:tcPr>
            <w:tcW w:w="660" w:type="pct"/>
            <w:noWrap w:val="0"/>
            <w:vAlign w:val="center"/>
          </w:tcPr>
          <w:p w14:paraId="6FB6ACD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35222C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38</w:t>
            </w:r>
          </w:p>
        </w:tc>
        <w:tc>
          <w:tcPr>
            <w:tcW w:w="500" w:type="pct"/>
            <w:noWrap w:val="0"/>
            <w:vAlign w:val="center"/>
          </w:tcPr>
          <w:p w14:paraId="78F547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1B72A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211C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357" w:type="dxa"/>
            <w:noWrap w:val="0"/>
            <w:vAlign w:val="center"/>
          </w:tcPr>
          <w:p w14:paraId="24C0514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镍</w:t>
            </w:r>
          </w:p>
        </w:tc>
        <w:tc>
          <w:tcPr>
            <w:tcW w:w="859" w:type="dxa"/>
            <w:noWrap w:val="0"/>
            <w:vAlign w:val="center"/>
          </w:tcPr>
          <w:p w14:paraId="539B2AA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987" w:type="dxa"/>
            <w:noWrap w:val="0"/>
            <w:vAlign w:val="center"/>
          </w:tcPr>
          <w:p w14:paraId="2DD74C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28</w:t>
            </w:r>
          </w:p>
        </w:tc>
        <w:tc>
          <w:tcPr>
            <w:tcW w:w="962" w:type="dxa"/>
            <w:noWrap w:val="0"/>
            <w:vAlign w:val="center"/>
          </w:tcPr>
          <w:p w14:paraId="5D1762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91</w:t>
            </w:r>
          </w:p>
        </w:tc>
        <w:tc>
          <w:tcPr>
            <w:tcW w:w="660" w:type="pct"/>
            <w:noWrap w:val="0"/>
            <w:vAlign w:val="center"/>
          </w:tcPr>
          <w:p w14:paraId="2C3FACE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560" w:type="dxa"/>
            <w:noWrap w:val="0"/>
            <w:vAlign w:val="center"/>
          </w:tcPr>
          <w:p w14:paraId="276298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900</w:t>
            </w:r>
          </w:p>
        </w:tc>
        <w:tc>
          <w:tcPr>
            <w:tcW w:w="500" w:type="pct"/>
            <w:noWrap w:val="0"/>
            <w:vAlign w:val="center"/>
          </w:tcPr>
          <w:p w14:paraId="37FEC4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65EA92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063C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6AC6E4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四氯化碳</w:t>
            </w:r>
          </w:p>
        </w:tc>
        <w:tc>
          <w:tcPr>
            <w:tcW w:w="504" w:type="pct"/>
            <w:noWrap w:val="0"/>
            <w:vAlign w:val="center"/>
          </w:tcPr>
          <w:p w14:paraId="25CD43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7E591C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85981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90525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5E7E6D2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500" w:type="pct"/>
            <w:noWrap w:val="0"/>
            <w:vAlign w:val="center"/>
          </w:tcPr>
          <w:p w14:paraId="5D7A4E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7A6998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EE9E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7A5E6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氯仿</w:t>
            </w:r>
          </w:p>
        </w:tc>
        <w:tc>
          <w:tcPr>
            <w:tcW w:w="504" w:type="pct"/>
            <w:noWrap w:val="0"/>
            <w:vAlign w:val="center"/>
          </w:tcPr>
          <w:p w14:paraId="6794FA8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20E67F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3148B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38DC0D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4A1BC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0.9</w:t>
            </w:r>
          </w:p>
        </w:tc>
        <w:tc>
          <w:tcPr>
            <w:tcW w:w="500" w:type="pct"/>
            <w:noWrap w:val="0"/>
            <w:vAlign w:val="center"/>
          </w:tcPr>
          <w:p w14:paraId="66B856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7283A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AF45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493E67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氯甲烷</w:t>
            </w:r>
          </w:p>
        </w:tc>
        <w:tc>
          <w:tcPr>
            <w:tcW w:w="504" w:type="pct"/>
            <w:noWrap w:val="0"/>
            <w:vAlign w:val="center"/>
          </w:tcPr>
          <w:p w14:paraId="488EFAF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80AA5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B60D8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5C0026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275CCD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500" w:type="pct"/>
            <w:noWrap w:val="0"/>
            <w:vAlign w:val="center"/>
          </w:tcPr>
          <w:p w14:paraId="2CAA2D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11498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9967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8511DE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1,1-二氯乙烷</w:t>
            </w:r>
          </w:p>
        </w:tc>
        <w:tc>
          <w:tcPr>
            <w:tcW w:w="504" w:type="pct"/>
            <w:noWrap w:val="0"/>
            <w:vAlign w:val="center"/>
          </w:tcPr>
          <w:p w14:paraId="21B6BD5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990E8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430A472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0CC252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6674D0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500" w:type="pct"/>
            <w:noWrap w:val="0"/>
            <w:vAlign w:val="center"/>
          </w:tcPr>
          <w:p w14:paraId="7E9EB5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B0702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D1E0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2C6F64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1,2-二氯乙烷</w:t>
            </w:r>
          </w:p>
        </w:tc>
        <w:tc>
          <w:tcPr>
            <w:tcW w:w="504" w:type="pct"/>
            <w:noWrap w:val="0"/>
            <w:vAlign w:val="center"/>
          </w:tcPr>
          <w:p w14:paraId="65299F1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B5C95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05976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53847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2358C2E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500" w:type="pct"/>
            <w:noWrap w:val="0"/>
            <w:vAlign w:val="center"/>
          </w:tcPr>
          <w:p w14:paraId="552002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67B61B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748C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1F391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1,1-二氯乙烯</w:t>
            </w:r>
          </w:p>
        </w:tc>
        <w:tc>
          <w:tcPr>
            <w:tcW w:w="504" w:type="pct"/>
            <w:noWrap w:val="0"/>
            <w:vAlign w:val="center"/>
          </w:tcPr>
          <w:p w14:paraId="1636833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3ABD8C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027CB3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5A9052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117426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500" w:type="pct"/>
            <w:noWrap w:val="0"/>
            <w:vAlign w:val="center"/>
          </w:tcPr>
          <w:p w14:paraId="1BF0C4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D88D6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53ED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2F2F95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顺-1,2-二氯乙烯</w:t>
            </w:r>
          </w:p>
        </w:tc>
        <w:tc>
          <w:tcPr>
            <w:tcW w:w="504" w:type="pct"/>
            <w:noWrap w:val="0"/>
            <w:vAlign w:val="center"/>
          </w:tcPr>
          <w:p w14:paraId="27F47F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392B0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4F4B60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2FCEEB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91A0D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596</w:t>
            </w:r>
          </w:p>
        </w:tc>
        <w:tc>
          <w:tcPr>
            <w:tcW w:w="500" w:type="pct"/>
            <w:noWrap w:val="0"/>
            <w:vAlign w:val="center"/>
          </w:tcPr>
          <w:p w14:paraId="3CAF80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1154F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9B15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03DE4F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反-1,2-二氯乙烯</w:t>
            </w:r>
          </w:p>
        </w:tc>
        <w:tc>
          <w:tcPr>
            <w:tcW w:w="504" w:type="pct"/>
            <w:noWrap w:val="0"/>
            <w:vAlign w:val="center"/>
          </w:tcPr>
          <w:p w14:paraId="129D264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F255F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264706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47D280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2BC840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500" w:type="pct"/>
            <w:noWrap w:val="0"/>
            <w:vAlign w:val="center"/>
          </w:tcPr>
          <w:p w14:paraId="385F6D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9F47E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FD90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60AD9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二氯甲烷</w:t>
            </w:r>
          </w:p>
        </w:tc>
        <w:tc>
          <w:tcPr>
            <w:tcW w:w="504" w:type="pct"/>
            <w:noWrap w:val="0"/>
            <w:vAlign w:val="center"/>
          </w:tcPr>
          <w:p w14:paraId="1E2798F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EA7ED4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96419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58A525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450417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616</w:t>
            </w:r>
          </w:p>
        </w:tc>
        <w:tc>
          <w:tcPr>
            <w:tcW w:w="500" w:type="pct"/>
            <w:noWrap w:val="0"/>
            <w:vAlign w:val="center"/>
          </w:tcPr>
          <w:p w14:paraId="04002F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92BB5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EDDB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796" w:type="pct"/>
            <w:noWrap w:val="0"/>
            <w:vAlign w:val="center"/>
          </w:tcPr>
          <w:p w14:paraId="39DCE16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504" w:type="pct"/>
            <w:noWrap w:val="0"/>
            <w:vAlign w:val="center"/>
          </w:tcPr>
          <w:p w14:paraId="53FDCB5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7E927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4D862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3A9D0E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7E8594D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500" w:type="pct"/>
            <w:noWrap w:val="0"/>
            <w:vAlign w:val="center"/>
          </w:tcPr>
          <w:p w14:paraId="13278A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6A6514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BB2D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02754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1,1,1,2-四氯乙烷</w:t>
            </w:r>
          </w:p>
        </w:tc>
        <w:tc>
          <w:tcPr>
            <w:tcW w:w="504" w:type="pct"/>
            <w:noWrap w:val="0"/>
            <w:vAlign w:val="center"/>
          </w:tcPr>
          <w:p w14:paraId="507A91E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54DF97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7AD10B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CCF62B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101EAB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500" w:type="pct"/>
            <w:noWrap w:val="0"/>
            <w:vAlign w:val="center"/>
          </w:tcPr>
          <w:p w14:paraId="7A98BB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DF3C4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3DDF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 w:hRule="atLeast"/>
        </w:trPr>
        <w:tc>
          <w:tcPr>
            <w:tcW w:w="796" w:type="pct"/>
            <w:noWrap w:val="0"/>
            <w:vAlign w:val="center"/>
          </w:tcPr>
          <w:p w14:paraId="513920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1,1,2,2-四氯乙烷</w:t>
            </w:r>
          </w:p>
        </w:tc>
        <w:tc>
          <w:tcPr>
            <w:tcW w:w="504" w:type="pct"/>
            <w:noWrap w:val="0"/>
            <w:vAlign w:val="center"/>
          </w:tcPr>
          <w:p w14:paraId="6F2A61E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E5B7B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D5534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1617E4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63E5DB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500" w:type="pct"/>
            <w:noWrap w:val="0"/>
            <w:vAlign w:val="center"/>
          </w:tcPr>
          <w:p w14:paraId="3FB1F1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3FFBF7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9707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796" w:type="pct"/>
            <w:noWrap w:val="0"/>
            <w:vAlign w:val="center"/>
          </w:tcPr>
          <w:p w14:paraId="08E64F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四氯乙烯</w:t>
            </w:r>
          </w:p>
        </w:tc>
        <w:tc>
          <w:tcPr>
            <w:tcW w:w="504" w:type="pct"/>
            <w:noWrap w:val="0"/>
            <w:vAlign w:val="center"/>
          </w:tcPr>
          <w:p w14:paraId="50FE992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9A2E0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2C8C84C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9E56C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55AC0A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500" w:type="pct"/>
            <w:noWrap w:val="0"/>
            <w:vAlign w:val="center"/>
          </w:tcPr>
          <w:p w14:paraId="0CBA315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E7A22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8540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CFD26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1,1,1-三氯乙烷</w:t>
            </w:r>
          </w:p>
        </w:tc>
        <w:tc>
          <w:tcPr>
            <w:tcW w:w="504" w:type="pct"/>
            <w:noWrap w:val="0"/>
            <w:vAlign w:val="center"/>
          </w:tcPr>
          <w:p w14:paraId="6C4E6D1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2256E2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47B726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11B676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2F30D0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840</w:t>
            </w:r>
          </w:p>
        </w:tc>
        <w:tc>
          <w:tcPr>
            <w:tcW w:w="500" w:type="pct"/>
            <w:noWrap w:val="0"/>
            <w:vAlign w:val="center"/>
          </w:tcPr>
          <w:p w14:paraId="07CF44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2346D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A3E2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E13EF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1,1,2-三氯乙烷</w:t>
            </w:r>
          </w:p>
        </w:tc>
        <w:tc>
          <w:tcPr>
            <w:tcW w:w="504" w:type="pct"/>
            <w:noWrap w:val="0"/>
            <w:vAlign w:val="center"/>
          </w:tcPr>
          <w:p w14:paraId="22AC448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69BAE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445B45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63459A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FB95F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500" w:type="pct"/>
            <w:noWrap w:val="0"/>
            <w:vAlign w:val="center"/>
          </w:tcPr>
          <w:p w14:paraId="776935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54278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21D0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3DE2A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三氯乙烯</w:t>
            </w:r>
          </w:p>
        </w:tc>
        <w:tc>
          <w:tcPr>
            <w:tcW w:w="504" w:type="pct"/>
            <w:noWrap w:val="0"/>
            <w:vAlign w:val="center"/>
          </w:tcPr>
          <w:p w14:paraId="346FB9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91C90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B6058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659418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E1C8A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500" w:type="pct"/>
            <w:noWrap w:val="0"/>
            <w:vAlign w:val="center"/>
          </w:tcPr>
          <w:p w14:paraId="2ACAB3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C378B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3DD6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97470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504" w:type="pct"/>
            <w:noWrap w:val="0"/>
            <w:vAlign w:val="center"/>
          </w:tcPr>
          <w:p w14:paraId="40DD3D7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88B06D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8FAC0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4283ECB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49483B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500" w:type="pct"/>
            <w:noWrap w:val="0"/>
            <w:vAlign w:val="center"/>
          </w:tcPr>
          <w:p w14:paraId="3C4A4A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3BCA00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C106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2FE5E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氯乙烯</w:t>
            </w:r>
          </w:p>
        </w:tc>
        <w:tc>
          <w:tcPr>
            <w:tcW w:w="504" w:type="pct"/>
            <w:noWrap w:val="0"/>
            <w:vAlign w:val="center"/>
          </w:tcPr>
          <w:p w14:paraId="50CDF37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BC453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343312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0BE6FD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628D9F4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0.43</w:t>
            </w:r>
          </w:p>
        </w:tc>
        <w:tc>
          <w:tcPr>
            <w:tcW w:w="500" w:type="pct"/>
            <w:noWrap w:val="0"/>
            <w:vAlign w:val="center"/>
          </w:tcPr>
          <w:p w14:paraId="4F4B16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6A80CC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E8FE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F8E9C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w:t>
            </w:r>
          </w:p>
        </w:tc>
        <w:tc>
          <w:tcPr>
            <w:tcW w:w="504" w:type="pct"/>
            <w:noWrap w:val="0"/>
            <w:vAlign w:val="center"/>
          </w:tcPr>
          <w:p w14:paraId="2506699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253F01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7196C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5B415E3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4EDD0A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500" w:type="pct"/>
            <w:noWrap w:val="0"/>
            <w:vAlign w:val="center"/>
          </w:tcPr>
          <w:p w14:paraId="004D57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A8485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56CE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8483A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氯苯</w:t>
            </w:r>
          </w:p>
        </w:tc>
        <w:tc>
          <w:tcPr>
            <w:tcW w:w="504" w:type="pct"/>
            <w:noWrap w:val="0"/>
            <w:vAlign w:val="center"/>
          </w:tcPr>
          <w:p w14:paraId="576CB6C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4256D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5C8E95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14D0D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454AB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270</w:t>
            </w:r>
          </w:p>
        </w:tc>
        <w:tc>
          <w:tcPr>
            <w:tcW w:w="500" w:type="pct"/>
            <w:noWrap w:val="0"/>
            <w:vAlign w:val="center"/>
          </w:tcPr>
          <w:p w14:paraId="688091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507027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E5839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EAFBA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1,2-二氯苯</w:t>
            </w:r>
          </w:p>
        </w:tc>
        <w:tc>
          <w:tcPr>
            <w:tcW w:w="504" w:type="pct"/>
            <w:noWrap w:val="0"/>
            <w:vAlign w:val="center"/>
          </w:tcPr>
          <w:p w14:paraId="68A18D1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5F44E8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3B44AF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41C67E1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7BAC0F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560</w:t>
            </w:r>
          </w:p>
        </w:tc>
        <w:tc>
          <w:tcPr>
            <w:tcW w:w="500" w:type="pct"/>
            <w:noWrap w:val="0"/>
            <w:vAlign w:val="center"/>
          </w:tcPr>
          <w:p w14:paraId="15C60F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43BE2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FD4E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49443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1,4-二氯苯</w:t>
            </w:r>
          </w:p>
        </w:tc>
        <w:tc>
          <w:tcPr>
            <w:tcW w:w="504" w:type="pct"/>
            <w:noWrap w:val="0"/>
            <w:vAlign w:val="center"/>
          </w:tcPr>
          <w:p w14:paraId="2D1F8A8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1DCD7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033756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429729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C2DBA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500" w:type="pct"/>
            <w:noWrap w:val="0"/>
            <w:vAlign w:val="center"/>
          </w:tcPr>
          <w:p w14:paraId="198635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6D848B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9EFA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3BFDD1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乙苯</w:t>
            </w:r>
          </w:p>
        </w:tc>
        <w:tc>
          <w:tcPr>
            <w:tcW w:w="504" w:type="pct"/>
            <w:noWrap w:val="0"/>
            <w:vAlign w:val="center"/>
          </w:tcPr>
          <w:p w14:paraId="042F78A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C8D62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EAC84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027C4A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33BB91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500" w:type="pct"/>
            <w:noWrap w:val="0"/>
            <w:vAlign w:val="center"/>
          </w:tcPr>
          <w:p w14:paraId="58FE17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E8A5B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FE8B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96" w:type="pct"/>
            <w:noWrap w:val="0"/>
            <w:vAlign w:val="center"/>
          </w:tcPr>
          <w:p w14:paraId="488FED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苯乙烯</w:t>
            </w:r>
          </w:p>
        </w:tc>
        <w:tc>
          <w:tcPr>
            <w:tcW w:w="504" w:type="pct"/>
            <w:noWrap w:val="0"/>
            <w:vAlign w:val="center"/>
          </w:tcPr>
          <w:p w14:paraId="04C4981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C4613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EECB3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3B6BE5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675781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1290</w:t>
            </w:r>
          </w:p>
        </w:tc>
        <w:tc>
          <w:tcPr>
            <w:tcW w:w="500" w:type="pct"/>
            <w:noWrap w:val="0"/>
            <w:vAlign w:val="center"/>
          </w:tcPr>
          <w:p w14:paraId="67106CF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85FB7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4877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AF22E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甲苯</w:t>
            </w:r>
          </w:p>
        </w:tc>
        <w:tc>
          <w:tcPr>
            <w:tcW w:w="504" w:type="pct"/>
            <w:noWrap w:val="0"/>
            <w:vAlign w:val="center"/>
          </w:tcPr>
          <w:p w14:paraId="280BD9B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9180F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A8B8B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06A19A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7F0F20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500" w:type="pct"/>
            <w:noWrap w:val="0"/>
            <w:vAlign w:val="center"/>
          </w:tcPr>
          <w:p w14:paraId="39652EC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128C6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3DE9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1F72C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间二甲苯+对二甲苯</w:t>
            </w:r>
          </w:p>
        </w:tc>
        <w:tc>
          <w:tcPr>
            <w:tcW w:w="504" w:type="pct"/>
            <w:noWrap w:val="0"/>
            <w:vAlign w:val="center"/>
          </w:tcPr>
          <w:p w14:paraId="5DB9407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1AA04D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041A6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58026A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76212F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570</w:t>
            </w:r>
          </w:p>
        </w:tc>
        <w:tc>
          <w:tcPr>
            <w:tcW w:w="500" w:type="pct"/>
            <w:noWrap w:val="0"/>
            <w:vAlign w:val="center"/>
          </w:tcPr>
          <w:p w14:paraId="61B93C2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3B417D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8ADC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8C280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邻二甲苯</w:t>
            </w:r>
          </w:p>
        </w:tc>
        <w:tc>
          <w:tcPr>
            <w:tcW w:w="504" w:type="pct"/>
            <w:noWrap w:val="0"/>
            <w:vAlign w:val="center"/>
          </w:tcPr>
          <w:p w14:paraId="00B5C4D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20844D9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AFB86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1F7191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μg/kg</w:t>
            </w:r>
          </w:p>
        </w:tc>
        <w:tc>
          <w:tcPr>
            <w:tcW w:w="915" w:type="pct"/>
            <w:noWrap w:val="0"/>
            <w:vAlign w:val="center"/>
          </w:tcPr>
          <w:p w14:paraId="7E7CDB9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500" w:type="pct"/>
            <w:noWrap w:val="0"/>
            <w:vAlign w:val="center"/>
          </w:tcPr>
          <w:p w14:paraId="7F72B9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19C8D6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59C4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D4D49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硝基苯</w:t>
            </w:r>
          </w:p>
        </w:tc>
        <w:tc>
          <w:tcPr>
            <w:tcW w:w="504" w:type="pct"/>
            <w:noWrap w:val="0"/>
            <w:vAlign w:val="center"/>
          </w:tcPr>
          <w:p w14:paraId="08CB4E9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FEAB58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64" w:type="pct"/>
            <w:noWrap w:val="0"/>
            <w:vAlign w:val="center"/>
          </w:tcPr>
          <w:p w14:paraId="515714F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60" w:type="pct"/>
            <w:noWrap w:val="0"/>
            <w:vAlign w:val="center"/>
          </w:tcPr>
          <w:p w14:paraId="5E1D6E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w:t>
            </w:r>
            <w:r>
              <w:rPr>
                <w:rFonts w:hint="default" w:ascii="Times New Roman" w:hAnsi="Times New Roman" w:cs="Times New Roman"/>
                <w:color w:val="auto"/>
                <w:highlight w:val="none"/>
              </w:rPr>
              <w:t>/kg</w:t>
            </w:r>
          </w:p>
        </w:tc>
        <w:tc>
          <w:tcPr>
            <w:tcW w:w="915" w:type="pct"/>
            <w:noWrap w:val="0"/>
            <w:vAlign w:val="center"/>
          </w:tcPr>
          <w:p w14:paraId="3C05DC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500" w:type="pct"/>
            <w:noWrap w:val="0"/>
            <w:vAlign w:val="center"/>
          </w:tcPr>
          <w:p w14:paraId="5E284C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FBE31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DA53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18EAD06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苯胺</w:t>
            </w:r>
          </w:p>
        </w:tc>
        <w:tc>
          <w:tcPr>
            <w:tcW w:w="504" w:type="pct"/>
            <w:noWrap w:val="0"/>
            <w:vAlign w:val="center"/>
          </w:tcPr>
          <w:p w14:paraId="6897446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C78BF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E2F5C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BDC8B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62BFDA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260</w:t>
            </w:r>
          </w:p>
        </w:tc>
        <w:tc>
          <w:tcPr>
            <w:tcW w:w="500" w:type="pct"/>
            <w:noWrap w:val="0"/>
            <w:vAlign w:val="center"/>
          </w:tcPr>
          <w:p w14:paraId="25845C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FA81E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83E0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796" w:type="pct"/>
            <w:noWrap w:val="0"/>
            <w:vAlign w:val="center"/>
          </w:tcPr>
          <w:p w14:paraId="083F54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2-氯酚</w:t>
            </w:r>
          </w:p>
        </w:tc>
        <w:tc>
          <w:tcPr>
            <w:tcW w:w="504" w:type="pct"/>
            <w:noWrap w:val="0"/>
            <w:vAlign w:val="center"/>
          </w:tcPr>
          <w:p w14:paraId="238C289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5AA7F0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64" w:type="pct"/>
            <w:noWrap w:val="0"/>
            <w:vAlign w:val="center"/>
          </w:tcPr>
          <w:p w14:paraId="1FFCBF5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60" w:type="pct"/>
            <w:noWrap w:val="0"/>
            <w:vAlign w:val="center"/>
          </w:tcPr>
          <w:p w14:paraId="1310CB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w:t>
            </w:r>
            <w:r>
              <w:rPr>
                <w:rFonts w:hint="default" w:ascii="Times New Roman" w:hAnsi="Times New Roman" w:cs="Times New Roman"/>
                <w:color w:val="auto"/>
                <w:highlight w:val="none"/>
              </w:rPr>
              <w:t>/kg</w:t>
            </w:r>
          </w:p>
        </w:tc>
        <w:tc>
          <w:tcPr>
            <w:tcW w:w="915" w:type="pct"/>
            <w:noWrap w:val="0"/>
            <w:vAlign w:val="center"/>
          </w:tcPr>
          <w:p w14:paraId="6FC863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2256</w:t>
            </w:r>
          </w:p>
        </w:tc>
        <w:tc>
          <w:tcPr>
            <w:tcW w:w="500" w:type="pct"/>
            <w:noWrap w:val="0"/>
            <w:vAlign w:val="center"/>
          </w:tcPr>
          <w:p w14:paraId="4118DD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466CF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6299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8BCE4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苯并[a]蒽</w:t>
            </w:r>
          </w:p>
        </w:tc>
        <w:tc>
          <w:tcPr>
            <w:tcW w:w="504" w:type="pct"/>
            <w:noWrap w:val="0"/>
            <w:vAlign w:val="center"/>
          </w:tcPr>
          <w:p w14:paraId="60EF5BA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63535A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53D7DC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076EE9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6971F6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500" w:type="pct"/>
            <w:noWrap w:val="0"/>
            <w:vAlign w:val="center"/>
          </w:tcPr>
          <w:p w14:paraId="0CD6BA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17ED3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FDDC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26788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苯并[a]芘</w:t>
            </w:r>
          </w:p>
        </w:tc>
        <w:tc>
          <w:tcPr>
            <w:tcW w:w="504" w:type="pct"/>
            <w:noWrap w:val="0"/>
            <w:vAlign w:val="center"/>
          </w:tcPr>
          <w:p w14:paraId="4A639D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9E356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3623D3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606CDF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206D8E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500" w:type="pct"/>
            <w:noWrap w:val="0"/>
            <w:vAlign w:val="center"/>
          </w:tcPr>
          <w:p w14:paraId="218484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1048C8F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3344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5986F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苯并[b]荧蒽</w:t>
            </w:r>
          </w:p>
        </w:tc>
        <w:tc>
          <w:tcPr>
            <w:tcW w:w="504" w:type="pct"/>
            <w:noWrap w:val="0"/>
            <w:vAlign w:val="center"/>
          </w:tcPr>
          <w:p w14:paraId="42CFCB2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7B6727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93968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74E0FE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03FA12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500" w:type="pct"/>
            <w:noWrap w:val="0"/>
            <w:vAlign w:val="center"/>
          </w:tcPr>
          <w:p w14:paraId="2B2AB4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3CEF7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17F5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DD9E2F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苯并[k]荧蒽</w:t>
            </w:r>
          </w:p>
        </w:tc>
        <w:tc>
          <w:tcPr>
            <w:tcW w:w="504" w:type="pct"/>
            <w:noWrap w:val="0"/>
            <w:vAlign w:val="center"/>
          </w:tcPr>
          <w:p w14:paraId="7DAAD38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4B3666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169FD5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44BF8E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521AFD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151</w:t>
            </w:r>
          </w:p>
        </w:tc>
        <w:tc>
          <w:tcPr>
            <w:tcW w:w="500" w:type="pct"/>
            <w:noWrap w:val="0"/>
            <w:vAlign w:val="center"/>
          </w:tcPr>
          <w:p w14:paraId="3DCD23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672358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CAF6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468F0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䓛</w:t>
            </w:r>
          </w:p>
        </w:tc>
        <w:tc>
          <w:tcPr>
            <w:tcW w:w="504" w:type="pct"/>
            <w:noWrap w:val="0"/>
            <w:vAlign w:val="center"/>
          </w:tcPr>
          <w:p w14:paraId="2E3C95F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7B36D3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00EE76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107542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49BE578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1293</w:t>
            </w:r>
          </w:p>
        </w:tc>
        <w:tc>
          <w:tcPr>
            <w:tcW w:w="500" w:type="pct"/>
            <w:noWrap w:val="0"/>
            <w:vAlign w:val="center"/>
          </w:tcPr>
          <w:p w14:paraId="2D0524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474A6F5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32E5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9146F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二苯并[a,h]蒽</w:t>
            </w:r>
          </w:p>
        </w:tc>
        <w:tc>
          <w:tcPr>
            <w:tcW w:w="504" w:type="pct"/>
            <w:noWrap w:val="0"/>
            <w:vAlign w:val="center"/>
          </w:tcPr>
          <w:p w14:paraId="6EBA55A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082D6C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211341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3DC90B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585340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500" w:type="pct"/>
            <w:noWrap w:val="0"/>
            <w:vAlign w:val="center"/>
          </w:tcPr>
          <w:p w14:paraId="2B57B6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076A0E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4013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5099E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茚并[1,2,3-cd]芘</w:t>
            </w:r>
          </w:p>
        </w:tc>
        <w:tc>
          <w:tcPr>
            <w:tcW w:w="504" w:type="pct"/>
            <w:noWrap w:val="0"/>
            <w:vAlign w:val="center"/>
          </w:tcPr>
          <w:p w14:paraId="791E8B9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291AEC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784785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6643E4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27034F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500" w:type="pct"/>
            <w:noWrap w:val="0"/>
            <w:vAlign w:val="center"/>
          </w:tcPr>
          <w:p w14:paraId="158896C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7F2C3C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C4EF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67E67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萘</w:t>
            </w:r>
          </w:p>
        </w:tc>
        <w:tc>
          <w:tcPr>
            <w:tcW w:w="504" w:type="pct"/>
            <w:noWrap w:val="0"/>
            <w:vAlign w:val="center"/>
          </w:tcPr>
          <w:p w14:paraId="11E2542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9" w:type="pct"/>
            <w:noWrap w:val="0"/>
            <w:vAlign w:val="center"/>
          </w:tcPr>
          <w:p w14:paraId="79927D1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564" w:type="pct"/>
            <w:noWrap w:val="0"/>
            <w:vAlign w:val="center"/>
          </w:tcPr>
          <w:p w14:paraId="6BF34E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c>
          <w:tcPr>
            <w:tcW w:w="660" w:type="pct"/>
            <w:noWrap w:val="0"/>
            <w:vAlign w:val="center"/>
          </w:tcPr>
          <w:p w14:paraId="2C070D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915" w:type="pct"/>
            <w:noWrap w:val="0"/>
            <w:vAlign w:val="center"/>
          </w:tcPr>
          <w:p w14:paraId="7CB3DD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500" w:type="pct"/>
            <w:noWrap w:val="0"/>
            <w:vAlign w:val="center"/>
          </w:tcPr>
          <w:p w14:paraId="7A207A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78" w:type="pct"/>
            <w:noWrap w:val="0"/>
            <w:vAlign w:val="center"/>
          </w:tcPr>
          <w:p w14:paraId="22F520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C45D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F761A5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859" w:type="dxa"/>
            <w:noWrap w:val="0"/>
            <w:vAlign w:val="center"/>
          </w:tcPr>
          <w:p w14:paraId="7438FD5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6.36</w:t>
            </w:r>
          </w:p>
        </w:tc>
        <w:tc>
          <w:tcPr>
            <w:tcW w:w="987" w:type="dxa"/>
            <w:noWrap w:val="0"/>
            <w:vAlign w:val="center"/>
          </w:tcPr>
          <w:p w14:paraId="33D2FBB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6.85</w:t>
            </w:r>
          </w:p>
        </w:tc>
        <w:tc>
          <w:tcPr>
            <w:tcW w:w="962" w:type="dxa"/>
            <w:noWrap w:val="0"/>
            <w:vAlign w:val="center"/>
          </w:tcPr>
          <w:p w14:paraId="4F14CBA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6.14</w:t>
            </w:r>
          </w:p>
        </w:tc>
        <w:tc>
          <w:tcPr>
            <w:tcW w:w="660" w:type="pct"/>
            <w:noWrap w:val="0"/>
            <w:vAlign w:val="center"/>
          </w:tcPr>
          <w:p w14:paraId="39A135C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915" w:type="pct"/>
            <w:noWrap w:val="0"/>
            <w:vAlign w:val="center"/>
          </w:tcPr>
          <w:p w14:paraId="0458DB3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0" w:type="pct"/>
            <w:noWrap w:val="0"/>
            <w:vAlign w:val="center"/>
          </w:tcPr>
          <w:p w14:paraId="18B5A77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78" w:type="pct"/>
            <w:noWrap w:val="0"/>
            <w:vAlign w:val="center"/>
          </w:tcPr>
          <w:p w14:paraId="45F5628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2F8D9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16708A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水溶性盐</w:t>
            </w:r>
          </w:p>
        </w:tc>
        <w:tc>
          <w:tcPr>
            <w:tcW w:w="859" w:type="dxa"/>
            <w:noWrap w:val="0"/>
            <w:vAlign w:val="center"/>
          </w:tcPr>
          <w:p w14:paraId="41B312E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0.71</w:t>
            </w:r>
          </w:p>
        </w:tc>
        <w:tc>
          <w:tcPr>
            <w:tcW w:w="987" w:type="dxa"/>
            <w:noWrap w:val="0"/>
            <w:vAlign w:val="center"/>
          </w:tcPr>
          <w:p w14:paraId="4EEEF0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0.71</w:t>
            </w:r>
          </w:p>
        </w:tc>
        <w:tc>
          <w:tcPr>
            <w:tcW w:w="962" w:type="dxa"/>
            <w:noWrap w:val="0"/>
            <w:vAlign w:val="center"/>
          </w:tcPr>
          <w:p w14:paraId="7234CF2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0.18</w:t>
            </w:r>
          </w:p>
        </w:tc>
        <w:tc>
          <w:tcPr>
            <w:tcW w:w="660" w:type="pct"/>
            <w:noWrap w:val="0"/>
            <w:vAlign w:val="center"/>
          </w:tcPr>
          <w:p w14:paraId="2663AD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g/kg</w:t>
            </w:r>
          </w:p>
        </w:tc>
        <w:tc>
          <w:tcPr>
            <w:tcW w:w="915" w:type="pct"/>
            <w:noWrap w:val="0"/>
            <w:vAlign w:val="center"/>
          </w:tcPr>
          <w:p w14:paraId="333820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0" w:type="pct"/>
            <w:noWrap w:val="0"/>
            <w:vAlign w:val="center"/>
          </w:tcPr>
          <w:p w14:paraId="3BA041A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78" w:type="pct"/>
            <w:noWrap w:val="0"/>
            <w:vAlign w:val="center"/>
          </w:tcPr>
          <w:p w14:paraId="22B68E0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bl>
    <w:p w14:paraId="4A799785">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注：“ND”代表低于检出限，“L”表示未检出，其数值为该项目检出限</w:t>
      </w:r>
    </w:p>
    <w:p w14:paraId="1F52D3B7">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r>
        <w:rPr>
          <w:rFonts w:hint="eastAsia" w:cs="Times New Roman"/>
          <w:color w:val="auto"/>
          <w:highlight w:val="none"/>
          <w:lang w:val="en-US" w:eastAsia="zh-CN"/>
        </w:rPr>
        <w:t>20</w:t>
      </w:r>
      <w:r>
        <w:rPr>
          <w:rFonts w:hint="default" w:ascii="Times New Roman" w:hAnsi="Times New Roman" w:cs="Times New Roman"/>
          <w:color w:val="auto"/>
          <w:highlight w:val="none"/>
        </w:rPr>
        <w:t>土壤现状监测结果（</w:t>
      </w:r>
      <w:r>
        <w:rPr>
          <w:rFonts w:hint="default" w:ascii="Times New Roman" w:hAnsi="Times New Roman" w:cs="Times New Roman"/>
          <w:color w:val="auto"/>
          <w:highlight w:val="none"/>
          <w:lang w:val="en-US" w:eastAsia="zh-CN"/>
        </w:rPr>
        <w:t>S3</w:t>
      </w:r>
      <w:r>
        <w:rPr>
          <w:rFonts w:hint="default" w:ascii="Times New Roman" w:hAnsi="Times New Roman" w:cs="Times New Roman"/>
          <w:color w:val="auto"/>
          <w:highlight w:val="none"/>
        </w:rPr>
        <w:t>）</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1031"/>
        <w:gridCol w:w="1031"/>
        <w:gridCol w:w="1038"/>
        <w:gridCol w:w="767"/>
        <w:gridCol w:w="1058"/>
        <w:gridCol w:w="975"/>
        <w:gridCol w:w="978"/>
        <w:gridCol w:w="431"/>
        <w:gridCol w:w="426"/>
      </w:tblGrid>
      <w:tr w14:paraId="1E30A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459" w:type="pct"/>
            <w:vMerge w:val="restart"/>
            <w:tcBorders>
              <w:tl2br w:val="nil"/>
              <w:tr2bl w:val="nil"/>
            </w:tcBorders>
            <w:noWrap w:val="0"/>
            <w:vAlign w:val="center"/>
          </w:tcPr>
          <w:p w14:paraId="636F73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819" w:type="pct"/>
            <w:gridSpan w:val="3"/>
            <w:tcBorders>
              <w:tl2br w:val="nil"/>
              <w:tr2bl w:val="nil"/>
            </w:tcBorders>
            <w:noWrap w:val="0"/>
            <w:vAlign w:val="center"/>
          </w:tcPr>
          <w:p w14:paraId="2035B7D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S3</w:t>
            </w:r>
            <w:r>
              <w:rPr>
                <w:rFonts w:hint="default" w:ascii="Times New Roman" w:hAnsi="Times New Roman" w:cs="Times New Roman"/>
                <w:color w:val="auto"/>
                <w:highlight w:val="none"/>
              </w:rPr>
              <w:t>柱状样</w:t>
            </w:r>
          </w:p>
        </w:tc>
        <w:tc>
          <w:tcPr>
            <w:tcW w:w="450" w:type="pct"/>
            <w:vMerge w:val="restart"/>
            <w:tcBorders>
              <w:tl2br w:val="nil"/>
              <w:tr2bl w:val="nil"/>
            </w:tcBorders>
            <w:noWrap w:val="0"/>
            <w:vAlign w:val="center"/>
          </w:tcPr>
          <w:p w14:paraId="7E0B32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767" w:type="pct"/>
            <w:gridSpan w:val="3"/>
            <w:tcBorders>
              <w:tl2br w:val="nil"/>
              <w:tr2bl w:val="nil"/>
            </w:tcBorders>
            <w:noWrap w:val="0"/>
            <w:vAlign w:val="center"/>
          </w:tcPr>
          <w:p w14:paraId="577043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标准值（mg/kg）</w:t>
            </w:r>
          </w:p>
        </w:tc>
        <w:tc>
          <w:tcPr>
            <w:tcW w:w="253" w:type="pct"/>
            <w:vMerge w:val="restart"/>
            <w:tcBorders>
              <w:tl2br w:val="nil"/>
              <w:tr2bl w:val="nil"/>
            </w:tcBorders>
            <w:noWrap w:val="0"/>
            <w:vAlign w:val="center"/>
          </w:tcPr>
          <w:p w14:paraId="14307B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250" w:type="pct"/>
            <w:vMerge w:val="restart"/>
            <w:tcBorders>
              <w:tl2br w:val="nil"/>
              <w:tr2bl w:val="nil"/>
            </w:tcBorders>
            <w:noWrap w:val="0"/>
            <w:vAlign w:val="center"/>
          </w:tcPr>
          <w:p w14:paraId="51EBC3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p w14:paraId="3CF5F8B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14:paraId="121DA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59" w:type="pct"/>
            <w:vMerge w:val="continue"/>
            <w:tcBorders>
              <w:tl2br w:val="nil"/>
              <w:tr2bl w:val="nil"/>
            </w:tcBorders>
            <w:noWrap w:val="0"/>
            <w:vAlign w:val="center"/>
          </w:tcPr>
          <w:p w14:paraId="44CD413D">
            <w:pPr>
              <w:pStyle w:val="46"/>
              <w:bidi w:val="0"/>
              <w:rPr>
                <w:rFonts w:hint="default" w:ascii="Times New Roman" w:hAnsi="Times New Roman" w:cs="Times New Roman"/>
                <w:color w:val="auto"/>
                <w:highlight w:val="none"/>
              </w:rPr>
            </w:pPr>
          </w:p>
        </w:tc>
        <w:tc>
          <w:tcPr>
            <w:tcW w:w="605" w:type="pct"/>
            <w:tcBorders>
              <w:tl2br w:val="nil"/>
              <w:tr2bl w:val="nil"/>
            </w:tcBorders>
            <w:noWrap w:val="0"/>
            <w:vAlign w:val="center"/>
          </w:tcPr>
          <w:p w14:paraId="45A845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0-0.5m</w:t>
            </w:r>
          </w:p>
        </w:tc>
        <w:tc>
          <w:tcPr>
            <w:tcW w:w="605" w:type="pct"/>
            <w:tcBorders>
              <w:tl2br w:val="nil"/>
              <w:tr2bl w:val="nil"/>
            </w:tcBorders>
            <w:noWrap w:val="0"/>
            <w:vAlign w:val="center"/>
          </w:tcPr>
          <w:p w14:paraId="0AC50A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0.5-1.5m</w:t>
            </w:r>
          </w:p>
        </w:tc>
        <w:tc>
          <w:tcPr>
            <w:tcW w:w="609" w:type="pct"/>
            <w:tcBorders>
              <w:tl2br w:val="nil"/>
              <w:tr2bl w:val="nil"/>
            </w:tcBorders>
            <w:noWrap w:val="0"/>
            <w:vAlign w:val="center"/>
          </w:tcPr>
          <w:p w14:paraId="799C9A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1.5-3.0m</w:t>
            </w:r>
          </w:p>
        </w:tc>
        <w:tc>
          <w:tcPr>
            <w:tcW w:w="450" w:type="pct"/>
            <w:vMerge w:val="continue"/>
            <w:tcBorders>
              <w:tl2br w:val="nil"/>
              <w:tr2bl w:val="nil"/>
            </w:tcBorders>
            <w:noWrap w:val="0"/>
            <w:vAlign w:val="center"/>
          </w:tcPr>
          <w:p w14:paraId="2E01F1DF">
            <w:pPr>
              <w:pStyle w:val="46"/>
              <w:bidi w:val="0"/>
              <w:rPr>
                <w:rFonts w:hint="default" w:ascii="Times New Roman" w:hAnsi="Times New Roman" w:cs="Times New Roman"/>
                <w:color w:val="auto"/>
                <w:highlight w:val="none"/>
              </w:rPr>
            </w:pPr>
          </w:p>
        </w:tc>
        <w:tc>
          <w:tcPr>
            <w:tcW w:w="621" w:type="pct"/>
            <w:tcBorders>
              <w:tl2br w:val="nil"/>
              <w:tr2bl w:val="nil"/>
            </w:tcBorders>
            <w:noWrap w:val="0"/>
            <w:vAlign w:val="center"/>
          </w:tcPr>
          <w:p w14:paraId="24C760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0-0.5m</w:t>
            </w:r>
          </w:p>
        </w:tc>
        <w:tc>
          <w:tcPr>
            <w:tcW w:w="572" w:type="pct"/>
            <w:tcBorders>
              <w:tl2br w:val="nil"/>
              <w:tr2bl w:val="nil"/>
            </w:tcBorders>
            <w:noWrap w:val="0"/>
            <w:vAlign w:val="center"/>
          </w:tcPr>
          <w:p w14:paraId="32B87A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0.5-1.5m</w:t>
            </w:r>
          </w:p>
        </w:tc>
        <w:tc>
          <w:tcPr>
            <w:tcW w:w="572" w:type="pct"/>
            <w:tcBorders>
              <w:tl2br w:val="nil"/>
              <w:tr2bl w:val="nil"/>
            </w:tcBorders>
            <w:noWrap w:val="0"/>
            <w:vAlign w:val="center"/>
          </w:tcPr>
          <w:p w14:paraId="1B59AF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1.5-3.0m</w:t>
            </w:r>
          </w:p>
        </w:tc>
        <w:tc>
          <w:tcPr>
            <w:tcW w:w="253" w:type="pct"/>
            <w:vMerge w:val="continue"/>
            <w:tcBorders>
              <w:tl2br w:val="nil"/>
              <w:tr2bl w:val="nil"/>
            </w:tcBorders>
            <w:noWrap w:val="0"/>
            <w:vAlign w:val="center"/>
          </w:tcPr>
          <w:p w14:paraId="3BA5761D">
            <w:pPr>
              <w:pStyle w:val="46"/>
              <w:bidi w:val="0"/>
              <w:rPr>
                <w:rFonts w:hint="default" w:ascii="Times New Roman" w:hAnsi="Times New Roman" w:cs="Times New Roman"/>
                <w:color w:val="auto"/>
                <w:highlight w:val="none"/>
              </w:rPr>
            </w:pPr>
          </w:p>
        </w:tc>
        <w:tc>
          <w:tcPr>
            <w:tcW w:w="250" w:type="pct"/>
            <w:vMerge w:val="continue"/>
            <w:tcBorders>
              <w:tl2br w:val="nil"/>
              <w:tr2bl w:val="nil"/>
            </w:tcBorders>
            <w:noWrap w:val="0"/>
            <w:vAlign w:val="center"/>
          </w:tcPr>
          <w:p w14:paraId="71E5775D">
            <w:pPr>
              <w:pStyle w:val="46"/>
              <w:bidi w:val="0"/>
              <w:rPr>
                <w:rFonts w:hint="default" w:ascii="Times New Roman" w:hAnsi="Times New Roman" w:cs="Times New Roman"/>
                <w:color w:val="auto"/>
                <w:highlight w:val="none"/>
              </w:rPr>
            </w:pPr>
          </w:p>
        </w:tc>
      </w:tr>
      <w:tr w14:paraId="13EDA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6FD3019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605" w:type="pct"/>
            <w:tcBorders>
              <w:tl2br w:val="nil"/>
              <w:tr2bl w:val="nil"/>
            </w:tcBorders>
            <w:noWrap w:val="0"/>
            <w:vAlign w:val="center"/>
          </w:tcPr>
          <w:p w14:paraId="3342A89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605" w:type="pct"/>
            <w:tcBorders>
              <w:tl2br w:val="nil"/>
              <w:tr2bl w:val="nil"/>
            </w:tcBorders>
            <w:noWrap w:val="0"/>
            <w:vAlign w:val="center"/>
          </w:tcPr>
          <w:p w14:paraId="63A0AB1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0.06</w:t>
            </w:r>
          </w:p>
        </w:tc>
        <w:tc>
          <w:tcPr>
            <w:tcW w:w="609" w:type="pct"/>
            <w:tcBorders>
              <w:tl2br w:val="nil"/>
              <w:tr2bl w:val="nil"/>
            </w:tcBorders>
            <w:noWrap w:val="0"/>
            <w:vAlign w:val="center"/>
          </w:tcPr>
          <w:p w14:paraId="3B7892C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450" w:type="pct"/>
            <w:tcBorders>
              <w:tl2br w:val="nil"/>
              <w:tr2bl w:val="nil"/>
            </w:tcBorders>
            <w:noWrap w:val="0"/>
            <w:vAlign w:val="center"/>
          </w:tcPr>
          <w:p w14:paraId="42074B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79F1F17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572" w:type="pct"/>
            <w:tcBorders>
              <w:tl2br w:val="nil"/>
              <w:tr2bl w:val="nil"/>
            </w:tcBorders>
            <w:noWrap w:val="0"/>
            <w:vAlign w:val="center"/>
          </w:tcPr>
          <w:p w14:paraId="3434D56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572" w:type="pct"/>
            <w:tcBorders>
              <w:tl2br w:val="nil"/>
              <w:tr2bl w:val="nil"/>
            </w:tcBorders>
            <w:noWrap w:val="0"/>
            <w:vAlign w:val="center"/>
          </w:tcPr>
          <w:p w14:paraId="010A38C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253" w:type="pct"/>
            <w:tcBorders>
              <w:tl2br w:val="nil"/>
              <w:tr2bl w:val="nil"/>
            </w:tcBorders>
            <w:noWrap w:val="0"/>
            <w:vAlign w:val="center"/>
          </w:tcPr>
          <w:p w14:paraId="77AFAA5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1BF193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1C1F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6D699C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605" w:type="pct"/>
            <w:tcBorders>
              <w:tl2br w:val="nil"/>
              <w:tr2bl w:val="nil"/>
            </w:tcBorders>
            <w:noWrap w:val="0"/>
            <w:vAlign w:val="center"/>
          </w:tcPr>
          <w:p w14:paraId="3B84520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0.011</w:t>
            </w:r>
          </w:p>
        </w:tc>
        <w:tc>
          <w:tcPr>
            <w:tcW w:w="605" w:type="pct"/>
            <w:tcBorders>
              <w:tl2br w:val="nil"/>
              <w:tr2bl w:val="nil"/>
            </w:tcBorders>
            <w:noWrap w:val="0"/>
            <w:vAlign w:val="center"/>
          </w:tcPr>
          <w:p w14:paraId="012FE7D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0.011</w:t>
            </w:r>
          </w:p>
        </w:tc>
        <w:tc>
          <w:tcPr>
            <w:tcW w:w="609" w:type="pct"/>
            <w:tcBorders>
              <w:tl2br w:val="nil"/>
              <w:tr2bl w:val="nil"/>
            </w:tcBorders>
            <w:noWrap w:val="0"/>
            <w:vAlign w:val="center"/>
          </w:tcPr>
          <w:p w14:paraId="4A1AACC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0.012</w:t>
            </w:r>
          </w:p>
        </w:tc>
        <w:tc>
          <w:tcPr>
            <w:tcW w:w="450" w:type="pct"/>
            <w:tcBorders>
              <w:tl2br w:val="nil"/>
              <w:tr2bl w:val="nil"/>
            </w:tcBorders>
            <w:noWrap w:val="0"/>
            <w:vAlign w:val="center"/>
          </w:tcPr>
          <w:p w14:paraId="42146A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65E2D4A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572" w:type="pct"/>
            <w:tcBorders>
              <w:tl2br w:val="nil"/>
              <w:tr2bl w:val="nil"/>
            </w:tcBorders>
            <w:noWrap w:val="0"/>
            <w:vAlign w:val="center"/>
          </w:tcPr>
          <w:p w14:paraId="4914D3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572" w:type="pct"/>
            <w:tcBorders>
              <w:tl2br w:val="nil"/>
              <w:tr2bl w:val="nil"/>
            </w:tcBorders>
            <w:noWrap w:val="0"/>
            <w:vAlign w:val="center"/>
          </w:tcPr>
          <w:p w14:paraId="1E8D045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253" w:type="pct"/>
            <w:tcBorders>
              <w:tl2br w:val="nil"/>
              <w:tr2bl w:val="nil"/>
            </w:tcBorders>
            <w:noWrap w:val="0"/>
            <w:vAlign w:val="center"/>
          </w:tcPr>
          <w:p w14:paraId="3AF4C33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0" w:type="pct"/>
            <w:tcBorders>
              <w:tl2br w:val="nil"/>
              <w:tr2bl w:val="nil"/>
            </w:tcBorders>
            <w:noWrap w:val="0"/>
            <w:vAlign w:val="center"/>
          </w:tcPr>
          <w:p w14:paraId="7F6DFA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9403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1232B4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605" w:type="pct"/>
            <w:tcBorders>
              <w:tl2br w:val="nil"/>
              <w:tr2bl w:val="nil"/>
            </w:tcBorders>
            <w:noWrap w:val="0"/>
            <w:vAlign w:val="center"/>
          </w:tcPr>
          <w:p w14:paraId="68D5A6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605" w:type="pct"/>
            <w:tcBorders>
              <w:tl2br w:val="nil"/>
              <w:tr2bl w:val="nil"/>
            </w:tcBorders>
            <w:noWrap w:val="0"/>
            <w:vAlign w:val="center"/>
          </w:tcPr>
          <w:p w14:paraId="18E1C7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1.64</w:t>
            </w:r>
          </w:p>
        </w:tc>
        <w:tc>
          <w:tcPr>
            <w:tcW w:w="609" w:type="pct"/>
            <w:tcBorders>
              <w:tl2br w:val="nil"/>
              <w:tr2bl w:val="nil"/>
            </w:tcBorders>
            <w:noWrap w:val="0"/>
            <w:vAlign w:val="center"/>
          </w:tcPr>
          <w:p w14:paraId="440A541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1.65</w:t>
            </w:r>
          </w:p>
        </w:tc>
        <w:tc>
          <w:tcPr>
            <w:tcW w:w="450" w:type="pct"/>
            <w:tcBorders>
              <w:tl2br w:val="nil"/>
              <w:tr2bl w:val="nil"/>
            </w:tcBorders>
            <w:noWrap w:val="0"/>
            <w:vAlign w:val="center"/>
          </w:tcPr>
          <w:p w14:paraId="719D469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2002CAF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572" w:type="pct"/>
            <w:tcBorders>
              <w:tl2br w:val="nil"/>
              <w:tr2bl w:val="nil"/>
            </w:tcBorders>
            <w:noWrap w:val="0"/>
            <w:vAlign w:val="center"/>
          </w:tcPr>
          <w:p w14:paraId="1755F71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572" w:type="pct"/>
            <w:tcBorders>
              <w:tl2br w:val="nil"/>
              <w:tr2bl w:val="nil"/>
            </w:tcBorders>
            <w:noWrap w:val="0"/>
            <w:vAlign w:val="center"/>
          </w:tcPr>
          <w:p w14:paraId="2D40C7F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253" w:type="pct"/>
            <w:tcBorders>
              <w:tl2br w:val="nil"/>
              <w:tr2bl w:val="nil"/>
            </w:tcBorders>
            <w:noWrap w:val="0"/>
            <w:vAlign w:val="center"/>
          </w:tcPr>
          <w:p w14:paraId="12FF12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17AEC5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D1C0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469C0D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605" w:type="pct"/>
            <w:tcBorders>
              <w:tl2br w:val="nil"/>
              <w:tr2bl w:val="nil"/>
            </w:tcBorders>
            <w:noWrap w:val="0"/>
            <w:vAlign w:val="center"/>
          </w:tcPr>
          <w:p w14:paraId="15F344F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605" w:type="pct"/>
            <w:tcBorders>
              <w:tl2br w:val="nil"/>
              <w:tr2bl w:val="nil"/>
            </w:tcBorders>
            <w:noWrap w:val="0"/>
            <w:vAlign w:val="center"/>
          </w:tcPr>
          <w:p w14:paraId="33D26BF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609" w:type="pct"/>
            <w:tcBorders>
              <w:tl2br w:val="nil"/>
              <w:tr2bl w:val="nil"/>
            </w:tcBorders>
            <w:noWrap w:val="0"/>
            <w:vAlign w:val="center"/>
          </w:tcPr>
          <w:p w14:paraId="0790C7C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450" w:type="pct"/>
            <w:tcBorders>
              <w:tl2br w:val="nil"/>
              <w:tr2bl w:val="nil"/>
            </w:tcBorders>
            <w:noWrap w:val="0"/>
            <w:vAlign w:val="center"/>
          </w:tcPr>
          <w:p w14:paraId="70DD6D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246867EC">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120</w:t>
            </w:r>
          </w:p>
        </w:tc>
        <w:tc>
          <w:tcPr>
            <w:tcW w:w="572" w:type="pct"/>
            <w:tcBorders>
              <w:tl2br w:val="nil"/>
              <w:tr2bl w:val="nil"/>
            </w:tcBorders>
            <w:noWrap w:val="0"/>
            <w:vAlign w:val="center"/>
          </w:tcPr>
          <w:p w14:paraId="2F9D8EE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120</w:t>
            </w:r>
          </w:p>
        </w:tc>
        <w:tc>
          <w:tcPr>
            <w:tcW w:w="572" w:type="pct"/>
            <w:tcBorders>
              <w:tl2br w:val="nil"/>
              <w:tr2bl w:val="nil"/>
            </w:tcBorders>
            <w:noWrap w:val="0"/>
            <w:vAlign w:val="center"/>
          </w:tcPr>
          <w:p w14:paraId="2619D72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120</w:t>
            </w:r>
          </w:p>
        </w:tc>
        <w:tc>
          <w:tcPr>
            <w:tcW w:w="253" w:type="pct"/>
            <w:tcBorders>
              <w:tl2br w:val="nil"/>
              <w:tr2bl w:val="nil"/>
            </w:tcBorders>
            <w:noWrap w:val="0"/>
            <w:vAlign w:val="center"/>
          </w:tcPr>
          <w:p w14:paraId="13B246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0F5DB2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B55B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33672C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铬</w:t>
            </w:r>
          </w:p>
        </w:tc>
        <w:tc>
          <w:tcPr>
            <w:tcW w:w="605" w:type="pct"/>
            <w:tcBorders>
              <w:tl2br w:val="nil"/>
              <w:tr2bl w:val="nil"/>
            </w:tcBorders>
            <w:noWrap w:val="0"/>
            <w:vAlign w:val="center"/>
          </w:tcPr>
          <w:p w14:paraId="38B4A2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122</w:t>
            </w:r>
          </w:p>
        </w:tc>
        <w:tc>
          <w:tcPr>
            <w:tcW w:w="605" w:type="pct"/>
            <w:tcBorders>
              <w:tl2br w:val="nil"/>
              <w:tr2bl w:val="nil"/>
            </w:tcBorders>
            <w:noWrap w:val="0"/>
            <w:vAlign w:val="center"/>
          </w:tcPr>
          <w:p w14:paraId="62327DB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130</w:t>
            </w:r>
          </w:p>
        </w:tc>
        <w:tc>
          <w:tcPr>
            <w:tcW w:w="609" w:type="pct"/>
            <w:tcBorders>
              <w:tl2br w:val="nil"/>
              <w:tr2bl w:val="nil"/>
            </w:tcBorders>
            <w:noWrap w:val="0"/>
            <w:vAlign w:val="center"/>
          </w:tcPr>
          <w:p w14:paraId="71A4090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130</w:t>
            </w:r>
          </w:p>
        </w:tc>
        <w:tc>
          <w:tcPr>
            <w:tcW w:w="450" w:type="pct"/>
            <w:tcBorders>
              <w:tl2br w:val="nil"/>
              <w:tr2bl w:val="nil"/>
            </w:tcBorders>
            <w:noWrap w:val="0"/>
            <w:vAlign w:val="center"/>
          </w:tcPr>
          <w:p w14:paraId="72FBEBA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7E1152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572" w:type="pct"/>
            <w:tcBorders>
              <w:tl2br w:val="nil"/>
              <w:tr2bl w:val="nil"/>
            </w:tcBorders>
            <w:noWrap w:val="0"/>
            <w:vAlign w:val="center"/>
          </w:tcPr>
          <w:p w14:paraId="0E196D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572" w:type="pct"/>
            <w:tcBorders>
              <w:tl2br w:val="nil"/>
              <w:tr2bl w:val="nil"/>
            </w:tcBorders>
            <w:noWrap w:val="0"/>
            <w:vAlign w:val="center"/>
          </w:tcPr>
          <w:p w14:paraId="42EAFBD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253" w:type="pct"/>
            <w:tcBorders>
              <w:tl2br w:val="nil"/>
              <w:tr2bl w:val="nil"/>
            </w:tcBorders>
            <w:noWrap w:val="0"/>
            <w:vAlign w:val="center"/>
          </w:tcPr>
          <w:p w14:paraId="0D6FFB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366E2F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062E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3B908D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605" w:type="pct"/>
            <w:tcBorders>
              <w:tl2br w:val="nil"/>
              <w:tr2bl w:val="nil"/>
            </w:tcBorders>
            <w:noWrap w:val="0"/>
            <w:vAlign w:val="center"/>
          </w:tcPr>
          <w:p w14:paraId="58A1CC1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605" w:type="pct"/>
            <w:tcBorders>
              <w:tl2br w:val="nil"/>
              <w:tr2bl w:val="nil"/>
            </w:tcBorders>
            <w:noWrap w:val="0"/>
            <w:vAlign w:val="center"/>
          </w:tcPr>
          <w:p w14:paraId="0384531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609" w:type="pct"/>
            <w:tcBorders>
              <w:tl2br w:val="nil"/>
              <w:tr2bl w:val="nil"/>
            </w:tcBorders>
            <w:noWrap w:val="0"/>
            <w:vAlign w:val="center"/>
          </w:tcPr>
          <w:p w14:paraId="31E5B98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450" w:type="pct"/>
            <w:tcBorders>
              <w:tl2br w:val="nil"/>
              <w:tr2bl w:val="nil"/>
            </w:tcBorders>
            <w:noWrap w:val="0"/>
            <w:vAlign w:val="center"/>
          </w:tcPr>
          <w:p w14:paraId="186D550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4C6B6DE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3FB4566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3E84964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253" w:type="pct"/>
            <w:tcBorders>
              <w:tl2br w:val="nil"/>
              <w:tr2bl w:val="nil"/>
            </w:tcBorders>
            <w:noWrap w:val="0"/>
            <w:vAlign w:val="center"/>
          </w:tcPr>
          <w:p w14:paraId="07BE7F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3B494D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5714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29AA755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镍</w:t>
            </w:r>
          </w:p>
        </w:tc>
        <w:tc>
          <w:tcPr>
            <w:tcW w:w="605" w:type="pct"/>
            <w:tcBorders>
              <w:tl2br w:val="nil"/>
              <w:tr2bl w:val="nil"/>
            </w:tcBorders>
            <w:noWrap w:val="0"/>
            <w:vAlign w:val="center"/>
          </w:tcPr>
          <w:p w14:paraId="09A88F6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w:t>
            </w:r>
          </w:p>
        </w:tc>
        <w:tc>
          <w:tcPr>
            <w:tcW w:w="605" w:type="pct"/>
            <w:tcBorders>
              <w:tl2br w:val="nil"/>
              <w:tr2bl w:val="nil"/>
            </w:tcBorders>
            <w:noWrap w:val="0"/>
            <w:vAlign w:val="center"/>
          </w:tcPr>
          <w:p w14:paraId="76CB74A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92</w:t>
            </w:r>
          </w:p>
        </w:tc>
        <w:tc>
          <w:tcPr>
            <w:tcW w:w="609" w:type="pct"/>
            <w:tcBorders>
              <w:tl2br w:val="nil"/>
              <w:tr2bl w:val="nil"/>
            </w:tcBorders>
            <w:noWrap w:val="0"/>
            <w:vAlign w:val="center"/>
          </w:tcPr>
          <w:p w14:paraId="624C8F5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w:t>
            </w:r>
          </w:p>
        </w:tc>
        <w:tc>
          <w:tcPr>
            <w:tcW w:w="450" w:type="pct"/>
            <w:tcBorders>
              <w:tl2br w:val="nil"/>
              <w:tr2bl w:val="nil"/>
            </w:tcBorders>
            <w:noWrap w:val="0"/>
            <w:vAlign w:val="center"/>
          </w:tcPr>
          <w:p w14:paraId="779A400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6CA57A8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7842FD2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3902B2C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253" w:type="pct"/>
            <w:tcBorders>
              <w:tl2br w:val="nil"/>
              <w:tr2bl w:val="nil"/>
            </w:tcBorders>
            <w:noWrap w:val="0"/>
            <w:vAlign w:val="center"/>
          </w:tcPr>
          <w:p w14:paraId="47E895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4A659F26">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2E6DE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288A86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w:t>
            </w:r>
          </w:p>
        </w:tc>
        <w:tc>
          <w:tcPr>
            <w:tcW w:w="605" w:type="pct"/>
            <w:tcBorders>
              <w:tl2br w:val="nil"/>
              <w:tr2bl w:val="nil"/>
            </w:tcBorders>
            <w:noWrap w:val="0"/>
            <w:vAlign w:val="center"/>
          </w:tcPr>
          <w:p w14:paraId="42F84F3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c>
          <w:tcPr>
            <w:tcW w:w="605" w:type="pct"/>
            <w:tcBorders>
              <w:tl2br w:val="nil"/>
              <w:tr2bl w:val="nil"/>
            </w:tcBorders>
            <w:noWrap w:val="0"/>
            <w:vAlign w:val="center"/>
          </w:tcPr>
          <w:p w14:paraId="4C0DEE5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w:t>
            </w:r>
          </w:p>
        </w:tc>
        <w:tc>
          <w:tcPr>
            <w:tcW w:w="609" w:type="pct"/>
            <w:tcBorders>
              <w:tl2br w:val="nil"/>
              <w:tr2bl w:val="nil"/>
            </w:tcBorders>
            <w:noWrap w:val="0"/>
            <w:vAlign w:val="center"/>
          </w:tcPr>
          <w:p w14:paraId="6434C3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w:t>
            </w:r>
          </w:p>
        </w:tc>
        <w:tc>
          <w:tcPr>
            <w:tcW w:w="450" w:type="pct"/>
            <w:tcBorders>
              <w:tl2br w:val="nil"/>
              <w:tr2bl w:val="nil"/>
            </w:tcBorders>
            <w:noWrap w:val="0"/>
            <w:vAlign w:val="center"/>
          </w:tcPr>
          <w:p w14:paraId="2442F4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777695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572" w:type="pct"/>
            <w:tcBorders>
              <w:tl2br w:val="nil"/>
              <w:tr2bl w:val="nil"/>
            </w:tcBorders>
            <w:noWrap w:val="0"/>
            <w:vAlign w:val="center"/>
          </w:tcPr>
          <w:p w14:paraId="723E9A7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572" w:type="pct"/>
            <w:tcBorders>
              <w:tl2br w:val="nil"/>
              <w:tr2bl w:val="nil"/>
            </w:tcBorders>
            <w:noWrap w:val="0"/>
            <w:vAlign w:val="center"/>
          </w:tcPr>
          <w:p w14:paraId="33F1DFA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253" w:type="pct"/>
            <w:tcBorders>
              <w:tl2br w:val="nil"/>
              <w:tr2bl w:val="nil"/>
            </w:tcBorders>
            <w:noWrap w:val="0"/>
            <w:vAlign w:val="center"/>
          </w:tcPr>
          <w:p w14:paraId="15444A82">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0" w:type="pct"/>
            <w:tcBorders>
              <w:tl2br w:val="nil"/>
              <w:tr2bl w:val="nil"/>
            </w:tcBorders>
            <w:noWrap w:val="0"/>
            <w:vAlign w:val="center"/>
          </w:tcPr>
          <w:p w14:paraId="72EE0DD4">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3F21D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459" w:type="pct"/>
            <w:tcBorders>
              <w:tl2br w:val="nil"/>
              <w:tr2bl w:val="nil"/>
            </w:tcBorders>
            <w:shd w:val="clear" w:color="auto" w:fill="auto"/>
            <w:noWrap w:val="0"/>
            <w:vAlign w:val="center"/>
          </w:tcPr>
          <w:p w14:paraId="3415A54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605" w:type="pct"/>
            <w:tcBorders>
              <w:tl2br w:val="nil"/>
              <w:tr2bl w:val="nil"/>
            </w:tcBorders>
            <w:shd w:val="clear" w:color="auto" w:fill="auto"/>
            <w:noWrap w:val="0"/>
            <w:vAlign w:val="center"/>
          </w:tcPr>
          <w:p w14:paraId="7E18FC7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6.57</w:t>
            </w:r>
          </w:p>
        </w:tc>
        <w:tc>
          <w:tcPr>
            <w:tcW w:w="605" w:type="pct"/>
            <w:tcBorders>
              <w:tl2br w:val="nil"/>
              <w:tr2bl w:val="nil"/>
            </w:tcBorders>
            <w:shd w:val="clear" w:color="auto" w:fill="auto"/>
            <w:noWrap w:val="0"/>
            <w:vAlign w:val="center"/>
          </w:tcPr>
          <w:p w14:paraId="2B69B59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6.52</w:t>
            </w:r>
          </w:p>
        </w:tc>
        <w:tc>
          <w:tcPr>
            <w:tcW w:w="609" w:type="pct"/>
            <w:tcBorders>
              <w:tl2br w:val="nil"/>
              <w:tr2bl w:val="nil"/>
            </w:tcBorders>
            <w:shd w:val="clear" w:color="auto" w:fill="auto"/>
            <w:noWrap w:val="0"/>
            <w:vAlign w:val="center"/>
          </w:tcPr>
          <w:p w14:paraId="345542B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6.54</w:t>
            </w:r>
          </w:p>
        </w:tc>
        <w:tc>
          <w:tcPr>
            <w:tcW w:w="450" w:type="pct"/>
            <w:tcBorders>
              <w:tl2br w:val="nil"/>
              <w:tr2bl w:val="nil"/>
            </w:tcBorders>
            <w:noWrap w:val="0"/>
            <w:vAlign w:val="center"/>
          </w:tcPr>
          <w:p w14:paraId="6CBBC7E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621" w:type="pct"/>
            <w:tcBorders>
              <w:tl2br w:val="nil"/>
              <w:tr2bl w:val="nil"/>
            </w:tcBorders>
            <w:noWrap w:val="0"/>
            <w:vAlign w:val="center"/>
          </w:tcPr>
          <w:p w14:paraId="395AFE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77B0856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4518272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3" w:type="pct"/>
            <w:tcBorders>
              <w:tl2br w:val="nil"/>
              <w:tr2bl w:val="nil"/>
            </w:tcBorders>
            <w:noWrap w:val="0"/>
            <w:vAlign w:val="center"/>
          </w:tcPr>
          <w:p w14:paraId="3EB5B79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c>
          <w:tcPr>
            <w:tcW w:w="250" w:type="pct"/>
            <w:tcBorders>
              <w:tl2br w:val="nil"/>
              <w:tr2bl w:val="nil"/>
            </w:tcBorders>
            <w:noWrap w:val="0"/>
            <w:vAlign w:val="center"/>
          </w:tcPr>
          <w:p w14:paraId="2E3CB82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p>
        </w:tc>
      </w:tr>
      <w:tr w14:paraId="74BE1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8" w:hRule="exact"/>
          <w:jc w:val="center"/>
        </w:trPr>
        <w:tc>
          <w:tcPr>
            <w:tcW w:w="459" w:type="pct"/>
            <w:tcBorders>
              <w:tl2br w:val="nil"/>
              <w:tr2bl w:val="nil"/>
            </w:tcBorders>
            <w:shd w:val="clear" w:color="auto" w:fill="auto"/>
            <w:noWrap w:val="0"/>
            <w:vAlign w:val="center"/>
          </w:tcPr>
          <w:p w14:paraId="380C672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水溶性盐</w:t>
            </w:r>
          </w:p>
        </w:tc>
        <w:tc>
          <w:tcPr>
            <w:tcW w:w="605" w:type="pct"/>
            <w:tcBorders>
              <w:tl2br w:val="nil"/>
              <w:tr2bl w:val="nil"/>
            </w:tcBorders>
            <w:shd w:val="clear" w:color="auto" w:fill="auto"/>
            <w:noWrap w:val="0"/>
            <w:vAlign w:val="center"/>
          </w:tcPr>
          <w:p w14:paraId="4278C26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1.38</w:t>
            </w:r>
          </w:p>
        </w:tc>
        <w:tc>
          <w:tcPr>
            <w:tcW w:w="605" w:type="pct"/>
            <w:tcBorders>
              <w:tl2br w:val="nil"/>
              <w:tr2bl w:val="nil"/>
            </w:tcBorders>
            <w:shd w:val="clear" w:color="auto" w:fill="auto"/>
            <w:noWrap w:val="0"/>
            <w:vAlign w:val="center"/>
          </w:tcPr>
          <w:p w14:paraId="6B4204D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1.19</w:t>
            </w:r>
          </w:p>
        </w:tc>
        <w:tc>
          <w:tcPr>
            <w:tcW w:w="609" w:type="pct"/>
            <w:tcBorders>
              <w:tl2br w:val="nil"/>
              <w:tr2bl w:val="nil"/>
            </w:tcBorders>
            <w:shd w:val="clear" w:color="auto" w:fill="auto"/>
            <w:noWrap w:val="0"/>
            <w:vAlign w:val="center"/>
          </w:tcPr>
          <w:p w14:paraId="79A44DA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1.03</w:t>
            </w:r>
          </w:p>
        </w:tc>
        <w:tc>
          <w:tcPr>
            <w:tcW w:w="450" w:type="pct"/>
            <w:tcBorders>
              <w:tl2br w:val="nil"/>
              <w:tr2bl w:val="nil"/>
            </w:tcBorders>
            <w:shd w:val="clear" w:color="auto" w:fill="auto"/>
            <w:noWrap w:val="0"/>
            <w:vAlign w:val="center"/>
          </w:tcPr>
          <w:p w14:paraId="413D0D6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g/kg</w:t>
            </w:r>
          </w:p>
        </w:tc>
        <w:tc>
          <w:tcPr>
            <w:tcW w:w="621" w:type="pct"/>
            <w:tcBorders>
              <w:tl2br w:val="nil"/>
              <w:tr2bl w:val="nil"/>
            </w:tcBorders>
            <w:noWrap w:val="0"/>
            <w:vAlign w:val="center"/>
          </w:tcPr>
          <w:p w14:paraId="3D5F238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2C2EA3A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2A5C1AA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3" w:type="pct"/>
            <w:tcBorders>
              <w:tl2br w:val="nil"/>
              <w:tr2bl w:val="nil"/>
            </w:tcBorders>
            <w:noWrap w:val="0"/>
            <w:vAlign w:val="center"/>
          </w:tcPr>
          <w:p w14:paraId="558EB4E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c>
          <w:tcPr>
            <w:tcW w:w="250" w:type="pct"/>
            <w:tcBorders>
              <w:tl2br w:val="nil"/>
              <w:tr2bl w:val="nil"/>
            </w:tcBorders>
            <w:noWrap w:val="0"/>
            <w:vAlign w:val="center"/>
          </w:tcPr>
          <w:p w14:paraId="3E3A721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r>
    </w:tbl>
    <w:p w14:paraId="310630EC">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土壤现状监测结果（</w:t>
      </w:r>
      <w:r>
        <w:rPr>
          <w:rFonts w:hint="default" w:ascii="Times New Roman" w:hAnsi="Times New Roman" w:eastAsia="宋体" w:cs="Times New Roman"/>
          <w:color w:val="auto"/>
          <w:highlight w:val="none"/>
          <w:lang w:val="en-US" w:eastAsia="zh-CN"/>
        </w:rPr>
        <w:t>S4</w:t>
      </w:r>
      <w:r>
        <w:rPr>
          <w:rFonts w:hint="default" w:ascii="Times New Roman" w:hAnsi="Times New Roman" w:eastAsia="宋体" w:cs="Times New Roman"/>
          <w:color w:val="auto"/>
          <w:highlight w:val="none"/>
        </w:rPr>
        <w:t>）</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1031"/>
        <w:gridCol w:w="1031"/>
        <w:gridCol w:w="1038"/>
        <w:gridCol w:w="767"/>
        <w:gridCol w:w="1058"/>
        <w:gridCol w:w="975"/>
        <w:gridCol w:w="978"/>
        <w:gridCol w:w="431"/>
        <w:gridCol w:w="426"/>
      </w:tblGrid>
      <w:tr w14:paraId="71411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49" w:hRule="atLeast"/>
          <w:jc w:val="center"/>
        </w:trPr>
        <w:tc>
          <w:tcPr>
            <w:tcW w:w="459" w:type="pct"/>
            <w:vMerge w:val="restart"/>
            <w:tcBorders>
              <w:tl2br w:val="nil"/>
              <w:tr2bl w:val="nil"/>
            </w:tcBorders>
            <w:noWrap w:val="0"/>
            <w:vAlign w:val="center"/>
          </w:tcPr>
          <w:p w14:paraId="174E71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819" w:type="pct"/>
            <w:gridSpan w:val="3"/>
            <w:tcBorders>
              <w:tl2br w:val="nil"/>
              <w:tr2bl w:val="nil"/>
            </w:tcBorders>
            <w:noWrap w:val="0"/>
            <w:vAlign w:val="center"/>
          </w:tcPr>
          <w:p w14:paraId="0692BA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S4</w:t>
            </w:r>
            <w:r>
              <w:rPr>
                <w:rFonts w:hint="default" w:ascii="Times New Roman" w:hAnsi="Times New Roman" w:cs="Times New Roman"/>
                <w:color w:val="auto"/>
                <w:highlight w:val="none"/>
              </w:rPr>
              <w:t>柱状样</w:t>
            </w:r>
          </w:p>
        </w:tc>
        <w:tc>
          <w:tcPr>
            <w:tcW w:w="450" w:type="pct"/>
            <w:vMerge w:val="restart"/>
            <w:tcBorders>
              <w:tl2br w:val="nil"/>
              <w:tr2bl w:val="nil"/>
            </w:tcBorders>
            <w:noWrap w:val="0"/>
            <w:vAlign w:val="center"/>
          </w:tcPr>
          <w:p w14:paraId="42C64C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767" w:type="pct"/>
            <w:gridSpan w:val="3"/>
            <w:tcBorders>
              <w:tl2br w:val="nil"/>
              <w:tr2bl w:val="nil"/>
            </w:tcBorders>
            <w:noWrap w:val="0"/>
            <w:vAlign w:val="center"/>
          </w:tcPr>
          <w:p w14:paraId="7A0AE3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标准值（mg/kg）</w:t>
            </w:r>
          </w:p>
        </w:tc>
        <w:tc>
          <w:tcPr>
            <w:tcW w:w="253" w:type="pct"/>
            <w:vMerge w:val="restart"/>
            <w:tcBorders>
              <w:tl2br w:val="nil"/>
              <w:tr2bl w:val="nil"/>
            </w:tcBorders>
            <w:noWrap w:val="0"/>
            <w:vAlign w:val="center"/>
          </w:tcPr>
          <w:p w14:paraId="25CA07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250" w:type="pct"/>
            <w:vMerge w:val="restart"/>
            <w:tcBorders>
              <w:tl2br w:val="nil"/>
              <w:tr2bl w:val="nil"/>
            </w:tcBorders>
            <w:noWrap w:val="0"/>
            <w:vAlign w:val="center"/>
          </w:tcPr>
          <w:p w14:paraId="04D8D05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p w14:paraId="6EA36C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14:paraId="53C589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59" w:type="pct"/>
            <w:vMerge w:val="continue"/>
            <w:tcBorders>
              <w:tl2br w:val="nil"/>
              <w:tr2bl w:val="nil"/>
            </w:tcBorders>
            <w:noWrap w:val="0"/>
            <w:vAlign w:val="center"/>
          </w:tcPr>
          <w:p w14:paraId="34529126">
            <w:pPr>
              <w:pStyle w:val="46"/>
              <w:bidi w:val="0"/>
              <w:rPr>
                <w:rFonts w:hint="default" w:ascii="Times New Roman" w:hAnsi="Times New Roman" w:cs="Times New Roman"/>
                <w:color w:val="auto"/>
                <w:highlight w:val="none"/>
              </w:rPr>
            </w:pPr>
          </w:p>
        </w:tc>
        <w:tc>
          <w:tcPr>
            <w:tcW w:w="605" w:type="pct"/>
            <w:tcBorders>
              <w:tl2br w:val="nil"/>
              <w:tr2bl w:val="nil"/>
            </w:tcBorders>
            <w:noWrap w:val="0"/>
            <w:vAlign w:val="center"/>
          </w:tcPr>
          <w:p w14:paraId="3E613C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0-0.5m</w:t>
            </w:r>
          </w:p>
        </w:tc>
        <w:tc>
          <w:tcPr>
            <w:tcW w:w="605" w:type="pct"/>
            <w:tcBorders>
              <w:tl2br w:val="nil"/>
              <w:tr2bl w:val="nil"/>
            </w:tcBorders>
            <w:noWrap w:val="0"/>
            <w:vAlign w:val="center"/>
          </w:tcPr>
          <w:p w14:paraId="2B4226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0.5-1.5m</w:t>
            </w:r>
          </w:p>
        </w:tc>
        <w:tc>
          <w:tcPr>
            <w:tcW w:w="609" w:type="pct"/>
            <w:tcBorders>
              <w:tl2br w:val="nil"/>
              <w:tr2bl w:val="nil"/>
            </w:tcBorders>
            <w:noWrap w:val="0"/>
            <w:vAlign w:val="center"/>
          </w:tcPr>
          <w:p w14:paraId="09C1C0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1.5-3.0m</w:t>
            </w:r>
          </w:p>
        </w:tc>
        <w:tc>
          <w:tcPr>
            <w:tcW w:w="450" w:type="pct"/>
            <w:vMerge w:val="continue"/>
            <w:tcBorders>
              <w:tl2br w:val="nil"/>
              <w:tr2bl w:val="nil"/>
            </w:tcBorders>
            <w:noWrap w:val="0"/>
            <w:vAlign w:val="center"/>
          </w:tcPr>
          <w:p w14:paraId="36CD04C3">
            <w:pPr>
              <w:pStyle w:val="46"/>
              <w:bidi w:val="0"/>
              <w:rPr>
                <w:rFonts w:hint="default" w:ascii="Times New Roman" w:hAnsi="Times New Roman" w:cs="Times New Roman"/>
                <w:color w:val="auto"/>
                <w:highlight w:val="none"/>
              </w:rPr>
            </w:pPr>
          </w:p>
        </w:tc>
        <w:tc>
          <w:tcPr>
            <w:tcW w:w="621" w:type="pct"/>
            <w:tcBorders>
              <w:tl2br w:val="nil"/>
              <w:tr2bl w:val="nil"/>
            </w:tcBorders>
            <w:noWrap w:val="0"/>
            <w:vAlign w:val="center"/>
          </w:tcPr>
          <w:p w14:paraId="3FD974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0-0.5m</w:t>
            </w:r>
          </w:p>
        </w:tc>
        <w:tc>
          <w:tcPr>
            <w:tcW w:w="572" w:type="pct"/>
            <w:tcBorders>
              <w:tl2br w:val="nil"/>
              <w:tr2bl w:val="nil"/>
            </w:tcBorders>
            <w:noWrap w:val="0"/>
            <w:vAlign w:val="center"/>
          </w:tcPr>
          <w:p w14:paraId="594DCA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0.5-1.5m</w:t>
            </w:r>
          </w:p>
        </w:tc>
        <w:tc>
          <w:tcPr>
            <w:tcW w:w="572" w:type="pct"/>
            <w:tcBorders>
              <w:tl2br w:val="nil"/>
              <w:tr2bl w:val="nil"/>
            </w:tcBorders>
            <w:noWrap w:val="0"/>
            <w:vAlign w:val="center"/>
          </w:tcPr>
          <w:p w14:paraId="7193F5A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1.5-3.0m</w:t>
            </w:r>
          </w:p>
        </w:tc>
        <w:tc>
          <w:tcPr>
            <w:tcW w:w="253" w:type="pct"/>
            <w:vMerge w:val="continue"/>
            <w:tcBorders>
              <w:tl2br w:val="nil"/>
              <w:tr2bl w:val="nil"/>
            </w:tcBorders>
            <w:noWrap w:val="0"/>
            <w:vAlign w:val="center"/>
          </w:tcPr>
          <w:p w14:paraId="59962016">
            <w:pPr>
              <w:pStyle w:val="46"/>
              <w:bidi w:val="0"/>
              <w:rPr>
                <w:rFonts w:hint="default" w:ascii="Times New Roman" w:hAnsi="Times New Roman" w:cs="Times New Roman"/>
                <w:color w:val="auto"/>
                <w:highlight w:val="none"/>
              </w:rPr>
            </w:pPr>
          </w:p>
        </w:tc>
        <w:tc>
          <w:tcPr>
            <w:tcW w:w="250" w:type="pct"/>
            <w:vMerge w:val="continue"/>
            <w:tcBorders>
              <w:tl2br w:val="nil"/>
              <w:tr2bl w:val="nil"/>
            </w:tcBorders>
            <w:noWrap w:val="0"/>
            <w:vAlign w:val="center"/>
          </w:tcPr>
          <w:p w14:paraId="6CBF4016">
            <w:pPr>
              <w:pStyle w:val="46"/>
              <w:bidi w:val="0"/>
              <w:rPr>
                <w:rFonts w:hint="default" w:ascii="Times New Roman" w:hAnsi="Times New Roman" w:cs="Times New Roman"/>
                <w:color w:val="auto"/>
                <w:highlight w:val="none"/>
              </w:rPr>
            </w:pPr>
          </w:p>
        </w:tc>
      </w:tr>
      <w:tr w14:paraId="1B8BD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36227FE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605" w:type="pct"/>
            <w:tcBorders>
              <w:tl2br w:val="nil"/>
              <w:tr2bl w:val="nil"/>
            </w:tcBorders>
            <w:noWrap w:val="0"/>
            <w:vAlign w:val="center"/>
          </w:tcPr>
          <w:p w14:paraId="191BDEA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605" w:type="pct"/>
            <w:tcBorders>
              <w:tl2br w:val="nil"/>
              <w:tr2bl w:val="nil"/>
            </w:tcBorders>
            <w:noWrap w:val="0"/>
            <w:vAlign w:val="center"/>
          </w:tcPr>
          <w:p w14:paraId="239F47D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w:t>
            </w:r>
          </w:p>
        </w:tc>
        <w:tc>
          <w:tcPr>
            <w:tcW w:w="609" w:type="pct"/>
            <w:tcBorders>
              <w:tl2br w:val="nil"/>
              <w:tr2bl w:val="nil"/>
            </w:tcBorders>
            <w:noWrap w:val="0"/>
            <w:vAlign w:val="center"/>
          </w:tcPr>
          <w:p w14:paraId="1EA250A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450" w:type="pct"/>
            <w:tcBorders>
              <w:tl2br w:val="nil"/>
              <w:tr2bl w:val="nil"/>
            </w:tcBorders>
            <w:noWrap w:val="0"/>
            <w:vAlign w:val="center"/>
          </w:tcPr>
          <w:p w14:paraId="54F9B8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43BF04B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572" w:type="pct"/>
            <w:tcBorders>
              <w:tl2br w:val="nil"/>
              <w:tr2bl w:val="nil"/>
            </w:tcBorders>
            <w:noWrap w:val="0"/>
            <w:vAlign w:val="center"/>
          </w:tcPr>
          <w:p w14:paraId="2DFF66E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572" w:type="pct"/>
            <w:tcBorders>
              <w:tl2br w:val="nil"/>
              <w:tr2bl w:val="nil"/>
            </w:tcBorders>
            <w:noWrap w:val="0"/>
            <w:vAlign w:val="center"/>
          </w:tcPr>
          <w:p w14:paraId="6DB208C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253" w:type="pct"/>
            <w:tcBorders>
              <w:tl2br w:val="nil"/>
              <w:tr2bl w:val="nil"/>
            </w:tcBorders>
            <w:noWrap w:val="0"/>
            <w:vAlign w:val="center"/>
          </w:tcPr>
          <w:p w14:paraId="15B238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73EBA6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F91F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5F1547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汞</w:t>
            </w:r>
          </w:p>
        </w:tc>
        <w:tc>
          <w:tcPr>
            <w:tcW w:w="605" w:type="pct"/>
            <w:tcBorders>
              <w:tl2br w:val="nil"/>
              <w:tr2bl w:val="nil"/>
            </w:tcBorders>
            <w:noWrap w:val="0"/>
            <w:vAlign w:val="center"/>
          </w:tcPr>
          <w:p w14:paraId="30CD921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0.012</w:t>
            </w:r>
          </w:p>
        </w:tc>
        <w:tc>
          <w:tcPr>
            <w:tcW w:w="605" w:type="pct"/>
            <w:tcBorders>
              <w:tl2br w:val="nil"/>
              <w:tr2bl w:val="nil"/>
            </w:tcBorders>
            <w:noWrap w:val="0"/>
            <w:vAlign w:val="center"/>
          </w:tcPr>
          <w:p w14:paraId="4864BE0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0.024</w:t>
            </w:r>
          </w:p>
        </w:tc>
        <w:tc>
          <w:tcPr>
            <w:tcW w:w="609" w:type="pct"/>
            <w:tcBorders>
              <w:tl2br w:val="nil"/>
              <w:tr2bl w:val="nil"/>
            </w:tcBorders>
            <w:noWrap w:val="0"/>
            <w:vAlign w:val="center"/>
          </w:tcPr>
          <w:p w14:paraId="5E933A1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0.066</w:t>
            </w:r>
          </w:p>
        </w:tc>
        <w:tc>
          <w:tcPr>
            <w:tcW w:w="450" w:type="pct"/>
            <w:tcBorders>
              <w:tl2br w:val="nil"/>
              <w:tr2bl w:val="nil"/>
            </w:tcBorders>
            <w:noWrap w:val="0"/>
            <w:vAlign w:val="center"/>
          </w:tcPr>
          <w:p w14:paraId="08C88D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1322B16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572" w:type="pct"/>
            <w:tcBorders>
              <w:tl2br w:val="nil"/>
              <w:tr2bl w:val="nil"/>
            </w:tcBorders>
            <w:noWrap w:val="0"/>
            <w:vAlign w:val="center"/>
          </w:tcPr>
          <w:p w14:paraId="3DB47A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572" w:type="pct"/>
            <w:tcBorders>
              <w:tl2br w:val="nil"/>
              <w:tr2bl w:val="nil"/>
            </w:tcBorders>
            <w:noWrap w:val="0"/>
            <w:vAlign w:val="center"/>
          </w:tcPr>
          <w:p w14:paraId="49C14E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253" w:type="pct"/>
            <w:tcBorders>
              <w:tl2br w:val="nil"/>
              <w:tr2bl w:val="nil"/>
            </w:tcBorders>
            <w:noWrap w:val="0"/>
            <w:vAlign w:val="center"/>
          </w:tcPr>
          <w:p w14:paraId="15B68D7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0" w:type="pct"/>
            <w:tcBorders>
              <w:tl2br w:val="nil"/>
              <w:tr2bl w:val="nil"/>
            </w:tcBorders>
            <w:noWrap w:val="0"/>
            <w:vAlign w:val="center"/>
          </w:tcPr>
          <w:p w14:paraId="2A5E4C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FF00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3" w:hRule="exact"/>
          <w:jc w:val="center"/>
        </w:trPr>
        <w:tc>
          <w:tcPr>
            <w:tcW w:w="459" w:type="pct"/>
            <w:tcBorders>
              <w:tl2br w:val="nil"/>
              <w:tr2bl w:val="nil"/>
            </w:tcBorders>
            <w:noWrap w:val="0"/>
            <w:vAlign w:val="center"/>
          </w:tcPr>
          <w:p w14:paraId="7EDE37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605" w:type="pct"/>
            <w:tcBorders>
              <w:tl2br w:val="nil"/>
              <w:tr2bl w:val="nil"/>
            </w:tcBorders>
            <w:noWrap w:val="0"/>
            <w:vAlign w:val="center"/>
          </w:tcPr>
          <w:p w14:paraId="5D61498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1.29</w:t>
            </w:r>
          </w:p>
        </w:tc>
        <w:tc>
          <w:tcPr>
            <w:tcW w:w="605" w:type="pct"/>
            <w:tcBorders>
              <w:tl2br w:val="nil"/>
              <w:tr2bl w:val="nil"/>
            </w:tcBorders>
            <w:noWrap w:val="0"/>
            <w:vAlign w:val="center"/>
          </w:tcPr>
          <w:p w14:paraId="49D6AE6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w:t>
            </w:r>
          </w:p>
        </w:tc>
        <w:tc>
          <w:tcPr>
            <w:tcW w:w="609" w:type="pct"/>
            <w:tcBorders>
              <w:tl2br w:val="nil"/>
              <w:tr2bl w:val="nil"/>
            </w:tcBorders>
            <w:noWrap w:val="0"/>
            <w:vAlign w:val="center"/>
          </w:tcPr>
          <w:p w14:paraId="46BBA1A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6.89</w:t>
            </w:r>
          </w:p>
        </w:tc>
        <w:tc>
          <w:tcPr>
            <w:tcW w:w="450" w:type="pct"/>
            <w:tcBorders>
              <w:tl2br w:val="nil"/>
              <w:tr2bl w:val="nil"/>
            </w:tcBorders>
            <w:noWrap w:val="0"/>
            <w:vAlign w:val="center"/>
          </w:tcPr>
          <w:p w14:paraId="2800BE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6EBD2D4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572" w:type="pct"/>
            <w:tcBorders>
              <w:tl2br w:val="nil"/>
              <w:tr2bl w:val="nil"/>
            </w:tcBorders>
            <w:noWrap w:val="0"/>
            <w:vAlign w:val="center"/>
          </w:tcPr>
          <w:p w14:paraId="5D6725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572" w:type="pct"/>
            <w:tcBorders>
              <w:tl2br w:val="nil"/>
              <w:tr2bl w:val="nil"/>
            </w:tcBorders>
            <w:noWrap w:val="0"/>
            <w:vAlign w:val="center"/>
          </w:tcPr>
          <w:p w14:paraId="12CF31C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253" w:type="pct"/>
            <w:tcBorders>
              <w:tl2br w:val="nil"/>
              <w:tr2bl w:val="nil"/>
            </w:tcBorders>
            <w:noWrap w:val="0"/>
            <w:vAlign w:val="center"/>
          </w:tcPr>
          <w:p w14:paraId="7C1AB3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42CEAD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A47A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094048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605" w:type="pct"/>
            <w:tcBorders>
              <w:tl2br w:val="nil"/>
              <w:tr2bl w:val="nil"/>
            </w:tcBorders>
            <w:noWrap w:val="0"/>
            <w:vAlign w:val="center"/>
          </w:tcPr>
          <w:p w14:paraId="01732B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605" w:type="pct"/>
            <w:tcBorders>
              <w:tl2br w:val="nil"/>
              <w:tr2bl w:val="nil"/>
            </w:tcBorders>
            <w:noWrap w:val="0"/>
            <w:vAlign w:val="center"/>
          </w:tcPr>
          <w:p w14:paraId="69DCD1F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w:t>
            </w:r>
          </w:p>
        </w:tc>
        <w:tc>
          <w:tcPr>
            <w:tcW w:w="609" w:type="pct"/>
            <w:tcBorders>
              <w:tl2br w:val="nil"/>
              <w:tr2bl w:val="nil"/>
            </w:tcBorders>
            <w:noWrap w:val="0"/>
            <w:vAlign w:val="center"/>
          </w:tcPr>
          <w:p w14:paraId="7172F39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450" w:type="pct"/>
            <w:tcBorders>
              <w:tl2br w:val="nil"/>
              <w:tr2bl w:val="nil"/>
            </w:tcBorders>
            <w:noWrap w:val="0"/>
            <w:vAlign w:val="center"/>
          </w:tcPr>
          <w:p w14:paraId="400CCF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7CC73061">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120</w:t>
            </w:r>
          </w:p>
        </w:tc>
        <w:tc>
          <w:tcPr>
            <w:tcW w:w="572" w:type="pct"/>
            <w:tcBorders>
              <w:tl2br w:val="nil"/>
              <w:tr2bl w:val="nil"/>
            </w:tcBorders>
            <w:noWrap w:val="0"/>
            <w:vAlign w:val="center"/>
          </w:tcPr>
          <w:p w14:paraId="75C1BE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572" w:type="pct"/>
            <w:tcBorders>
              <w:tl2br w:val="nil"/>
              <w:tr2bl w:val="nil"/>
            </w:tcBorders>
            <w:noWrap w:val="0"/>
            <w:vAlign w:val="center"/>
          </w:tcPr>
          <w:p w14:paraId="1DCB747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253" w:type="pct"/>
            <w:tcBorders>
              <w:tl2br w:val="nil"/>
              <w:tr2bl w:val="nil"/>
            </w:tcBorders>
            <w:noWrap w:val="0"/>
            <w:vAlign w:val="center"/>
          </w:tcPr>
          <w:p w14:paraId="2A79C7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364220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4C50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57DE0C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铬</w:t>
            </w:r>
          </w:p>
        </w:tc>
        <w:tc>
          <w:tcPr>
            <w:tcW w:w="605" w:type="pct"/>
            <w:tcBorders>
              <w:tl2br w:val="nil"/>
              <w:tr2bl w:val="nil"/>
            </w:tcBorders>
            <w:noWrap w:val="0"/>
            <w:vAlign w:val="center"/>
          </w:tcPr>
          <w:p w14:paraId="4081F82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133</w:t>
            </w:r>
          </w:p>
        </w:tc>
        <w:tc>
          <w:tcPr>
            <w:tcW w:w="605" w:type="pct"/>
            <w:tcBorders>
              <w:tl2br w:val="nil"/>
              <w:tr2bl w:val="nil"/>
            </w:tcBorders>
            <w:noWrap w:val="0"/>
            <w:vAlign w:val="center"/>
          </w:tcPr>
          <w:p w14:paraId="2BA908C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609" w:type="pct"/>
            <w:tcBorders>
              <w:tl2br w:val="nil"/>
              <w:tr2bl w:val="nil"/>
            </w:tcBorders>
            <w:noWrap w:val="0"/>
            <w:vAlign w:val="center"/>
          </w:tcPr>
          <w:p w14:paraId="1F3B39B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w:t>
            </w:r>
          </w:p>
        </w:tc>
        <w:tc>
          <w:tcPr>
            <w:tcW w:w="450" w:type="pct"/>
            <w:tcBorders>
              <w:tl2br w:val="nil"/>
              <w:tr2bl w:val="nil"/>
            </w:tcBorders>
            <w:noWrap w:val="0"/>
            <w:vAlign w:val="center"/>
          </w:tcPr>
          <w:p w14:paraId="4DCC9FC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7D87EFD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572" w:type="pct"/>
            <w:tcBorders>
              <w:tl2br w:val="nil"/>
              <w:tr2bl w:val="nil"/>
            </w:tcBorders>
            <w:noWrap w:val="0"/>
            <w:vAlign w:val="center"/>
          </w:tcPr>
          <w:p w14:paraId="64E5299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w:t>
            </w:r>
          </w:p>
        </w:tc>
        <w:tc>
          <w:tcPr>
            <w:tcW w:w="572" w:type="pct"/>
            <w:tcBorders>
              <w:tl2br w:val="nil"/>
              <w:tr2bl w:val="nil"/>
            </w:tcBorders>
            <w:noWrap w:val="0"/>
            <w:vAlign w:val="center"/>
          </w:tcPr>
          <w:p w14:paraId="7EB8E9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w:t>
            </w:r>
          </w:p>
        </w:tc>
        <w:tc>
          <w:tcPr>
            <w:tcW w:w="253" w:type="pct"/>
            <w:tcBorders>
              <w:tl2br w:val="nil"/>
              <w:tr2bl w:val="nil"/>
            </w:tcBorders>
            <w:noWrap w:val="0"/>
            <w:vAlign w:val="center"/>
          </w:tcPr>
          <w:p w14:paraId="425BFE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41D0FD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64D5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0C2169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605" w:type="pct"/>
            <w:tcBorders>
              <w:tl2br w:val="nil"/>
              <w:tr2bl w:val="nil"/>
            </w:tcBorders>
            <w:noWrap w:val="0"/>
            <w:vAlign w:val="center"/>
          </w:tcPr>
          <w:p w14:paraId="3BA27A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605" w:type="pct"/>
            <w:tcBorders>
              <w:tl2br w:val="nil"/>
              <w:tr2bl w:val="nil"/>
            </w:tcBorders>
            <w:noWrap w:val="0"/>
            <w:vAlign w:val="center"/>
          </w:tcPr>
          <w:p w14:paraId="0187431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609" w:type="pct"/>
            <w:tcBorders>
              <w:tl2br w:val="nil"/>
              <w:tr2bl w:val="nil"/>
            </w:tcBorders>
            <w:noWrap w:val="0"/>
            <w:vAlign w:val="center"/>
          </w:tcPr>
          <w:p w14:paraId="1D2EAF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450" w:type="pct"/>
            <w:tcBorders>
              <w:tl2br w:val="nil"/>
              <w:tr2bl w:val="nil"/>
            </w:tcBorders>
            <w:noWrap w:val="0"/>
            <w:vAlign w:val="center"/>
          </w:tcPr>
          <w:p w14:paraId="7DC173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1F87741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7E58AF4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572" w:type="pct"/>
            <w:tcBorders>
              <w:tl2br w:val="nil"/>
              <w:tr2bl w:val="nil"/>
            </w:tcBorders>
            <w:noWrap w:val="0"/>
            <w:vAlign w:val="center"/>
          </w:tcPr>
          <w:p w14:paraId="6E373A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253" w:type="pct"/>
            <w:tcBorders>
              <w:tl2br w:val="nil"/>
              <w:tr2bl w:val="nil"/>
            </w:tcBorders>
            <w:noWrap w:val="0"/>
            <w:vAlign w:val="center"/>
          </w:tcPr>
          <w:p w14:paraId="2E9CBE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747527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BC79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3C4516F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镍</w:t>
            </w:r>
          </w:p>
        </w:tc>
        <w:tc>
          <w:tcPr>
            <w:tcW w:w="605" w:type="pct"/>
            <w:tcBorders>
              <w:tl2br w:val="nil"/>
              <w:tr2bl w:val="nil"/>
            </w:tcBorders>
            <w:noWrap w:val="0"/>
            <w:vAlign w:val="center"/>
          </w:tcPr>
          <w:p w14:paraId="61FB863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87</w:t>
            </w:r>
          </w:p>
        </w:tc>
        <w:tc>
          <w:tcPr>
            <w:tcW w:w="605" w:type="pct"/>
            <w:tcBorders>
              <w:tl2br w:val="nil"/>
              <w:tr2bl w:val="nil"/>
            </w:tcBorders>
            <w:noWrap w:val="0"/>
            <w:vAlign w:val="center"/>
          </w:tcPr>
          <w:p w14:paraId="2F56C25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w:t>
            </w:r>
          </w:p>
        </w:tc>
        <w:tc>
          <w:tcPr>
            <w:tcW w:w="609" w:type="pct"/>
            <w:tcBorders>
              <w:tl2br w:val="nil"/>
              <w:tr2bl w:val="nil"/>
            </w:tcBorders>
            <w:noWrap w:val="0"/>
            <w:vAlign w:val="center"/>
          </w:tcPr>
          <w:p w14:paraId="044A911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w:t>
            </w:r>
          </w:p>
        </w:tc>
        <w:tc>
          <w:tcPr>
            <w:tcW w:w="450" w:type="pct"/>
            <w:tcBorders>
              <w:tl2br w:val="nil"/>
              <w:tr2bl w:val="nil"/>
            </w:tcBorders>
            <w:noWrap w:val="0"/>
            <w:vAlign w:val="center"/>
          </w:tcPr>
          <w:p w14:paraId="690B79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3A5ECA7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w:t>
            </w:r>
          </w:p>
        </w:tc>
        <w:tc>
          <w:tcPr>
            <w:tcW w:w="572" w:type="pct"/>
            <w:tcBorders>
              <w:tl2br w:val="nil"/>
              <w:tr2bl w:val="nil"/>
            </w:tcBorders>
            <w:noWrap w:val="0"/>
            <w:vAlign w:val="center"/>
          </w:tcPr>
          <w:p w14:paraId="3D11A29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w:t>
            </w:r>
          </w:p>
        </w:tc>
        <w:tc>
          <w:tcPr>
            <w:tcW w:w="572" w:type="pct"/>
            <w:tcBorders>
              <w:tl2br w:val="nil"/>
              <w:tr2bl w:val="nil"/>
            </w:tcBorders>
            <w:noWrap w:val="0"/>
            <w:vAlign w:val="center"/>
          </w:tcPr>
          <w:p w14:paraId="68829F4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w:t>
            </w:r>
          </w:p>
        </w:tc>
        <w:tc>
          <w:tcPr>
            <w:tcW w:w="253" w:type="pct"/>
            <w:tcBorders>
              <w:tl2br w:val="nil"/>
              <w:tr2bl w:val="nil"/>
            </w:tcBorders>
            <w:noWrap w:val="0"/>
            <w:vAlign w:val="center"/>
          </w:tcPr>
          <w:p w14:paraId="6F95D1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250" w:type="pct"/>
            <w:tcBorders>
              <w:tl2br w:val="nil"/>
              <w:tr2bl w:val="nil"/>
            </w:tcBorders>
            <w:noWrap w:val="0"/>
            <w:vAlign w:val="center"/>
          </w:tcPr>
          <w:p w14:paraId="049A31B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00FF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59" w:type="pct"/>
            <w:tcBorders>
              <w:tl2br w:val="nil"/>
              <w:tr2bl w:val="nil"/>
            </w:tcBorders>
            <w:noWrap w:val="0"/>
            <w:vAlign w:val="center"/>
          </w:tcPr>
          <w:p w14:paraId="10FC2F5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w:t>
            </w:r>
          </w:p>
        </w:tc>
        <w:tc>
          <w:tcPr>
            <w:tcW w:w="605" w:type="pct"/>
            <w:tcBorders>
              <w:tl2br w:val="nil"/>
              <w:tr2bl w:val="nil"/>
            </w:tcBorders>
            <w:noWrap w:val="0"/>
            <w:vAlign w:val="center"/>
          </w:tcPr>
          <w:p w14:paraId="2E8C610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w:t>
            </w:r>
          </w:p>
        </w:tc>
        <w:tc>
          <w:tcPr>
            <w:tcW w:w="605" w:type="pct"/>
            <w:tcBorders>
              <w:tl2br w:val="nil"/>
              <w:tr2bl w:val="nil"/>
            </w:tcBorders>
            <w:noWrap w:val="0"/>
            <w:vAlign w:val="center"/>
          </w:tcPr>
          <w:p w14:paraId="1380F10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57</w:t>
            </w:r>
          </w:p>
        </w:tc>
        <w:tc>
          <w:tcPr>
            <w:tcW w:w="609" w:type="pct"/>
            <w:tcBorders>
              <w:tl2br w:val="nil"/>
              <w:tr2bl w:val="nil"/>
            </w:tcBorders>
            <w:noWrap w:val="0"/>
            <w:vAlign w:val="center"/>
          </w:tcPr>
          <w:p w14:paraId="75DFC2B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w:t>
            </w:r>
          </w:p>
        </w:tc>
        <w:tc>
          <w:tcPr>
            <w:tcW w:w="450" w:type="pct"/>
            <w:tcBorders>
              <w:tl2br w:val="nil"/>
              <w:tr2bl w:val="nil"/>
            </w:tcBorders>
            <w:noWrap w:val="0"/>
            <w:vAlign w:val="center"/>
          </w:tcPr>
          <w:p w14:paraId="311F72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621" w:type="pct"/>
            <w:tcBorders>
              <w:tl2br w:val="nil"/>
              <w:tr2bl w:val="nil"/>
            </w:tcBorders>
            <w:noWrap w:val="0"/>
            <w:vAlign w:val="center"/>
          </w:tcPr>
          <w:p w14:paraId="2F3474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572" w:type="pct"/>
            <w:tcBorders>
              <w:tl2br w:val="nil"/>
              <w:tr2bl w:val="nil"/>
            </w:tcBorders>
            <w:noWrap w:val="0"/>
            <w:vAlign w:val="center"/>
          </w:tcPr>
          <w:p w14:paraId="1F231EE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572" w:type="pct"/>
            <w:tcBorders>
              <w:tl2br w:val="nil"/>
              <w:tr2bl w:val="nil"/>
            </w:tcBorders>
            <w:noWrap w:val="0"/>
            <w:vAlign w:val="center"/>
          </w:tcPr>
          <w:p w14:paraId="4945FDE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253" w:type="pct"/>
            <w:tcBorders>
              <w:tl2br w:val="nil"/>
              <w:tr2bl w:val="nil"/>
            </w:tcBorders>
            <w:shd w:val="clear" w:color="auto" w:fill="auto"/>
            <w:noWrap w:val="0"/>
            <w:vAlign w:val="center"/>
          </w:tcPr>
          <w:p w14:paraId="2608B2CE">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0</w:t>
            </w:r>
          </w:p>
        </w:tc>
        <w:tc>
          <w:tcPr>
            <w:tcW w:w="250" w:type="pct"/>
            <w:tcBorders>
              <w:tl2br w:val="nil"/>
              <w:tr2bl w:val="nil"/>
            </w:tcBorders>
            <w:shd w:val="clear" w:color="auto" w:fill="auto"/>
            <w:noWrap w:val="0"/>
            <w:vAlign w:val="center"/>
          </w:tcPr>
          <w:p w14:paraId="585B84BB">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达标</w:t>
            </w:r>
          </w:p>
        </w:tc>
      </w:tr>
      <w:tr w14:paraId="7CD96D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1" w:hRule="exact"/>
          <w:jc w:val="center"/>
        </w:trPr>
        <w:tc>
          <w:tcPr>
            <w:tcW w:w="459" w:type="pct"/>
            <w:tcBorders>
              <w:tl2br w:val="nil"/>
              <w:tr2bl w:val="nil"/>
            </w:tcBorders>
            <w:shd w:val="clear" w:color="auto" w:fill="auto"/>
            <w:noWrap w:val="0"/>
            <w:vAlign w:val="center"/>
          </w:tcPr>
          <w:p w14:paraId="21CD3FC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605" w:type="pct"/>
            <w:tcBorders>
              <w:tl2br w:val="nil"/>
              <w:tr2bl w:val="nil"/>
            </w:tcBorders>
            <w:shd w:val="clear" w:color="auto" w:fill="auto"/>
            <w:noWrap w:val="0"/>
            <w:vAlign w:val="center"/>
          </w:tcPr>
          <w:p w14:paraId="6E6CBD4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6.98</w:t>
            </w:r>
          </w:p>
        </w:tc>
        <w:tc>
          <w:tcPr>
            <w:tcW w:w="605" w:type="pct"/>
            <w:tcBorders>
              <w:tl2br w:val="nil"/>
              <w:tr2bl w:val="nil"/>
            </w:tcBorders>
            <w:shd w:val="clear" w:color="auto" w:fill="auto"/>
            <w:noWrap w:val="0"/>
            <w:vAlign w:val="center"/>
          </w:tcPr>
          <w:p w14:paraId="3ABF2E0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6.38</w:t>
            </w:r>
          </w:p>
        </w:tc>
        <w:tc>
          <w:tcPr>
            <w:tcW w:w="609" w:type="pct"/>
            <w:tcBorders>
              <w:tl2br w:val="nil"/>
              <w:tr2bl w:val="nil"/>
            </w:tcBorders>
            <w:shd w:val="clear" w:color="auto" w:fill="auto"/>
            <w:noWrap w:val="0"/>
            <w:vAlign w:val="center"/>
          </w:tcPr>
          <w:p w14:paraId="61F0CD0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6.47</w:t>
            </w:r>
          </w:p>
        </w:tc>
        <w:tc>
          <w:tcPr>
            <w:tcW w:w="450" w:type="pct"/>
            <w:tcBorders>
              <w:tl2br w:val="nil"/>
              <w:tr2bl w:val="nil"/>
            </w:tcBorders>
            <w:noWrap w:val="0"/>
            <w:vAlign w:val="center"/>
          </w:tcPr>
          <w:p w14:paraId="303F4D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无量纲</w:t>
            </w:r>
          </w:p>
        </w:tc>
        <w:tc>
          <w:tcPr>
            <w:tcW w:w="621" w:type="pct"/>
            <w:tcBorders>
              <w:tl2br w:val="nil"/>
              <w:tr2bl w:val="nil"/>
            </w:tcBorders>
            <w:noWrap w:val="0"/>
            <w:vAlign w:val="center"/>
          </w:tcPr>
          <w:p w14:paraId="3501FE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5D74593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0CEC63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3" w:type="pct"/>
            <w:tcBorders>
              <w:tl2br w:val="nil"/>
              <w:tr2bl w:val="nil"/>
            </w:tcBorders>
            <w:noWrap w:val="0"/>
            <w:vAlign w:val="center"/>
          </w:tcPr>
          <w:p w14:paraId="559462D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c>
          <w:tcPr>
            <w:tcW w:w="250" w:type="pct"/>
            <w:tcBorders>
              <w:tl2br w:val="nil"/>
              <w:tr2bl w:val="nil"/>
            </w:tcBorders>
            <w:noWrap w:val="0"/>
            <w:vAlign w:val="center"/>
          </w:tcPr>
          <w:p w14:paraId="7183FB8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p>
        </w:tc>
      </w:tr>
      <w:tr w14:paraId="08CD5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exact"/>
          <w:jc w:val="center"/>
        </w:trPr>
        <w:tc>
          <w:tcPr>
            <w:tcW w:w="459" w:type="pct"/>
            <w:tcBorders>
              <w:tl2br w:val="nil"/>
              <w:tr2bl w:val="nil"/>
            </w:tcBorders>
            <w:shd w:val="clear" w:color="auto" w:fill="auto"/>
            <w:noWrap w:val="0"/>
            <w:vAlign w:val="center"/>
          </w:tcPr>
          <w:p w14:paraId="5603787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水溶性盐</w:t>
            </w:r>
          </w:p>
        </w:tc>
        <w:tc>
          <w:tcPr>
            <w:tcW w:w="605" w:type="pct"/>
            <w:tcBorders>
              <w:tl2br w:val="nil"/>
              <w:tr2bl w:val="nil"/>
            </w:tcBorders>
            <w:shd w:val="clear" w:color="auto" w:fill="auto"/>
            <w:noWrap w:val="0"/>
            <w:vAlign w:val="center"/>
          </w:tcPr>
          <w:p w14:paraId="0B82E5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2.41</w:t>
            </w:r>
          </w:p>
        </w:tc>
        <w:tc>
          <w:tcPr>
            <w:tcW w:w="605" w:type="pct"/>
            <w:tcBorders>
              <w:tl2br w:val="nil"/>
              <w:tr2bl w:val="nil"/>
            </w:tcBorders>
            <w:shd w:val="clear" w:color="auto" w:fill="auto"/>
            <w:noWrap w:val="0"/>
            <w:vAlign w:val="center"/>
          </w:tcPr>
          <w:p w14:paraId="7250D5D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1.04</w:t>
            </w:r>
          </w:p>
        </w:tc>
        <w:tc>
          <w:tcPr>
            <w:tcW w:w="609" w:type="pct"/>
            <w:tcBorders>
              <w:tl2br w:val="nil"/>
              <w:tr2bl w:val="nil"/>
            </w:tcBorders>
            <w:shd w:val="clear" w:color="auto" w:fill="auto"/>
            <w:noWrap w:val="0"/>
            <w:vAlign w:val="center"/>
          </w:tcPr>
          <w:p w14:paraId="613F182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1.07</w:t>
            </w:r>
          </w:p>
        </w:tc>
        <w:tc>
          <w:tcPr>
            <w:tcW w:w="450" w:type="pct"/>
            <w:tcBorders>
              <w:tl2br w:val="nil"/>
              <w:tr2bl w:val="nil"/>
            </w:tcBorders>
            <w:shd w:val="clear" w:color="auto" w:fill="auto"/>
            <w:noWrap w:val="0"/>
            <w:vAlign w:val="center"/>
          </w:tcPr>
          <w:p w14:paraId="14215F9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g/kg</w:t>
            </w:r>
          </w:p>
        </w:tc>
        <w:tc>
          <w:tcPr>
            <w:tcW w:w="621" w:type="pct"/>
            <w:tcBorders>
              <w:tl2br w:val="nil"/>
              <w:tr2bl w:val="nil"/>
            </w:tcBorders>
            <w:noWrap w:val="0"/>
            <w:vAlign w:val="center"/>
          </w:tcPr>
          <w:p w14:paraId="585373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273C858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72" w:type="pct"/>
            <w:tcBorders>
              <w:tl2br w:val="nil"/>
              <w:tr2bl w:val="nil"/>
            </w:tcBorders>
            <w:noWrap w:val="0"/>
            <w:vAlign w:val="center"/>
          </w:tcPr>
          <w:p w14:paraId="61C67E8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3" w:type="pct"/>
            <w:tcBorders>
              <w:tl2br w:val="nil"/>
              <w:tr2bl w:val="nil"/>
            </w:tcBorders>
            <w:noWrap w:val="0"/>
            <w:vAlign w:val="center"/>
          </w:tcPr>
          <w:p w14:paraId="0BDD184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c>
          <w:tcPr>
            <w:tcW w:w="250" w:type="pct"/>
            <w:tcBorders>
              <w:tl2br w:val="nil"/>
              <w:tr2bl w:val="nil"/>
            </w:tcBorders>
            <w:noWrap w:val="0"/>
            <w:vAlign w:val="center"/>
          </w:tcPr>
          <w:p w14:paraId="4FF9748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p>
        </w:tc>
      </w:tr>
    </w:tbl>
    <w:p w14:paraId="0F316493">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土壤现状监测结果（</w:t>
      </w:r>
      <w:r>
        <w:rPr>
          <w:rFonts w:hint="default" w:ascii="Times New Roman" w:hAnsi="Times New Roman" w:eastAsia="宋体" w:cs="Times New Roman"/>
          <w:color w:val="auto"/>
          <w:highlight w:val="none"/>
          <w:lang w:val="en-US" w:eastAsia="zh-CN"/>
        </w:rPr>
        <w:t>S5、S6</w:t>
      </w:r>
      <w:r>
        <w:rPr>
          <w:rFonts w:hint="default" w:ascii="Times New Roman" w:hAnsi="Times New Roman" w:eastAsia="宋体" w:cs="Times New Roman"/>
          <w:color w:val="auto"/>
          <w:highlight w:val="none"/>
        </w:rPr>
        <w:t>）</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1480"/>
        <w:gridCol w:w="1338"/>
        <w:gridCol w:w="1026"/>
        <w:gridCol w:w="1173"/>
        <w:gridCol w:w="859"/>
        <w:gridCol w:w="498"/>
        <w:gridCol w:w="853"/>
      </w:tblGrid>
      <w:tr w14:paraId="5BCF7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8" w:type="pct"/>
            <w:vMerge w:val="restart"/>
            <w:noWrap w:val="0"/>
            <w:vAlign w:val="center"/>
          </w:tcPr>
          <w:p w14:paraId="003A5A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868" w:type="pct"/>
            <w:noWrap w:val="0"/>
            <w:vAlign w:val="center"/>
          </w:tcPr>
          <w:p w14:paraId="77C5F058">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S5</w:t>
            </w:r>
          </w:p>
        </w:tc>
        <w:tc>
          <w:tcPr>
            <w:tcW w:w="785" w:type="pct"/>
            <w:noWrap w:val="0"/>
            <w:vAlign w:val="center"/>
          </w:tcPr>
          <w:p w14:paraId="2ACC602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S6</w:t>
            </w:r>
          </w:p>
        </w:tc>
        <w:tc>
          <w:tcPr>
            <w:tcW w:w="602" w:type="pct"/>
            <w:vMerge w:val="restart"/>
            <w:noWrap w:val="0"/>
            <w:vAlign w:val="center"/>
          </w:tcPr>
          <w:p w14:paraId="7EE0EC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192" w:type="pct"/>
            <w:gridSpan w:val="2"/>
            <w:noWrap w:val="0"/>
            <w:vAlign w:val="center"/>
          </w:tcPr>
          <w:p w14:paraId="663D90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标准值（mg/kg）</w:t>
            </w:r>
          </w:p>
        </w:tc>
        <w:tc>
          <w:tcPr>
            <w:tcW w:w="292" w:type="pct"/>
            <w:vMerge w:val="restart"/>
            <w:noWrap w:val="0"/>
            <w:vAlign w:val="center"/>
          </w:tcPr>
          <w:p w14:paraId="530A24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500" w:type="pct"/>
            <w:vMerge w:val="restart"/>
            <w:noWrap w:val="0"/>
            <w:vAlign w:val="center"/>
          </w:tcPr>
          <w:p w14:paraId="297C6A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73C0A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758" w:type="pct"/>
            <w:vMerge w:val="continue"/>
            <w:noWrap w:val="0"/>
            <w:vAlign w:val="center"/>
          </w:tcPr>
          <w:p w14:paraId="78EB18B1">
            <w:pPr>
              <w:pStyle w:val="46"/>
              <w:bidi w:val="0"/>
              <w:rPr>
                <w:rFonts w:hint="default" w:ascii="Times New Roman" w:hAnsi="Times New Roman" w:cs="Times New Roman"/>
                <w:color w:val="auto"/>
                <w:highlight w:val="none"/>
              </w:rPr>
            </w:pPr>
          </w:p>
        </w:tc>
        <w:tc>
          <w:tcPr>
            <w:tcW w:w="1653" w:type="pct"/>
            <w:gridSpan w:val="2"/>
            <w:noWrap w:val="0"/>
            <w:vAlign w:val="center"/>
          </w:tcPr>
          <w:p w14:paraId="674B58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0-0.2m</w:t>
            </w:r>
          </w:p>
        </w:tc>
        <w:tc>
          <w:tcPr>
            <w:tcW w:w="602" w:type="pct"/>
            <w:vMerge w:val="continue"/>
            <w:noWrap w:val="0"/>
            <w:vAlign w:val="center"/>
          </w:tcPr>
          <w:p w14:paraId="5426649B">
            <w:pPr>
              <w:pStyle w:val="46"/>
              <w:bidi w:val="0"/>
              <w:rPr>
                <w:rFonts w:hint="default" w:ascii="Times New Roman" w:hAnsi="Times New Roman" w:cs="Times New Roman"/>
                <w:color w:val="auto"/>
                <w:highlight w:val="none"/>
              </w:rPr>
            </w:pPr>
          </w:p>
        </w:tc>
        <w:tc>
          <w:tcPr>
            <w:tcW w:w="1173" w:type="dxa"/>
            <w:noWrap w:val="0"/>
            <w:vAlign w:val="center"/>
          </w:tcPr>
          <w:p w14:paraId="4DC08E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S5</w:t>
            </w:r>
          </w:p>
        </w:tc>
        <w:tc>
          <w:tcPr>
            <w:tcW w:w="859" w:type="dxa"/>
            <w:noWrap w:val="0"/>
            <w:vAlign w:val="center"/>
          </w:tcPr>
          <w:p w14:paraId="0A86A7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S6</w:t>
            </w:r>
          </w:p>
        </w:tc>
        <w:tc>
          <w:tcPr>
            <w:tcW w:w="292" w:type="pct"/>
            <w:vMerge w:val="continue"/>
            <w:noWrap w:val="0"/>
            <w:vAlign w:val="center"/>
          </w:tcPr>
          <w:p w14:paraId="2CD706BD">
            <w:pPr>
              <w:pStyle w:val="46"/>
              <w:bidi w:val="0"/>
              <w:rPr>
                <w:rFonts w:hint="default" w:ascii="Times New Roman" w:hAnsi="Times New Roman" w:cs="Times New Roman"/>
                <w:color w:val="auto"/>
                <w:highlight w:val="none"/>
              </w:rPr>
            </w:pPr>
          </w:p>
        </w:tc>
        <w:tc>
          <w:tcPr>
            <w:tcW w:w="500" w:type="pct"/>
            <w:vMerge w:val="continue"/>
            <w:noWrap w:val="0"/>
            <w:vAlign w:val="center"/>
          </w:tcPr>
          <w:p w14:paraId="1D02BCD4">
            <w:pPr>
              <w:pStyle w:val="46"/>
              <w:bidi w:val="0"/>
              <w:rPr>
                <w:rFonts w:hint="default" w:ascii="Times New Roman" w:hAnsi="Times New Roman" w:cs="Times New Roman"/>
                <w:color w:val="auto"/>
                <w:highlight w:val="none"/>
              </w:rPr>
            </w:pPr>
          </w:p>
        </w:tc>
      </w:tr>
      <w:tr w14:paraId="60587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72483EF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868" w:type="pct"/>
            <w:noWrap w:val="0"/>
            <w:vAlign w:val="center"/>
          </w:tcPr>
          <w:p w14:paraId="52E9A2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785" w:type="pct"/>
            <w:noWrap w:val="0"/>
            <w:vAlign w:val="center"/>
          </w:tcPr>
          <w:p w14:paraId="138F4AB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602" w:type="pct"/>
            <w:noWrap w:val="0"/>
            <w:vAlign w:val="center"/>
          </w:tcPr>
          <w:p w14:paraId="7EB6FF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mg/kg</w:t>
            </w:r>
          </w:p>
        </w:tc>
        <w:tc>
          <w:tcPr>
            <w:tcW w:w="1173" w:type="dxa"/>
            <w:noWrap w:val="0"/>
            <w:vAlign w:val="center"/>
          </w:tcPr>
          <w:p w14:paraId="79170A3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859" w:type="dxa"/>
            <w:noWrap w:val="0"/>
            <w:vAlign w:val="center"/>
          </w:tcPr>
          <w:p w14:paraId="33E11BE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292" w:type="pct"/>
            <w:noWrap w:val="0"/>
            <w:vAlign w:val="center"/>
          </w:tcPr>
          <w:p w14:paraId="736A639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0" w:type="pct"/>
            <w:noWrap w:val="0"/>
            <w:vAlign w:val="center"/>
          </w:tcPr>
          <w:p w14:paraId="63E9DD9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2ED42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7ED21C3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汞</w:t>
            </w:r>
          </w:p>
        </w:tc>
        <w:tc>
          <w:tcPr>
            <w:tcW w:w="868" w:type="pct"/>
            <w:noWrap w:val="0"/>
            <w:vAlign w:val="center"/>
          </w:tcPr>
          <w:p w14:paraId="40B4E07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0.023</w:t>
            </w:r>
          </w:p>
        </w:tc>
        <w:tc>
          <w:tcPr>
            <w:tcW w:w="785" w:type="pct"/>
            <w:noWrap w:val="0"/>
            <w:vAlign w:val="center"/>
          </w:tcPr>
          <w:p w14:paraId="74C2F67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0.056</w:t>
            </w:r>
          </w:p>
        </w:tc>
        <w:tc>
          <w:tcPr>
            <w:tcW w:w="602" w:type="pct"/>
            <w:noWrap w:val="0"/>
            <w:vAlign w:val="center"/>
          </w:tcPr>
          <w:p w14:paraId="529287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576F334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w:t>
            </w:r>
          </w:p>
        </w:tc>
        <w:tc>
          <w:tcPr>
            <w:tcW w:w="859" w:type="dxa"/>
            <w:noWrap w:val="0"/>
            <w:vAlign w:val="center"/>
          </w:tcPr>
          <w:p w14:paraId="56A6F6F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292" w:type="pct"/>
            <w:noWrap w:val="0"/>
            <w:vAlign w:val="center"/>
          </w:tcPr>
          <w:p w14:paraId="2B3DB58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159222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EBED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4D5CEB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砷</w:t>
            </w:r>
          </w:p>
        </w:tc>
        <w:tc>
          <w:tcPr>
            <w:tcW w:w="868" w:type="pct"/>
            <w:noWrap w:val="0"/>
            <w:vAlign w:val="center"/>
          </w:tcPr>
          <w:p w14:paraId="0335962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w:t>
            </w:r>
          </w:p>
        </w:tc>
        <w:tc>
          <w:tcPr>
            <w:tcW w:w="785" w:type="pct"/>
            <w:noWrap w:val="0"/>
            <w:vAlign w:val="center"/>
          </w:tcPr>
          <w:p w14:paraId="204CE5A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6.63</w:t>
            </w:r>
          </w:p>
        </w:tc>
        <w:tc>
          <w:tcPr>
            <w:tcW w:w="602" w:type="pct"/>
            <w:noWrap w:val="0"/>
            <w:vAlign w:val="center"/>
          </w:tcPr>
          <w:p w14:paraId="3B8DF2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58459AB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859" w:type="dxa"/>
            <w:noWrap w:val="0"/>
            <w:vAlign w:val="center"/>
          </w:tcPr>
          <w:p w14:paraId="7C18BD0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292" w:type="pct"/>
            <w:noWrap w:val="0"/>
            <w:vAlign w:val="center"/>
          </w:tcPr>
          <w:p w14:paraId="62C1CF5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500" w:type="pct"/>
            <w:noWrap w:val="0"/>
            <w:vAlign w:val="center"/>
          </w:tcPr>
          <w:p w14:paraId="46EF886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61D06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7324D8C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铅</w:t>
            </w:r>
          </w:p>
        </w:tc>
        <w:tc>
          <w:tcPr>
            <w:tcW w:w="868" w:type="pct"/>
            <w:noWrap w:val="0"/>
            <w:vAlign w:val="center"/>
          </w:tcPr>
          <w:p w14:paraId="44FB507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785" w:type="pct"/>
            <w:noWrap w:val="0"/>
            <w:vAlign w:val="center"/>
          </w:tcPr>
          <w:p w14:paraId="359EEE5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w:t>
            </w:r>
          </w:p>
        </w:tc>
        <w:tc>
          <w:tcPr>
            <w:tcW w:w="602" w:type="pct"/>
            <w:noWrap w:val="0"/>
            <w:vAlign w:val="center"/>
          </w:tcPr>
          <w:p w14:paraId="4EAA42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1431879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120</w:t>
            </w:r>
          </w:p>
        </w:tc>
        <w:tc>
          <w:tcPr>
            <w:tcW w:w="859" w:type="dxa"/>
            <w:noWrap w:val="0"/>
            <w:vAlign w:val="center"/>
          </w:tcPr>
          <w:p w14:paraId="73C3744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292" w:type="pct"/>
            <w:noWrap w:val="0"/>
            <w:vAlign w:val="center"/>
          </w:tcPr>
          <w:p w14:paraId="2952FA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238A13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3B6D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6D6FAE0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铬</w:t>
            </w:r>
          </w:p>
        </w:tc>
        <w:tc>
          <w:tcPr>
            <w:tcW w:w="868" w:type="pct"/>
            <w:noWrap w:val="0"/>
            <w:vAlign w:val="center"/>
          </w:tcPr>
          <w:p w14:paraId="31B3945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785" w:type="pct"/>
            <w:noWrap w:val="0"/>
            <w:vAlign w:val="center"/>
          </w:tcPr>
          <w:p w14:paraId="378D8DB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89</w:t>
            </w:r>
          </w:p>
        </w:tc>
        <w:tc>
          <w:tcPr>
            <w:tcW w:w="602" w:type="pct"/>
            <w:noWrap w:val="0"/>
            <w:vAlign w:val="center"/>
          </w:tcPr>
          <w:p w14:paraId="688397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66729DD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859" w:type="dxa"/>
            <w:noWrap w:val="0"/>
            <w:vAlign w:val="center"/>
          </w:tcPr>
          <w:p w14:paraId="1E3147A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w:t>
            </w:r>
          </w:p>
        </w:tc>
        <w:tc>
          <w:tcPr>
            <w:tcW w:w="292" w:type="pct"/>
            <w:noWrap w:val="0"/>
            <w:vAlign w:val="center"/>
          </w:tcPr>
          <w:p w14:paraId="043393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64C348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3E21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460BF2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铜</w:t>
            </w:r>
          </w:p>
        </w:tc>
        <w:tc>
          <w:tcPr>
            <w:tcW w:w="868" w:type="pct"/>
            <w:noWrap w:val="0"/>
            <w:vAlign w:val="center"/>
          </w:tcPr>
          <w:p w14:paraId="65197CA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785" w:type="pct"/>
            <w:noWrap w:val="0"/>
            <w:vAlign w:val="center"/>
          </w:tcPr>
          <w:p w14:paraId="2222B08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602" w:type="pct"/>
            <w:noWrap w:val="0"/>
            <w:vAlign w:val="center"/>
          </w:tcPr>
          <w:p w14:paraId="5B9642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7AF45AD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859" w:type="dxa"/>
            <w:noWrap w:val="0"/>
            <w:vAlign w:val="center"/>
          </w:tcPr>
          <w:p w14:paraId="7BBC97A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292" w:type="pct"/>
            <w:noWrap w:val="0"/>
            <w:vAlign w:val="center"/>
          </w:tcPr>
          <w:p w14:paraId="0EF98C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351387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AD1D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4BDDB4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镍</w:t>
            </w:r>
          </w:p>
        </w:tc>
        <w:tc>
          <w:tcPr>
            <w:tcW w:w="868" w:type="pct"/>
            <w:noWrap w:val="0"/>
            <w:vAlign w:val="center"/>
          </w:tcPr>
          <w:p w14:paraId="471F22A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w:t>
            </w:r>
          </w:p>
        </w:tc>
        <w:tc>
          <w:tcPr>
            <w:tcW w:w="785" w:type="pct"/>
            <w:noWrap w:val="0"/>
            <w:vAlign w:val="center"/>
          </w:tcPr>
          <w:p w14:paraId="199D6ED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602" w:type="pct"/>
            <w:noWrap w:val="0"/>
            <w:vAlign w:val="center"/>
          </w:tcPr>
          <w:p w14:paraId="1FC4B7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2297B97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859" w:type="dxa"/>
            <w:noWrap w:val="0"/>
            <w:vAlign w:val="center"/>
          </w:tcPr>
          <w:p w14:paraId="5850CEE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w:t>
            </w:r>
          </w:p>
        </w:tc>
        <w:tc>
          <w:tcPr>
            <w:tcW w:w="292" w:type="pct"/>
            <w:noWrap w:val="0"/>
            <w:vAlign w:val="center"/>
          </w:tcPr>
          <w:p w14:paraId="49D8FE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097E51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8DC7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448D6E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锌</w:t>
            </w:r>
          </w:p>
        </w:tc>
        <w:tc>
          <w:tcPr>
            <w:tcW w:w="868" w:type="pct"/>
            <w:noWrap w:val="0"/>
            <w:vAlign w:val="center"/>
          </w:tcPr>
          <w:p w14:paraId="61B9E3A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w:t>
            </w:r>
          </w:p>
        </w:tc>
        <w:tc>
          <w:tcPr>
            <w:tcW w:w="785" w:type="pct"/>
            <w:noWrap w:val="0"/>
            <w:vAlign w:val="center"/>
          </w:tcPr>
          <w:p w14:paraId="1C4BD22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88</w:t>
            </w:r>
          </w:p>
        </w:tc>
        <w:tc>
          <w:tcPr>
            <w:tcW w:w="602" w:type="pct"/>
            <w:noWrap w:val="0"/>
            <w:vAlign w:val="center"/>
          </w:tcPr>
          <w:p w14:paraId="56127E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mg/kg</w:t>
            </w:r>
          </w:p>
        </w:tc>
        <w:tc>
          <w:tcPr>
            <w:tcW w:w="1173" w:type="dxa"/>
            <w:noWrap w:val="0"/>
            <w:vAlign w:val="center"/>
          </w:tcPr>
          <w:p w14:paraId="6D31D96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859" w:type="dxa"/>
            <w:noWrap w:val="0"/>
            <w:vAlign w:val="center"/>
          </w:tcPr>
          <w:p w14:paraId="037BBAE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200</w:t>
            </w:r>
          </w:p>
        </w:tc>
        <w:tc>
          <w:tcPr>
            <w:tcW w:w="292" w:type="pct"/>
            <w:noWrap w:val="0"/>
            <w:vAlign w:val="center"/>
          </w:tcPr>
          <w:p w14:paraId="31912D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00" w:type="pct"/>
            <w:noWrap w:val="0"/>
            <w:vAlign w:val="center"/>
          </w:tcPr>
          <w:p w14:paraId="31FE26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DCB8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1A53F7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w:t>
            </w:r>
          </w:p>
        </w:tc>
        <w:tc>
          <w:tcPr>
            <w:tcW w:w="868" w:type="pct"/>
            <w:noWrap w:val="0"/>
            <w:vAlign w:val="center"/>
          </w:tcPr>
          <w:p w14:paraId="68E49A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6.58</w:t>
            </w:r>
          </w:p>
        </w:tc>
        <w:tc>
          <w:tcPr>
            <w:tcW w:w="785" w:type="pct"/>
            <w:noWrap w:val="0"/>
            <w:vAlign w:val="center"/>
          </w:tcPr>
          <w:p w14:paraId="5F91222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6.33</w:t>
            </w:r>
          </w:p>
        </w:tc>
        <w:tc>
          <w:tcPr>
            <w:tcW w:w="602" w:type="pct"/>
            <w:noWrap w:val="0"/>
            <w:vAlign w:val="center"/>
          </w:tcPr>
          <w:p w14:paraId="32F098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无量纲</w:t>
            </w:r>
          </w:p>
        </w:tc>
        <w:tc>
          <w:tcPr>
            <w:tcW w:w="1173" w:type="dxa"/>
            <w:noWrap w:val="0"/>
            <w:vAlign w:val="center"/>
          </w:tcPr>
          <w:p w14:paraId="2EB4AA4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59" w:type="dxa"/>
            <w:noWrap w:val="0"/>
            <w:vAlign w:val="center"/>
          </w:tcPr>
          <w:p w14:paraId="5696938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92" w:type="pct"/>
            <w:noWrap w:val="0"/>
            <w:vAlign w:val="center"/>
          </w:tcPr>
          <w:p w14:paraId="6B9625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500" w:type="pct"/>
            <w:noWrap w:val="0"/>
            <w:vAlign w:val="center"/>
          </w:tcPr>
          <w:p w14:paraId="180F6F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5D2C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758" w:type="pct"/>
            <w:noWrap w:val="0"/>
            <w:vAlign w:val="center"/>
          </w:tcPr>
          <w:p w14:paraId="6BD36C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水溶性盐</w:t>
            </w:r>
          </w:p>
        </w:tc>
        <w:tc>
          <w:tcPr>
            <w:tcW w:w="868" w:type="pct"/>
            <w:noWrap w:val="0"/>
            <w:vAlign w:val="center"/>
          </w:tcPr>
          <w:p w14:paraId="51E0F0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0.68</w:t>
            </w:r>
          </w:p>
        </w:tc>
        <w:tc>
          <w:tcPr>
            <w:tcW w:w="785" w:type="pct"/>
            <w:noWrap w:val="0"/>
            <w:vAlign w:val="center"/>
          </w:tcPr>
          <w:p w14:paraId="1E8A80B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1.58</w:t>
            </w:r>
          </w:p>
        </w:tc>
        <w:tc>
          <w:tcPr>
            <w:tcW w:w="602" w:type="pct"/>
            <w:noWrap w:val="0"/>
            <w:vAlign w:val="center"/>
          </w:tcPr>
          <w:p w14:paraId="582938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g/kg</w:t>
            </w:r>
          </w:p>
        </w:tc>
        <w:tc>
          <w:tcPr>
            <w:tcW w:w="688" w:type="pct"/>
            <w:noWrap w:val="0"/>
            <w:vAlign w:val="center"/>
          </w:tcPr>
          <w:p w14:paraId="73ED6C0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04" w:type="pct"/>
            <w:noWrap w:val="0"/>
            <w:vAlign w:val="center"/>
          </w:tcPr>
          <w:p w14:paraId="0AC872C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92" w:type="pct"/>
            <w:noWrap w:val="0"/>
            <w:vAlign w:val="center"/>
          </w:tcPr>
          <w:p w14:paraId="166AF7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500" w:type="pct"/>
            <w:noWrap w:val="0"/>
            <w:vAlign w:val="center"/>
          </w:tcPr>
          <w:p w14:paraId="2910B2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631AF978">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（9）评价结论</w:t>
      </w:r>
    </w:p>
    <w:p w14:paraId="647E1F48">
      <w:pPr>
        <w:pStyle w:val="27"/>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val="en-US" w:eastAsia="zh-CN"/>
        </w:rPr>
        <w:t>上表</w:t>
      </w:r>
      <w:r>
        <w:rPr>
          <w:rFonts w:hint="default" w:ascii="Times New Roman" w:hAnsi="Times New Roman" w:cs="Times New Roman"/>
          <w:color w:val="auto"/>
          <w:highlight w:val="none"/>
        </w:rPr>
        <w:t>可见，本工程占地范围</w:t>
      </w:r>
      <w:r>
        <w:rPr>
          <w:rFonts w:hint="default" w:ascii="Times New Roman" w:hAnsi="Times New Roman" w:cs="Times New Roman"/>
          <w:color w:val="auto"/>
          <w:highlight w:val="none"/>
          <w:lang w:val="en-US" w:eastAsia="zh-CN"/>
        </w:rPr>
        <w:t>S1、S2</w:t>
      </w:r>
      <w:r>
        <w:rPr>
          <w:rFonts w:hint="default" w:ascii="Times New Roman" w:hAnsi="Times New Roman" w:cs="Times New Roman"/>
          <w:color w:val="auto"/>
          <w:highlight w:val="none"/>
        </w:rPr>
        <w:t>监测点的土壤环境质量现状均符合《土壤环境质量 建设用地土壤污染风险管控标准（试行）》（GB36600-2018）中的第二类用地风险筛选值，</w:t>
      </w:r>
      <w:r>
        <w:rPr>
          <w:rFonts w:hint="default" w:ascii="Times New Roman" w:hAnsi="Times New Roman" w:cs="Times New Roman"/>
          <w:color w:val="auto"/>
          <w:highlight w:val="none"/>
          <w:lang w:val="en-US" w:eastAsia="zh-CN"/>
        </w:rPr>
        <w:t>S3、S4、S5、S6</w:t>
      </w:r>
      <w:r>
        <w:rPr>
          <w:rFonts w:hint="default" w:ascii="Times New Roman" w:hAnsi="Times New Roman" w:cs="Times New Roman"/>
          <w:color w:val="auto"/>
          <w:highlight w:val="none"/>
        </w:rPr>
        <w:t>各监测点的土壤环境质量现状均符合《土壤环境质量 农用地土壤污染风险管控标准（试行）》（GB 15618-2018）中风险筛选值</w:t>
      </w:r>
      <w:r>
        <w:rPr>
          <w:rFonts w:hint="default" w:ascii="Times New Roman" w:hAnsi="Times New Roman" w:cs="Times New Roman"/>
          <w:color w:val="auto"/>
          <w:highlight w:val="none"/>
          <w:lang w:val="en-US" w:eastAsia="zh-CN"/>
        </w:rPr>
        <w:t>中其他</w:t>
      </w:r>
      <w:r>
        <w:rPr>
          <w:rFonts w:hint="default" w:ascii="Times New Roman" w:hAnsi="Times New Roman" w:cs="Times New Roman"/>
          <w:color w:val="auto"/>
          <w:highlight w:val="none"/>
        </w:rPr>
        <w:t>，本工程土壤环境质量现状满足要求。</w:t>
      </w:r>
    </w:p>
    <w:p w14:paraId="44A377BF">
      <w:pPr>
        <w:pStyle w:val="41"/>
        <w:bidi w:val="0"/>
        <w:rPr>
          <w:rFonts w:hint="default" w:ascii="Times New Roman" w:hAnsi="Times New Roman" w:cs="Times New Roman"/>
          <w:color w:val="auto"/>
          <w:highlight w:val="none"/>
        </w:rPr>
      </w:pPr>
      <w:bookmarkStart w:id="240" w:name="_Toc29664"/>
      <w:r>
        <w:rPr>
          <w:rFonts w:hint="default" w:ascii="Times New Roman" w:hAnsi="Times New Roman" w:cs="Times New Roman"/>
          <w:color w:val="auto"/>
          <w:highlight w:val="none"/>
        </w:rPr>
        <w:t>4.2.6生态环境现状调查</w:t>
      </w:r>
      <w:bookmarkEnd w:id="240"/>
    </w:p>
    <w:p w14:paraId="7FC3F574">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4.2.6.1调查范围</w:t>
      </w:r>
    </w:p>
    <w:p w14:paraId="213D2D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生态影响》（HJ19-2022）及项目所在区域环境特征，本项目生态环境调查范围为回填区外延</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00m。</w:t>
      </w:r>
    </w:p>
    <w:p w14:paraId="34D227E5">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4.2.6.2调查方法</w:t>
      </w:r>
    </w:p>
    <w:p w14:paraId="7A773FA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根据项目所在区域特征，本项目调查方法主要采用资料收集和现场调查。</w:t>
      </w:r>
    </w:p>
    <w:p w14:paraId="1F0096CC">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4.2.6.3生态功能区划</w:t>
      </w:r>
    </w:p>
    <w:p w14:paraId="16D51FA9">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根据《黑龙江省生态功能区规划》，本项目位于</w:t>
      </w: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-3-2-6鸡西矿、农业、林业生态功能区，主要生态环境问题为植被覆盖率低，矿产开采的生态恢复措施未跟上，引发严重的次生生态环境问题；该区南部小片地区土壤侵蚀敏感性为高度敏感；主要生态系统服务功能为土壤保持、林矿农业生产；保护措施与发展方向为合理地进行矿产开发，禁止野蛮开采的情况出现，大力发展生态林业和生态农业。</w:t>
      </w:r>
      <w:r>
        <w:rPr>
          <w:rFonts w:hint="default" w:ascii="Times New Roman" w:hAnsi="Times New Roman" w:cs="Times New Roman"/>
          <w:color w:val="auto"/>
          <w:highlight w:val="none"/>
          <w:lang w:val="en-US" w:eastAsia="zh-CN"/>
        </w:rPr>
        <w:t>本项目服务期满后进行覆土绿化，可以更好的缓解水土流失，保持生物多样性。因此工程建设总体上与环境保护规划相协调。</w:t>
      </w:r>
    </w:p>
    <w:p w14:paraId="5F2FB2C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212590" cy="5200015"/>
            <wp:effectExtent l="0" t="0" r="16510" b="635"/>
            <wp:docPr id="6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7"/>
                    <pic:cNvPicPr>
                      <a:picLocks noChangeAspect="1"/>
                    </pic:cNvPicPr>
                  </pic:nvPicPr>
                  <pic:blipFill>
                    <a:blip r:embed="rId45"/>
                    <a:srcRect l="3671" t="172" r="3230" b="92"/>
                    <a:stretch>
                      <a:fillRect/>
                    </a:stretch>
                  </pic:blipFill>
                  <pic:spPr>
                    <a:xfrm>
                      <a:off x="0" y="0"/>
                      <a:ext cx="4212590" cy="5200015"/>
                    </a:xfrm>
                    <a:prstGeom prst="rect">
                      <a:avLst/>
                    </a:prstGeom>
                    <a:noFill/>
                    <a:ln>
                      <a:noFill/>
                    </a:ln>
                  </pic:spPr>
                </pic:pic>
              </a:graphicData>
            </a:graphic>
          </wp:inline>
        </w:drawing>
      </w:r>
    </w:p>
    <w:p w14:paraId="3DF8150B">
      <w:pPr>
        <w:pStyle w:val="2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图</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 xml:space="preserve"> 黑龙江省生态功能区划</w:t>
      </w:r>
    </w:p>
    <w:p w14:paraId="4EF22622">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4.2.6.4土地利用现状</w:t>
      </w:r>
    </w:p>
    <w:p w14:paraId="60E368A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建设内容、环境污染物排放特征及建设地点等具体情况，对项目周围的生态环境现状进行了调查，调查主要以收集区域相关生态条件资料和现场踏勘相结合的方法。生态评价范围内主要用地现状主要为采矿用地，其次为旱地和乔木林地等。根据土地利用现状图及实地调查，区域内无国家、省、市级自然保护区、风景名胜区等保护目标，周边林地为一般林地，非公益林及天然林。</w:t>
      </w:r>
    </w:p>
    <w:p w14:paraId="267A1FBA">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b w:val="0"/>
          <w:color w:val="auto"/>
          <w:kern w:val="21"/>
          <w:sz w:val="24"/>
          <w:szCs w:val="21"/>
          <w:highlight w:val="none"/>
          <w:lang w:val="en-US" w:eastAsia="zh-CN"/>
        </w:rPr>
      </w:pPr>
      <w:r>
        <w:rPr>
          <w:rFonts w:hint="default" w:ascii="Times New Roman" w:hAnsi="Times New Roman" w:eastAsia="宋体" w:cs="Times New Roman"/>
          <w:b w:val="0"/>
          <w:color w:val="auto"/>
          <w:kern w:val="21"/>
          <w:sz w:val="24"/>
          <w:szCs w:val="21"/>
          <w:highlight w:val="none"/>
          <w:lang w:val="en-US" w:eastAsia="zh-CN"/>
        </w:rPr>
        <w:t>（1）永久占地</w:t>
      </w:r>
    </w:p>
    <w:p w14:paraId="5F9DD63E">
      <w:pPr>
        <w:keepNext w:val="0"/>
        <w:keepLines w:val="0"/>
        <w:pageBreakBefore w:val="0"/>
        <w:widowControl w:val="0"/>
        <w:kinsoku/>
        <w:wordWrap/>
        <w:overflowPunct/>
        <w:topLinePunct w:val="0"/>
        <w:autoSpaceDE/>
        <w:autoSpaceDN/>
        <w:bidi w:val="0"/>
        <w:adjustRightInd/>
        <w:snapToGrid/>
        <w:spacing w:line="360" w:lineRule="auto"/>
        <w:ind w:left="240" w:leftChars="100" w:right="0" w:firstLine="240" w:firstLineChars="100"/>
        <w:jc w:val="both"/>
        <w:textAlignment w:val="auto"/>
        <w:outlineLvl w:val="9"/>
        <w:rPr>
          <w:rFonts w:hint="default" w:ascii="Times New Roman" w:hAnsi="Times New Roman" w:eastAsia="宋体" w:cs="Times New Roman"/>
          <w:b w:val="0"/>
          <w:bCs w:val="0"/>
          <w:color w:val="auto"/>
          <w:kern w:val="21"/>
          <w:sz w:val="24"/>
          <w:highlight w:val="none"/>
          <w:lang w:val="en-US" w:eastAsia="zh-CN"/>
        </w:rPr>
      </w:pPr>
      <w:r>
        <w:rPr>
          <w:rFonts w:hint="default" w:ascii="Times New Roman" w:hAnsi="Times New Roman" w:eastAsia="宋体" w:cs="Times New Roman"/>
          <w:color w:val="auto"/>
          <w:kern w:val="21"/>
          <w:sz w:val="24"/>
          <w:highlight w:val="none"/>
          <w:lang w:eastAsia="zh-CN"/>
        </w:rPr>
        <w:t>项目永久占地共</w:t>
      </w:r>
      <w:r>
        <w:rPr>
          <w:rFonts w:hint="default" w:ascii="Times New Roman" w:hAnsi="Times New Roman" w:eastAsia="宋体" w:cs="Times New Roman"/>
          <w:color w:val="auto"/>
          <w:kern w:val="21"/>
          <w:szCs w:val="24"/>
          <w:highlight w:val="none"/>
          <w:u w:val="none"/>
          <w:lang w:val="en-US" w:eastAsia="zh-CN"/>
        </w:rPr>
        <w:t>8.5303h</w:t>
      </w:r>
      <w:r>
        <w:rPr>
          <w:rFonts w:hint="default" w:ascii="Times New Roman" w:hAnsi="Times New Roman" w:eastAsia="宋体" w:cs="Times New Roman"/>
          <w:color w:val="auto"/>
          <w:kern w:val="21"/>
          <w:szCs w:val="24"/>
          <w:highlight w:val="none"/>
          <w:u w:val="none"/>
          <w:lang w:eastAsia="zh-CN"/>
        </w:rPr>
        <w:t>m</w:t>
      </w:r>
      <w:r>
        <w:rPr>
          <w:rFonts w:hint="default" w:ascii="Times New Roman" w:hAnsi="Times New Roman" w:eastAsia="宋体" w:cs="Times New Roman"/>
          <w:color w:val="auto"/>
          <w:kern w:val="21"/>
          <w:szCs w:val="24"/>
          <w:highlight w:val="none"/>
          <w:u w:val="none"/>
          <w:vertAlign w:val="superscript"/>
          <w:lang w:eastAsia="zh-CN"/>
        </w:rPr>
        <w:t>2</w:t>
      </w:r>
      <w:r>
        <w:rPr>
          <w:rFonts w:hint="default" w:ascii="Times New Roman" w:hAnsi="Times New Roman" w:eastAsia="宋体" w:cs="Times New Roman"/>
          <w:color w:val="auto"/>
          <w:kern w:val="21"/>
          <w:sz w:val="24"/>
          <w:highlight w:val="none"/>
          <w:lang w:eastAsia="zh-CN"/>
        </w:rPr>
        <w:t>，</w:t>
      </w:r>
      <w:r>
        <w:rPr>
          <w:rFonts w:hint="default" w:ascii="Times New Roman" w:hAnsi="Times New Roman" w:eastAsia="宋体" w:cs="Times New Roman"/>
          <w:color w:val="auto"/>
          <w:kern w:val="21"/>
          <w:sz w:val="24"/>
          <w:highlight w:val="none"/>
          <w:lang w:val="en-US" w:eastAsia="zh-CN"/>
        </w:rPr>
        <w:t>全部</w:t>
      </w:r>
      <w:r>
        <w:rPr>
          <w:rFonts w:hint="default" w:ascii="Times New Roman" w:hAnsi="Times New Roman" w:eastAsia="宋体" w:cs="Times New Roman"/>
          <w:b w:val="0"/>
          <w:color w:val="auto"/>
          <w:kern w:val="21"/>
          <w:sz w:val="24"/>
          <w:szCs w:val="24"/>
          <w:highlight w:val="none"/>
          <w:u w:val="none"/>
          <w:lang w:val="en-US" w:eastAsia="zh-CN" w:bidi="ar-SA"/>
        </w:rPr>
        <w:t>利用废弃场地，</w:t>
      </w:r>
      <w:r>
        <w:rPr>
          <w:rFonts w:hint="default" w:ascii="Times New Roman" w:hAnsi="Times New Roman" w:eastAsia="宋体" w:cs="Times New Roman"/>
          <w:color w:val="auto"/>
          <w:highlight w:val="none"/>
          <w:u w:val="none"/>
          <w:lang w:val="en-US" w:eastAsia="zh-CN"/>
        </w:rPr>
        <w:t>不新增占地。占用类型全部为采矿用地。</w:t>
      </w:r>
    </w:p>
    <w:p w14:paraId="331B07AB">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b w:val="0"/>
          <w:color w:val="auto"/>
          <w:kern w:val="21"/>
          <w:sz w:val="24"/>
          <w:szCs w:val="21"/>
          <w:highlight w:val="none"/>
          <w:lang w:val="en-US" w:eastAsia="zh-CN"/>
        </w:rPr>
      </w:pPr>
      <w:r>
        <w:rPr>
          <w:rFonts w:hint="default" w:ascii="Times New Roman" w:hAnsi="Times New Roman" w:eastAsia="宋体" w:cs="Times New Roman"/>
          <w:b w:val="0"/>
          <w:color w:val="auto"/>
          <w:kern w:val="21"/>
          <w:sz w:val="24"/>
          <w:szCs w:val="21"/>
          <w:highlight w:val="none"/>
          <w:lang w:val="en-US" w:eastAsia="zh-CN"/>
        </w:rPr>
        <w:t>（2）临时占地</w:t>
      </w:r>
    </w:p>
    <w:p w14:paraId="446609C2">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b w:val="0"/>
          <w:color w:val="auto"/>
          <w:kern w:val="21"/>
          <w:sz w:val="24"/>
          <w:szCs w:val="21"/>
          <w:highlight w:val="none"/>
          <w:lang w:val="en-US" w:eastAsia="zh-CN"/>
        </w:rPr>
      </w:pPr>
      <w:r>
        <w:rPr>
          <w:rFonts w:hint="default" w:ascii="Times New Roman" w:hAnsi="Times New Roman" w:eastAsia="宋体" w:cs="Times New Roman"/>
          <w:b w:val="0"/>
          <w:bCs w:val="0"/>
          <w:color w:val="auto"/>
          <w:kern w:val="21"/>
          <w:sz w:val="24"/>
          <w:szCs w:val="24"/>
          <w:highlight w:val="none"/>
          <w:u w:val="none"/>
          <w:lang w:eastAsia="zh-CN"/>
        </w:rPr>
        <w:t>项目</w:t>
      </w:r>
      <w:r>
        <w:rPr>
          <w:rFonts w:hint="default" w:ascii="Times New Roman" w:hAnsi="Times New Roman" w:eastAsia="宋体" w:cs="Times New Roman"/>
          <w:b w:val="0"/>
          <w:bCs w:val="0"/>
          <w:color w:val="auto"/>
          <w:kern w:val="21"/>
          <w:sz w:val="24"/>
          <w:szCs w:val="24"/>
          <w:highlight w:val="none"/>
          <w:u w:val="none"/>
        </w:rPr>
        <w:t>不</w:t>
      </w:r>
      <w:r>
        <w:rPr>
          <w:rFonts w:hint="default" w:ascii="Times New Roman" w:hAnsi="Times New Roman" w:eastAsia="宋体" w:cs="Times New Roman"/>
          <w:b w:val="0"/>
          <w:color w:val="auto"/>
          <w:kern w:val="21"/>
          <w:sz w:val="24"/>
          <w:highlight w:val="none"/>
          <w:u w:val="none"/>
        </w:rPr>
        <w:t>不设置集中取、弃土场，所用土石方外购</w:t>
      </w:r>
      <w:r>
        <w:rPr>
          <w:rFonts w:hint="default" w:ascii="Times New Roman" w:hAnsi="Times New Roman" w:eastAsia="宋体" w:cs="Times New Roman"/>
          <w:color w:val="auto"/>
          <w:kern w:val="21"/>
          <w:sz w:val="24"/>
          <w:szCs w:val="24"/>
          <w:highlight w:val="none"/>
          <w:u w:val="none"/>
          <w:lang w:eastAsia="zh-CN"/>
        </w:rPr>
        <w:t>。</w:t>
      </w:r>
      <w:r>
        <w:rPr>
          <w:rFonts w:hint="default" w:ascii="Times New Roman" w:hAnsi="Times New Roman" w:eastAsia="宋体" w:cs="Times New Roman"/>
          <w:b w:val="0"/>
          <w:color w:val="auto"/>
          <w:kern w:val="21"/>
          <w:sz w:val="24"/>
          <w:highlight w:val="none"/>
          <w:u w:val="none"/>
        </w:rPr>
        <w:t>不设置基层、面层拌合站，所</w:t>
      </w:r>
      <w:r>
        <w:rPr>
          <w:rFonts w:hint="default" w:ascii="Times New Roman" w:hAnsi="Times New Roman" w:eastAsia="宋体" w:cs="Times New Roman"/>
          <w:b w:val="0"/>
          <w:color w:val="auto"/>
          <w:kern w:val="21"/>
          <w:sz w:val="24"/>
          <w:highlight w:val="none"/>
          <w:u w:val="none"/>
          <w:lang w:eastAsia="zh-CN"/>
        </w:rPr>
        <w:t>用</w:t>
      </w:r>
      <w:r>
        <w:rPr>
          <w:rFonts w:hint="default" w:ascii="Times New Roman" w:hAnsi="Times New Roman" w:eastAsia="宋体" w:cs="Times New Roman"/>
          <w:b w:val="0"/>
          <w:color w:val="auto"/>
          <w:kern w:val="21"/>
          <w:sz w:val="24"/>
          <w:highlight w:val="none"/>
          <w:u w:val="none"/>
        </w:rPr>
        <w:t>碎石及水泥混凝土等</w:t>
      </w:r>
      <w:r>
        <w:rPr>
          <w:rFonts w:hint="default" w:ascii="Times New Roman" w:hAnsi="Times New Roman" w:eastAsia="宋体" w:cs="Times New Roman"/>
          <w:b w:val="0"/>
          <w:color w:val="auto"/>
          <w:kern w:val="21"/>
          <w:sz w:val="24"/>
          <w:highlight w:val="none"/>
          <w:u w:val="none"/>
          <w:lang w:val="en-US" w:eastAsia="zh-CN"/>
        </w:rPr>
        <w:t>外购商品砼</w:t>
      </w:r>
      <w:r>
        <w:rPr>
          <w:rFonts w:hint="default" w:ascii="Times New Roman" w:hAnsi="Times New Roman" w:eastAsia="宋体" w:cs="Times New Roman"/>
          <w:b w:val="0"/>
          <w:color w:val="auto"/>
          <w:kern w:val="21"/>
          <w:sz w:val="24"/>
          <w:highlight w:val="none"/>
          <w:u w:val="none"/>
          <w:lang w:eastAsia="zh-CN"/>
        </w:rPr>
        <w:t>。</w:t>
      </w:r>
      <w:r>
        <w:rPr>
          <w:rFonts w:hint="default" w:ascii="Times New Roman" w:hAnsi="Times New Roman" w:eastAsia="宋体" w:cs="Times New Roman"/>
          <w:b w:val="0"/>
          <w:color w:val="auto"/>
          <w:kern w:val="21"/>
          <w:sz w:val="24"/>
          <w:highlight w:val="none"/>
          <w:u w:val="none"/>
        </w:rPr>
        <w:t>不</w:t>
      </w:r>
      <w:r>
        <w:rPr>
          <w:rFonts w:hint="default" w:ascii="Times New Roman" w:hAnsi="Times New Roman" w:eastAsia="宋体" w:cs="Times New Roman"/>
          <w:b w:val="0"/>
          <w:color w:val="auto"/>
          <w:kern w:val="21"/>
          <w:sz w:val="24"/>
          <w:highlight w:val="none"/>
          <w:u w:val="none"/>
          <w:lang w:val="en-US" w:eastAsia="zh-CN"/>
        </w:rPr>
        <w:t>单独</w:t>
      </w:r>
      <w:r>
        <w:rPr>
          <w:rFonts w:hint="default" w:ascii="Times New Roman" w:hAnsi="Times New Roman" w:eastAsia="宋体" w:cs="Times New Roman"/>
          <w:b w:val="0"/>
          <w:color w:val="auto"/>
          <w:kern w:val="21"/>
          <w:sz w:val="24"/>
          <w:highlight w:val="none"/>
          <w:u w:val="none"/>
        </w:rPr>
        <w:t>设置施工驻地，施工</w:t>
      </w:r>
      <w:r>
        <w:rPr>
          <w:rFonts w:hint="default" w:ascii="Times New Roman" w:hAnsi="Times New Roman" w:eastAsia="宋体" w:cs="Times New Roman"/>
          <w:b w:val="0"/>
          <w:color w:val="auto"/>
          <w:kern w:val="21"/>
          <w:sz w:val="24"/>
          <w:highlight w:val="none"/>
          <w:u w:val="none"/>
          <w:lang w:val="en-US" w:eastAsia="zh-CN"/>
        </w:rPr>
        <w:t>期</w:t>
      </w:r>
      <w:r>
        <w:rPr>
          <w:rFonts w:hint="default" w:ascii="Times New Roman" w:hAnsi="Times New Roman" w:eastAsia="宋体" w:cs="Times New Roman"/>
          <w:b w:val="0"/>
          <w:color w:val="auto"/>
          <w:kern w:val="21"/>
          <w:sz w:val="24"/>
          <w:highlight w:val="none"/>
          <w:u w:val="none"/>
        </w:rPr>
        <w:t>人员食宿租赁附近民宅</w:t>
      </w:r>
      <w:r>
        <w:rPr>
          <w:rFonts w:hint="default" w:ascii="Times New Roman" w:hAnsi="Times New Roman" w:eastAsia="宋体" w:cs="Times New Roman"/>
          <w:b w:val="0"/>
          <w:color w:val="auto"/>
          <w:kern w:val="21"/>
          <w:sz w:val="24"/>
          <w:highlight w:val="none"/>
          <w:u w:val="none"/>
          <w:lang w:eastAsia="zh-CN"/>
        </w:rPr>
        <w:t>，</w:t>
      </w:r>
      <w:r>
        <w:rPr>
          <w:rFonts w:hint="default" w:ascii="Times New Roman" w:hAnsi="Times New Roman" w:eastAsia="宋体" w:cs="Times New Roman"/>
          <w:b w:val="0"/>
          <w:color w:val="auto"/>
          <w:kern w:val="21"/>
          <w:sz w:val="24"/>
          <w:highlight w:val="none"/>
          <w:u w:val="none"/>
          <w:lang w:val="en-US" w:eastAsia="zh-CN"/>
        </w:rPr>
        <w:t>施工机械设备堆放于永久占地范围内</w:t>
      </w:r>
      <w:r>
        <w:rPr>
          <w:rFonts w:hint="default" w:ascii="Times New Roman" w:hAnsi="Times New Roman" w:eastAsia="宋体" w:cs="Times New Roman"/>
          <w:b w:val="0"/>
          <w:bCs w:val="0"/>
          <w:color w:val="auto"/>
          <w:kern w:val="21"/>
          <w:sz w:val="24"/>
          <w:szCs w:val="24"/>
          <w:highlight w:val="none"/>
          <w:u w:val="none"/>
          <w:lang w:eastAsia="zh-CN"/>
        </w:rPr>
        <w:t>。</w:t>
      </w:r>
      <w:r>
        <w:rPr>
          <w:rFonts w:hint="default" w:ascii="Times New Roman" w:hAnsi="Times New Roman" w:eastAsia="宋体" w:cs="Times New Roman"/>
          <w:b w:val="0"/>
          <w:color w:val="auto"/>
          <w:kern w:val="21"/>
          <w:sz w:val="24"/>
          <w:highlight w:val="none"/>
          <w:u w:val="none"/>
        </w:rPr>
        <w:t>不</w:t>
      </w:r>
      <w:r>
        <w:rPr>
          <w:rFonts w:hint="default" w:ascii="Times New Roman" w:hAnsi="Times New Roman" w:eastAsia="宋体" w:cs="Times New Roman"/>
          <w:b w:val="0"/>
          <w:color w:val="auto"/>
          <w:kern w:val="21"/>
          <w:sz w:val="24"/>
          <w:highlight w:val="none"/>
          <w:u w:val="none"/>
          <w:lang w:val="en-US" w:eastAsia="zh-CN"/>
        </w:rPr>
        <w:t>单独</w:t>
      </w:r>
      <w:r>
        <w:rPr>
          <w:rFonts w:hint="default" w:ascii="Times New Roman" w:hAnsi="Times New Roman" w:eastAsia="宋体" w:cs="Times New Roman"/>
          <w:b w:val="0"/>
          <w:color w:val="auto"/>
          <w:kern w:val="21"/>
          <w:sz w:val="24"/>
          <w:highlight w:val="none"/>
          <w:u w:val="none"/>
        </w:rPr>
        <w:t>设置</w:t>
      </w:r>
      <w:r>
        <w:rPr>
          <w:rFonts w:hint="default" w:ascii="Times New Roman" w:hAnsi="Times New Roman" w:eastAsia="宋体" w:cs="Times New Roman"/>
          <w:b w:val="0"/>
          <w:color w:val="auto"/>
          <w:kern w:val="21"/>
          <w:sz w:val="24"/>
          <w:szCs w:val="21"/>
          <w:highlight w:val="none"/>
          <w:lang w:val="en-US" w:eastAsia="zh-CN"/>
        </w:rPr>
        <w:t>施工便道</w:t>
      </w:r>
      <w:r>
        <w:rPr>
          <w:rFonts w:hint="default" w:ascii="Times New Roman" w:hAnsi="Times New Roman" w:eastAsia="宋体" w:cs="Times New Roman"/>
          <w:b w:val="0"/>
          <w:color w:val="auto"/>
          <w:kern w:val="21"/>
          <w:sz w:val="24"/>
          <w:highlight w:val="none"/>
          <w:u w:val="none"/>
          <w:lang w:eastAsia="zh-CN"/>
        </w:rPr>
        <w:t>，</w:t>
      </w:r>
      <w:r>
        <w:rPr>
          <w:rFonts w:hint="default" w:ascii="Times New Roman" w:hAnsi="Times New Roman" w:eastAsia="宋体" w:cs="Times New Roman"/>
          <w:b w:val="0"/>
          <w:color w:val="auto"/>
          <w:kern w:val="21"/>
          <w:sz w:val="24"/>
          <w:szCs w:val="21"/>
          <w:highlight w:val="none"/>
          <w:lang w:val="en-US" w:eastAsia="zh-CN"/>
        </w:rPr>
        <w:t>利用现有道路。</w:t>
      </w:r>
    </w:p>
    <w:p w14:paraId="612A73F9">
      <w:pPr>
        <w:pStyle w:val="27"/>
        <w:bidi w:val="0"/>
        <w:rPr>
          <w:rFonts w:hint="default" w:ascii="Times New Roman" w:hAnsi="Times New Roman" w:cs="Times New Roman"/>
          <w:color w:val="auto"/>
          <w:highlight w:val="none"/>
        </w:rPr>
      </w:pPr>
    </w:p>
    <w:p w14:paraId="6F19248F">
      <w:pPr>
        <w:pStyle w:val="27"/>
        <w:spacing w:line="240" w:lineRule="auto"/>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273040" cy="3470910"/>
            <wp:effectExtent l="0" t="0" r="3810" b="1524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46"/>
                    <a:stretch>
                      <a:fillRect/>
                    </a:stretch>
                  </pic:blipFill>
                  <pic:spPr>
                    <a:xfrm>
                      <a:off x="0" y="0"/>
                      <a:ext cx="5273040" cy="3470910"/>
                    </a:xfrm>
                    <a:prstGeom prst="rect">
                      <a:avLst/>
                    </a:prstGeom>
                    <a:noFill/>
                    <a:ln>
                      <a:noFill/>
                    </a:ln>
                  </pic:spPr>
                </pic:pic>
              </a:graphicData>
            </a:graphic>
          </wp:inline>
        </w:drawing>
      </w:r>
    </w:p>
    <w:p w14:paraId="3B90E004">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图4-2-</w:t>
      </w:r>
      <w:r>
        <w:rPr>
          <w:rFonts w:hint="eastAsia" w:cs="Times New Roman"/>
          <w:color w:val="auto"/>
          <w:highlight w:val="none"/>
          <w:lang w:val="en-US" w:eastAsia="zh-CN"/>
        </w:rPr>
        <w:t>6</w:t>
      </w:r>
      <w:r>
        <w:rPr>
          <w:rFonts w:hint="default" w:ascii="Times New Roman" w:hAnsi="Times New Roman" w:cs="Times New Roman"/>
          <w:color w:val="auto"/>
          <w:highlight w:val="none"/>
        </w:rPr>
        <w:t>评价区土地利用现状图</w:t>
      </w:r>
    </w:p>
    <w:p w14:paraId="35D07F5C">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4.2.6.5</w:t>
      </w:r>
      <w:r>
        <w:rPr>
          <w:rFonts w:hint="default" w:ascii="Times New Roman" w:hAnsi="Times New Roman" w:cs="Times New Roman"/>
          <w:color w:val="auto"/>
          <w:highlight w:val="none"/>
          <w:lang w:val="en-US" w:eastAsia="zh-CN"/>
        </w:rPr>
        <w:t>生态系统类型</w:t>
      </w:r>
    </w:p>
    <w:p w14:paraId="60A774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highlight w:val="none"/>
          <w:lang w:val="en-US" w:eastAsia="zh-CN"/>
        </w:rPr>
        <w:t>（1）生态系统类型及分布</w:t>
      </w:r>
    </w:p>
    <w:p w14:paraId="4B0F71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highlight w:val="none"/>
          <w:lang w:val="en-US" w:eastAsia="zh-CN"/>
        </w:rPr>
        <w:t>根据现场调查及结合土地利用图，林地及旱地生态系统主要呈片状镶嵌分布于项目区周边。</w:t>
      </w:r>
    </w:p>
    <w:p w14:paraId="04B8FED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highlight w:val="none"/>
          <w:lang w:val="en-US" w:eastAsia="zh-CN"/>
        </w:rPr>
        <w:t>（2）结构功能及总体变化趋势</w:t>
      </w:r>
    </w:p>
    <w:p w14:paraId="3B74C1B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1"/>
          <w:sz w:val="24"/>
          <w:highlight w:val="none"/>
          <w:lang w:val="en-US" w:eastAsia="zh-CN"/>
        </w:rPr>
        <w:t>本次回填回填后复垦为林地和耕地，与周边的生态系统相协调。</w:t>
      </w:r>
    </w:p>
    <w:p w14:paraId="441B6350">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4.2.6.6</w:t>
      </w:r>
      <w:r>
        <w:rPr>
          <w:rFonts w:hint="default" w:ascii="Times New Roman" w:hAnsi="Times New Roman" w:cs="Times New Roman"/>
          <w:color w:val="auto"/>
          <w:highlight w:val="none"/>
        </w:rPr>
        <w:t>植被现状</w:t>
      </w:r>
    </w:p>
    <w:p w14:paraId="50D166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21"/>
          <w:sz w:val="24"/>
          <w:szCs w:val="24"/>
          <w:highlight w:val="none"/>
          <w:u w:val="none"/>
          <w:lang w:val="en-US" w:eastAsia="zh-CN"/>
        </w:rPr>
      </w:pPr>
      <w:bookmarkStart w:id="241" w:name="_Toc490807013"/>
      <w:bookmarkStart w:id="242" w:name="_Toc514938163"/>
      <w:r>
        <w:rPr>
          <w:rFonts w:hint="default" w:ascii="Times New Roman" w:hAnsi="Times New Roman" w:eastAsia="宋体" w:cs="Times New Roman"/>
          <w:b w:val="0"/>
          <w:bCs w:val="0"/>
          <w:color w:val="auto"/>
          <w:kern w:val="21"/>
          <w:sz w:val="24"/>
          <w:szCs w:val="24"/>
          <w:highlight w:val="none"/>
          <w:u w:val="none"/>
          <w:lang w:val="en-US" w:eastAsia="zh-CN"/>
        </w:rPr>
        <w:t>根据资料收集及现场调查，</w:t>
      </w:r>
      <w:r>
        <w:rPr>
          <w:rFonts w:hint="default" w:ascii="Times New Roman" w:hAnsi="Times New Roman" w:eastAsia="宋体" w:cs="Times New Roman"/>
          <w:b w:val="0"/>
          <w:bCs w:val="0"/>
          <w:color w:val="auto"/>
          <w:kern w:val="21"/>
          <w:sz w:val="24"/>
          <w:szCs w:val="24"/>
          <w:highlight w:val="none"/>
          <w:u w:val="none"/>
        </w:rPr>
        <w:t>受农田开垦</w:t>
      </w:r>
      <w:r>
        <w:rPr>
          <w:rFonts w:hint="default" w:ascii="Times New Roman" w:hAnsi="Times New Roman" w:eastAsia="宋体" w:cs="Times New Roman"/>
          <w:b w:val="0"/>
          <w:bCs w:val="0"/>
          <w:color w:val="auto"/>
          <w:kern w:val="21"/>
          <w:sz w:val="24"/>
          <w:szCs w:val="24"/>
          <w:highlight w:val="none"/>
          <w:u w:val="none"/>
          <w:lang w:eastAsia="zh-CN"/>
        </w:rPr>
        <w:t>及</w:t>
      </w:r>
      <w:r>
        <w:rPr>
          <w:rFonts w:hint="default" w:ascii="Times New Roman" w:hAnsi="Times New Roman" w:eastAsia="宋体" w:cs="Times New Roman"/>
          <w:b w:val="0"/>
          <w:bCs w:val="0"/>
          <w:color w:val="auto"/>
          <w:kern w:val="21"/>
          <w:sz w:val="24"/>
          <w:szCs w:val="24"/>
          <w:highlight w:val="none"/>
          <w:u w:val="none"/>
        </w:rPr>
        <w:t>人类经济活动影响，</w:t>
      </w:r>
      <w:r>
        <w:rPr>
          <w:rFonts w:hint="default" w:ascii="Times New Roman" w:hAnsi="Times New Roman" w:eastAsia="宋体" w:cs="Times New Roman"/>
          <w:b w:val="0"/>
          <w:bCs w:val="0"/>
          <w:color w:val="auto"/>
          <w:kern w:val="21"/>
          <w:sz w:val="24"/>
          <w:szCs w:val="24"/>
          <w:highlight w:val="none"/>
          <w:u w:val="none"/>
          <w:lang w:val="en-US" w:eastAsia="zh-CN"/>
        </w:rPr>
        <w:t>评价范围内</w:t>
      </w:r>
      <w:r>
        <w:rPr>
          <w:rFonts w:hint="default" w:ascii="Times New Roman" w:hAnsi="Times New Roman" w:eastAsia="宋体" w:cs="Times New Roman"/>
          <w:b w:val="0"/>
          <w:bCs w:val="0"/>
          <w:color w:val="auto"/>
          <w:kern w:val="21"/>
          <w:sz w:val="24"/>
          <w:szCs w:val="24"/>
          <w:highlight w:val="none"/>
          <w:u w:val="none"/>
          <w:lang w:eastAsia="zh-CN"/>
        </w:rPr>
        <w:t>植被</w:t>
      </w:r>
      <w:r>
        <w:rPr>
          <w:rFonts w:hint="default" w:ascii="Times New Roman" w:hAnsi="Times New Roman" w:cs="Times New Roman"/>
          <w:color w:val="auto"/>
          <w:sz w:val="24"/>
          <w:szCs w:val="24"/>
          <w:highlight w:val="none"/>
          <w:lang w:val="en-US" w:eastAsia="zh-CN"/>
        </w:rPr>
        <w:t>以一般商品林为主</w:t>
      </w:r>
      <w:r>
        <w:rPr>
          <w:rFonts w:hint="default" w:ascii="Times New Roman" w:hAnsi="Times New Roman" w:eastAsia="宋体" w:cs="Times New Roman"/>
          <w:b w:val="0"/>
          <w:bCs w:val="0"/>
          <w:color w:val="auto"/>
          <w:kern w:val="21"/>
          <w:sz w:val="24"/>
          <w:szCs w:val="24"/>
          <w:highlight w:val="none"/>
          <w:u w:val="none"/>
        </w:rPr>
        <w:t>。</w:t>
      </w:r>
      <w:r>
        <w:rPr>
          <w:rFonts w:hint="default" w:ascii="Times New Roman" w:hAnsi="Times New Roman" w:eastAsia="宋体" w:cs="Times New Roman"/>
          <w:color w:val="auto"/>
          <w:kern w:val="21"/>
          <w:sz w:val="24"/>
          <w:szCs w:val="20"/>
          <w:highlight w:val="none"/>
        </w:rPr>
        <w:t>植被主要</w:t>
      </w:r>
      <w:r>
        <w:rPr>
          <w:rFonts w:hint="default" w:ascii="Times New Roman" w:hAnsi="Times New Roman" w:eastAsia="宋体" w:cs="Times New Roman"/>
          <w:color w:val="auto"/>
          <w:kern w:val="21"/>
          <w:sz w:val="24"/>
          <w:szCs w:val="20"/>
          <w:highlight w:val="none"/>
          <w:lang w:val="en-US" w:eastAsia="zh-CN"/>
        </w:rPr>
        <w:t>是</w:t>
      </w:r>
      <w:r>
        <w:rPr>
          <w:rFonts w:hint="default" w:ascii="Times New Roman" w:hAnsi="Times New Roman" w:eastAsia="宋体" w:cs="Times New Roman"/>
          <w:color w:val="auto"/>
          <w:kern w:val="21"/>
          <w:sz w:val="24"/>
          <w:szCs w:val="24"/>
          <w:highlight w:val="none"/>
        </w:rPr>
        <w:t>杨树（</w:t>
      </w:r>
      <w:r>
        <w:rPr>
          <w:rFonts w:hint="default" w:ascii="Times New Roman" w:hAnsi="Times New Roman" w:eastAsia="宋体" w:cs="Times New Roman"/>
          <w:i/>
          <w:iCs/>
          <w:color w:val="auto"/>
          <w:kern w:val="21"/>
          <w:sz w:val="24"/>
          <w:szCs w:val="24"/>
          <w:highlight w:val="none"/>
        </w:rPr>
        <w:t>PopulusL.</w:t>
      </w:r>
      <w:r>
        <w:rPr>
          <w:rFonts w:hint="default" w:ascii="Times New Roman" w:hAnsi="Times New Roman" w:eastAsia="宋体" w:cs="Times New Roman"/>
          <w:color w:val="auto"/>
          <w:kern w:val="21"/>
          <w:sz w:val="24"/>
          <w:szCs w:val="24"/>
          <w:highlight w:val="none"/>
        </w:rPr>
        <w:t>）为主的落叶阔</w:t>
      </w:r>
      <w:r>
        <w:rPr>
          <w:rFonts w:hint="default" w:ascii="Times New Roman" w:hAnsi="Times New Roman" w:eastAsia="宋体" w:cs="Times New Roman"/>
          <w:color w:val="auto"/>
          <w:kern w:val="21"/>
          <w:sz w:val="24"/>
          <w:szCs w:val="24"/>
          <w:highlight w:val="none"/>
          <w:lang w:eastAsia="zh-CN"/>
        </w:rPr>
        <w:t>叶</w:t>
      </w:r>
      <w:r>
        <w:rPr>
          <w:rFonts w:hint="default" w:ascii="Times New Roman" w:hAnsi="Times New Roman" w:eastAsia="宋体" w:cs="Times New Roman"/>
          <w:color w:val="auto"/>
          <w:kern w:val="21"/>
          <w:sz w:val="24"/>
          <w:szCs w:val="24"/>
          <w:highlight w:val="none"/>
        </w:rPr>
        <w:t>林</w:t>
      </w:r>
      <w:r>
        <w:rPr>
          <w:rFonts w:hint="default" w:ascii="Times New Roman" w:hAnsi="Times New Roman" w:eastAsia="宋体" w:cs="Times New Roman"/>
          <w:color w:val="auto"/>
          <w:kern w:val="21"/>
          <w:sz w:val="24"/>
          <w:szCs w:val="20"/>
          <w:highlight w:val="none"/>
        </w:rPr>
        <w:t>，以及狗尾草（</w:t>
      </w:r>
      <w:r>
        <w:rPr>
          <w:rFonts w:hint="default" w:ascii="Times New Roman" w:hAnsi="Times New Roman" w:eastAsia="宋体" w:cs="Times New Roman"/>
          <w:i/>
          <w:color w:val="auto"/>
          <w:kern w:val="21"/>
          <w:sz w:val="24"/>
          <w:szCs w:val="24"/>
          <w:highlight w:val="none"/>
        </w:rPr>
        <w:t xml:space="preserve">Setaria viridis </w:t>
      </w:r>
      <w:r>
        <w:rPr>
          <w:rFonts w:hint="default" w:ascii="Times New Roman" w:hAnsi="Times New Roman" w:eastAsia="宋体" w:cs="Times New Roman"/>
          <w:i w:val="0"/>
          <w:iCs/>
          <w:color w:val="auto"/>
          <w:kern w:val="21"/>
          <w:sz w:val="24"/>
          <w:szCs w:val="24"/>
          <w:highlight w:val="none"/>
        </w:rPr>
        <w:t>(</w:t>
      </w:r>
      <w:r>
        <w:rPr>
          <w:rFonts w:hint="default" w:ascii="Times New Roman" w:hAnsi="Times New Roman" w:eastAsia="宋体" w:cs="Times New Roman"/>
          <w:i/>
          <w:color w:val="auto"/>
          <w:kern w:val="21"/>
          <w:sz w:val="24"/>
          <w:szCs w:val="24"/>
          <w:highlight w:val="none"/>
        </w:rPr>
        <w:t>L.</w:t>
      </w:r>
      <w:r>
        <w:rPr>
          <w:rFonts w:hint="default" w:ascii="Times New Roman" w:hAnsi="Times New Roman" w:eastAsia="宋体" w:cs="Times New Roman"/>
          <w:i w:val="0"/>
          <w:iCs/>
          <w:color w:val="auto"/>
          <w:kern w:val="21"/>
          <w:sz w:val="24"/>
          <w:szCs w:val="24"/>
          <w:highlight w:val="none"/>
        </w:rPr>
        <w:t>)</w:t>
      </w:r>
      <w:r>
        <w:rPr>
          <w:rFonts w:hint="default" w:ascii="Times New Roman" w:hAnsi="Times New Roman" w:eastAsia="宋体" w:cs="Times New Roman"/>
          <w:i/>
          <w:color w:val="auto"/>
          <w:kern w:val="21"/>
          <w:sz w:val="24"/>
          <w:szCs w:val="24"/>
          <w:highlight w:val="none"/>
        </w:rPr>
        <w:t xml:space="preserve"> Beauv</w:t>
      </w:r>
      <w:r>
        <w:rPr>
          <w:rFonts w:hint="default" w:ascii="Times New Roman" w:hAnsi="Times New Roman" w:eastAsia="宋体" w:cs="Times New Roman"/>
          <w:i/>
          <w:color w:val="auto"/>
          <w:kern w:val="21"/>
          <w:sz w:val="24"/>
          <w:szCs w:val="22"/>
          <w:highlight w:val="none"/>
        </w:rPr>
        <w:t>.</w:t>
      </w:r>
      <w:r>
        <w:rPr>
          <w:rFonts w:hint="default" w:ascii="Times New Roman" w:hAnsi="Times New Roman" w:eastAsia="宋体" w:cs="Times New Roman"/>
          <w:color w:val="auto"/>
          <w:kern w:val="21"/>
          <w:sz w:val="24"/>
          <w:szCs w:val="20"/>
          <w:highlight w:val="none"/>
        </w:rPr>
        <w:t>）</w:t>
      </w:r>
      <w:r>
        <w:rPr>
          <w:rFonts w:hint="default" w:ascii="Times New Roman" w:hAnsi="Times New Roman" w:eastAsia="宋体" w:cs="Times New Roman"/>
          <w:color w:val="auto"/>
          <w:kern w:val="21"/>
          <w:sz w:val="24"/>
          <w:szCs w:val="20"/>
          <w:highlight w:val="none"/>
          <w:lang w:eastAsia="zh-CN"/>
        </w:rPr>
        <w:t>、小叶章（</w:t>
      </w:r>
      <w:r>
        <w:rPr>
          <w:rFonts w:hint="default" w:ascii="Times New Roman" w:hAnsi="Times New Roman" w:eastAsia="宋体" w:cs="Times New Roman"/>
          <w:i/>
          <w:iCs/>
          <w:color w:val="auto"/>
          <w:kern w:val="21"/>
          <w:sz w:val="24"/>
          <w:szCs w:val="20"/>
          <w:highlight w:val="none"/>
          <w:lang w:eastAsia="zh-CN"/>
        </w:rPr>
        <w:t>Calamagrostis angustifolia Kom.</w:t>
      </w:r>
      <w:r>
        <w:rPr>
          <w:rFonts w:hint="default" w:ascii="Times New Roman" w:hAnsi="Times New Roman" w:eastAsia="宋体" w:cs="Times New Roman"/>
          <w:color w:val="auto"/>
          <w:kern w:val="21"/>
          <w:sz w:val="24"/>
          <w:szCs w:val="20"/>
          <w:highlight w:val="none"/>
          <w:lang w:eastAsia="zh-CN"/>
        </w:rPr>
        <w:t>）等</w:t>
      </w:r>
      <w:r>
        <w:rPr>
          <w:rFonts w:hint="default" w:ascii="Times New Roman" w:hAnsi="Times New Roman" w:eastAsia="宋体" w:cs="Times New Roman"/>
          <w:color w:val="auto"/>
          <w:kern w:val="21"/>
          <w:sz w:val="24"/>
          <w:szCs w:val="20"/>
          <w:highlight w:val="none"/>
        </w:rPr>
        <w:t>为主的草丛</w:t>
      </w:r>
      <w:r>
        <w:rPr>
          <w:rFonts w:hint="default" w:ascii="Times New Roman" w:hAnsi="Times New Roman" w:eastAsia="宋体" w:cs="Times New Roman"/>
          <w:color w:val="auto"/>
          <w:kern w:val="21"/>
          <w:sz w:val="24"/>
          <w:szCs w:val="20"/>
          <w:highlight w:val="none"/>
          <w:lang w:eastAsia="zh-CN"/>
        </w:rPr>
        <w:t>，</w:t>
      </w:r>
      <w:r>
        <w:rPr>
          <w:rFonts w:hint="default" w:ascii="Times New Roman" w:hAnsi="Times New Roman" w:eastAsia="宋体" w:cs="Times New Roman"/>
          <w:b w:val="0"/>
          <w:bCs w:val="0"/>
          <w:color w:val="auto"/>
          <w:kern w:val="21"/>
          <w:sz w:val="24"/>
          <w:szCs w:val="24"/>
          <w:highlight w:val="none"/>
          <w:u w:val="none"/>
          <w:lang w:val="en-US" w:eastAsia="zh-CN"/>
        </w:rPr>
        <w:t>主要分布于项目周边</w:t>
      </w:r>
      <w:r>
        <w:rPr>
          <w:rFonts w:hint="default" w:ascii="Times New Roman" w:hAnsi="Times New Roman" w:eastAsia="宋体" w:cs="Times New Roman"/>
          <w:b w:val="0"/>
          <w:bCs w:val="0"/>
          <w:color w:val="auto"/>
          <w:kern w:val="21"/>
          <w:sz w:val="24"/>
          <w:szCs w:val="24"/>
          <w:highlight w:val="none"/>
          <w:u w:val="none"/>
          <w:lang w:eastAsia="zh-CN"/>
        </w:rPr>
        <w:t>。</w:t>
      </w:r>
      <w:r>
        <w:rPr>
          <w:rFonts w:hint="default" w:ascii="Times New Roman" w:hAnsi="Times New Roman" w:eastAsia="宋体" w:cs="Times New Roman"/>
          <w:b w:val="0"/>
          <w:bCs w:val="0"/>
          <w:color w:val="auto"/>
          <w:kern w:val="21"/>
          <w:sz w:val="24"/>
          <w:szCs w:val="24"/>
          <w:highlight w:val="none"/>
          <w:u w:val="none"/>
          <w:lang w:val="en-US" w:eastAsia="zh-CN"/>
        </w:rPr>
        <w:t>根据现场调查、收集资料并咨询相关管理部门，</w:t>
      </w:r>
      <w:r>
        <w:rPr>
          <w:rFonts w:hint="default" w:ascii="Times New Roman" w:hAnsi="Times New Roman" w:eastAsia="宋体" w:cs="Times New Roman"/>
          <w:color w:val="auto"/>
          <w:kern w:val="21"/>
          <w:sz w:val="24"/>
          <w:highlight w:val="none"/>
          <w:lang w:val="en-US" w:eastAsia="zh-CN"/>
        </w:rPr>
        <w:t>评价范围内</w:t>
      </w:r>
      <w:r>
        <w:rPr>
          <w:rFonts w:hint="default" w:ascii="Times New Roman" w:hAnsi="Times New Roman" w:eastAsia="宋体" w:cs="Times New Roman"/>
          <w:b w:val="0"/>
          <w:bCs w:val="0"/>
          <w:color w:val="auto"/>
          <w:kern w:val="21"/>
          <w:sz w:val="24"/>
          <w:szCs w:val="24"/>
          <w:highlight w:val="none"/>
          <w:u w:val="none"/>
          <w:lang w:val="en-US" w:eastAsia="zh-CN"/>
        </w:rPr>
        <w:t>无重要物种的天然集中分布区、栖息地等重要生境；未发现重要物种。</w:t>
      </w:r>
    </w:p>
    <w:p w14:paraId="4A8931C8">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4.2.6.</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野生动物现状</w:t>
      </w:r>
    </w:p>
    <w:p w14:paraId="3F4BE67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21"/>
          <w:sz w:val="24"/>
          <w:szCs w:val="24"/>
          <w:highlight w:val="none"/>
          <w:u w:val="none"/>
          <w:lang w:val="en-US" w:eastAsia="zh-CN"/>
        </w:rPr>
      </w:pPr>
      <w:bookmarkStart w:id="243" w:name="_Toc152926821"/>
      <w:bookmarkStart w:id="244" w:name="_Toc16813"/>
      <w:bookmarkStart w:id="245" w:name="_Toc119316803"/>
      <w:r>
        <w:rPr>
          <w:rFonts w:hint="default" w:ascii="Times New Roman" w:hAnsi="Times New Roman" w:eastAsia="宋体" w:cs="Times New Roman"/>
          <w:b w:val="0"/>
          <w:bCs w:val="0"/>
          <w:color w:val="auto"/>
          <w:kern w:val="21"/>
          <w:sz w:val="24"/>
          <w:szCs w:val="24"/>
          <w:highlight w:val="none"/>
          <w:u w:val="none"/>
          <w:lang w:val="en-US" w:eastAsia="zh-CN"/>
        </w:rPr>
        <w:t>根据资料收集及现场调查，</w:t>
      </w:r>
      <w:r>
        <w:rPr>
          <w:rFonts w:hint="default" w:ascii="Times New Roman" w:hAnsi="Times New Roman" w:eastAsia="宋体" w:cs="Times New Roman"/>
          <w:b w:val="0"/>
          <w:bCs w:val="0"/>
          <w:color w:val="auto"/>
          <w:kern w:val="21"/>
          <w:sz w:val="24"/>
          <w:szCs w:val="24"/>
          <w:highlight w:val="none"/>
          <w:u w:val="none"/>
        </w:rPr>
        <w:t>受</w:t>
      </w:r>
      <w:r>
        <w:rPr>
          <w:rFonts w:hint="default" w:ascii="Times New Roman" w:hAnsi="Times New Roman" w:eastAsia="宋体" w:cs="Times New Roman"/>
          <w:color w:val="auto"/>
          <w:kern w:val="21"/>
          <w:sz w:val="24"/>
          <w:szCs w:val="24"/>
          <w:highlight w:val="none"/>
          <w:u w:val="none"/>
        </w:rPr>
        <w:t>附近</w:t>
      </w:r>
      <w:r>
        <w:rPr>
          <w:rFonts w:hint="default" w:ascii="Times New Roman" w:hAnsi="Times New Roman" w:eastAsia="宋体" w:cs="Times New Roman"/>
          <w:b w:val="0"/>
          <w:bCs w:val="0"/>
          <w:color w:val="auto"/>
          <w:kern w:val="21"/>
          <w:sz w:val="24"/>
          <w:szCs w:val="24"/>
          <w:highlight w:val="none"/>
          <w:u w:val="none"/>
        </w:rPr>
        <w:t>人类经济活动影响，</w:t>
      </w:r>
      <w:r>
        <w:rPr>
          <w:rFonts w:hint="default" w:ascii="Times New Roman" w:hAnsi="Times New Roman" w:eastAsia="宋体" w:cs="Times New Roman"/>
          <w:color w:val="auto"/>
          <w:kern w:val="21"/>
          <w:sz w:val="24"/>
          <w:szCs w:val="24"/>
          <w:highlight w:val="none"/>
          <w:u w:val="none"/>
        </w:rPr>
        <w:t>导致动物选择生境时为回避这些干扰而远离</w:t>
      </w:r>
      <w:r>
        <w:rPr>
          <w:rFonts w:hint="default" w:ascii="Times New Roman" w:hAnsi="Times New Roman" w:eastAsia="宋体" w:cs="Times New Roman"/>
          <w:color w:val="auto"/>
          <w:kern w:val="21"/>
          <w:sz w:val="24"/>
          <w:szCs w:val="24"/>
          <w:highlight w:val="none"/>
          <w:u w:val="none"/>
          <w:lang w:val="en-US" w:eastAsia="zh-CN"/>
        </w:rPr>
        <w:t>项目位置</w:t>
      </w:r>
      <w:r>
        <w:rPr>
          <w:rFonts w:hint="default" w:ascii="Times New Roman" w:hAnsi="Times New Roman" w:eastAsia="宋体" w:cs="Times New Roman"/>
          <w:color w:val="auto"/>
          <w:kern w:val="21"/>
          <w:sz w:val="24"/>
          <w:szCs w:val="24"/>
          <w:highlight w:val="none"/>
          <w:u w:val="none"/>
        </w:rPr>
        <w:t>，</w:t>
      </w:r>
      <w:r>
        <w:rPr>
          <w:rFonts w:hint="default" w:ascii="Times New Roman" w:hAnsi="Times New Roman" w:eastAsia="宋体" w:cs="Times New Roman"/>
          <w:color w:val="auto"/>
          <w:kern w:val="21"/>
          <w:sz w:val="24"/>
          <w:szCs w:val="24"/>
          <w:highlight w:val="none"/>
          <w:u w:val="none"/>
          <w:lang w:val="en-US" w:eastAsia="zh-CN"/>
        </w:rPr>
        <w:t>区域</w:t>
      </w:r>
      <w:r>
        <w:rPr>
          <w:rFonts w:hint="default" w:ascii="Times New Roman" w:hAnsi="Times New Roman" w:eastAsia="宋体" w:cs="Times New Roman"/>
          <w:color w:val="auto"/>
          <w:kern w:val="21"/>
          <w:sz w:val="24"/>
          <w:szCs w:val="24"/>
          <w:highlight w:val="none"/>
          <w:u w:val="none"/>
        </w:rPr>
        <w:t>野生动物资源匮乏。</w:t>
      </w:r>
      <w:r>
        <w:rPr>
          <w:rFonts w:hint="default" w:ascii="Times New Roman" w:hAnsi="Times New Roman" w:eastAsia="宋体" w:cs="Times New Roman"/>
          <w:color w:val="auto"/>
          <w:kern w:val="21"/>
          <w:sz w:val="24"/>
          <w:szCs w:val="24"/>
          <w:highlight w:val="none"/>
          <w:u w:val="none"/>
          <w:lang w:val="en-US" w:eastAsia="zh-CN"/>
        </w:rPr>
        <w:t>项目周边</w:t>
      </w:r>
      <w:r>
        <w:rPr>
          <w:rFonts w:hint="default" w:ascii="Times New Roman" w:hAnsi="Times New Roman" w:eastAsia="宋体" w:cs="Times New Roman"/>
          <w:color w:val="auto"/>
          <w:kern w:val="21"/>
          <w:sz w:val="24"/>
          <w:szCs w:val="24"/>
          <w:highlight w:val="none"/>
          <w:u w:val="none"/>
        </w:rPr>
        <w:t>区域内鸟类较少营巢繁殖。分布的动物主要为</w:t>
      </w:r>
      <w:r>
        <w:rPr>
          <w:rFonts w:hint="default" w:ascii="Times New Roman" w:hAnsi="Times New Roman" w:eastAsia="宋体" w:cs="Times New Roman"/>
          <w:color w:val="auto"/>
          <w:kern w:val="21"/>
          <w:sz w:val="24"/>
          <w:szCs w:val="24"/>
          <w:highlight w:val="none"/>
          <w:u w:val="none"/>
          <w:lang w:val="en-US" w:eastAsia="zh-CN"/>
        </w:rPr>
        <w:t>麻雀（</w:t>
      </w:r>
      <w:r>
        <w:rPr>
          <w:rFonts w:hint="default" w:ascii="Times New Roman" w:hAnsi="Times New Roman" w:eastAsia="宋体" w:cs="Times New Roman"/>
          <w:i/>
          <w:iCs/>
          <w:color w:val="auto"/>
          <w:kern w:val="21"/>
          <w:sz w:val="24"/>
          <w:szCs w:val="24"/>
          <w:highlight w:val="none"/>
          <w:u w:val="none"/>
          <w:lang w:val="en-US" w:eastAsia="zh-CN"/>
        </w:rPr>
        <w:t>Passer</w:t>
      </w:r>
      <w:r>
        <w:rPr>
          <w:rFonts w:hint="default" w:ascii="Times New Roman" w:hAnsi="Times New Roman" w:eastAsia="宋体" w:cs="Times New Roman"/>
          <w:color w:val="auto"/>
          <w:kern w:val="21"/>
          <w:sz w:val="24"/>
          <w:szCs w:val="24"/>
          <w:highlight w:val="none"/>
          <w:u w:val="none"/>
          <w:lang w:val="en-US" w:eastAsia="zh-CN"/>
        </w:rPr>
        <w:t xml:space="preserve"> </w:t>
      </w:r>
      <w:r>
        <w:rPr>
          <w:rFonts w:hint="default" w:ascii="Times New Roman" w:hAnsi="Times New Roman" w:eastAsia="宋体" w:cs="Times New Roman"/>
          <w:i/>
          <w:iCs/>
          <w:color w:val="auto"/>
          <w:kern w:val="21"/>
          <w:sz w:val="24"/>
          <w:szCs w:val="24"/>
          <w:highlight w:val="none"/>
          <w:u w:val="none"/>
          <w:lang w:val="en-US" w:eastAsia="zh-CN"/>
        </w:rPr>
        <w:t>montanus</w:t>
      </w:r>
      <w:r>
        <w:rPr>
          <w:rFonts w:hint="default" w:ascii="Times New Roman" w:hAnsi="Times New Roman" w:eastAsia="宋体" w:cs="Times New Roman"/>
          <w:color w:val="auto"/>
          <w:kern w:val="21"/>
          <w:sz w:val="24"/>
          <w:szCs w:val="24"/>
          <w:highlight w:val="none"/>
          <w:u w:val="none"/>
          <w:lang w:val="en-US" w:eastAsia="zh-CN"/>
        </w:rPr>
        <w:t>）、田鼠（</w:t>
      </w:r>
      <w:r>
        <w:rPr>
          <w:rFonts w:hint="default" w:ascii="Times New Roman" w:hAnsi="Times New Roman" w:eastAsia="宋体" w:cs="Times New Roman"/>
          <w:i/>
          <w:iCs/>
          <w:color w:val="auto"/>
          <w:kern w:val="21"/>
          <w:sz w:val="24"/>
          <w:szCs w:val="24"/>
          <w:highlight w:val="none"/>
          <w:u w:val="none"/>
          <w:lang w:val="en-US" w:eastAsia="zh-CN"/>
        </w:rPr>
        <w:t>Microtus</w:t>
      </w:r>
      <w:r>
        <w:rPr>
          <w:rFonts w:hint="default" w:ascii="Times New Roman" w:hAnsi="Times New Roman" w:eastAsia="宋体" w:cs="Times New Roman"/>
          <w:color w:val="auto"/>
          <w:kern w:val="21"/>
          <w:sz w:val="24"/>
          <w:szCs w:val="24"/>
          <w:highlight w:val="none"/>
          <w:u w:val="none"/>
          <w:lang w:val="en-US" w:eastAsia="zh-CN"/>
        </w:rPr>
        <w:t>）。</w:t>
      </w:r>
      <w:r>
        <w:rPr>
          <w:rFonts w:hint="default" w:ascii="Times New Roman" w:hAnsi="Times New Roman" w:eastAsia="宋体" w:cs="Times New Roman"/>
          <w:b w:val="0"/>
          <w:bCs w:val="0"/>
          <w:color w:val="auto"/>
          <w:kern w:val="21"/>
          <w:sz w:val="24"/>
          <w:szCs w:val="24"/>
          <w:highlight w:val="none"/>
          <w:u w:val="none"/>
          <w:lang w:val="en-US" w:eastAsia="zh-CN"/>
        </w:rPr>
        <w:t>根据现场调查、收集资料并咨询相关管理部门，</w:t>
      </w:r>
      <w:r>
        <w:rPr>
          <w:rFonts w:hint="default" w:ascii="Times New Roman" w:hAnsi="Times New Roman" w:eastAsia="宋体" w:cs="Times New Roman"/>
          <w:color w:val="auto"/>
          <w:kern w:val="21"/>
          <w:sz w:val="24"/>
          <w:highlight w:val="none"/>
          <w:lang w:val="en-US" w:eastAsia="zh-CN"/>
        </w:rPr>
        <w:t>评价范围内</w:t>
      </w:r>
      <w:r>
        <w:rPr>
          <w:rFonts w:hint="default" w:ascii="Times New Roman" w:hAnsi="Times New Roman" w:eastAsia="宋体" w:cs="Times New Roman"/>
          <w:b w:val="0"/>
          <w:bCs w:val="0"/>
          <w:color w:val="auto"/>
          <w:kern w:val="21"/>
          <w:sz w:val="24"/>
          <w:szCs w:val="24"/>
          <w:highlight w:val="none"/>
          <w:u w:val="none"/>
          <w:lang w:val="en-US" w:eastAsia="zh-CN"/>
        </w:rPr>
        <w:t>无迁徙鸟类的重要繁殖地、停歇地、越冬地以及野生动物迁徙通道等重要生境；未发现重要物种。</w:t>
      </w:r>
    </w:p>
    <w:p w14:paraId="485C245F">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4.2.6.</w:t>
      </w:r>
      <w:r>
        <w:rPr>
          <w:rFonts w:hint="default" w:ascii="Times New Roman" w:hAnsi="Times New Roman" w:cs="Times New Roman"/>
          <w:color w:val="auto"/>
          <w:highlight w:val="none"/>
          <w:lang w:val="en-US" w:eastAsia="zh-CN"/>
        </w:rPr>
        <w:t>8水土流失现状</w:t>
      </w:r>
    </w:p>
    <w:p w14:paraId="5FE7D18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rPr>
      </w:pPr>
      <w:r>
        <w:rPr>
          <w:rFonts w:hint="default" w:ascii="Times New Roman" w:hAnsi="Times New Roman" w:eastAsia="宋体" w:cs="Times New Roman"/>
          <w:color w:val="auto"/>
          <w:kern w:val="21"/>
          <w:sz w:val="24"/>
          <w:szCs w:val="24"/>
          <w:highlight w:val="none"/>
          <w:u w:val="none"/>
          <w:lang w:val="en-US" w:eastAsia="zh-CN"/>
        </w:rPr>
        <w:t>根据《黑龙江省水土保持规划》（2015-2030年），项目位于东南部山地水源涵养减灾区（I-2-2hz），属于东北漫川漫岗水土流失重点治理区。</w:t>
      </w:r>
    </w:p>
    <w:p w14:paraId="3606DA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rPr>
      </w:pPr>
      <w:r>
        <w:rPr>
          <w:rFonts w:hint="default" w:ascii="Times New Roman" w:hAnsi="Times New Roman" w:eastAsia="宋体" w:cs="Times New Roman"/>
          <w:color w:val="auto"/>
          <w:kern w:val="21"/>
          <w:sz w:val="24"/>
          <w:szCs w:val="24"/>
          <w:highlight w:val="none"/>
          <w:u w:val="none"/>
          <w:lang w:val="en-US" w:eastAsia="zh-CN"/>
        </w:rPr>
        <w:t>本区是全省矿区集中的区域，原有的林地被过度开荒，耕地坡度大、土层薄，土中多有砾石，水土流失较为严重。本区水土流失主要发生在坡耕地、荒山荒坡中。本区宜开展以小流域为单元的水土流失综合治理、坡耕地治理专项工程、侵蚀沟治理专项工程、清洁小流域建设工程等。加强执法监督工作，对开发建设项目产生的新的水土流失进行全面治理。</w:t>
      </w:r>
    </w:p>
    <w:p w14:paraId="59D3ED7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szCs w:val="24"/>
          <w:highlight w:val="none"/>
          <w:u w:val="none"/>
          <w:lang w:val="en-US" w:eastAsia="zh-CN"/>
        </w:rPr>
      </w:pPr>
      <w:r>
        <w:rPr>
          <w:rFonts w:hint="default" w:ascii="Times New Roman" w:hAnsi="Times New Roman" w:eastAsia="宋体" w:cs="Times New Roman"/>
          <w:color w:val="auto"/>
          <w:kern w:val="21"/>
          <w:sz w:val="24"/>
          <w:szCs w:val="24"/>
          <w:highlight w:val="none"/>
          <w:u w:val="none"/>
          <w:lang w:val="en-US" w:eastAsia="zh-CN"/>
        </w:rPr>
        <w:t>本区水土保持主导基础功能为水源涵养、土壤保持、蓄水保水、农田防护、防灾减灾、拦沙减沙；社会经济功能为农业林业生产、粮食生产、水源地保护、河湖边岸保护、土地生产力保护。</w:t>
      </w:r>
    </w:p>
    <w:p w14:paraId="7D3E0BE5">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4.2.6.</w:t>
      </w:r>
      <w:r>
        <w:rPr>
          <w:rFonts w:hint="default" w:ascii="Times New Roman" w:hAnsi="Times New Roman" w:cs="Times New Roman"/>
          <w:color w:val="auto"/>
          <w:highlight w:val="none"/>
          <w:lang w:val="en-US" w:eastAsia="zh-CN"/>
        </w:rPr>
        <w:t>9主要生态环境问题</w:t>
      </w:r>
    </w:p>
    <w:p w14:paraId="48EA91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highlight w:val="none"/>
          <w:lang w:val="en-US" w:eastAsia="zh-CN"/>
        </w:rPr>
        <w:t>项目区域内多以农田、林地生态系统为主，区域群落结构简单，物种数量较少，丰富度不高，总体生态环境质量一般，生态系统服务功能较差。已经存在的对生态保护目标产生不利影响的干扰因素主要表现为矿产开采直接导致土地退化的‌人为干扰。‌</w:t>
      </w:r>
    </w:p>
    <w:p w14:paraId="6D3CB7B7">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4.2.6.</w:t>
      </w:r>
      <w:r>
        <w:rPr>
          <w:rFonts w:hint="default" w:ascii="Times New Roman" w:hAnsi="Times New Roman" w:cs="Times New Roman"/>
          <w:color w:val="auto"/>
          <w:highlight w:val="none"/>
          <w:lang w:val="en-US" w:eastAsia="zh-CN"/>
        </w:rPr>
        <w:t>9生态现状调查结论</w:t>
      </w:r>
    </w:p>
    <w:p w14:paraId="6D9778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1"/>
          <w:sz w:val="24"/>
          <w:highlight w:val="none"/>
          <w:lang w:val="en-US" w:eastAsia="zh-CN"/>
        </w:rPr>
      </w:pPr>
      <w:r>
        <w:rPr>
          <w:rFonts w:hint="default" w:ascii="Times New Roman" w:hAnsi="Times New Roman" w:eastAsia="宋体" w:cs="Times New Roman"/>
          <w:color w:val="auto"/>
          <w:kern w:val="21"/>
          <w:sz w:val="24"/>
          <w:szCs w:val="24"/>
          <w:highlight w:val="none"/>
          <w:u w:val="none"/>
          <w:lang w:val="en-US" w:eastAsia="zh-CN"/>
        </w:rPr>
        <w:t>根据《黑龙江省水土保持规划》（2015-2030年），项目位于东南部山地水源涵养减灾区（I-2-2hz），属于东北漫川漫岗水土流失重点治理区。</w:t>
      </w:r>
      <w:r>
        <w:rPr>
          <w:rFonts w:hint="default" w:ascii="Times New Roman" w:hAnsi="Times New Roman" w:eastAsia="宋体" w:cs="Times New Roman"/>
          <w:b w:val="0"/>
          <w:bCs w:val="0"/>
          <w:color w:val="auto"/>
          <w:kern w:val="21"/>
          <w:sz w:val="24"/>
          <w:szCs w:val="24"/>
          <w:highlight w:val="none"/>
          <w:u w:val="none"/>
        </w:rPr>
        <w:t>受农田开垦</w:t>
      </w:r>
      <w:r>
        <w:rPr>
          <w:rFonts w:hint="default" w:ascii="Times New Roman" w:hAnsi="Times New Roman" w:eastAsia="宋体" w:cs="Times New Roman"/>
          <w:b w:val="0"/>
          <w:bCs w:val="0"/>
          <w:color w:val="auto"/>
          <w:kern w:val="21"/>
          <w:sz w:val="24"/>
          <w:szCs w:val="24"/>
          <w:highlight w:val="none"/>
          <w:u w:val="none"/>
          <w:lang w:eastAsia="zh-CN"/>
        </w:rPr>
        <w:t>及</w:t>
      </w:r>
      <w:r>
        <w:rPr>
          <w:rFonts w:hint="default" w:ascii="Times New Roman" w:hAnsi="Times New Roman" w:eastAsia="宋体" w:cs="Times New Roman"/>
          <w:b w:val="0"/>
          <w:bCs w:val="0"/>
          <w:color w:val="auto"/>
          <w:kern w:val="21"/>
          <w:sz w:val="24"/>
          <w:szCs w:val="24"/>
          <w:highlight w:val="none"/>
          <w:u w:val="none"/>
        </w:rPr>
        <w:t>人类经济活动影响，区域</w:t>
      </w:r>
      <w:r>
        <w:rPr>
          <w:rFonts w:hint="default" w:ascii="Times New Roman" w:hAnsi="Times New Roman" w:eastAsia="宋体" w:cs="Times New Roman"/>
          <w:b w:val="0"/>
          <w:bCs w:val="0"/>
          <w:color w:val="auto"/>
          <w:kern w:val="21"/>
          <w:sz w:val="24"/>
          <w:szCs w:val="24"/>
          <w:highlight w:val="none"/>
          <w:u w:val="none"/>
          <w:lang w:eastAsia="zh-CN"/>
        </w:rPr>
        <w:t>内植被</w:t>
      </w:r>
      <w:r>
        <w:rPr>
          <w:rFonts w:hint="default" w:ascii="Times New Roman" w:hAnsi="Times New Roman" w:cs="Times New Roman"/>
          <w:color w:val="auto"/>
          <w:sz w:val="24"/>
          <w:szCs w:val="24"/>
          <w:highlight w:val="none"/>
          <w:lang w:val="en-US" w:eastAsia="zh-CN"/>
        </w:rPr>
        <w:t>以一般商品林为主，</w:t>
      </w:r>
      <w:r>
        <w:rPr>
          <w:rFonts w:hint="default" w:ascii="Times New Roman" w:hAnsi="Times New Roman" w:eastAsia="宋体" w:cs="Times New Roman"/>
          <w:b w:val="0"/>
          <w:bCs w:val="0"/>
          <w:color w:val="auto"/>
          <w:kern w:val="21"/>
          <w:sz w:val="24"/>
          <w:szCs w:val="24"/>
          <w:highlight w:val="none"/>
          <w:u w:val="none"/>
          <w:lang w:eastAsia="zh-CN"/>
        </w:rPr>
        <w:t>植被</w:t>
      </w:r>
      <w:r>
        <w:rPr>
          <w:rFonts w:hint="default" w:ascii="Times New Roman" w:hAnsi="Times New Roman" w:eastAsia="宋体" w:cs="Times New Roman"/>
          <w:b w:val="0"/>
          <w:bCs w:val="0"/>
          <w:color w:val="auto"/>
          <w:kern w:val="21"/>
          <w:sz w:val="24"/>
          <w:szCs w:val="24"/>
          <w:highlight w:val="none"/>
          <w:u w:val="none"/>
        </w:rPr>
        <w:t>类型主要为杨树</w:t>
      </w:r>
      <w:r>
        <w:rPr>
          <w:rFonts w:hint="default" w:ascii="Times New Roman" w:hAnsi="Times New Roman" w:eastAsia="宋体" w:cs="Times New Roman"/>
          <w:b w:val="0"/>
          <w:bCs w:val="0"/>
          <w:color w:val="auto"/>
          <w:kern w:val="21"/>
          <w:sz w:val="24"/>
          <w:szCs w:val="24"/>
          <w:highlight w:val="none"/>
          <w:u w:val="none"/>
          <w:lang w:eastAsia="zh-CN"/>
        </w:rPr>
        <w:t>；</w:t>
      </w:r>
      <w:r>
        <w:rPr>
          <w:rFonts w:hint="default" w:ascii="Times New Roman" w:hAnsi="Times New Roman" w:eastAsia="宋体" w:cs="Times New Roman"/>
          <w:color w:val="auto"/>
          <w:kern w:val="21"/>
          <w:sz w:val="24"/>
          <w:szCs w:val="24"/>
          <w:highlight w:val="none"/>
          <w:u w:val="none"/>
        </w:rPr>
        <w:t>主要分布的动物为鸟类、小型哺乳动物等。</w:t>
      </w:r>
      <w:r>
        <w:rPr>
          <w:rFonts w:hint="default" w:ascii="Times New Roman" w:hAnsi="Times New Roman" w:eastAsia="宋体" w:cs="Times New Roman"/>
          <w:color w:val="auto"/>
          <w:kern w:val="21"/>
          <w:sz w:val="24"/>
          <w:highlight w:val="none"/>
          <w:lang w:val="en-US" w:eastAsia="zh-CN"/>
        </w:rPr>
        <w:t>区域群落结构简单，物种数量较少，丰富度不高，总体生态环境质量一般。评价范围内</w:t>
      </w:r>
      <w:r>
        <w:rPr>
          <w:rFonts w:hint="default" w:ascii="Times New Roman" w:hAnsi="Times New Roman" w:eastAsia="宋体" w:cs="Times New Roman"/>
          <w:b w:val="0"/>
          <w:bCs w:val="0"/>
          <w:color w:val="auto"/>
          <w:kern w:val="21"/>
          <w:sz w:val="24"/>
          <w:szCs w:val="24"/>
          <w:highlight w:val="none"/>
          <w:u w:val="none"/>
          <w:lang w:val="en-US" w:eastAsia="zh-CN"/>
        </w:rPr>
        <w:t>无重要物种的天然集中分布区、栖息地等重要生境；无迁徙鸟类的重要繁殖地、停歇地、越冬地以及野生动物迁徙通道等重要生境；未发现重要物种。</w:t>
      </w:r>
    </w:p>
    <w:p w14:paraId="2BC4502F">
      <w:pPr>
        <w:pStyle w:val="43"/>
        <w:bidi w:val="0"/>
        <w:rPr>
          <w:rFonts w:hint="default" w:ascii="Times New Roman" w:hAnsi="Times New Roman" w:cs="Times New Roman"/>
          <w:color w:val="auto"/>
          <w:highlight w:val="none"/>
        </w:rPr>
      </w:pPr>
      <w:bookmarkStart w:id="246" w:name="_Toc29713"/>
      <w:r>
        <w:rPr>
          <w:rFonts w:hint="default" w:ascii="Times New Roman" w:hAnsi="Times New Roman" w:cs="Times New Roman"/>
          <w:color w:val="auto"/>
          <w:highlight w:val="none"/>
        </w:rPr>
        <w:t>4.3区域污染源调查</w:t>
      </w:r>
      <w:bookmarkEnd w:id="243"/>
      <w:bookmarkEnd w:id="244"/>
      <w:bookmarkEnd w:id="245"/>
      <w:bookmarkEnd w:id="246"/>
    </w:p>
    <w:bookmarkEnd w:id="241"/>
    <w:bookmarkEnd w:id="242"/>
    <w:p w14:paraId="24FF98D1">
      <w:pPr>
        <w:pStyle w:val="41"/>
        <w:bidi w:val="0"/>
        <w:rPr>
          <w:rFonts w:hint="default" w:ascii="Times New Roman" w:hAnsi="Times New Roman" w:cs="Times New Roman"/>
          <w:color w:val="auto"/>
          <w:highlight w:val="none"/>
        </w:rPr>
      </w:pPr>
      <w:bookmarkStart w:id="247" w:name="_Toc2729"/>
      <w:bookmarkStart w:id="248" w:name="_Toc17296951"/>
      <w:r>
        <w:rPr>
          <w:rFonts w:hint="default" w:ascii="Times New Roman" w:hAnsi="Times New Roman" w:cs="Times New Roman"/>
          <w:color w:val="auto"/>
          <w:highlight w:val="none"/>
        </w:rPr>
        <w:t>4.3.1大气污染源</w:t>
      </w:r>
      <w:bookmarkEnd w:id="247"/>
      <w:bookmarkEnd w:id="248"/>
    </w:p>
    <w:p w14:paraId="09F4BDD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项目区周边为耕地和林地，大气污染源主要为农业机械作业时尾气，排放污染物主要为CO、HC、NOx、颗粒物。</w:t>
      </w:r>
    </w:p>
    <w:p w14:paraId="69DB5EB2">
      <w:pPr>
        <w:pStyle w:val="41"/>
        <w:bidi w:val="0"/>
        <w:rPr>
          <w:rFonts w:hint="default" w:ascii="Times New Roman" w:hAnsi="Times New Roman" w:eastAsia="黑体" w:cs="Times New Roman"/>
          <w:bCs/>
          <w:color w:val="auto"/>
          <w:szCs w:val="32"/>
          <w:highlight w:val="none"/>
        </w:rPr>
      </w:pPr>
      <w:bookmarkStart w:id="249" w:name="_Toc8320"/>
      <w:bookmarkStart w:id="250" w:name="_Toc17296952"/>
      <w:r>
        <w:rPr>
          <w:rFonts w:hint="default" w:ascii="Times New Roman" w:hAnsi="Times New Roman" w:cs="Times New Roman"/>
          <w:color w:val="auto"/>
          <w:highlight w:val="none"/>
        </w:rPr>
        <w:t>4.3.2地表水污染源</w:t>
      </w:r>
      <w:bookmarkEnd w:id="249"/>
      <w:bookmarkEnd w:id="250"/>
    </w:p>
    <w:p w14:paraId="66852F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区域</w:t>
      </w:r>
      <w:r>
        <w:rPr>
          <w:rFonts w:hint="default" w:ascii="Times New Roman" w:hAnsi="Times New Roman" w:cs="Times New Roman"/>
          <w:color w:val="auto"/>
          <w:highlight w:val="none"/>
        </w:rPr>
        <w:t>地表水污染主要为生活污水和地表径流形成的面源污染。</w:t>
      </w:r>
    </w:p>
    <w:p w14:paraId="0E06DA9C">
      <w:pPr>
        <w:pStyle w:val="41"/>
        <w:bidi w:val="0"/>
        <w:rPr>
          <w:rFonts w:hint="default" w:ascii="Times New Roman" w:hAnsi="Times New Roman" w:cs="Times New Roman"/>
          <w:color w:val="auto"/>
          <w:highlight w:val="none"/>
        </w:rPr>
      </w:pPr>
      <w:bookmarkStart w:id="251" w:name="_Toc13509"/>
      <w:bookmarkStart w:id="252" w:name="_Toc17296953"/>
      <w:r>
        <w:rPr>
          <w:rFonts w:hint="default" w:ascii="Times New Roman" w:hAnsi="Times New Roman" w:cs="Times New Roman"/>
          <w:color w:val="auto"/>
          <w:highlight w:val="none"/>
        </w:rPr>
        <w:t>4.3.3地下水污染源</w:t>
      </w:r>
      <w:bookmarkEnd w:id="251"/>
      <w:bookmarkEnd w:id="252"/>
    </w:p>
    <w:p w14:paraId="17C570E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区域</w:t>
      </w:r>
      <w:r>
        <w:rPr>
          <w:rFonts w:hint="default" w:ascii="Times New Roman" w:hAnsi="Times New Roman" w:cs="Times New Roman"/>
          <w:color w:val="auto"/>
          <w:highlight w:val="none"/>
        </w:rPr>
        <w:t>地下水污染源主要为农药化肥污染，经降雨随水淋溶进入地下水，对地下水造成污染。</w:t>
      </w:r>
    </w:p>
    <w:p w14:paraId="76DA5C00">
      <w:pPr>
        <w:pStyle w:val="41"/>
        <w:bidi w:val="0"/>
        <w:rPr>
          <w:rFonts w:hint="default" w:ascii="Times New Roman" w:hAnsi="Times New Roman" w:cs="Times New Roman"/>
          <w:color w:val="auto"/>
          <w:highlight w:val="none"/>
        </w:rPr>
      </w:pPr>
      <w:bookmarkStart w:id="253" w:name="_Toc15877"/>
      <w:bookmarkStart w:id="254" w:name="_Toc17296954"/>
      <w:r>
        <w:rPr>
          <w:rFonts w:hint="default" w:ascii="Times New Roman" w:hAnsi="Times New Roman" w:cs="Times New Roman"/>
          <w:color w:val="auto"/>
          <w:highlight w:val="none"/>
        </w:rPr>
        <w:t>4.3.4噪声污染源</w:t>
      </w:r>
      <w:bookmarkEnd w:id="253"/>
      <w:bookmarkEnd w:id="254"/>
    </w:p>
    <w:p w14:paraId="31E304C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本项目不在声环境功能区划范围内，按照《声环境功能区划分技术规范》(GB/T15190-2014)，项目区声环境功能区按照1类功能区执行，运输道路两侧敏感点执行《声环境质量标准》（GB3096-2008）中的1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类，本项目周边区域噪声主要污染源为机械作业噪声。</w:t>
      </w:r>
    </w:p>
    <w:p w14:paraId="4EF9BD21">
      <w:pPr>
        <w:pStyle w:val="43"/>
        <w:bidi w:val="0"/>
        <w:rPr>
          <w:rFonts w:hint="default" w:ascii="Times New Roman" w:hAnsi="Times New Roman" w:cs="Times New Roman"/>
          <w:color w:val="auto"/>
          <w:highlight w:val="none"/>
        </w:rPr>
      </w:pPr>
      <w:bookmarkStart w:id="255" w:name="_Toc152926822"/>
      <w:bookmarkStart w:id="256" w:name="_Toc140149427"/>
      <w:bookmarkStart w:id="257" w:name="_Toc14794"/>
      <w:bookmarkStart w:id="258" w:name="_Toc3969"/>
      <w:bookmarkStart w:id="259" w:name="_Toc7335752"/>
      <w:r>
        <w:rPr>
          <w:rFonts w:hint="default" w:ascii="Times New Roman" w:hAnsi="Times New Roman" w:cs="Times New Roman"/>
          <w:color w:val="auto"/>
          <w:highlight w:val="none"/>
        </w:rPr>
        <w:t>4.4环境敏感保护目标调查</w:t>
      </w:r>
      <w:bookmarkEnd w:id="255"/>
      <w:bookmarkEnd w:id="256"/>
      <w:bookmarkEnd w:id="257"/>
      <w:bookmarkEnd w:id="258"/>
      <w:bookmarkEnd w:id="259"/>
    </w:p>
    <w:p w14:paraId="37645F84">
      <w:pPr>
        <w:pStyle w:val="41"/>
        <w:bidi w:val="0"/>
        <w:rPr>
          <w:rFonts w:hint="default" w:ascii="Times New Roman" w:hAnsi="Times New Roman" w:cs="Times New Roman"/>
          <w:color w:val="auto"/>
          <w:highlight w:val="none"/>
        </w:rPr>
      </w:pPr>
      <w:bookmarkStart w:id="260" w:name="_Toc735"/>
      <w:r>
        <w:rPr>
          <w:rFonts w:hint="default" w:ascii="Times New Roman" w:hAnsi="Times New Roman" w:cs="Times New Roman"/>
          <w:color w:val="auto"/>
          <w:highlight w:val="none"/>
        </w:rPr>
        <w:t>4.4.1环境功能区划</w:t>
      </w:r>
      <w:bookmarkEnd w:id="260"/>
    </w:p>
    <w:p w14:paraId="024FF93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（1）空气环境：根据环境空气质量功能区划，项目区位于《环境空气质量标准》（GB3095-2012）及修改后的二类区。本工程所在区域不在酸雨和二氧化硫控制区内。</w:t>
      </w:r>
    </w:p>
    <w:p w14:paraId="15549C1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环境：项目附近地表水体为牤牛河，属于穆棱河水系。根据《全国重要江河湖泊水功能区划（2011—2030年）》规定，本项目区域穆棱河断面水质执行《地表水环境质量标准》（GB3838-2002）中Ⅲ类标准，本项目附近水体牤牛河（穆棱河一级支流）参照Ⅲ类功能水体，因此本工程地表水环境质量执行《地表水环境质量标准》（GB3838-2002）中Ⅲ类水体标准。</w:t>
      </w:r>
    </w:p>
    <w:p w14:paraId="64C0DD3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声环境：根据《鸡西市中心城市声环境功能区划分细化调整方案》，本项目均不在声环境功能区划范围内，按照声环境功能区划分技术规范》(GB/T15190-2014)，项目区声环境功能区按照1类功能区执行，运输道路两侧敏感点农村执行《声环境质量标准》（GB3096-2008）中的1类，城镇执行2类标准。</w:t>
      </w:r>
    </w:p>
    <w:p w14:paraId="7AB3532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（4）地下水环境：本项目所在区域地下水执行《地下水质量标准》（GB/T14848-2017）中III类标准。</w:t>
      </w:r>
    </w:p>
    <w:p w14:paraId="765DA73A">
      <w:pPr>
        <w:pStyle w:val="41"/>
        <w:bidi w:val="0"/>
        <w:rPr>
          <w:rFonts w:hint="default" w:ascii="Times New Roman" w:hAnsi="Times New Roman" w:cs="Times New Roman"/>
          <w:color w:val="auto"/>
          <w:highlight w:val="none"/>
        </w:rPr>
      </w:pPr>
      <w:bookmarkStart w:id="261" w:name="_Toc10658"/>
      <w:r>
        <w:rPr>
          <w:rFonts w:hint="default" w:ascii="Times New Roman" w:hAnsi="Times New Roman" w:cs="Times New Roman"/>
          <w:color w:val="auto"/>
          <w:highlight w:val="none"/>
        </w:rPr>
        <w:t>4.4.2环境敏感区调查</w:t>
      </w:r>
      <w:bookmarkEnd w:id="261"/>
    </w:p>
    <w:p w14:paraId="3173731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调查过程：根据《建设项目环境影响评价技术导则 总纲》（HJ2.1-2016），环境保护目标调查应调查评价范围内的环境功能区划和主要的环境敏感区，详细了解环境保护目标的地理位置、服务功能、四至范围、保护对象和保护要求等。调查过程如下：</w:t>
      </w:r>
    </w:p>
    <w:p w14:paraId="55C650A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（1）本项目</w:t>
      </w:r>
      <w:r>
        <w:rPr>
          <w:rFonts w:hint="default" w:ascii="Times New Roman" w:hAnsi="Times New Roman" w:cs="Times New Roman"/>
          <w:color w:val="auto"/>
          <w:highlight w:val="none"/>
          <w:lang w:val="en-US" w:eastAsia="zh-CN"/>
        </w:rPr>
        <w:t>位于鸡西市滴道区</w:t>
      </w:r>
      <w:r>
        <w:rPr>
          <w:rFonts w:hint="default" w:ascii="Times New Roman" w:hAnsi="Times New Roman" w:cs="Times New Roman"/>
          <w:color w:val="auto"/>
          <w:highlight w:val="none"/>
        </w:rPr>
        <w:t>；北侧为</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西侧、东侧为林地，东南侧255</w:t>
      </w:r>
      <w:r>
        <w:rPr>
          <w:rFonts w:hint="default" w:ascii="Times New Roman" w:hAnsi="Times New Roman" w:cs="Times New Roman"/>
          <w:color w:val="auto"/>
          <w:highlight w:val="none"/>
        </w:rPr>
        <w:t>m处</w:t>
      </w:r>
      <w:r>
        <w:rPr>
          <w:rFonts w:hint="default" w:ascii="Times New Roman" w:hAnsi="Times New Roman" w:cs="Times New Roman"/>
          <w:color w:val="auto"/>
          <w:highlight w:val="none"/>
          <w:lang w:val="en-US" w:eastAsia="zh-CN"/>
        </w:rPr>
        <w:t>南甸子六队，</w:t>
      </w:r>
      <w:r>
        <w:rPr>
          <w:rFonts w:hint="default" w:ascii="Times New Roman" w:hAnsi="Times New Roman" w:cs="Times New Roman"/>
          <w:color w:val="auto"/>
          <w:highlight w:val="none"/>
        </w:rPr>
        <w:t>区域常年主导风向为W。</w:t>
      </w:r>
    </w:p>
    <w:p w14:paraId="5F2311D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地下水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评价</w:t>
      </w:r>
      <w:r>
        <w:rPr>
          <w:rFonts w:hint="default" w:ascii="Times New Roman" w:hAnsi="Times New Roman" w:cs="Times New Roman"/>
          <w:color w:val="auto"/>
          <w:highlight w:val="none"/>
        </w:rPr>
        <w:t>范围内</w:t>
      </w:r>
      <w:r>
        <w:rPr>
          <w:rFonts w:hint="default" w:ascii="Times New Roman" w:hAnsi="Times New Roman" w:cs="Times New Roman"/>
          <w:color w:val="auto"/>
          <w:highlight w:val="none"/>
          <w:lang w:val="en-US" w:eastAsia="zh-CN"/>
        </w:rPr>
        <w:t>有南甸子六队、南甸子四队2个村屯</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使用市政供水，</w:t>
      </w:r>
      <w:r>
        <w:rPr>
          <w:rFonts w:hint="default" w:ascii="Times New Roman" w:hAnsi="Times New Roman" w:cs="Times New Roman"/>
          <w:color w:val="auto"/>
          <w:highlight w:val="none"/>
        </w:rPr>
        <w:t>村屯管理范围内无集中式饮用水源保护区、其他特殊地下水资源（如矿泉水、温泉等）保护区。</w:t>
      </w:r>
    </w:p>
    <w:p w14:paraId="263E4D4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）本项目评价范围内无森林公园、地质公园、天然林、野生动物重要栖息地、重点保护野生植物生长繁殖地，不涉及生态保护红线，不涉及公益林和天然林，生态保护目标为周边植被、景观、野生动物。</w:t>
      </w:r>
    </w:p>
    <w:p w14:paraId="218EA9BD">
      <w:pPr>
        <w:pStyle w:val="27"/>
        <w:bidi w:val="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）本项目评价范围5km内的大气环境保护目标为</w:t>
      </w:r>
      <w:r>
        <w:rPr>
          <w:rFonts w:hint="default" w:ascii="Times New Roman" w:hAnsi="Times New Roman" w:cs="Times New Roman"/>
          <w:color w:val="auto"/>
          <w:highlight w:val="none"/>
          <w:lang w:val="en-US" w:eastAsia="zh-CN"/>
        </w:rPr>
        <w:t>南甸子六队、南甸子四队等</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厂址</w:t>
      </w:r>
      <w:r>
        <w:rPr>
          <w:rFonts w:hint="default" w:ascii="Times New Roman" w:hAnsi="Times New Roman" w:cs="Times New Roman"/>
          <w:color w:val="auto"/>
          <w:highlight w:val="none"/>
        </w:rPr>
        <w:t>周边200m范围内声环境保护目标</w:t>
      </w:r>
      <w:r>
        <w:rPr>
          <w:rFonts w:hint="default" w:ascii="Times New Roman" w:hAnsi="Times New Roman" w:cs="Times New Roman"/>
          <w:color w:val="auto"/>
          <w:highlight w:val="none"/>
          <w:lang w:val="en-US" w:eastAsia="zh-CN"/>
        </w:rPr>
        <w:t>有南甸子六队</w:t>
      </w:r>
      <w:r>
        <w:rPr>
          <w:rFonts w:hint="default" w:ascii="Times New Roman" w:hAnsi="Times New Roman" w:cs="Times New Roman"/>
          <w:color w:val="auto"/>
          <w:highlight w:val="none"/>
        </w:rPr>
        <w:t>；运输路线两侧200m范围内声环境和大气敏感目标见表2-8-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659C32F6">
      <w:pPr>
        <w:pStyle w:val="27"/>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0B156CE">
      <w:pPr>
        <w:pStyle w:val="44"/>
        <w:rPr>
          <w:rFonts w:hint="default" w:ascii="Times New Roman" w:hAnsi="Times New Roman" w:cs="Times New Roman"/>
          <w:color w:val="auto"/>
          <w:highlight w:val="none"/>
        </w:rPr>
      </w:pPr>
      <w:bookmarkStart w:id="262" w:name="_Toc1227"/>
      <w:r>
        <w:rPr>
          <w:rFonts w:hint="default" w:ascii="Times New Roman" w:hAnsi="Times New Roman" w:cs="Times New Roman"/>
          <w:color w:val="auto"/>
          <w:highlight w:val="none"/>
        </w:rPr>
        <w:t>5环境影响预测与评价</w:t>
      </w:r>
      <w:bookmarkEnd w:id="195"/>
      <w:bookmarkEnd w:id="196"/>
      <w:bookmarkEnd w:id="197"/>
      <w:bookmarkEnd w:id="198"/>
      <w:bookmarkEnd w:id="199"/>
      <w:bookmarkEnd w:id="200"/>
      <w:bookmarkEnd w:id="262"/>
    </w:p>
    <w:p w14:paraId="5E5C1578">
      <w:pPr>
        <w:pStyle w:val="43"/>
        <w:rPr>
          <w:rFonts w:hint="default" w:ascii="Times New Roman" w:hAnsi="Times New Roman" w:cs="Times New Roman"/>
          <w:color w:val="auto"/>
          <w:highlight w:val="none"/>
        </w:rPr>
      </w:pPr>
      <w:bookmarkStart w:id="263" w:name="_Toc152926824"/>
      <w:bookmarkStart w:id="264" w:name="_Toc119316805"/>
      <w:bookmarkStart w:id="265" w:name="_Toc23243"/>
      <w:bookmarkStart w:id="266" w:name="_Toc7407"/>
      <w:bookmarkStart w:id="267" w:name="_Toc494017091"/>
      <w:r>
        <w:rPr>
          <w:rFonts w:hint="default" w:ascii="Times New Roman" w:hAnsi="Times New Roman" w:cs="Times New Roman"/>
          <w:color w:val="auto"/>
          <w:highlight w:val="none"/>
        </w:rPr>
        <w:t>5.1施工期环境影响分析</w:t>
      </w:r>
      <w:bookmarkEnd w:id="263"/>
      <w:bookmarkEnd w:id="264"/>
      <w:bookmarkEnd w:id="265"/>
      <w:bookmarkEnd w:id="266"/>
      <w:bookmarkEnd w:id="267"/>
    </w:p>
    <w:p w14:paraId="0DB08785">
      <w:pPr>
        <w:pStyle w:val="41"/>
        <w:rPr>
          <w:rFonts w:hint="default" w:ascii="Times New Roman" w:hAnsi="Times New Roman" w:cs="Times New Roman"/>
          <w:color w:val="auto"/>
          <w:highlight w:val="none"/>
        </w:rPr>
      </w:pPr>
      <w:bookmarkStart w:id="268" w:name="_Toc30403"/>
      <w:r>
        <w:rPr>
          <w:rFonts w:hint="default" w:ascii="Times New Roman" w:hAnsi="Times New Roman" w:cs="Times New Roman"/>
          <w:color w:val="auto"/>
          <w:highlight w:val="none"/>
        </w:rPr>
        <w:t>5.1.1施工期大气环境影响评价</w:t>
      </w:r>
      <w:bookmarkEnd w:id="268"/>
    </w:p>
    <w:p w14:paraId="46B8802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施工过程中，场地平整、</w:t>
      </w:r>
      <w:r>
        <w:rPr>
          <w:rFonts w:hint="default" w:ascii="Times New Roman" w:hAnsi="Times New Roman" w:cs="Times New Roman"/>
          <w:color w:val="auto"/>
          <w:highlight w:val="none"/>
          <w:lang w:val="en-US" w:eastAsia="zh-CN"/>
        </w:rPr>
        <w:t>材料</w:t>
      </w:r>
      <w:r>
        <w:rPr>
          <w:rFonts w:hint="default" w:ascii="Times New Roman" w:hAnsi="Times New Roman" w:cs="Times New Roman"/>
          <w:color w:val="auto"/>
          <w:highlight w:val="none"/>
        </w:rPr>
        <w:t>运输装卸堆放、车辆行驶等作业环节，都会给周围环境空气带来污染。污染大气的主要因子是NO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和扬尘等。本项目采用AERSCREEN估算模式预测结果见表2-6-4所示。本项目大气评价等级为</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级，根据《环境影响评价技术导则 大气环境》（HJ2.2-2018）的一般性要求，</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级评价项目不进行进一步预测与评价，只</w:t>
      </w:r>
      <w:r>
        <w:rPr>
          <w:rFonts w:hint="default" w:ascii="Times New Roman" w:hAnsi="Times New Roman" w:cs="Times New Roman"/>
          <w:color w:val="auto"/>
          <w:highlight w:val="none"/>
          <w:lang w:val="en-US" w:eastAsia="zh-CN"/>
        </w:rPr>
        <w:t>本次</w:t>
      </w:r>
      <w:r>
        <w:rPr>
          <w:rFonts w:hint="default" w:ascii="Times New Roman" w:hAnsi="Times New Roman" w:cs="Times New Roman"/>
          <w:color w:val="auto"/>
          <w:highlight w:val="none"/>
        </w:rPr>
        <w:t>对污染物排放量进行核算。</w:t>
      </w:r>
    </w:p>
    <w:p w14:paraId="27CB7F90">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5.1.1.1污染物排放量核算</w:t>
      </w:r>
    </w:p>
    <w:p w14:paraId="40ECF467">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大气污染物无组织排放量核算表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462"/>
        <w:gridCol w:w="1265"/>
        <w:gridCol w:w="1035"/>
        <w:gridCol w:w="868"/>
        <w:gridCol w:w="2141"/>
        <w:gridCol w:w="1200"/>
        <w:gridCol w:w="1099"/>
      </w:tblGrid>
      <w:tr w14:paraId="564E8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restart"/>
            <w:tcBorders>
              <w:tl2br w:val="nil"/>
              <w:tr2bl w:val="nil"/>
            </w:tcBorders>
            <w:vAlign w:val="center"/>
          </w:tcPr>
          <w:p w14:paraId="5D1D429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71" w:type="pct"/>
            <w:vMerge w:val="restart"/>
            <w:tcBorders>
              <w:tl2br w:val="nil"/>
              <w:tr2bl w:val="nil"/>
            </w:tcBorders>
            <w:vAlign w:val="center"/>
          </w:tcPr>
          <w:p w14:paraId="4567FF4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741" w:type="pct"/>
            <w:vMerge w:val="restart"/>
            <w:tcBorders>
              <w:tl2br w:val="nil"/>
              <w:tr2bl w:val="nil"/>
            </w:tcBorders>
            <w:vAlign w:val="center"/>
          </w:tcPr>
          <w:p w14:paraId="2C9446A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产污环节</w:t>
            </w:r>
          </w:p>
        </w:tc>
        <w:tc>
          <w:tcPr>
            <w:tcW w:w="607" w:type="pct"/>
            <w:vMerge w:val="restart"/>
            <w:tcBorders>
              <w:tl2br w:val="nil"/>
              <w:tr2bl w:val="nil"/>
            </w:tcBorders>
            <w:vAlign w:val="center"/>
          </w:tcPr>
          <w:p w14:paraId="1AA22F3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509" w:type="pct"/>
            <w:vMerge w:val="restart"/>
            <w:tcBorders>
              <w:tl2br w:val="nil"/>
              <w:tr2bl w:val="nil"/>
            </w:tcBorders>
            <w:vAlign w:val="center"/>
          </w:tcPr>
          <w:p w14:paraId="441118F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主要污染防治措施</w:t>
            </w:r>
          </w:p>
        </w:tc>
        <w:tc>
          <w:tcPr>
            <w:tcW w:w="1960" w:type="pct"/>
            <w:gridSpan w:val="2"/>
            <w:tcBorders>
              <w:tl2br w:val="nil"/>
              <w:tr2bl w:val="nil"/>
            </w:tcBorders>
            <w:vAlign w:val="center"/>
          </w:tcPr>
          <w:p w14:paraId="717E9B7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国家或地方污染物排放标准</w:t>
            </w:r>
          </w:p>
        </w:tc>
        <w:tc>
          <w:tcPr>
            <w:tcW w:w="644" w:type="pct"/>
            <w:vMerge w:val="restart"/>
            <w:tcBorders>
              <w:tl2br w:val="nil"/>
              <w:tr2bl w:val="nil"/>
            </w:tcBorders>
            <w:vAlign w:val="center"/>
          </w:tcPr>
          <w:p w14:paraId="65C96FC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年排放量（t/a）</w:t>
            </w:r>
          </w:p>
        </w:tc>
      </w:tr>
      <w:tr w14:paraId="2E9B6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66" w:type="pct"/>
            <w:vMerge w:val="continue"/>
            <w:tcBorders>
              <w:tl2br w:val="nil"/>
              <w:tr2bl w:val="nil"/>
            </w:tcBorders>
            <w:vAlign w:val="center"/>
          </w:tcPr>
          <w:p w14:paraId="139B536A">
            <w:pPr>
              <w:pStyle w:val="46"/>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12CEC97D">
            <w:pPr>
              <w:pStyle w:val="46"/>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24C41248">
            <w:pPr>
              <w:pStyle w:val="46"/>
              <w:bidi w:val="0"/>
              <w:jc w:val="center"/>
              <w:rPr>
                <w:rFonts w:hint="default" w:ascii="Times New Roman" w:hAnsi="Times New Roman" w:cs="Times New Roman"/>
                <w:color w:val="auto"/>
                <w:highlight w:val="none"/>
              </w:rPr>
            </w:pPr>
          </w:p>
        </w:tc>
        <w:tc>
          <w:tcPr>
            <w:tcW w:w="607" w:type="pct"/>
            <w:vMerge w:val="continue"/>
            <w:tcBorders>
              <w:tl2br w:val="nil"/>
              <w:tr2bl w:val="nil"/>
            </w:tcBorders>
            <w:vAlign w:val="center"/>
          </w:tcPr>
          <w:p w14:paraId="052D4C60">
            <w:pPr>
              <w:pStyle w:val="46"/>
              <w:bidi w:val="0"/>
              <w:jc w:val="center"/>
              <w:rPr>
                <w:rFonts w:hint="default" w:ascii="Times New Roman" w:hAnsi="Times New Roman" w:cs="Times New Roman"/>
                <w:color w:val="auto"/>
                <w:highlight w:val="none"/>
              </w:rPr>
            </w:pPr>
          </w:p>
        </w:tc>
        <w:tc>
          <w:tcPr>
            <w:tcW w:w="509" w:type="pct"/>
            <w:vMerge w:val="continue"/>
            <w:tcBorders>
              <w:tl2br w:val="nil"/>
              <w:tr2bl w:val="nil"/>
            </w:tcBorders>
            <w:vAlign w:val="center"/>
          </w:tcPr>
          <w:p w14:paraId="7C9EC1EE">
            <w:pPr>
              <w:pStyle w:val="46"/>
              <w:bidi w:val="0"/>
              <w:jc w:val="center"/>
              <w:rPr>
                <w:rFonts w:hint="default" w:ascii="Times New Roman" w:hAnsi="Times New Roman" w:cs="Times New Roman"/>
                <w:color w:val="auto"/>
                <w:highlight w:val="none"/>
              </w:rPr>
            </w:pPr>
          </w:p>
        </w:tc>
        <w:tc>
          <w:tcPr>
            <w:tcW w:w="1256" w:type="pct"/>
            <w:tcBorders>
              <w:tl2br w:val="nil"/>
              <w:tr2bl w:val="nil"/>
            </w:tcBorders>
            <w:vAlign w:val="center"/>
          </w:tcPr>
          <w:p w14:paraId="4AF1626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w:t>
            </w:r>
          </w:p>
        </w:tc>
        <w:tc>
          <w:tcPr>
            <w:tcW w:w="704" w:type="pct"/>
            <w:tcBorders>
              <w:tl2br w:val="nil"/>
              <w:tr2bl w:val="nil"/>
            </w:tcBorders>
            <w:vAlign w:val="center"/>
          </w:tcPr>
          <w:p w14:paraId="5F640237">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浓度限值</w:t>
            </w:r>
          </w:p>
        </w:tc>
        <w:tc>
          <w:tcPr>
            <w:tcW w:w="644" w:type="pct"/>
            <w:vMerge w:val="continue"/>
            <w:tcBorders>
              <w:tl2br w:val="nil"/>
              <w:tr2bl w:val="nil"/>
            </w:tcBorders>
            <w:vAlign w:val="center"/>
          </w:tcPr>
          <w:p w14:paraId="20E819E0">
            <w:pPr>
              <w:pStyle w:val="46"/>
              <w:bidi w:val="0"/>
              <w:jc w:val="center"/>
              <w:rPr>
                <w:rFonts w:hint="default" w:ascii="Times New Roman" w:hAnsi="Times New Roman" w:cs="Times New Roman"/>
                <w:color w:val="auto"/>
                <w:highlight w:val="none"/>
              </w:rPr>
            </w:pPr>
          </w:p>
        </w:tc>
      </w:tr>
      <w:tr w14:paraId="1C6C8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restart"/>
            <w:tcBorders>
              <w:tl2br w:val="nil"/>
              <w:tr2bl w:val="nil"/>
            </w:tcBorders>
            <w:vAlign w:val="center"/>
          </w:tcPr>
          <w:p w14:paraId="7151876F">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71" w:type="pct"/>
            <w:vMerge w:val="restart"/>
            <w:tcBorders>
              <w:tl2br w:val="nil"/>
              <w:tr2bl w:val="nil"/>
            </w:tcBorders>
            <w:vAlign w:val="center"/>
          </w:tcPr>
          <w:p w14:paraId="69239D6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vMerge w:val="restart"/>
            <w:tcBorders>
              <w:tl2br w:val="nil"/>
              <w:tr2bl w:val="nil"/>
            </w:tcBorders>
            <w:vAlign w:val="center"/>
          </w:tcPr>
          <w:p w14:paraId="41776BB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作业机械</w:t>
            </w:r>
          </w:p>
        </w:tc>
        <w:tc>
          <w:tcPr>
            <w:tcW w:w="607" w:type="pct"/>
            <w:tcBorders>
              <w:tl2br w:val="nil"/>
              <w:tr2bl w:val="nil"/>
            </w:tcBorders>
            <w:vAlign w:val="center"/>
          </w:tcPr>
          <w:p w14:paraId="31FEAD1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509" w:type="pct"/>
            <w:vMerge w:val="restart"/>
            <w:tcBorders>
              <w:tl2br w:val="nil"/>
              <w:tr2bl w:val="nil"/>
            </w:tcBorders>
            <w:vAlign w:val="center"/>
          </w:tcPr>
          <w:p w14:paraId="29A3064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自然扩散</w:t>
            </w:r>
          </w:p>
        </w:tc>
        <w:tc>
          <w:tcPr>
            <w:tcW w:w="1256" w:type="pct"/>
            <w:tcBorders>
              <w:tl2br w:val="nil"/>
              <w:tr2bl w:val="nil"/>
            </w:tcBorders>
            <w:vAlign w:val="center"/>
          </w:tcPr>
          <w:p w14:paraId="0F699D7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04" w:type="pct"/>
            <w:tcBorders>
              <w:tl2br w:val="nil"/>
              <w:tr2bl w:val="nil"/>
            </w:tcBorders>
            <w:vAlign w:val="center"/>
          </w:tcPr>
          <w:p w14:paraId="6A5C70C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9" w:type="dxa"/>
            <w:tcBorders>
              <w:tl2br w:val="nil"/>
              <w:tr2bl w:val="nil"/>
            </w:tcBorders>
            <w:vAlign w:val="center"/>
          </w:tcPr>
          <w:p w14:paraId="5E7EF198">
            <w:pPr>
              <w:pStyle w:val="46"/>
              <w:bidi w:val="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0.001</w:t>
            </w:r>
            <w:r>
              <w:rPr>
                <w:rFonts w:hint="eastAsia" w:cs="Times New Roman"/>
                <w:color w:val="auto"/>
                <w:highlight w:val="none"/>
                <w:lang w:val="en-US" w:eastAsia="zh-CN"/>
              </w:rPr>
              <w:t>6</w:t>
            </w:r>
          </w:p>
        </w:tc>
      </w:tr>
      <w:tr w14:paraId="6BA12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continue"/>
            <w:tcBorders>
              <w:tl2br w:val="nil"/>
              <w:tr2bl w:val="nil"/>
            </w:tcBorders>
            <w:vAlign w:val="center"/>
          </w:tcPr>
          <w:p w14:paraId="24FD9F30">
            <w:pPr>
              <w:pStyle w:val="46"/>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064CA0F0">
            <w:pPr>
              <w:pStyle w:val="46"/>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26F26BE9">
            <w:pPr>
              <w:pStyle w:val="46"/>
              <w:bidi w:val="0"/>
              <w:jc w:val="center"/>
              <w:rPr>
                <w:rFonts w:hint="default" w:ascii="Times New Roman" w:hAnsi="Times New Roman" w:cs="Times New Roman"/>
                <w:color w:val="auto"/>
                <w:highlight w:val="none"/>
              </w:rPr>
            </w:pPr>
          </w:p>
        </w:tc>
        <w:tc>
          <w:tcPr>
            <w:tcW w:w="607" w:type="pct"/>
            <w:tcBorders>
              <w:tl2br w:val="nil"/>
              <w:tr2bl w:val="nil"/>
            </w:tcBorders>
            <w:vAlign w:val="center"/>
          </w:tcPr>
          <w:p w14:paraId="13393B1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509" w:type="pct"/>
            <w:vMerge w:val="continue"/>
            <w:tcBorders>
              <w:tl2br w:val="nil"/>
              <w:tr2bl w:val="nil"/>
            </w:tcBorders>
            <w:vAlign w:val="center"/>
          </w:tcPr>
          <w:p w14:paraId="7F32D1B0">
            <w:pPr>
              <w:pStyle w:val="46"/>
              <w:bidi w:val="0"/>
              <w:jc w:val="center"/>
              <w:rPr>
                <w:rFonts w:hint="default" w:ascii="Times New Roman" w:hAnsi="Times New Roman" w:cs="Times New Roman"/>
                <w:color w:val="auto"/>
                <w:highlight w:val="none"/>
                <w:lang w:val="zh-CN"/>
              </w:rPr>
            </w:pPr>
          </w:p>
        </w:tc>
        <w:tc>
          <w:tcPr>
            <w:tcW w:w="1256" w:type="pct"/>
            <w:tcBorders>
              <w:tl2br w:val="nil"/>
              <w:tr2bl w:val="nil"/>
            </w:tcBorders>
            <w:vAlign w:val="center"/>
          </w:tcPr>
          <w:p w14:paraId="1996480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《大气污染物综合排放标准》（GB16297-1996）</w:t>
            </w:r>
          </w:p>
        </w:tc>
        <w:tc>
          <w:tcPr>
            <w:tcW w:w="704" w:type="pct"/>
            <w:tcBorders>
              <w:tl2br w:val="nil"/>
              <w:tr2bl w:val="nil"/>
            </w:tcBorders>
            <w:vAlign w:val="center"/>
          </w:tcPr>
          <w:p w14:paraId="6DB4EDD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0.12mg/m</w:t>
            </w:r>
            <w:r>
              <w:rPr>
                <w:rFonts w:hint="default" w:ascii="Times New Roman" w:hAnsi="Times New Roman" w:cs="Times New Roman"/>
                <w:color w:val="auto"/>
                <w:highlight w:val="none"/>
                <w:vertAlign w:val="superscript"/>
              </w:rPr>
              <w:t>3</w:t>
            </w:r>
          </w:p>
        </w:tc>
        <w:tc>
          <w:tcPr>
            <w:tcW w:w="1099" w:type="dxa"/>
            <w:tcBorders>
              <w:tl2br w:val="nil"/>
              <w:tr2bl w:val="nil"/>
            </w:tcBorders>
            <w:vAlign w:val="center"/>
          </w:tcPr>
          <w:p w14:paraId="6461DF5B">
            <w:pPr>
              <w:pStyle w:val="46"/>
              <w:bidi w:val="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0.0022</w:t>
            </w:r>
          </w:p>
        </w:tc>
      </w:tr>
      <w:tr w14:paraId="7961A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continue"/>
            <w:tcBorders>
              <w:tl2br w:val="nil"/>
              <w:tr2bl w:val="nil"/>
            </w:tcBorders>
            <w:vAlign w:val="center"/>
          </w:tcPr>
          <w:p w14:paraId="7F580146">
            <w:pPr>
              <w:pStyle w:val="46"/>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4C601CE2">
            <w:pPr>
              <w:pStyle w:val="46"/>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4E58D7E6">
            <w:pPr>
              <w:pStyle w:val="46"/>
              <w:bidi w:val="0"/>
              <w:jc w:val="center"/>
              <w:rPr>
                <w:rFonts w:hint="default" w:ascii="Times New Roman" w:hAnsi="Times New Roman" w:cs="Times New Roman"/>
                <w:color w:val="auto"/>
                <w:highlight w:val="none"/>
              </w:rPr>
            </w:pPr>
          </w:p>
        </w:tc>
        <w:tc>
          <w:tcPr>
            <w:tcW w:w="607" w:type="pct"/>
            <w:tcBorders>
              <w:tl2br w:val="nil"/>
              <w:tr2bl w:val="nil"/>
            </w:tcBorders>
            <w:vAlign w:val="center"/>
          </w:tcPr>
          <w:p w14:paraId="7099BAA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509" w:type="pct"/>
            <w:vMerge w:val="continue"/>
            <w:tcBorders>
              <w:tl2br w:val="nil"/>
              <w:tr2bl w:val="nil"/>
            </w:tcBorders>
            <w:vAlign w:val="center"/>
          </w:tcPr>
          <w:p w14:paraId="2C519E38">
            <w:pPr>
              <w:pStyle w:val="46"/>
              <w:bidi w:val="0"/>
              <w:jc w:val="center"/>
              <w:rPr>
                <w:rFonts w:hint="default" w:ascii="Times New Roman" w:hAnsi="Times New Roman" w:cs="Times New Roman"/>
                <w:color w:val="auto"/>
                <w:highlight w:val="none"/>
                <w:lang w:val="zh-CN"/>
              </w:rPr>
            </w:pPr>
          </w:p>
        </w:tc>
        <w:tc>
          <w:tcPr>
            <w:tcW w:w="1256" w:type="pct"/>
            <w:tcBorders>
              <w:tl2br w:val="nil"/>
              <w:tr2bl w:val="nil"/>
            </w:tcBorders>
            <w:vAlign w:val="center"/>
          </w:tcPr>
          <w:p w14:paraId="158519E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04" w:type="pct"/>
            <w:tcBorders>
              <w:tl2br w:val="nil"/>
              <w:tr2bl w:val="nil"/>
            </w:tcBorders>
            <w:vAlign w:val="center"/>
          </w:tcPr>
          <w:p w14:paraId="40CE7B0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9" w:type="dxa"/>
            <w:tcBorders>
              <w:tl2br w:val="nil"/>
              <w:tr2bl w:val="nil"/>
            </w:tcBorders>
            <w:vAlign w:val="center"/>
          </w:tcPr>
          <w:p w14:paraId="24335A92">
            <w:pPr>
              <w:pStyle w:val="46"/>
              <w:bidi w:val="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0.0005</w:t>
            </w:r>
          </w:p>
        </w:tc>
      </w:tr>
      <w:tr w14:paraId="4EF4B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tcBorders>
              <w:tl2br w:val="nil"/>
              <w:tr2bl w:val="nil"/>
            </w:tcBorders>
            <w:vAlign w:val="center"/>
          </w:tcPr>
          <w:p w14:paraId="61D0B7A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71" w:type="pct"/>
            <w:tcBorders>
              <w:tl2br w:val="nil"/>
              <w:tr2bl w:val="nil"/>
            </w:tcBorders>
            <w:vAlign w:val="center"/>
          </w:tcPr>
          <w:p w14:paraId="18CB48D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tcBorders>
              <w:tl2br w:val="nil"/>
              <w:tr2bl w:val="nil"/>
            </w:tcBorders>
            <w:vAlign w:val="center"/>
          </w:tcPr>
          <w:p w14:paraId="64EB0BAC">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装卸、运输、回填</w:t>
            </w:r>
          </w:p>
        </w:tc>
        <w:tc>
          <w:tcPr>
            <w:tcW w:w="607" w:type="pct"/>
            <w:tcBorders>
              <w:tl2br w:val="nil"/>
              <w:tr2bl w:val="nil"/>
            </w:tcBorders>
            <w:vAlign w:val="center"/>
          </w:tcPr>
          <w:p w14:paraId="53E0C7A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509" w:type="pct"/>
            <w:tcBorders>
              <w:tl2br w:val="nil"/>
              <w:tr2bl w:val="nil"/>
            </w:tcBorders>
            <w:vAlign w:val="center"/>
          </w:tcPr>
          <w:p w14:paraId="073BA67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洒水抑尘、及时苫盖、分区回填</w:t>
            </w:r>
          </w:p>
        </w:tc>
        <w:tc>
          <w:tcPr>
            <w:tcW w:w="1256" w:type="pct"/>
            <w:vMerge w:val="restart"/>
            <w:tcBorders>
              <w:tl2br w:val="nil"/>
              <w:tr2bl w:val="nil"/>
            </w:tcBorders>
            <w:vAlign w:val="center"/>
          </w:tcPr>
          <w:p w14:paraId="42DD324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《大气污染物综合排放标准》（GB16297-1996）</w:t>
            </w:r>
          </w:p>
        </w:tc>
        <w:tc>
          <w:tcPr>
            <w:tcW w:w="704" w:type="pct"/>
            <w:vMerge w:val="restart"/>
            <w:tcBorders>
              <w:tl2br w:val="nil"/>
              <w:tr2bl w:val="nil"/>
            </w:tcBorders>
            <w:vAlign w:val="center"/>
          </w:tcPr>
          <w:p w14:paraId="580E9DE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1.0mg/m</w:t>
            </w:r>
            <w:r>
              <w:rPr>
                <w:rFonts w:hint="default" w:ascii="Times New Roman" w:hAnsi="Times New Roman" w:cs="Times New Roman"/>
                <w:color w:val="auto"/>
                <w:highlight w:val="none"/>
                <w:vertAlign w:val="superscript"/>
              </w:rPr>
              <w:t>3</w:t>
            </w:r>
          </w:p>
        </w:tc>
        <w:tc>
          <w:tcPr>
            <w:tcW w:w="1099" w:type="dxa"/>
            <w:tcBorders>
              <w:tl2br w:val="nil"/>
              <w:tr2bl w:val="nil"/>
            </w:tcBorders>
            <w:vAlign w:val="center"/>
          </w:tcPr>
          <w:p w14:paraId="0F6C4866">
            <w:pPr>
              <w:pStyle w:val="46"/>
              <w:bidi w:val="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0.01</w:t>
            </w:r>
            <w:r>
              <w:rPr>
                <w:rFonts w:hint="eastAsia" w:cs="Times New Roman"/>
                <w:color w:val="auto"/>
                <w:highlight w:val="none"/>
                <w:lang w:val="en-US" w:eastAsia="zh-CN"/>
              </w:rPr>
              <w:t>0</w:t>
            </w:r>
          </w:p>
        </w:tc>
      </w:tr>
      <w:tr w14:paraId="28A35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tcBorders>
              <w:tl2br w:val="nil"/>
              <w:tr2bl w:val="nil"/>
            </w:tcBorders>
            <w:vAlign w:val="center"/>
          </w:tcPr>
          <w:p w14:paraId="5306619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71" w:type="pct"/>
            <w:tcBorders>
              <w:tl2br w:val="nil"/>
              <w:tr2bl w:val="nil"/>
            </w:tcBorders>
            <w:vAlign w:val="center"/>
          </w:tcPr>
          <w:p w14:paraId="3513CE6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tcBorders>
              <w:tl2br w:val="nil"/>
              <w:tr2bl w:val="nil"/>
            </w:tcBorders>
            <w:vAlign w:val="center"/>
          </w:tcPr>
          <w:p w14:paraId="02125B6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运输道路</w:t>
            </w:r>
          </w:p>
        </w:tc>
        <w:tc>
          <w:tcPr>
            <w:tcW w:w="607" w:type="pct"/>
            <w:tcBorders>
              <w:tl2br w:val="nil"/>
              <w:tr2bl w:val="nil"/>
            </w:tcBorders>
            <w:vAlign w:val="center"/>
          </w:tcPr>
          <w:p w14:paraId="39A881A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509" w:type="pct"/>
            <w:tcBorders>
              <w:tl2br w:val="nil"/>
              <w:tr2bl w:val="nil"/>
            </w:tcBorders>
            <w:vAlign w:val="center"/>
          </w:tcPr>
          <w:p w14:paraId="22D04A5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减速慢行，洒水抑尘</w:t>
            </w:r>
          </w:p>
        </w:tc>
        <w:tc>
          <w:tcPr>
            <w:tcW w:w="1256" w:type="pct"/>
            <w:vMerge w:val="continue"/>
            <w:tcBorders>
              <w:tl2br w:val="nil"/>
              <w:tr2bl w:val="nil"/>
            </w:tcBorders>
            <w:vAlign w:val="center"/>
          </w:tcPr>
          <w:p w14:paraId="7C9890DE">
            <w:pPr>
              <w:pStyle w:val="46"/>
              <w:bidi w:val="0"/>
              <w:jc w:val="center"/>
              <w:rPr>
                <w:rFonts w:hint="default" w:ascii="Times New Roman" w:hAnsi="Times New Roman" w:cs="Times New Roman"/>
                <w:color w:val="auto"/>
                <w:highlight w:val="none"/>
                <w:lang w:val="zh-CN"/>
              </w:rPr>
            </w:pPr>
          </w:p>
        </w:tc>
        <w:tc>
          <w:tcPr>
            <w:tcW w:w="704" w:type="pct"/>
            <w:vMerge w:val="continue"/>
            <w:tcBorders>
              <w:tl2br w:val="nil"/>
              <w:tr2bl w:val="nil"/>
            </w:tcBorders>
            <w:vAlign w:val="center"/>
          </w:tcPr>
          <w:p w14:paraId="422FB1F7">
            <w:pPr>
              <w:pStyle w:val="46"/>
              <w:bidi w:val="0"/>
              <w:jc w:val="center"/>
              <w:rPr>
                <w:rFonts w:hint="default" w:ascii="Times New Roman" w:hAnsi="Times New Roman" w:cs="Times New Roman"/>
                <w:color w:val="auto"/>
                <w:highlight w:val="none"/>
              </w:rPr>
            </w:pPr>
          </w:p>
        </w:tc>
        <w:tc>
          <w:tcPr>
            <w:tcW w:w="1099" w:type="dxa"/>
            <w:tcBorders>
              <w:tl2br w:val="nil"/>
              <w:tr2bl w:val="nil"/>
            </w:tcBorders>
            <w:vAlign w:val="center"/>
          </w:tcPr>
          <w:p w14:paraId="61598CDB">
            <w:pPr>
              <w:pStyle w:val="46"/>
              <w:bidi w:val="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0.011</w:t>
            </w:r>
          </w:p>
        </w:tc>
      </w:tr>
      <w:tr w14:paraId="54C39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14:paraId="33D8EB6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无组织排放总计</w:t>
            </w:r>
          </w:p>
        </w:tc>
      </w:tr>
      <w:tr w14:paraId="0AEC1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restart"/>
            <w:tcBorders>
              <w:tl2br w:val="nil"/>
              <w:tr2bl w:val="nil"/>
            </w:tcBorders>
            <w:vAlign w:val="center"/>
          </w:tcPr>
          <w:p w14:paraId="48427B4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无组织排放总计</w:t>
            </w:r>
          </w:p>
        </w:tc>
        <w:tc>
          <w:tcPr>
            <w:tcW w:w="3076" w:type="pct"/>
            <w:gridSpan w:val="4"/>
            <w:tcBorders>
              <w:tl2br w:val="nil"/>
              <w:tr2bl w:val="nil"/>
            </w:tcBorders>
            <w:vAlign w:val="center"/>
          </w:tcPr>
          <w:p w14:paraId="5695736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1099" w:type="dxa"/>
            <w:tcBorders>
              <w:tl2br w:val="nil"/>
              <w:tr2bl w:val="nil"/>
            </w:tcBorders>
            <w:vAlign w:val="center"/>
          </w:tcPr>
          <w:p w14:paraId="59947F34">
            <w:pPr>
              <w:pStyle w:val="46"/>
              <w:bidi w:val="0"/>
              <w:ind w:firstLine="0" w:firstLineChars="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0.001</w:t>
            </w:r>
            <w:r>
              <w:rPr>
                <w:rFonts w:hint="eastAsia" w:cs="Times New Roman"/>
                <w:color w:val="auto"/>
                <w:highlight w:val="none"/>
                <w:lang w:val="en-US" w:eastAsia="zh-CN"/>
              </w:rPr>
              <w:t>6</w:t>
            </w:r>
          </w:p>
        </w:tc>
      </w:tr>
      <w:tr w14:paraId="2B39D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3C7E144C">
            <w:pPr>
              <w:pStyle w:val="46"/>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774298E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1099" w:type="dxa"/>
            <w:tcBorders>
              <w:tl2br w:val="nil"/>
              <w:tr2bl w:val="nil"/>
            </w:tcBorders>
            <w:vAlign w:val="center"/>
          </w:tcPr>
          <w:p w14:paraId="6A4F38B6">
            <w:pPr>
              <w:pStyle w:val="46"/>
              <w:bidi w:val="0"/>
              <w:ind w:firstLine="0" w:firstLineChars="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0.0022</w:t>
            </w:r>
          </w:p>
        </w:tc>
      </w:tr>
      <w:tr w14:paraId="00C80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4856BBF4">
            <w:pPr>
              <w:pStyle w:val="46"/>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3109799F">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1099" w:type="dxa"/>
            <w:tcBorders>
              <w:tl2br w:val="nil"/>
              <w:tr2bl w:val="nil"/>
            </w:tcBorders>
            <w:vAlign w:val="center"/>
          </w:tcPr>
          <w:p w14:paraId="77C7362A">
            <w:pPr>
              <w:pStyle w:val="46"/>
              <w:bidi w:val="0"/>
              <w:ind w:firstLine="0" w:firstLineChars="0"/>
              <w:jc w:val="center"/>
              <w:rPr>
                <w:rFonts w:hint="default" w:ascii="Times New Roman" w:hAnsi="Times New Roman" w:cs="Times New Roman"/>
                <w:color w:val="auto"/>
                <w:highlight w:val="none"/>
                <w:lang w:val="zh-CN"/>
              </w:rPr>
            </w:pPr>
            <w:r>
              <w:rPr>
                <w:rFonts w:hint="eastAsia" w:ascii="Times New Roman" w:hAnsi="Times New Roman" w:cs="Times New Roman"/>
                <w:color w:val="auto"/>
                <w:highlight w:val="none"/>
                <w:lang w:val="en-US" w:eastAsia="zh-CN"/>
              </w:rPr>
              <w:t>0.0005</w:t>
            </w:r>
          </w:p>
        </w:tc>
      </w:tr>
      <w:tr w14:paraId="7AD4F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4BDFF48F">
            <w:pPr>
              <w:pStyle w:val="46"/>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2B43547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644" w:type="pct"/>
            <w:tcBorders>
              <w:tl2br w:val="nil"/>
              <w:tr2bl w:val="nil"/>
            </w:tcBorders>
            <w:vAlign w:val="center"/>
          </w:tcPr>
          <w:p w14:paraId="41069AFD">
            <w:pPr>
              <w:pStyle w:val="46"/>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0.021</w:t>
            </w:r>
          </w:p>
        </w:tc>
      </w:tr>
    </w:tbl>
    <w:p w14:paraId="661F01D8">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大气污染物年排放量核算表</w:t>
      </w:r>
    </w:p>
    <w:tbl>
      <w:tblPr>
        <w:tblStyle w:val="24"/>
        <w:tblW w:w="840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850"/>
        <w:gridCol w:w="2959"/>
        <w:gridCol w:w="3600"/>
      </w:tblGrid>
      <w:tr w14:paraId="2A40090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32382C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959" w:type="dxa"/>
            <w:vAlign w:val="center"/>
          </w:tcPr>
          <w:p w14:paraId="0BB4F0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600" w:type="dxa"/>
            <w:vAlign w:val="center"/>
          </w:tcPr>
          <w:p w14:paraId="7BEAD8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年排放量（t/a）</w:t>
            </w:r>
          </w:p>
        </w:tc>
      </w:tr>
      <w:tr w14:paraId="17D9EC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4D0573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959" w:type="dxa"/>
            <w:vAlign w:val="center"/>
          </w:tcPr>
          <w:p w14:paraId="3D0700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3600" w:type="dxa"/>
            <w:vAlign w:val="center"/>
          </w:tcPr>
          <w:p w14:paraId="0E2FCF54">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0.0016</w:t>
            </w:r>
          </w:p>
        </w:tc>
      </w:tr>
      <w:tr w14:paraId="11EF8F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59654D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959" w:type="dxa"/>
            <w:vAlign w:val="center"/>
          </w:tcPr>
          <w:p w14:paraId="4FD96DC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3600" w:type="dxa"/>
            <w:vAlign w:val="center"/>
          </w:tcPr>
          <w:p w14:paraId="59F69872">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0.0022</w:t>
            </w:r>
          </w:p>
        </w:tc>
      </w:tr>
      <w:tr w14:paraId="5D5C21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2CFAE8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959" w:type="dxa"/>
            <w:vAlign w:val="center"/>
          </w:tcPr>
          <w:p w14:paraId="56E666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3600" w:type="dxa"/>
            <w:vAlign w:val="center"/>
          </w:tcPr>
          <w:p w14:paraId="568060ED">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0.0005</w:t>
            </w:r>
          </w:p>
        </w:tc>
      </w:tr>
      <w:tr w14:paraId="23FB515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0BC3CF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2959" w:type="dxa"/>
            <w:vAlign w:val="center"/>
          </w:tcPr>
          <w:p w14:paraId="61F0B3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3600" w:type="dxa"/>
            <w:vAlign w:val="center"/>
          </w:tcPr>
          <w:p w14:paraId="3BFB9AB2">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0.021</w:t>
            </w:r>
          </w:p>
        </w:tc>
      </w:tr>
    </w:tbl>
    <w:p w14:paraId="02C20565">
      <w:pPr>
        <w:pStyle w:val="6"/>
        <w:bidi w:val="0"/>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en-US" w:eastAsia="zh-CN"/>
        </w:rPr>
        <w:t>5.1.1.2</w:t>
      </w:r>
      <w:r>
        <w:rPr>
          <w:rFonts w:hint="default" w:ascii="Times New Roman" w:hAnsi="Times New Roman" w:cs="Times New Roman"/>
          <w:color w:val="auto"/>
          <w:highlight w:val="none"/>
          <w:lang w:val="zh-CN" w:eastAsia="zh-CN"/>
        </w:rPr>
        <w:t>大气防护距离</w:t>
      </w:r>
    </w:p>
    <w:p w14:paraId="45D90D7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中8.7.5.1要求，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163EAAC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大气环境》（HJ2.2-2018）中“评价等级判定及大气环境影响预测与评价”的要求，以项目排放的所有污染物经估算模型计算可知，本项目评价工作等级为</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级，不进行进一步预测与评价项目不设置大气环境防护距离。</w:t>
      </w:r>
    </w:p>
    <w:p w14:paraId="1327EF24">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5.1.1.3</w:t>
      </w:r>
      <w:r>
        <w:rPr>
          <w:rFonts w:hint="default" w:ascii="Times New Roman" w:hAnsi="Times New Roman" w:cs="Times New Roman"/>
          <w:color w:val="auto"/>
          <w:highlight w:val="none"/>
          <w:lang w:val="zh-CN" w:eastAsia="zh-CN"/>
        </w:rPr>
        <w:t>大气环境影响分析</w:t>
      </w:r>
      <w:r>
        <w:rPr>
          <w:rFonts w:hint="default" w:ascii="Times New Roman" w:hAnsi="Times New Roman" w:cs="Times New Roman"/>
          <w:color w:val="auto"/>
          <w:highlight w:val="none"/>
          <w:lang w:val="en-US" w:eastAsia="zh-CN"/>
        </w:rPr>
        <w:t>结论</w:t>
      </w:r>
    </w:p>
    <w:p w14:paraId="30BB149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机械数量较少，且场地扩散面积较大，机械尾气经扩散后对场区周边环境影响较小。</w:t>
      </w:r>
    </w:p>
    <w:p w14:paraId="3B98E67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道路运输过程中扬尘，采用专用密闭运</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车辆，道路采取必要降尘措施，故扬尘产生量</w:t>
      </w:r>
      <w:r>
        <w:rPr>
          <w:rFonts w:hint="default" w:ascii="Times New Roman" w:hAnsi="Times New Roman" w:cs="Times New Roman"/>
          <w:color w:val="auto"/>
          <w:highlight w:val="none"/>
          <w:lang w:val="en-US" w:eastAsia="zh-CN"/>
        </w:rPr>
        <w:t>较小</w:t>
      </w:r>
      <w:r>
        <w:rPr>
          <w:rFonts w:hint="default" w:ascii="Times New Roman" w:hAnsi="Times New Roman" w:cs="Times New Roman"/>
          <w:color w:val="auto"/>
          <w:highlight w:val="none"/>
        </w:rPr>
        <w:t>。</w:t>
      </w:r>
    </w:p>
    <w:p w14:paraId="5D09131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回填区分区分块运行，减小堆灰过程的工作面。及时分层碾压和洒水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根据估算模型预测计算结果可知，项目</w:t>
      </w:r>
      <w:r>
        <w:rPr>
          <w:rFonts w:hint="default" w:ascii="Times New Roman" w:hAnsi="Times New Roman" w:cs="Times New Roman"/>
          <w:color w:val="auto"/>
          <w:highlight w:val="none"/>
          <w:lang w:val="en-US" w:eastAsia="zh-CN"/>
        </w:rPr>
        <w:t>施工扬尘</w:t>
      </w:r>
      <w:r>
        <w:rPr>
          <w:rFonts w:hint="default" w:ascii="Times New Roman" w:hAnsi="Times New Roman" w:cs="Times New Roman"/>
          <w:color w:val="auto"/>
          <w:highlight w:val="none"/>
        </w:rPr>
        <w:t>对场地周边大气环境影响较小。</w:t>
      </w:r>
      <w:r>
        <w:rPr>
          <w:rFonts w:hint="default" w:ascii="Times New Roman" w:hAnsi="Times New Roman" w:cs="Times New Roman"/>
          <w:color w:val="auto"/>
          <w:highlight w:val="none"/>
          <w:lang w:val="en-US" w:eastAsia="zh-CN"/>
        </w:rPr>
        <w:t>厂界距离</w:t>
      </w:r>
      <w:r>
        <w:rPr>
          <w:rFonts w:hint="default" w:ascii="Times New Roman" w:hAnsi="Times New Roman" w:cs="Times New Roman"/>
          <w:color w:val="auto"/>
          <w:highlight w:val="none"/>
        </w:rPr>
        <w:t>最近的保护目标位于</w:t>
      </w:r>
      <w:r>
        <w:rPr>
          <w:rFonts w:hint="default" w:ascii="Times New Roman" w:hAnsi="Times New Roman" w:cs="Times New Roman"/>
          <w:color w:val="auto"/>
          <w:highlight w:val="none"/>
          <w:lang w:val="en-US" w:eastAsia="zh-CN"/>
        </w:rPr>
        <w:t>边界东南侧300</w:t>
      </w:r>
      <w:r>
        <w:rPr>
          <w:rFonts w:hint="default" w:ascii="Times New Roman" w:hAnsi="Times New Roman" w:cs="Times New Roman"/>
          <w:color w:val="auto"/>
          <w:highlight w:val="none"/>
        </w:rPr>
        <w:t>m处</w:t>
      </w:r>
      <w:r>
        <w:rPr>
          <w:rFonts w:hint="default" w:ascii="Times New Roman" w:hAnsi="Times New Roman" w:cs="Times New Roman"/>
          <w:color w:val="auto"/>
          <w:highlight w:val="none"/>
          <w:lang w:val="en-US" w:eastAsia="zh-CN"/>
        </w:rPr>
        <w:t>南甸子六队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且项目区地势平坦，扩散条件较好，通过洒水降尘、及时苫盖、分区回填等措施，对大风等特殊气象条件，停止作业，并加大洒水强度，因此，不会对保护目标处的环境空气产生较大影响，对环境保护目标的影响可接受。</w:t>
      </w:r>
    </w:p>
    <w:p w14:paraId="767A7D93">
      <w:pPr>
        <w:pStyle w:val="6"/>
        <w:bidi w:val="0"/>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en-US" w:eastAsia="zh-CN"/>
        </w:rPr>
        <w:t>5.1.1.4</w:t>
      </w:r>
      <w:r>
        <w:rPr>
          <w:rFonts w:hint="default" w:ascii="Times New Roman" w:hAnsi="Times New Roman" w:cs="Times New Roman"/>
          <w:color w:val="auto"/>
          <w:highlight w:val="none"/>
          <w:lang w:val="zh-CN" w:eastAsia="zh-CN"/>
        </w:rPr>
        <w:t>非正常工况</w:t>
      </w:r>
    </w:p>
    <w:p w14:paraId="0BF58D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本项目非正常工况主要为洒水车故障，导致抑尘效率为0%，则非正常工况下，废气源强见下表。</w:t>
      </w:r>
    </w:p>
    <w:p w14:paraId="08FB7784">
      <w:pPr>
        <w:pStyle w:val="2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表</w:t>
      </w: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zh-CN"/>
        </w:rPr>
        <w:t>污染源非正常排放量核算表</w:t>
      </w:r>
    </w:p>
    <w:tbl>
      <w:tblPr>
        <w:tblStyle w:val="2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551"/>
        <w:gridCol w:w="1800"/>
        <w:gridCol w:w="636"/>
        <w:gridCol w:w="1306"/>
        <w:gridCol w:w="1104"/>
        <w:gridCol w:w="788"/>
        <w:gridCol w:w="774"/>
        <w:gridCol w:w="1074"/>
      </w:tblGrid>
      <w:tr w14:paraId="22A0F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0" w:type="auto"/>
            <w:tcBorders>
              <w:tl2br w:val="nil"/>
              <w:tr2bl w:val="nil"/>
            </w:tcBorders>
            <w:vAlign w:val="center"/>
          </w:tcPr>
          <w:p w14:paraId="7E84495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eastAsia="zh-CN"/>
              </w:rPr>
              <w:t>序号</w:t>
            </w:r>
          </w:p>
        </w:tc>
        <w:tc>
          <w:tcPr>
            <w:tcW w:w="0" w:type="auto"/>
            <w:tcBorders>
              <w:tl2br w:val="nil"/>
              <w:tr2bl w:val="nil"/>
            </w:tcBorders>
            <w:vAlign w:val="center"/>
          </w:tcPr>
          <w:p w14:paraId="737C7BE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污染源</w:t>
            </w:r>
          </w:p>
        </w:tc>
        <w:tc>
          <w:tcPr>
            <w:tcW w:w="1800" w:type="dxa"/>
            <w:tcBorders>
              <w:tl2br w:val="nil"/>
              <w:tr2bl w:val="nil"/>
            </w:tcBorders>
            <w:vAlign w:val="center"/>
          </w:tcPr>
          <w:p w14:paraId="14B18C60">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非正常排放原因</w:t>
            </w:r>
          </w:p>
        </w:tc>
        <w:tc>
          <w:tcPr>
            <w:tcW w:w="636" w:type="dxa"/>
            <w:tcBorders>
              <w:tl2br w:val="nil"/>
              <w:tr2bl w:val="nil"/>
            </w:tcBorders>
            <w:vAlign w:val="center"/>
          </w:tcPr>
          <w:p w14:paraId="44A88C0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w:t>
            </w:r>
          </w:p>
        </w:tc>
        <w:tc>
          <w:tcPr>
            <w:tcW w:w="1306" w:type="dxa"/>
            <w:tcBorders>
              <w:tl2br w:val="nil"/>
              <w:tr2bl w:val="nil"/>
            </w:tcBorders>
            <w:vAlign w:val="center"/>
          </w:tcPr>
          <w:p w14:paraId="148EA74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非正常排放浓度/(μg/m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104" w:type="dxa"/>
            <w:tcBorders>
              <w:tl2br w:val="nil"/>
              <w:tr2bl w:val="nil"/>
            </w:tcBorders>
            <w:vAlign w:val="center"/>
          </w:tcPr>
          <w:p w14:paraId="77E9B3E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非正常排放速率/（kg/h）</w:t>
            </w:r>
          </w:p>
        </w:tc>
        <w:tc>
          <w:tcPr>
            <w:tcW w:w="0" w:type="auto"/>
            <w:tcBorders>
              <w:tl2br w:val="nil"/>
              <w:tr2bl w:val="nil"/>
            </w:tcBorders>
            <w:vAlign w:val="center"/>
          </w:tcPr>
          <w:p w14:paraId="40CA438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单次持续时间/h</w:t>
            </w:r>
          </w:p>
        </w:tc>
        <w:tc>
          <w:tcPr>
            <w:tcW w:w="0" w:type="auto"/>
            <w:tcBorders>
              <w:tl2br w:val="nil"/>
              <w:tr2bl w:val="nil"/>
            </w:tcBorders>
            <w:vAlign w:val="center"/>
          </w:tcPr>
          <w:p w14:paraId="21CF4C0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年发生频次//次</w:t>
            </w:r>
          </w:p>
        </w:tc>
        <w:tc>
          <w:tcPr>
            <w:tcW w:w="0" w:type="auto"/>
            <w:tcBorders>
              <w:tl2br w:val="nil"/>
              <w:tr2bl w:val="nil"/>
            </w:tcBorders>
            <w:vAlign w:val="center"/>
          </w:tcPr>
          <w:p w14:paraId="32186170">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应对措施</w:t>
            </w:r>
          </w:p>
        </w:tc>
      </w:tr>
      <w:tr w14:paraId="16754D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069E1C9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0" w:type="auto"/>
            <w:tcBorders>
              <w:tl2br w:val="nil"/>
              <w:tr2bl w:val="nil"/>
            </w:tcBorders>
            <w:vAlign w:val="center"/>
          </w:tcPr>
          <w:p w14:paraId="6F7B000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回填区</w:t>
            </w:r>
          </w:p>
        </w:tc>
        <w:tc>
          <w:tcPr>
            <w:tcW w:w="1800" w:type="dxa"/>
            <w:tcBorders>
              <w:tl2br w:val="nil"/>
              <w:tr2bl w:val="nil"/>
            </w:tcBorders>
            <w:vAlign w:val="center"/>
          </w:tcPr>
          <w:p w14:paraId="74CF189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洒水车故障，洒水抑尘效率0%</w:t>
            </w:r>
          </w:p>
        </w:tc>
        <w:tc>
          <w:tcPr>
            <w:tcW w:w="636" w:type="dxa"/>
            <w:tcBorders>
              <w:tl2br w:val="nil"/>
              <w:tr2bl w:val="nil"/>
            </w:tcBorders>
            <w:vAlign w:val="center"/>
          </w:tcPr>
          <w:p w14:paraId="2E957B54">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1306" w:type="dxa"/>
            <w:tcBorders>
              <w:tl2br w:val="nil"/>
              <w:tr2bl w:val="nil"/>
            </w:tcBorders>
            <w:vAlign w:val="center"/>
          </w:tcPr>
          <w:p w14:paraId="4987D7A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104" w:type="dxa"/>
            <w:tcBorders>
              <w:tl2br w:val="nil"/>
              <w:tr2bl w:val="nil"/>
            </w:tcBorders>
            <w:vAlign w:val="center"/>
          </w:tcPr>
          <w:p w14:paraId="6AB17096">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0.4914</w:t>
            </w:r>
          </w:p>
        </w:tc>
        <w:tc>
          <w:tcPr>
            <w:tcW w:w="0" w:type="auto"/>
            <w:tcBorders>
              <w:tl2br w:val="nil"/>
              <w:tr2bl w:val="nil"/>
            </w:tcBorders>
            <w:vAlign w:val="center"/>
          </w:tcPr>
          <w:p w14:paraId="430A012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0" w:type="auto"/>
            <w:tcBorders>
              <w:tl2br w:val="nil"/>
              <w:tr2bl w:val="nil"/>
            </w:tcBorders>
            <w:vAlign w:val="center"/>
          </w:tcPr>
          <w:p w14:paraId="2030A5F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0" w:type="auto"/>
            <w:tcBorders>
              <w:tl2br w:val="nil"/>
              <w:tr2bl w:val="nil"/>
            </w:tcBorders>
            <w:vAlign w:val="center"/>
          </w:tcPr>
          <w:p w14:paraId="38E328C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及时维修，加强维护</w:t>
            </w:r>
          </w:p>
        </w:tc>
      </w:tr>
    </w:tbl>
    <w:p w14:paraId="5C786D5D">
      <w:pPr>
        <w:pStyle w:val="41"/>
        <w:rPr>
          <w:rFonts w:hint="default" w:ascii="Times New Roman" w:hAnsi="Times New Roman" w:cs="Times New Roman"/>
          <w:color w:val="auto"/>
          <w:highlight w:val="none"/>
        </w:rPr>
      </w:pPr>
      <w:bookmarkStart w:id="269" w:name="_Toc25919"/>
      <w:r>
        <w:rPr>
          <w:rFonts w:hint="default" w:ascii="Times New Roman" w:hAnsi="Times New Roman" w:cs="Times New Roman"/>
          <w:color w:val="auto"/>
          <w:highlight w:val="none"/>
        </w:rPr>
        <w:t>5.1.2施工期</w:t>
      </w:r>
      <w:r>
        <w:rPr>
          <w:rFonts w:hint="default" w:ascii="Times New Roman" w:hAnsi="Times New Roman" w:cs="Times New Roman"/>
          <w:color w:val="auto"/>
          <w:highlight w:val="none"/>
          <w:lang w:val="en-US" w:eastAsia="zh-CN"/>
        </w:rPr>
        <w:t>地表水</w:t>
      </w:r>
      <w:r>
        <w:rPr>
          <w:rFonts w:hint="default" w:ascii="Times New Roman" w:hAnsi="Times New Roman" w:cs="Times New Roman"/>
          <w:color w:val="auto"/>
          <w:highlight w:val="none"/>
        </w:rPr>
        <w:t>水环境影响评价</w:t>
      </w:r>
      <w:bookmarkEnd w:id="269"/>
    </w:p>
    <w:p w14:paraId="13087E2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用水主要为</w:t>
      </w:r>
      <w:r>
        <w:rPr>
          <w:rFonts w:hint="default" w:ascii="Times New Roman" w:hAnsi="Times New Roman" w:cs="Times New Roman"/>
          <w:color w:val="auto"/>
          <w:highlight w:val="none"/>
        </w:rPr>
        <w:t>道路洒水和回填工作面抑尘洒水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现场不设机械和车辆冲洗装置，不设置生活区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废水主要</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施工废水</w:t>
      </w:r>
      <w:r>
        <w:rPr>
          <w:rFonts w:hint="default" w:ascii="Times New Roman" w:hAnsi="Times New Roman" w:cs="Times New Roman"/>
          <w:color w:val="auto"/>
          <w:highlight w:val="none"/>
          <w:lang w:eastAsia="zh-CN"/>
        </w:rPr>
        <w:t>，</w:t>
      </w:r>
    </w:p>
    <w:p w14:paraId="448BEA5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在施工场地内设置</w:t>
      </w:r>
      <w:r>
        <w:rPr>
          <w:rFonts w:hint="default" w:ascii="Times New Roman" w:hAnsi="Times New Roman" w:cs="Times New Roman"/>
          <w:color w:val="auto"/>
          <w:highlight w:val="none"/>
          <w:lang w:val="en-US" w:eastAsia="zh-CN"/>
        </w:rPr>
        <w:t>淋溶水收集池</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收集强降雨产生的淋溶水，</w:t>
      </w:r>
      <w:r>
        <w:rPr>
          <w:rFonts w:hint="default" w:ascii="Times New Roman" w:hAnsi="Times New Roman" w:cs="Times New Roman"/>
          <w:color w:val="auto"/>
          <w:highlight w:val="none"/>
        </w:rPr>
        <w:t>回用洒水降尘。</w:t>
      </w:r>
    </w:p>
    <w:p w14:paraId="46AB232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综上，本项目施工期产生废水经相应措施处理后均不外排，不会对周围水环 境造成影响。</w:t>
      </w:r>
    </w:p>
    <w:p w14:paraId="2E6FF3BF">
      <w:pPr>
        <w:pStyle w:val="41"/>
        <w:rPr>
          <w:rFonts w:hint="default" w:ascii="Times New Roman" w:hAnsi="Times New Roman" w:cs="Times New Roman"/>
          <w:color w:val="auto"/>
          <w:highlight w:val="none"/>
        </w:rPr>
      </w:pPr>
      <w:bookmarkStart w:id="270" w:name="_Toc848"/>
      <w:r>
        <w:rPr>
          <w:rFonts w:hint="default" w:ascii="Times New Roman" w:hAnsi="Times New Roman" w:cs="Times New Roman"/>
          <w:color w:val="auto"/>
          <w:highlight w:val="none"/>
        </w:rPr>
        <w:t>5.1.3施工期噪声环境影响评价</w:t>
      </w:r>
      <w:bookmarkEnd w:id="270"/>
    </w:p>
    <w:p w14:paraId="39E24CF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sz w:val="24"/>
          <w:szCs w:val="22"/>
          <w:highlight w:val="none"/>
        </w:rPr>
        <w:t>施工期噪声源主要可分为机械噪声和施工车辆噪声。机械噪声主要由施工机械所造成的，如挖土机、装载机、推土机等，多为点源噪声源；</w:t>
      </w:r>
      <w:r>
        <w:rPr>
          <w:rFonts w:hint="default" w:ascii="Times New Roman" w:hAnsi="Times New Roman" w:cs="Times New Roman"/>
          <w:color w:val="auto"/>
          <w:highlight w:val="none"/>
        </w:rPr>
        <w:t>依据主要噪声设备噪声源强，考虑室外声波传播条件、气象参数及有关资料，采用《环境影响评价技术导则 声环境》(HJ2.4-2021）中推荐的预测方法进行预测。</w:t>
      </w:r>
    </w:p>
    <w:p w14:paraId="580BD862">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.1噪声源强</w:t>
      </w:r>
    </w:p>
    <w:p w14:paraId="65DC3DB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产生噪声的设备主要有洒水车和作业机械。</w:t>
      </w:r>
    </w:p>
    <w:p w14:paraId="3DFDDB18">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.2噪声影响预测与分析</w:t>
      </w:r>
    </w:p>
    <w:p w14:paraId="4A5E5A2C">
      <w:pPr>
        <w:pStyle w:val="27"/>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1、环境数据</w:t>
      </w:r>
    </w:p>
    <w:p w14:paraId="58C53FC5">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噪声环境影响预测基础数据见下表。</w:t>
      </w:r>
    </w:p>
    <w:p w14:paraId="49B5840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项目噪声环境影响预测基础数据表</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2233"/>
        <w:gridCol w:w="1703"/>
        <w:gridCol w:w="1703"/>
        <w:gridCol w:w="1703"/>
      </w:tblGrid>
      <w:tr w14:paraId="592A7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exact"/>
          <w:jc w:val="center"/>
        </w:trPr>
        <w:tc>
          <w:tcPr>
            <w:tcW w:w="689" w:type="pct"/>
            <w:tcBorders>
              <w:tl2br w:val="nil"/>
              <w:tr2bl w:val="nil"/>
            </w:tcBorders>
            <w:vAlign w:val="center"/>
          </w:tcPr>
          <w:p w14:paraId="001885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10" w:type="pct"/>
            <w:tcBorders>
              <w:tl2br w:val="nil"/>
              <w:tr2bl w:val="nil"/>
            </w:tcBorders>
            <w:vAlign w:val="center"/>
          </w:tcPr>
          <w:p w14:paraId="60E9508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999" w:type="pct"/>
            <w:tcBorders>
              <w:tl2br w:val="nil"/>
              <w:tr2bl w:val="nil"/>
            </w:tcBorders>
            <w:vAlign w:val="center"/>
          </w:tcPr>
          <w:p w14:paraId="309F23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999" w:type="pct"/>
            <w:tcBorders>
              <w:tl2br w:val="nil"/>
              <w:tr2bl w:val="nil"/>
            </w:tcBorders>
            <w:vAlign w:val="center"/>
          </w:tcPr>
          <w:p w14:paraId="5B4B15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数据</w:t>
            </w:r>
          </w:p>
        </w:tc>
        <w:tc>
          <w:tcPr>
            <w:tcW w:w="999" w:type="pct"/>
            <w:tcBorders>
              <w:tl2br w:val="nil"/>
              <w:tr2bl w:val="nil"/>
            </w:tcBorders>
            <w:vAlign w:val="center"/>
          </w:tcPr>
          <w:p w14:paraId="6D49BD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7067C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214F4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10" w:type="pct"/>
            <w:tcBorders>
              <w:tl2br w:val="nil"/>
              <w:tr2bl w:val="nil"/>
            </w:tcBorders>
            <w:shd w:val="clear" w:color="auto" w:fill="FFFFFF"/>
            <w:vAlign w:val="center"/>
          </w:tcPr>
          <w:p w14:paraId="3DA222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年平均风速</w:t>
            </w:r>
          </w:p>
        </w:tc>
        <w:tc>
          <w:tcPr>
            <w:tcW w:w="999" w:type="pct"/>
            <w:tcBorders>
              <w:tl2br w:val="nil"/>
              <w:tr2bl w:val="nil"/>
            </w:tcBorders>
            <w:shd w:val="clear" w:color="auto" w:fill="FFFFFF"/>
            <w:vAlign w:val="center"/>
          </w:tcPr>
          <w:p w14:paraId="570573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m/s</w:t>
            </w:r>
          </w:p>
        </w:tc>
        <w:tc>
          <w:tcPr>
            <w:tcW w:w="999" w:type="pct"/>
            <w:tcBorders>
              <w:tl2br w:val="nil"/>
              <w:tr2bl w:val="nil"/>
            </w:tcBorders>
            <w:shd w:val="clear" w:color="auto" w:fill="FFFFFF"/>
            <w:vAlign w:val="center"/>
          </w:tcPr>
          <w:p w14:paraId="10D45CA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5</w:t>
            </w:r>
          </w:p>
        </w:tc>
        <w:tc>
          <w:tcPr>
            <w:tcW w:w="999" w:type="pct"/>
            <w:tcBorders>
              <w:tl2br w:val="nil"/>
              <w:tr2bl w:val="nil"/>
            </w:tcBorders>
            <w:shd w:val="clear" w:color="auto" w:fill="FFFFFF"/>
            <w:vAlign w:val="center"/>
          </w:tcPr>
          <w:p w14:paraId="2222CB94">
            <w:pPr>
              <w:pStyle w:val="46"/>
              <w:bidi w:val="0"/>
              <w:rPr>
                <w:rFonts w:hint="default" w:ascii="Times New Roman" w:hAnsi="Times New Roman" w:cs="Times New Roman"/>
                <w:color w:val="auto"/>
                <w:highlight w:val="none"/>
              </w:rPr>
            </w:pPr>
          </w:p>
        </w:tc>
      </w:tr>
      <w:tr w14:paraId="77C12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19E703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10" w:type="pct"/>
            <w:tcBorders>
              <w:tl2br w:val="nil"/>
              <w:tr2bl w:val="nil"/>
            </w:tcBorders>
            <w:shd w:val="clear" w:color="auto" w:fill="FFFFFF"/>
            <w:vAlign w:val="center"/>
          </w:tcPr>
          <w:p w14:paraId="7317D3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主导风向</w:t>
            </w:r>
          </w:p>
        </w:tc>
        <w:tc>
          <w:tcPr>
            <w:tcW w:w="999" w:type="pct"/>
            <w:tcBorders>
              <w:tl2br w:val="nil"/>
              <w:tr2bl w:val="nil"/>
            </w:tcBorders>
            <w:shd w:val="clear" w:color="auto" w:fill="FFFFFF"/>
            <w:vAlign w:val="center"/>
          </w:tcPr>
          <w:p w14:paraId="05447D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99" w:type="pct"/>
            <w:tcBorders>
              <w:tl2br w:val="nil"/>
              <w:tr2bl w:val="nil"/>
            </w:tcBorders>
            <w:shd w:val="clear" w:color="auto" w:fill="FFFFFF"/>
            <w:vAlign w:val="center"/>
          </w:tcPr>
          <w:p w14:paraId="11AF2E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w:t>
            </w:r>
          </w:p>
        </w:tc>
        <w:tc>
          <w:tcPr>
            <w:tcW w:w="999" w:type="pct"/>
            <w:tcBorders>
              <w:tl2br w:val="nil"/>
              <w:tr2bl w:val="nil"/>
            </w:tcBorders>
            <w:shd w:val="clear" w:color="auto" w:fill="FFFFFF"/>
            <w:vAlign w:val="center"/>
          </w:tcPr>
          <w:p w14:paraId="17E88251">
            <w:pPr>
              <w:pStyle w:val="46"/>
              <w:bidi w:val="0"/>
              <w:rPr>
                <w:rFonts w:hint="default" w:ascii="Times New Roman" w:hAnsi="Times New Roman" w:cs="Times New Roman"/>
                <w:color w:val="auto"/>
                <w:highlight w:val="none"/>
              </w:rPr>
            </w:pPr>
          </w:p>
        </w:tc>
      </w:tr>
      <w:tr w14:paraId="588AB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D42963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10" w:type="pct"/>
            <w:tcBorders>
              <w:tl2br w:val="nil"/>
              <w:tr2bl w:val="nil"/>
            </w:tcBorders>
            <w:shd w:val="clear" w:color="auto" w:fill="FFFFFF"/>
            <w:vAlign w:val="center"/>
          </w:tcPr>
          <w:p w14:paraId="3A0170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年平均气温</w:t>
            </w:r>
          </w:p>
        </w:tc>
        <w:tc>
          <w:tcPr>
            <w:tcW w:w="999" w:type="pct"/>
            <w:tcBorders>
              <w:tl2br w:val="nil"/>
              <w:tr2bl w:val="nil"/>
            </w:tcBorders>
            <w:shd w:val="clear" w:color="auto" w:fill="FFFFFF"/>
            <w:vAlign w:val="center"/>
          </w:tcPr>
          <w:p w14:paraId="5BBBD5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99" w:type="pct"/>
            <w:tcBorders>
              <w:tl2br w:val="nil"/>
              <w:tr2bl w:val="nil"/>
            </w:tcBorders>
            <w:shd w:val="clear" w:color="auto" w:fill="FFFFFF"/>
            <w:vAlign w:val="center"/>
          </w:tcPr>
          <w:p w14:paraId="713292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4.9</w:t>
            </w:r>
          </w:p>
        </w:tc>
        <w:tc>
          <w:tcPr>
            <w:tcW w:w="999" w:type="pct"/>
            <w:tcBorders>
              <w:tl2br w:val="nil"/>
              <w:tr2bl w:val="nil"/>
            </w:tcBorders>
            <w:shd w:val="clear" w:color="auto" w:fill="FFFFFF"/>
            <w:vAlign w:val="center"/>
          </w:tcPr>
          <w:p w14:paraId="5E0C66E9">
            <w:pPr>
              <w:pStyle w:val="46"/>
              <w:bidi w:val="0"/>
              <w:rPr>
                <w:rFonts w:hint="default" w:ascii="Times New Roman" w:hAnsi="Times New Roman" w:cs="Times New Roman"/>
                <w:color w:val="auto"/>
                <w:highlight w:val="none"/>
              </w:rPr>
            </w:pPr>
          </w:p>
        </w:tc>
      </w:tr>
      <w:tr w14:paraId="73303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CEBA99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10" w:type="pct"/>
            <w:tcBorders>
              <w:tl2br w:val="nil"/>
              <w:tr2bl w:val="nil"/>
            </w:tcBorders>
            <w:shd w:val="clear" w:color="auto" w:fill="FFFFFF"/>
            <w:vAlign w:val="center"/>
          </w:tcPr>
          <w:p w14:paraId="491BDA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年平均相对湿度</w:t>
            </w:r>
          </w:p>
        </w:tc>
        <w:tc>
          <w:tcPr>
            <w:tcW w:w="999" w:type="pct"/>
            <w:tcBorders>
              <w:tl2br w:val="nil"/>
              <w:tr2bl w:val="nil"/>
            </w:tcBorders>
            <w:shd w:val="clear" w:color="auto" w:fill="FFFFFF"/>
            <w:vAlign w:val="center"/>
          </w:tcPr>
          <w:p w14:paraId="239DAC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99" w:type="pct"/>
            <w:tcBorders>
              <w:tl2br w:val="nil"/>
              <w:tr2bl w:val="nil"/>
            </w:tcBorders>
            <w:shd w:val="clear" w:color="auto" w:fill="FFFFFF"/>
            <w:vAlign w:val="center"/>
          </w:tcPr>
          <w:p w14:paraId="6DCCE5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999" w:type="pct"/>
            <w:tcBorders>
              <w:tl2br w:val="nil"/>
              <w:tr2bl w:val="nil"/>
            </w:tcBorders>
            <w:shd w:val="clear" w:color="auto" w:fill="FFFFFF"/>
            <w:vAlign w:val="center"/>
          </w:tcPr>
          <w:p w14:paraId="61EEF8FE">
            <w:pPr>
              <w:pStyle w:val="46"/>
              <w:bidi w:val="0"/>
              <w:rPr>
                <w:rFonts w:hint="default" w:ascii="Times New Roman" w:hAnsi="Times New Roman" w:cs="Times New Roman"/>
                <w:color w:val="auto"/>
                <w:highlight w:val="none"/>
              </w:rPr>
            </w:pPr>
          </w:p>
        </w:tc>
      </w:tr>
      <w:tr w14:paraId="65916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314EA1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10" w:type="pct"/>
            <w:tcBorders>
              <w:tl2br w:val="nil"/>
              <w:tr2bl w:val="nil"/>
            </w:tcBorders>
            <w:shd w:val="clear" w:color="auto" w:fill="FFFFFF"/>
            <w:vAlign w:val="center"/>
          </w:tcPr>
          <w:p w14:paraId="4AB656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大气压强</w:t>
            </w:r>
          </w:p>
        </w:tc>
        <w:tc>
          <w:tcPr>
            <w:tcW w:w="999" w:type="pct"/>
            <w:tcBorders>
              <w:tl2br w:val="nil"/>
              <w:tr2bl w:val="nil"/>
            </w:tcBorders>
            <w:shd w:val="clear" w:color="auto" w:fill="FFFFFF"/>
            <w:vAlign w:val="center"/>
          </w:tcPr>
          <w:p w14:paraId="0B6744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atm</w:t>
            </w:r>
          </w:p>
        </w:tc>
        <w:tc>
          <w:tcPr>
            <w:tcW w:w="999" w:type="pct"/>
            <w:tcBorders>
              <w:tl2br w:val="nil"/>
              <w:tr2bl w:val="nil"/>
            </w:tcBorders>
            <w:shd w:val="clear" w:color="auto" w:fill="FFFFFF"/>
            <w:vAlign w:val="center"/>
          </w:tcPr>
          <w:p w14:paraId="52C23A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999" w:type="pct"/>
            <w:tcBorders>
              <w:tl2br w:val="nil"/>
              <w:tr2bl w:val="nil"/>
            </w:tcBorders>
            <w:shd w:val="clear" w:color="auto" w:fill="FFFFFF"/>
            <w:vAlign w:val="center"/>
          </w:tcPr>
          <w:p w14:paraId="03A235B2">
            <w:pPr>
              <w:pStyle w:val="46"/>
              <w:bidi w:val="0"/>
              <w:rPr>
                <w:rFonts w:hint="default" w:ascii="Times New Roman" w:hAnsi="Times New Roman" w:cs="Times New Roman"/>
                <w:color w:val="auto"/>
                <w:highlight w:val="none"/>
              </w:rPr>
            </w:pPr>
          </w:p>
        </w:tc>
      </w:tr>
    </w:tbl>
    <w:p w14:paraId="7BDAC855">
      <w:pPr>
        <w:pStyle w:val="27"/>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2、预测模式</w:t>
      </w:r>
    </w:p>
    <w:p w14:paraId="5001B65A">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声环境》（HJ2.4-2021）要求，本项目声环境影响预测模型采用附录A（规范性附录）的户外声传播衰减基本公式。</w:t>
      </w:r>
    </w:p>
    <w:p w14:paraId="26444227">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设第</w:t>
      </w:r>
      <w:r>
        <w:rPr>
          <w:rFonts w:hint="default" w:ascii="Times New Roman" w:hAnsi="Times New Roman" w:cs="Times New Roman"/>
          <w:i/>
          <w:iCs/>
          <w:snapToGrid w:val="0"/>
          <w:color w:val="auto"/>
          <w:highlight w:val="none"/>
        </w:rPr>
        <w:t>i</w:t>
      </w:r>
      <w:r>
        <w:rPr>
          <w:rFonts w:hint="default" w:ascii="Times New Roman" w:hAnsi="Times New Roman" w:cs="Times New Roman"/>
          <w:snapToGrid w:val="0"/>
          <w:color w:val="auto"/>
          <w:highlight w:val="none"/>
        </w:rPr>
        <w:t>个室外声源在预测点产生的A声级为</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Ai</w:t>
      </w:r>
      <w:r>
        <w:rPr>
          <w:rFonts w:hint="default" w:ascii="Times New Roman" w:hAnsi="Times New Roman" w:cs="Times New Roman"/>
          <w:snapToGrid w:val="0"/>
          <w:color w:val="auto"/>
          <w:highlight w:val="none"/>
        </w:rPr>
        <w:t>，在T时间内该声源工作时间为</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i；第</w:t>
      </w:r>
      <w:r>
        <w:rPr>
          <w:rFonts w:hint="default" w:ascii="Times New Roman" w:hAnsi="Times New Roman" w:cs="Times New Roman"/>
          <w:i/>
          <w:iCs/>
          <w:snapToGrid w:val="0"/>
          <w:color w:val="auto"/>
          <w:highlight w:val="none"/>
        </w:rPr>
        <w:t>j</w:t>
      </w:r>
      <w:r>
        <w:rPr>
          <w:rFonts w:hint="default" w:ascii="Times New Roman" w:hAnsi="Times New Roman" w:cs="Times New Roman"/>
          <w:snapToGrid w:val="0"/>
          <w:color w:val="auto"/>
          <w:highlight w:val="none"/>
        </w:rPr>
        <w:t>个等效室外声源在预测点产生的A声级为</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Aj</w:t>
      </w:r>
      <w:r>
        <w:rPr>
          <w:rFonts w:hint="default" w:ascii="Times New Roman" w:hAnsi="Times New Roman" w:cs="Times New Roman"/>
          <w:snapToGrid w:val="0"/>
          <w:color w:val="auto"/>
          <w:highlight w:val="none"/>
        </w:rPr>
        <w:t>，在</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时间内该声源工作时间为</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j，则拟建工程声源对预测点产生的贡献值（</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eqg</w:t>
      </w:r>
      <w:r>
        <w:rPr>
          <w:rFonts w:hint="default" w:ascii="Times New Roman" w:hAnsi="Times New Roman" w:cs="Times New Roman"/>
          <w:snapToGrid w:val="0"/>
          <w:color w:val="auto"/>
          <w:highlight w:val="none"/>
        </w:rPr>
        <w:t>）为：</w:t>
      </w:r>
    </w:p>
    <w:p w14:paraId="20FFF133">
      <w:pPr>
        <w:pStyle w:val="27"/>
        <w:spacing w:line="240" w:lineRule="auto"/>
        <w:ind w:firstLine="480"/>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drawing>
          <wp:inline distT="0" distB="0" distL="0" distR="0">
            <wp:extent cx="2457450" cy="571500"/>
            <wp:effectExtent l="0" t="0" r="0" b="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457450" cy="571500"/>
                    </a:xfrm>
                    <a:prstGeom prst="rect">
                      <a:avLst/>
                    </a:prstGeom>
                    <a:noFill/>
                    <a:ln>
                      <a:noFill/>
                    </a:ln>
                  </pic:spPr>
                </pic:pic>
              </a:graphicData>
            </a:graphic>
          </wp:inline>
        </w:drawing>
      </w:r>
    </w:p>
    <w:p w14:paraId="1849F5F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——建设项目声源在预测点产生的噪声贡献值，dB；</w:t>
      </w:r>
    </w:p>
    <w:p w14:paraId="1D7FDFD1">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——用于计算等效声级的时间，s；</w:t>
      </w:r>
    </w:p>
    <w:p w14:paraId="087FECD8">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N</w:t>
      </w:r>
      <w:r>
        <w:rPr>
          <w:rFonts w:hint="default" w:ascii="Times New Roman" w:hAnsi="Times New Roman" w:cs="Times New Roman"/>
          <w:color w:val="auto"/>
          <w:highlight w:val="none"/>
        </w:rPr>
        <w:t>——室外声源个数；</w:t>
      </w:r>
    </w:p>
    <w:p w14:paraId="0C90F9B9">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ti</w:t>
      </w:r>
      <w:r>
        <w:rPr>
          <w:rFonts w:hint="default" w:ascii="Times New Roman" w:hAnsi="Times New Roman" w:cs="Times New Roman"/>
          <w:color w:val="auto"/>
          <w:highlight w:val="none"/>
        </w:rPr>
        <w:t>——在</w:t>
      </w: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时间内</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声源工作时间，s；</w:t>
      </w:r>
    </w:p>
    <w:p w14:paraId="60C7D77F">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M</w:t>
      </w:r>
      <w:r>
        <w:rPr>
          <w:rFonts w:hint="default" w:ascii="Times New Roman" w:hAnsi="Times New Roman" w:cs="Times New Roman"/>
          <w:color w:val="auto"/>
          <w:highlight w:val="none"/>
        </w:rPr>
        <w:t>——等效室外声源个数；</w:t>
      </w:r>
    </w:p>
    <w:p w14:paraId="7EF24CF1">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tj</w:t>
      </w:r>
      <w:r>
        <w:rPr>
          <w:rFonts w:hint="default" w:ascii="Times New Roman" w:hAnsi="Times New Roman" w:cs="Times New Roman"/>
          <w:color w:val="auto"/>
          <w:highlight w:val="none"/>
        </w:rPr>
        <w:t>——在</w:t>
      </w: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时间内</w:t>
      </w:r>
      <w:r>
        <w:rPr>
          <w:rFonts w:hint="default" w:ascii="Times New Roman" w:hAnsi="Times New Roman" w:cs="Times New Roman"/>
          <w:i/>
          <w:color w:val="auto"/>
          <w:highlight w:val="none"/>
        </w:rPr>
        <w:t>j</w:t>
      </w:r>
      <w:r>
        <w:rPr>
          <w:rFonts w:hint="default" w:ascii="Times New Roman" w:hAnsi="Times New Roman" w:cs="Times New Roman"/>
          <w:color w:val="auto"/>
          <w:highlight w:val="none"/>
        </w:rPr>
        <w:t>声源工作时间，s。</w:t>
      </w:r>
    </w:p>
    <w:p w14:paraId="5C45EBE8">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.3预测结果</w:t>
      </w:r>
    </w:p>
    <w:p w14:paraId="1CFC2C7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噪声预测采用网格布点法，建立直角坐标系，</w:t>
      </w:r>
      <w:r>
        <w:rPr>
          <w:rFonts w:hint="default" w:ascii="Times New Roman" w:hAnsi="Times New Roman" w:cs="Times New Roman"/>
          <w:color w:val="auto"/>
          <w:highlight w:val="none"/>
          <w:lang w:val="en-US" w:eastAsia="zh-CN"/>
        </w:rPr>
        <w:t>本项目厂界外最近敏感目标为南甸子六队，最近距离为300m，200m范围内无声环境保护目标，仅对</w:t>
      </w:r>
      <w:r>
        <w:rPr>
          <w:rFonts w:hint="default" w:ascii="Times New Roman" w:hAnsi="Times New Roman" w:cs="Times New Roman"/>
          <w:color w:val="auto"/>
          <w:highlight w:val="none"/>
        </w:rPr>
        <w:t>厂界噪声</w:t>
      </w:r>
      <w:r>
        <w:rPr>
          <w:rFonts w:hint="default" w:ascii="Times New Roman" w:hAnsi="Times New Roman" w:cs="Times New Roman"/>
          <w:color w:val="auto"/>
          <w:highlight w:val="none"/>
          <w:lang w:val="en-US" w:eastAsia="zh-CN"/>
        </w:rPr>
        <w:t>进行预测，</w:t>
      </w:r>
      <w:r>
        <w:rPr>
          <w:rFonts w:hint="default" w:ascii="Times New Roman" w:hAnsi="Times New Roman" w:cs="Times New Roman"/>
          <w:color w:val="auto"/>
          <w:highlight w:val="none"/>
        </w:rPr>
        <w:t>预测结果见下表。</w:t>
      </w:r>
    </w:p>
    <w:p w14:paraId="66B4C9F5">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 xml:space="preserve">5  </w:t>
      </w:r>
      <w:r>
        <w:rPr>
          <w:rFonts w:hint="default" w:ascii="Times New Roman" w:hAnsi="Times New Roman" w:eastAsia="宋体" w:cs="Times New Roman"/>
          <w:b/>
          <w:color w:val="auto"/>
          <w:kern w:val="21"/>
          <w:szCs w:val="24"/>
          <w:highlight w:val="none"/>
          <w:u w:val="none"/>
          <w:lang w:val="en-US" w:eastAsia="zh-CN"/>
        </w:rPr>
        <w:t>噪声预测结果表</w:t>
      </w:r>
      <w:r>
        <w:rPr>
          <w:rFonts w:hint="default" w:ascii="Times New Roman" w:hAnsi="Times New Roman" w:cs="Times New Roman"/>
          <w:color w:val="auto"/>
          <w:highlight w:val="none"/>
        </w:rPr>
        <w:t xml:space="preserve"> 单位：dB(A)</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57"/>
        <w:gridCol w:w="1435"/>
        <w:gridCol w:w="1599"/>
        <w:gridCol w:w="2028"/>
      </w:tblGrid>
      <w:tr w14:paraId="73F96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28" w:type="pct"/>
            <w:vMerge w:val="restart"/>
            <w:tcBorders>
              <w:tl2br w:val="nil"/>
              <w:tr2bl w:val="nil"/>
            </w:tcBorders>
            <w:vAlign w:val="center"/>
          </w:tcPr>
          <w:p w14:paraId="3AE5F7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w:t>
            </w:r>
          </w:p>
        </w:tc>
        <w:tc>
          <w:tcPr>
            <w:tcW w:w="842" w:type="pct"/>
            <w:vMerge w:val="restart"/>
            <w:tcBorders>
              <w:tl2br w:val="nil"/>
              <w:tr2bl w:val="nil"/>
            </w:tcBorders>
            <w:vAlign w:val="center"/>
          </w:tcPr>
          <w:p w14:paraId="016CA4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938" w:type="pct"/>
            <w:vMerge w:val="restart"/>
            <w:tcBorders>
              <w:tl2br w:val="nil"/>
              <w:tr2bl w:val="nil"/>
            </w:tcBorders>
            <w:vAlign w:val="center"/>
          </w:tcPr>
          <w:p w14:paraId="356006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1190" w:type="pct"/>
            <w:vMerge w:val="restart"/>
            <w:tcBorders>
              <w:tl2br w:val="nil"/>
              <w:tr2bl w:val="nil"/>
            </w:tcBorders>
            <w:vAlign w:val="center"/>
          </w:tcPr>
          <w:p w14:paraId="50FA5AB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56B85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28" w:type="pct"/>
            <w:vMerge w:val="continue"/>
            <w:tcBorders>
              <w:tl2br w:val="nil"/>
              <w:tr2bl w:val="nil"/>
            </w:tcBorders>
            <w:vAlign w:val="center"/>
          </w:tcPr>
          <w:p w14:paraId="054FAD2F">
            <w:pPr>
              <w:pStyle w:val="46"/>
              <w:bidi w:val="0"/>
              <w:rPr>
                <w:rFonts w:hint="default" w:ascii="Times New Roman" w:hAnsi="Times New Roman" w:cs="Times New Roman"/>
                <w:color w:val="auto"/>
                <w:highlight w:val="none"/>
              </w:rPr>
            </w:pPr>
          </w:p>
        </w:tc>
        <w:tc>
          <w:tcPr>
            <w:tcW w:w="842" w:type="pct"/>
            <w:vMerge w:val="continue"/>
            <w:tcBorders>
              <w:tl2br w:val="nil"/>
              <w:tr2bl w:val="nil"/>
            </w:tcBorders>
            <w:vAlign w:val="center"/>
          </w:tcPr>
          <w:p w14:paraId="4ED16AE4">
            <w:pPr>
              <w:pStyle w:val="46"/>
              <w:bidi w:val="0"/>
              <w:rPr>
                <w:rFonts w:hint="default" w:ascii="Times New Roman" w:hAnsi="Times New Roman" w:cs="Times New Roman"/>
                <w:color w:val="auto"/>
                <w:highlight w:val="none"/>
              </w:rPr>
            </w:pPr>
          </w:p>
        </w:tc>
        <w:tc>
          <w:tcPr>
            <w:tcW w:w="938" w:type="pct"/>
            <w:vMerge w:val="continue"/>
            <w:tcBorders>
              <w:tl2br w:val="nil"/>
              <w:tr2bl w:val="nil"/>
            </w:tcBorders>
            <w:vAlign w:val="center"/>
          </w:tcPr>
          <w:p w14:paraId="28797301">
            <w:pPr>
              <w:pStyle w:val="46"/>
              <w:bidi w:val="0"/>
              <w:rPr>
                <w:rFonts w:hint="default" w:ascii="Times New Roman" w:hAnsi="Times New Roman" w:cs="Times New Roman"/>
                <w:color w:val="auto"/>
                <w:highlight w:val="none"/>
              </w:rPr>
            </w:pPr>
          </w:p>
        </w:tc>
        <w:tc>
          <w:tcPr>
            <w:tcW w:w="1190" w:type="pct"/>
            <w:vMerge w:val="continue"/>
            <w:tcBorders>
              <w:tl2br w:val="nil"/>
              <w:tr2bl w:val="nil"/>
            </w:tcBorders>
            <w:vAlign w:val="center"/>
          </w:tcPr>
          <w:p w14:paraId="04FB2F00">
            <w:pPr>
              <w:pStyle w:val="46"/>
              <w:bidi w:val="0"/>
              <w:rPr>
                <w:rFonts w:hint="default" w:ascii="Times New Roman" w:hAnsi="Times New Roman" w:cs="Times New Roman"/>
                <w:color w:val="auto"/>
                <w:highlight w:val="none"/>
              </w:rPr>
            </w:pPr>
          </w:p>
        </w:tc>
      </w:tr>
      <w:tr w14:paraId="37634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8" w:type="pct"/>
            <w:tcBorders>
              <w:tl2br w:val="nil"/>
              <w:tr2bl w:val="nil"/>
            </w:tcBorders>
            <w:vAlign w:val="center"/>
          </w:tcPr>
          <w:p w14:paraId="0BF214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作业区东侧1m处</w:t>
            </w:r>
          </w:p>
        </w:tc>
        <w:tc>
          <w:tcPr>
            <w:tcW w:w="842" w:type="pct"/>
            <w:tcBorders>
              <w:tl2br w:val="nil"/>
              <w:tr2bl w:val="nil"/>
            </w:tcBorders>
            <w:vAlign w:val="center"/>
          </w:tcPr>
          <w:p w14:paraId="28718D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4A4284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.5</w:t>
            </w:r>
          </w:p>
        </w:tc>
        <w:tc>
          <w:tcPr>
            <w:tcW w:w="1190" w:type="pct"/>
            <w:tcBorders>
              <w:tl2br w:val="nil"/>
              <w:tr2bl w:val="nil"/>
            </w:tcBorders>
            <w:vAlign w:val="center"/>
          </w:tcPr>
          <w:p w14:paraId="63EFBE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5B4F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8" w:type="pct"/>
            <w:tcBorders>
              <w:tl2br w:val="nil"/>
              <w:tr2bl w:val="nil"/>
            </w:tcBorders>
            <w:vAlign w:val="center"/>
          </w:tcPr>
          <w:p w14:paraId="29815C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作业区南侧1m处</w:t>
            </w:r>
          </w:p>
        </w:tc>
        <w:tc>
          <w:tcPr>
            <w:tcW w:w="842" w:type="pct"/>
            <w:tcBorders>
              <w:tl2br w:val="nil"/>
              <w:tr2bl w:val="nil"/>
            </w:tcBorders>
            <w:vAlign w:val="center"/>
          </w:tcPr>
          <w:p w14:paraId="67DD42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65AF85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.2</w:t>
            </w:r>
          </w:p>
        </w:tc>
        <w:tc>
          <w:tcPr>
            <w:tcW w:w="1190" w:type="pct"/>
            <w:tcBorders>
              <w:tl2br w:val="nil"/>
              <w:tr2bl w:val="nil"/>
            </w:tcBorders>
            <w:vAlign w:val="center"/>
          </w:tcPr>
          <w:p w14:paraId="7C7D46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CF9F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8" w:type="pct"/>
            <w:tcBorders>
              <w:tl2br w:val="nil"/>
              <w:tr2bl w:val="nil"/>
            </w:tcBorders>
            <w:vAlign w:val="center"/>
          </w:tcPr>
          <w:p w14:paraId="4A6FD2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作业区西侧1m处</w:t>
            </w:r>
          </w:p>
        </w:tc>
        <w:tc>
          <w:tcPr>
            <w:tcW w:w="842" w:type="pct"/>
            <w:tcBorders>
              <w:tl2br w:val="nil"/>
              <w:tr2bl w:val="nil"/>
            </w:tcBorders>
            <w:vAlign w:val="center"/>
          </w:tcPr>
          <w:p w14:paraId="35B053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1F1C26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8</w:t>
            </w:r>
          </w:p>
        </w:tc>
        <w:tc>
          <w:tcPr>
            <w:tcW w:w="1190" w:type="pct"/>
            <w:tcBorders>
              <w:tl2br w:val="nil"/>
              <w:tr2bl w:val="nil"/>
            </w:tcBorders>
            <w:vAlign w:val="center"/>
          </w:tcPr>
          <w:p w14:paraId="7D91AF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B231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8" w:type="pct"/>
            <w:tcBorders>
              <w:tl2br w:val="nil"/>
              <w:tr2bl w:val="nil"/>
            </w:tcBorders>
            <w:vAlign w:val="center"/>
          </w:tcPr>
          <w:p w14:paraId="22DD24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作业区北侧1m处</w:t>
            </w:r>
          </w:p>
        </w:tc>
        <w:tc>
          <w:tcPr>
            <w:tcW w:w="842" w:type="pct"/>
            <w:tcBorders>
              <w:tl2br w:val="nil"/>
              <w:tr2bl w:val="nil"/>
            </w:tcBorders>
            <w:vAlign w:val="center"/>
          </w:tcPr>
          <w:p w14:paraId="550335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11369D57">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40.</w:t>
            </w:r>
            <w:r>
              <w:rPr>
                <w:rFonts w:hint="default" w:ascii="Times New Roman" w:hAnsi="Times New Roman" w:cs="Times New Roman"/>
                <w:color w:val="auto"/>
                <w:highlight w:val="none"/>
                <w:lang w:val="en-US" w:eastAsia="zh-CN"/>
              </w:rPr>
              <w:t>7</w:t>
            </w:r>
          </w:p>
        </w:tc>
        <w:tc>
          <w:tcPr>
            <w:tcW w:w="1190" w:type="pct"/>
            <w:tcBorders>
              <w:tl2br w:val="nil"/>
              <w:tr2bl w:val="nil"/>
            </w:tcBorders>
            <w:vAlign w:val="center"/>
          </w:tcPr>
          <w:p w14:paraId="67AC573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4583A94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作业时设置围挡、车辆限速行驶、禁止鸣笛、采用低噪声设备，采取减振隔声等措施，减少回填区设备噪声影响。由下表可知，本项目投产后厂界昼间噪声贡献值满足《工业企业厂界环境噪声排放标准》(GB12348-2008）表1中1类标准。</w:t>
      </w:r>
    </w:p>
    <w:p w14:paraId="106952CB">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.4交通噪声影响分析</w:t>
      </w:r>
    </w:p>
    <w:p w14:paraId="0EF38E5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（1）噪声源强</w:t>
      </w:r>
    </w:p>
    <w:p w14:paraId="1D40EAF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运输车辆时速为20km/h时，平均辐射噪声级（7.5m处）约69.25dB(A)。</w:t>
      </w:r>
    </w:p>
    <w:p w14:paraId="4101E4E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（2）影响预测</w:t>
      </w:r>
    </w:p>
    <w:p w14:paraId="15CB0FA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评价采用《环境影响评价技术导则 声环境》(HJ2.4-2021）中的公路交通噪声预测模式，模式的误差范围为±2.5dB(A)，模式如下：第i类车等效声级预测模式：</w:t>
      </w:r>
    </w:p>
    <w:p w14:paraId="0ECB8739">
      <w:pPr>
        <w:pStyle w:val="27"/>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686175" cy="476250"/>
            <wp:effectExtent l="0" t="0" r="9525" b="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686175" cy="476250"/>
                    </a:xfrm>
                    <a:prstGeom prst="rect">
                      <a:avLst/>
                    </a:prstGeom>
                    <a:noFill/>
                    <a:ln>
                      <a:noFill/>
                    </a:ln>
                  </pic:spPr>
                </pic:pic>
              </a:graphicData>
            </a:graphic>
          </wp:inline>
        </w:drawing>
      </w:r>
    </w:p>
    <w:p w14:paraId="7A1B293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rPr>
        <w:t>eq(</w:t>
      </w:r>
      <w:r>
        <w:rPr>
          <w:rFonts w:hint="default" w:ascii="Times New Roman" w:hAnsi="Times New Roman" w:cs="Times New Roman"/>
          <w:i/>
          <w:color w:val="auto"/>
          <w:highlight w:val="none"/>
        </w:rPr>
        <w:t>h</w:t>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类车的小时等效声级，dB(A)；</w:t>
      </w:r>
    </w:p>
    <w:p w14:paraId="657C8885">
      <w:pPr>
        <w:pStyle w:val="27"/>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81000" cy="270510"/>
            <wp:effectExtent l="0" t="0" r="0" b="15240"/>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85801" cy="274512"/>
                    </a:xfrm>
                    <a:prstGeom prst="rect">
                      <a:avLst/>
                    </a:prstGeom>
                    <a:noFill/>
                    <a:ln>
                      <a:noFill/>
                    </a:ln>
                  </pic:spPr>
                </pic:pic>
              </a:graphicData>
            </a:graphic>
          </wp:inline>
        </w:drawing>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类车速度为</w:t>
      </w:r>
      <w:r>
        <w:rPr>
          <w:rFonts w:hint="default" w:ascii="Times New Roman" w:hAnsi="Times New Roman" w:cs="Times New Roman"/>
          <w:i/>
          <w:color w:val="auto"/>
          <w:highlight w:val="none"/>
        </w:rPr>
        <w:t>V</w:t>
      </w:r>
      <w:r>
        <w:rPr>
          <w:rFonts w:hint="default" w:ascii="Times New Roman" w:hAnsi="Times New Roman" w:cs="Times New Roman"/>
          <w:i/>
          <w:color w:val="auto"/>
          <w:highlight w:val="none"/>
          <w:vertAlign w:val="subscript"/>
        </w:rPr>
        <w:t>i</w:t>
      </w:r>
      <w:r>
        <w:rPr>
          <w:rFonts w:hint="default" w:ascii="Times New Roman" w:hAnsi="Times New Roman" w:cs="Times New Roman"/>
          <w:color w:val="auto"/>
          <w:highlight w:val="none"/>
        </w:rPr>
        <w:t>，km/h，水平距离为7.5m处的能量平均A声级，dB，取74.9；</w:t>
      </w:r>
    </w:p>
    <w:p w14:paraId="18BF621A">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Ni</w:t>
      </w:r>
      <w:r>
        <w:rPr>
          <w:rFonts w:hint="default" w:ascii="Times New Roman" w:hAnsi="Times New Roman" w:cs="Times New Roman"/>
          <w:color w:val="auto"/>
          <w:highlight w:val="none"/>
        </w:rPr>
        <w:t>——昼间，夜间通过某个预测点的第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类车平均小时车流量，辆/h，取2.8；</w:t>
      </w:r>
    </w:p>
    <w:p w14:paraId="2665FD8A">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Vi</w:t>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类车的平均车速，km/h，取20；</w:t>
      </w:r>
    </w:p>
    <w:p w14:paraId="70CA1FAF">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——计算等效声级的时间，1h；</w:t>
      </w:r>
    </w:p>
    <w:p w14:paraId="47248EAB">
      <w:pPr>
        <w:pStyle w:val="27"/>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81000" cy="238760"/>
            <wp:effectExtent l="0" t="0" r="0" b="8890"/>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84083" cy="240993"/>
                    </a:xfrm>
                    <a:prstGeom prst="rect">
                      <a:avLst/>
                    </a:prstGeom>
                    <a:noFill/>
                    <a:ln>
                      <a:noFill/>
                    </a:ln>
                  </pic:spPr>
                </pic:pic>
              </a:graphicData>
            </a:graphic>
          </wp:inline>
        </w:drawing>
      </w:r>
      <w:r>
        <w:rPr>
          <w:rFonts w:hint="default" w:ascii="Times New Roman" w:hAnsi="Times New Roman" w:cs="Times New Roman"/>
          <w:color w:val="auto"/>
          <w:highlight w:val="none"/>
        </w:rPr>
        <w:t>——距离衰减量，dB(A)，小时车流量大于等于300辆/小时：</w:t>
      </w:r>
    </w:p>
    <w:p w14:paraId="61E66170">
      <w:pPr>
        <w:pStyle w:val="27"/>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52425" cy="220980"/>
            <wp:effectExtent l="0" t="0" r="9525" b="7620"/>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54812" cy="222627"/>
                    </a:xfrm>
                    <a:prstGeom prst="rect">
                      <a:avLst/>
                    </a:prstGeom>
                    <a:noFill/>
                    <a:ln>
                      <a:noFill/>
                    </a:ln>
                  </pic:spPr>
                </pic:pic>
              </a:graphicData>
            </a:graphic>
          </wp:inline>
        </w:drawing>
      </w:r>
      <w:r>
        <w:rPr>
          <w:rFonts w:hint="default" w:ascii="Times New Roman" w:hAnsi="Times New Roman" w:cs="Times New Roman"/>
          <w:color w:val="auto"/>
          <w:highlight w:val="none"/>
        </w:rPr>
        <w:t>=10lg(7.5/</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)，小时车流量小于300辆/小时：</w:t>
      </w:r>
      <w:r>
        <w:rPr>
          <w:rFonts w:hint="default" w:ascii="Times New Roman" w:hAnsi="Times New Roman" w:cs="Times New Roman"/>
          <w:color w:val="auto"/>
          <w:highlight w:val="none"/>
        </w:rPr>
        <w:drawing>
          <wp:inline distT="0" distB="0" distL="0" distR="0">
            <wp:extent cx="381000" cy="238760"/>
            <wp:effectExtent l="0" t="0" r="0" b="8890"/>
            <wp:docPr id="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84619" cy="241330"/>
                    </a:xfrm>
                    <a:prstGeom prst="rect">
                      <a:avLst/>
                    </a:prstGeom>
                    <a:noFill/>
                    <a:ln>
                      <a:noFill/>
                    </a:ln>
                  </pic:spPr>
                </pic:pic>
              </a:graphicData>
            </a:graphic>
          </wp:inline>
        </w:drawing>
      </w:r>
      <w:r>
        <w:rPr>
          <w:rFonts w:hint="default" w:ascii="Times New Roman" w:hAnsi="Times New Roman" w:cs="Times New Roman"/>
          <w:color w:val="auto"/>
          <w:highlight w:val="none"/>
        </w:rPr>
        <w:t>=15lg(7.5/</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w:t>
      </w:r>
    </w:p>
    <w:p w14:paraId="36608B39">
      <w:pPr>
        <w:pStyle w:val="27"/>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——从车道中心线到预测点的距离，m，式（B.7）适用于</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＞7.5m的预测点的噪声预测；</w:t>
      </w:r>
    </w:p>
    <w:p w14:paraId="51C16E65">
      <w:pPr>
        <w:pStyle w:val="27"/>
        <w:numPr>
          <w:ilvl w:val="0"/>
          <w:numId w:val="10"/>
        </w:numPr>
        <w:ind w:firstLineChars="0"/>
        <w:rPr>
          <w:rFonts w:hint="default" w:ascii="Times New Roman" w:hAnsi="Times New Roman" w:cs="Times New Roman"/>
          <w:color w:val="auto"/>
          <w:highlight w:val="none"/>
        </w:rPr>
      </w:pPr>
      <w:r>
        <w:rPr>
          <w:rFonts w:hint="default" w:ascii="Times New Roman" w:hAnsi="Times New Roman" w:cs="Times New Roman"/>
          <w:i/>
          <w:color w:val="auto"/>
          <w:highlight w:val="none"/>
        </w:rPr>
        <w:drawing>
          <wp:inline distT="0" distB="0" distL="0" distR="0">
            <wp:extent cx="152400" cy="171450"/>
            <wp:effectExtent l="0" t="0" r="0" b="0"/>
            <wp:docPr id="71" name="图片 71" descr="D:\用户目录\我的文档\WeChat Files\mengtingting239478\FileStorage\Temp\170219998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D:\用户目录\我的文档\WeChat Files\mengtingting239478\FileStorage\Temp\170219998100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52400" cy="171450"/>
                    </a:xfrm>
                    <a:prstGeom prst="rect">
                      <a:avLst/>
                    </a:prstGeom>
                    <a:noFill/>
                    <a:ln>
                      <a:noFill/>
                    </a:ln>
                  </pic:spPr>
                </pic:pic>
              </a:graphicData>
            </a:graphic>
          </wp:inline>
        </w:drawing>
      </w:r>
      <w:r>
        <w:rPr>
          <w:rFonts w:hint="default" w:ascii="Times New Roman" w:hAnsi="Times New Roman" w:cs="Times New Roman"/>
          <w:color w:val="auto"/>
          <w:highlight w:val="none"/>
        </w:rPr>
        <w:t>——预测点到有限长路段两端的张角，弧度。</w:t>
      </w:r>
    </w:p>
    <w:p w14:paraId="50E79EB5">
      <w:pPr>
        <w:pStyle w:val="27"/>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200025" cy="245745"/>
            <wp:effectExtent l="0" t="0" r="9525" b="190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03065" cy="249927"/>
                    </a:xfrm>
                    <a:prstGeom prst="rect">
                      <a:avLst/>
                    </a:prstGeom>
                    <a:noFill/>
                    <a:ln>
                      <a:noFill/>
                    </a:ln>
                  </pic:spPr>
                </pic:pic>
              </a:graphicData>
            </a:graphic>
          </wp:inline>
        </w:drawing>
      </w:r>
      <w:r>
        <w:rPr>
          <w:rFonts w:hint="default" w:ascii="Times New Roman" w:hAnsi="Times New Roman" w:cs="Times New Roman"/>
          <w:color w:val="auto"/>
          <w:highlight w:val="none"/>
        </w:rPr>
        <w:t>——由其他因素引起的修正量，取0。</w:t>
      </w:r>
    </w:p>
    <w:p w14:paraId="1B7D5A6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（3）预测结果</w:t>
      </w:r>
    </w:p>
    <w:p w14:paraId="217BF64F">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本次噪声预测包括运输道路两侧10～100m车速为20km/h时的噪声值。运输道路噪声预测结果见下表所示。</w:t>
      </w:r>
    </w:p>
    <w:p w14:paraId="4663AFF6">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运输车辆噪声影响预测结果</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单位：dB(A)</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2"/>
        <w:gridCol w:w="1142"/>
        <w:gridCol w:w="1142"/>
        <w:gridCol w:w="1142"/>
        <w:gridCol w:w="1142"/>
        <w:gridCol w:w="1142"/>
        <w:gridCol w:w="1140"/>
      </w:tblGrid>
      <w:tr w14:paraId="17C22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81" w:type="pct"/>
            <w:tcBorders>
              <w:tl2br w:val="nil"/>
              <w:tr2bl w:val="nil"/>
            </w:tcBorders>
            <w:vAlign w:val="center"/>
          </w:tcPr>
          <w:p w14:paraId="6FCDE09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距离</w:t>
            </w:r>
          </w:p>
          <w:p w14:paraId="538199D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声级值</w:t>
            </w:r>
          </w:p>
        </w:tc>
        <w:tc>
          <w:tcPr>
            <w:tcW w:w="4019" w:type="pct"/>
            <w:gridSpan w:val="6"/>
            <w:tcBorders>
              <w:tl2br w:val="nil"/>
              <w:tr2bl w:val="nil"/>
            </w:tcBorders>
            <w:vAlign w:val="center"/>
          </w:tcPr>
          <w:p w14:paraId="22B8D8B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距路面中心线距离（m）</w:t>
            </w:r>
          </w:p>
        </w:tc>
      </w:tr>
      <w:tr w14:paraId="5F7F5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1" w:type="pct"/>
            <w:vMerge w:val="restart"/>
            <w:tcBorders>
              <w:tl2br w:val="nil"/>
              <w:tr2bl w:val="nil"/>
            </w:tcBorders>
            <w:vAlign w:val="center"/>
          </w:tcPr>
          <w:p w14:paraId="52D315CA">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预测值</w:t>
            </w:r>
          </w:p>
        </w:tc>
        <w:tc>
          <w:tcPr>
            <w:tcW w:w="670" w:type="pct"/>
            <w:tcBorders>
              <w:tl2br w:val="nil"/>
              <w:tr2bl w:val="nil"/>
            </w:tcBorders>
            <w:vAlign w:val="center"/>
          </w:tcPr>
          <w:p w14:paraId="7B860C2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70" w:type="pct"/>
            <w:tcBorders>
              <w:tl2br w:val="nil"/>
              <w:tr2bl w:val="nil"/>
            </w:tcBorders>
            <w:vAlign w:val="center"/>
          </w:tcPr>
          <w:p w14:paraId="6A0FDDC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670" w:type="pct"/>
            <w:tcBorders>
              <w:tl2br w:val="nil"/>
              <w:tr2bl w:val="nil"/>
            </w:tcBorders>
            <w:vAlign w:val="center"/>
          </w:tcPr>
          <w:p w14:paraId="570EE88F">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70" w:type="pct"/>
            <w:tcBorders>
              <w:tl2br w:val="nil"/>
              <w:tr2bl w:val="nil"/>
            </w:tcBorders>
            <w:vAlign w:val="center"/>
          </w:tcPr>
          <w:p w14:paraId="333FBD6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670" w:type="pct"/>
            <w:tcBorders>
              <w:tl2br w:val="nil"/>
              <w:tr2bl w:val="nil"/>
            </w:tcBorders>
            <w:vAlign w:val="center"/>
          </w:tcPr>
          <w:p w14:paraId="1EBC794E">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670" w:type="pct"/>
            <w:tcBorders>
              <w:tl2br w:val="nil"/>
              <w:tr2bl w:val="nil"/>
            </w:tcBorders>
            <w:vAlign w:val="center"/>
          </w:tcPr>
          <w:p w14:paraId="23921F05">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14:paraId="05F1D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1" w:type="pct"/>
            <w:vMerge w:val="continue"/>
            <w:tcBorders>
              <w:tl2br w:val="nil"/>
              <w:tr2bl w:val="nil"/>
            </w:tcBorders>
            <w:vAlign w:val="center"/>
          </w:tcPr>
          <w:p w14:paraId="441DBC97">
            <w:pPr>
              <w:pStyle w:val="46"/>
              <w:bidi w:val="0"/>
              <w:jc w:val="center"/>
              <w:rPr>
                <w:rFonts w:hint="default" w:ascii="Times New Roman" w:hAnsi="Times New Roman" w:cs="Times New Roman"/>
                <w:color w:val="auto"/>
                <w:highlight w:val="none"/>
              </w:rPr>
            </w:pPr>
          </w:p>
        </w:tc>
        <w:tc>
          <w:tcPr>
            <w:tcW w:w="670" w:type="pct"/>
            <w:tcBorders>
              <w:tl2br w:val="nil"/>
              <w:tr2bl w:val="nil"/>
            </w:tcBorders>
            <w:vAlign w:val="center"/>
          </w:tcPr>
          <w:p w14:paraId="25FC9589">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43.81</w:t>
            </w:r>
          </w:p>
        </w:tc>
        <w:tc>
          <w:tcPr>
            <w:tcW w:w="670" w:type="pct"/>
            <w:tcBorders>
              <w:tl2br w:val="nil"/>
              <w:tr2bl w:val="nil"/>
            </w:tcBorders>
            <w:vAlign w:val="center"/>
          </w:tcPr>
          <w:p w14:paraId="204ED7E8">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40.67</w:t>
            </w:r>
          </w:p>
        </w:tc>
        <w:tc>
          <w:tcPr>
            <w:tcW w:w="670" w:type="pct"/>
            <w:tcBorders>
              <w:tl2br w:val="nil"/>
              <w:tr2bl w:val="nil"/>
            </w:tcBorders>
            <w:vAlign w:val="center"/>
          </w:tcPr>
          <w:p w14:paraId="00A72A6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38.04</w:t>
            </w:r>
          </w:p>
        </w:tc>
        <w:tc>
          <w:tcPr>
            <w:tcW w:w="670" w:type="pct"/>
            <w:tcBorders>
              <w:tl2br w:val="nil"/>
              <w:tr2bl w:val="nil"/>
            </w:tcBorders>
            <w:vAlign w:val="center"/>
          </w:tcPr>
          <w:p w14:paraId="26DDBFCF">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36.10</w:t>
            </w:r>
          </w:p>
        </w:tc>
        <w:tc>
          <w:tcPr>
            <w:tcW w:w="670" w:type="pct"/>
            <w:tcBorders>
              <w:tl2br w:val="nil"/>
              <w:tr2bl w:val="nil"/>
            </w:tcBorders>
            <w:vAlign w:val="center"/>
          </w:tcPr>
          <w:p w14:paraId="476CE4C6">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34.61</w:t>
            </w:r>
          </w:p>
        </w:tc>
        <w:tc>
          <w:tcPr>
            <w:tcW w:w="670" w:type="pct"/>
            <w:tcBorders>
              <w:tl2br w:val="nil"/>
              <w:tr2bl w:val="nil"/>
            </w:tcBorders>
            <w:vAlign w:val="center"/>
          </w:tcPr>
          <w:p w14:paraId="78AFBB2B">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28.94</w:t>
            </w:r>
          </w:p>
        </w:tc>
      </w:tr>
    </w:tbl>
    <w:p w14:paraId="3F38042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由上表可知，行车速度在20km/h的情况下，道路红线两侧10m～100m范围内昼间、夜间均可满足《声环境质量标准》(GB3096-2008)1类、2类标准限值要求。</w:t>
      </w:r>
      <w:r>
        <w:rPr>
          <w:rFonts w:hint="default" w:ascii="Times New Roman" w:hAnsi="Times New Roman" w:cs="Times New Roman"/>
          <w:color w:val="auto"/>
          <w:highlight w:val="none"/>
          <w:lang w:val="en-US" w:eastAsia="zh-CN"/>
        </w:rPr>
        <w:t>粉煤灰的</w:t>
      </w:r>
      <w:r>
        <w:rPr>
          <w:rFonts w:hint="default" w:ascii="Times New Roman" w:hAnsi="Times New Roman" w:cs="Times New Roman"/>
          <w:color w:val="auto"/>
          <w:highlight w:val="none"/>
        </w:rPr>
        <w:t>的运入，将使区域道路车流量增多，由于是间断运输，增加车流量较小，对交通噪声贡献量不会很大。运输车辆在经过沿途声环境敏感点时禁止鸣笛，减速慢行，对周围敏感点声环境影响较小。</w:t>
      </w:r>
    </w:p>
    <w:p w14:paraId="0713B1A9">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综上所述，本项目在采取相应措施后，对声环境影响可接受。</w:t>
      </w:r>
    </w:p>
    <w:p w14:paraId="7CDECC78">
      <w:pPr>
        <w:pStyle w:val="41"/>
        <w:rPr>
          <w:rFonts w:hint="default" w:ascii="Times New Roman" w:hAnsi="Times New Roman" w:cs="Times New Roman"/>
          <w:color w:val="auto"/>
          <w:highlight w:val="none"/>
        </w:rPr>
      </w:pPr>
      <w:bookmarkStart w:id="271" w:name="_Toc5179"/>
      <w:r>
        <w:rPr>
          <w:rFonts w:hint="default" w:ascii="Times New Roman" w:hAnsi="Times New Roman" w:cs="Times New Roman"/>
          <w:color w:val="auto"/>
          <w:highlight w:val="none"/>
        </w:rPr>
        <w:t>5.1.4施工期固体废物环境影响评价</w:t>
      </w:r>
      <w:bookmarkEnd w:id="271"/>
    </w:p>
    <w:p w14:paraId="0A571D7F">
      <w:pPr>
        <w:pStyle w:val="27"/>
        <w:bidi w:val="0"/>
        <w:rPr>
          <w:rFonts w:hint="default" w:ascii="Times New Roman" w:hAnsi="Times New Roman" w:cs="Times New Roman"/>
          <w:color w:val="auto"/>
          <w:highlight w:val="none"/>
        </w:rPr>
      </w:pPr>
      <w:bookmarkStart w:id="272" w:name="_Toc486255087"/>
      <w:bookmarkStart w:id="273" w:name="_Toc15991680"/>
      <w:r>
        <w:rPr>
          <w:rFonts w:hint="default" w:ascii="Times New Roman" w:hAnsi="Times New Roman" w:cs="Times New Roman"/>
          <w:color w:val="auto"/>
          <w:highlight w:val="none"/>
        </w:rPr>
        <w:t>固体废物主要为排水沟开挖产生的土方、建筑废弃物、清基杂物施工中的固废均为一般固体废物。</w:t>
      </w:r>
    </w:p>
    <w:p w14:paraId="39A0CEE9">
      <w:pPr>
        <w:pStyle w:val="27"/>
        <w:bidi w:val="0"/>
        <w:rPr>
          <w:rFonts w:hint="default" w:ascii="Times New Roman" w:hAnsi="Times New Roman" w:cs="Times New Roman"/>
          <w:color w:val="auto"/>
          <w:highlight w:val="none"/>
        </w:rPr>
      </w:pPr>
      <w:bookmarkStart w:id="274" w:name="_Toc26898"/>
      <w:r>
        <w:rPr>
          <w:rFonts w:hint="default" w:ascii="Times New Roman" w:hAnsi="Times New Roman" w:cs="Times New Roman"/>
          <w:color w:val="auto"/>
          <w:highlight w:val="none"/>
        </w:rPr>
        <w:t>本项目施工期产生固废为建筑垃圾、场地清理废物。建筑材料下脚料、包装袋等建筑废弃物，外售废品回收部门；场地清理废物包含杂草、草木根茎、杂物等，集中收集后交由市政部门统一处理。生活垃圾集中收集，交由市政部门统一处理。本项目</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产生的固体废物均可以得到安全、妥善地处理处置，对周围环境影响较小。</w:t>
      </w:r>
    </w:p>
    <w:p w14:paraId="2A8A4BE3">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5.1.5施工期生态环境影响</w:t>
      </w:r>
      <w:bookmarkEnd w:id="272"/>
      <w:r>
        <w:rPr>
          <w:rFonts w:hint="default" w:ascii="Times New Roman" w:hAnsi="Times New Roman" w:cs="Times New Roman"/>
          <w:color w:val="auto"/>
          <w:highlight w:val="none"/>
        </w:rPr>
        <w:t>预测与评价</w:t>
      </w:r>
      <w:bookmarkEnd w:id="273"/>
      <w:bookmarkEnd w:id="274"/>
    </w:p>
    <w:p w14:paraId="27B8DF84">
      <w:pPr>
        <w:pStyle w:val="6"/>
        <w:rPr>
          <w:rFonts w:hint="default" w:ascii="Times New Roman" w:hAnsi="Times New Roman" w:eastAsia="宋体" w:cs="Times New Roman"/>
          <w:color w:val="auto"/>
          <w:highlight w:val="none"/>
          <w:u w:val="none"/>
        </w:rPr>
      </w:pPr>
      <w:bookmarkStart w:id="275" w:name="_Toc14584"/>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w:t>
      </w:r>
      <w:r>
        <w:rPr>
          <w:rFonts w:hint="default" w:ascii="Times New Roman" w:hAnsi="Times New Roman" w:eastAsia="宋体" w:cs="Times New Roman"/>
          <w:color w:val="auto"/>
          <w:highlight w:val="none"/>
          <w:u w:val="none"/>
        </w:rPr>
        <w:t xml:space="preserve"> </w:t>
      </w:r>
      <w:r>
        <w:rPr>
          <w:rFonts w:hint="default" w:ascii="Times New Roman" w:hAnsi="Times New Roman" w:eastAsia="宋体" w:cs="Times New Roman"/>
          <w:color w:val="auto"/>
          <w:highlight w:val="none"/>
          <w:u w:val="none"/>
          <w:lang w:val="en-US" w:eastAsia="zh-CN"/>
        </w:rPr>
        <w:t>对生物多样性的影响</w:t>
      </w:r>
    </w:p>
    <w:p w14:paraId="2274AD7B">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对生物多样性的影响难以定量化分析，本次针对生物多样性6个指标进行定性分析。经下表分析可知项目对区域野生维管束植物丰富度、野生动物丰富度、生态系统类型多样性、物种特有性、受威胁物种的丰富度、外来物种入侵度影响均不大，因此对生物多样性影响较小。</w:t>
      </w:r>
    </w:p>
    <w:p w14:paraId="74718F7D">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5.1.</w:t>
      </w:r>
      <w:r>
        <w:rPr>
          <w:rFonts w:hint="eastAsia" w:cs="Times New Roman"/>
          <w:color w:val="auto"/>
          <w:highlight w:val="none"/>
          <w:lang w:val="en-US" w:eastAsia="zh-CN"/>
        </w:rPr>
        <w:t>7</w:t>
      </w:r>
      <w:r>
        <w:rPr>
          <w:rFonts w:hint="default" w:ascii="Times New Roman" w:hAnsi="Times New Roman" w:cs="Times New Roman"/>
          <w:color w:val="auto"/>
          <w:highlight w:val="none"/>
        </w:rPr>
        <w:t>生物多样性指标影响分析</w:t>
      </w:r>
      <w:r>
        <w:rPr>
          <w:rFonts w:hint="default" w:ascii="Times New Roman" w:hAnsi="Times New Roman" w:cs="Times New Roman"/>
          <w:color w:val="auto"/>
          <w:highlight w:val="none"/>
          <w:lang w:val="en-US" w:eastAsia="zh-CN"/>
        </w:rPr>
        <w:t>表</w:t>
      </w:r>
    </w:p>
    <w:tbl>
      <w:tblPr>
        <w:tblStyle w:val="25"/>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6"/>
        <w:gridCol w:w="6053"/>
      </w:tblGrid>
      <w:tr w14:paraId="5215E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405" w:type="pct"/>
            <w:tcBorders>
              <w:top w:val="single" w:color="auto" w:sz="12" w:space="0"/>
              <w:left w:val="nil"/>
            </w:tcBorders>
            <w:noWrap w:val="0"/>
            <w:vAlign w:val="center"/>
          </w:tcPr>
          <w:p w14:paraId="3E09CA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指标</w:t>
            </w:r>
          </w:p>
        </w:tc>
        <w:tc>
          <w:tcPr>
            <w:tcW w:w="3594" w:type="pct"/>
            <w:tcBorders>
              <w:top w:val="single" w:color="auto" w:sz="12" w:space="0"/>
              <w:right w:val="nil"/>
            </w:tcBorders>
            <w:noWrap w:val="0"/>
            <w:vAlign w:val="center"/>
          </w:tcPr>
          <w:p w14:paraId="794ADF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影响程度</w:t>
            </w:r>
          </w:p>
        </w:tc>
      </w:tr>
      <w:tr w14:paraId="1F50F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5" w:type="pct"/>
            <w:tcBorders>
              <w:left w:val="nil"/>
            </w:tcBorders>
            <w:noWrap w:val="0"/>
            <w:vAlign w:val="center"/>
          </w:tcPr>
          <w:p w14:paraId="4B182D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野生维管束植物丰富度</w:t>
            </w:r>
          </w:p>
        </w:tc>
        <w:tc>
          <w:tcPr>
            <w:tcW w:w="3594" w:type="pct"/>
            <w:tcBorders>
              <w:right w:val="nil"/>
            </w:tcBorders>
            <w:noWrap w:val="0"/>
            <w:vAlign w:val="center"/>
          </w:tcPr>
          <w:p w14:paraId="3B3E19F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工程不会导致工程区微管植物种类减少，影响不大</w:t>
            </w:r>
          </w:p>
        </w:tc>
      </w:tr>
      <w:tr w14:paraId="1259E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405" w:type="pct"/>
            <w:tcBorders>
              <w:left w:val="nil"/>
            </w:tcBorders>
            <w:noWrap w:val="0"/>
            <w:vAlign w:val="center"/>
          </w:tcPr>
          <w:p w14:paraId="1524FC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野生动物丰富度</w:t>
            </w:r>
          </w:p>
        </w:tc>
        <w:tc>
          <w:tcPr>
            <w:tcW w:w="3594" w:type="pct"/>
            <w:tcBorders>
              <w:right w:val="nil"/>
            </w:tcBorders>
            <w:noWrap w:val="0"/>
            <w:vAlign w:val="center"/>
          </w:tcPr>
          <w:p w14:paraId="75BDA7D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施工噪声和人员活动会降低工程区附近野生动物数量和种类，因此会导致野生动物丰富度降低</w:t>
            </w:r>
          </w:p>
        </w:tc>
      </w:tr>
      <w:tr w14:paraId="4986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405" w:type="pct"/>
            <w:tcBorders>
              <w:left w:val="nil"/>
            </w:tcBorders>
            <w:noWrap w:val="0"/>
            <w:vAlign w:val="center"/>
          </w:tcPr>
          <w:p w14:paraId="29B088D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生态系统类型多样性</w:t>
            </w:r>
          </w:p>
        </w:tc>
        <w:tc>
          <w:tcPr>
            <w:tcW w:w="3594" w:type="pct"/>
            <w:tcBorders>
              <w:right w:val="nil"/>
            </w:tcBorders>
            <w:noWrap w:val="0"/>
            <w:vAlign w:val="center"/>
          </w:tcPr>
          <w:p w14:paraId="15208FA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与</w:t>
            </w:r>
            <w:r>
              <w:rPr>
                <w:rFonts w:hint="default" w:ascii="Times New Roman" w:hAnsi="Times New Roman" w:cs="Times New Roman"/>
                <w:color w:val="auto"/>
                <w:highlight w:val="none"/>
                <w:lang w:val="en-US" w:eastAsia="zh-CN"/>
              </w:rPr>
              <w:t>评价范围内</w:t>
            </w:r>
            <w:r>
              <w:rPr>
                <w:rFonts w:hint="default" w:ascii="Times New Roman" w:hAnsi="Times New Roman" w:cs="Times New Roman"/>
                <w:color w:val="auto"/>
                <w:highlight w:val="none"/>
              </w:rPr>
              <w:t>相比工程占地面积不大，不会导致生态系统类型多样性降低</w:t>
            </w:r>
          </w:p>
        </w:tc>
      </w:tr>
      <w:tr w14:paraId="01741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405" w:type="pct"/>
            <w:tcBorders>
              <w:left w:val="nil"/>
            </w:tcBorders>
            <w:noWrap w:val="0"/>
            <w:vAlign w:val="center"/>
          </w:tcPr>
          <w:p w14:paraId="14836D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物种特有性</w:t>
            </w:r>
          </w:p>
        </w:tc>
        <w:tc>
          <w:tcPr>
            <w:tcW w:w="3594" w:type="pct"/>
            <w:tcBorders>
              <w:right w:val="nil"/>
            </w:tcBorders>
            <w:noWrap w:val="0"/>
            <w:vAlign w:val="center"/>
          </w:tcPr>
          <w:p w14:paraId="4691CC1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评价范围内无</w:t>
            </w:r>
            <w:r>
              <w:rPr>
                <w:rFonts w:hint="default" w:ascii="Times New Roman" w:hAnsi="Times New Roman" w:cs="Times New Roman"/>
                <w:color w:val="auto"/>
                <w:highlight w:val="none"/>
              </w:rPr>
              <w:t>中国特有野生动物和植物，因此工程对物种特有性没有影响</w:t>
            </w:r>
          </w:p>
        </w:tc>
      </w:tr>
      <w:tr w14:paraId="5F8B7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405" w:type="pct"/>
            <w:tcBorders>
              <w:left w:val="nil"/>
            </w:tcBorders>
            <w:noWrap w:val="0"/>
            <w:vAlign w:val="center"/>
          </w:tcPr>
          <w:p w14:paraId="2B42C9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受威胁物种的丰富度</w:t>
            </w:r>
          </w:p>
        </w:tc>
        <w:tc>
          <w:tcPr>
            <w:tcW w:w="3594" w:type="pct"/>
            <w:tcBorders>
              <w:right w:val="nil"/>
            </w:tcBorders>
            <w:noWrap w:val="0"/>
            <w:vAlign w:val="center"/>
          </w:tcPr>
          <w:p w14:paraId="2EA2211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本工程不会导致</w:t>
            </w:r>
            <w:r>
              <w:rPr>
                <w:rFonts w:hint="default" w:ascii="Times New Roman" w:hAnsi="Times New Roman" w:cs="Times New Roman"/>
                <w:color w:val="auto"/>
                <w:highlight w:val="none"/>
                <w:lang w:val="en-US" w:eastAsia="zh-CN"/>
              </w:rPr>
              <w:t>评价范围内</w:t>
            </w:r>
            <w:r>
              <w:rPr>
                <w:rFonts w:hint="default" w:ascii="Times New Roman" w:hAnsi="Times New Roman" w:cs="Times New Roman"/>
                <w:color w:val="auto"/>
                <w:highlight w:val="none"/>
              </w:rPr>
              <w:t>某个动植物物种数量大幅降低进而变成受威胁的物种，因此对受威胁物种的丰富度影响不大</w:t>
            </w:r>
          </w:p>
        </w:tc>
      </w:tr>
      <w:tr w14:paraId="43752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05" w:type="pct"/>
            <w:tcBorders>
              <w:left w:val="nil"/>
              <w:bottom w:val="single" w:color="auto" w:sz="12" w:space="0"/>
            </w:tcBorders>
            <w:noWrap w:val="0"/>
            <w:vAlign w:val="center"/>
          </w:tcPr>
          <w:p w14:paraId="13A6395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外来物种入侵度</w:t>
            </w:r>
          </w:p>
        </w:tc>
        <w:tc>
          <w:tcPr>
            <w:tcW w:w="3594" w:type="pct"/>
            <w:tcBorders>
              <w:bottom w:val="single" w:color="auto" w:sz="12" w:space="0"/>
              <w:right w:val="nil"/>
            </w:tcBorders>
            <w:noWrap w:val="0"/>
            <w:vAlign w:val="center"/>
          </w:tcPr>
          <w:p w14:paraId="7DC5E4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本工程只要生态恢复时，只要不使用外来物种，就不会涉及外来物种入侵问题，因此对外来物种入侵度影响很小</w:t>
            </w:r>
          </w:p>
        </w:tc>
      </w:tr>
    </w:tbl>
    <w:p w14:paraId="65DE17EA">
      <w:pPr>
        <w:pStyle w:val="6"/>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2</w:t>
      </w:r>
      <w:r>
        <w:rPr>
          <w:rFonts w:hint="default" w:ascii="Times New Roman" w:hAnsi="Times New Roman" w:eastAsia="宋体" w:cs="Times New Roman"/>
          <w:color w:val="auto"/>
          <w:highlight w:val="none"/>
          <w:u w:val="none"/>
        </w:rPr>
        <w:t xml:space="preserve"> </w:t>
      </w:r>
      <w:r>
        <w:rPr>
          <w:rFonts w:hint="default" w:ascii="Times New Roman" w:hAnsi="Times New Roman" w:eastAsia="宋体" w:cs="Times New Roman"/>
          <w:color w:val="auto"/>
          <w:highlight w:val="none"/>
          <w:u w:val="none"/>
          <w:lang w:val="en-US" w:eastAsia="zh-CN"/>
        </w:rPr>
        <w:t>累积作用方式对生态环境影响</w:t>
      </w:r>
    </w:p>
    <w:p w14:paraId="76798D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sz w:val="24"/>
          <w:szCs w:val="22"/>
          <w:highlight w:val="none"/>
          <w:u w:val="none"/>
          <w:lang w:val="en-US" w:eastAsia="zh-CN"/>
        </w:rPr>
      </w:pPr>
      <w:r>
        <w:rPr>
          <w:rFonts w:hint="default" w:ascii="Times New Roman" w:hAnsi="Times New Roman" w:eastAsia="宋体" w:cs="Times New Roman"/>
          <w:color w:val="auto"/>
          <w:kern w:val="21"/>
          <w:sz w:val="24"/>
          <w:highlight w:val="none"/>
          <w:lang w:eastAsia="zh-CN"/>
        </w:rPr>
        <w:t>项目永久占地</w:t>
      </w:r>
      <w:r>
        <w:rPr>
          <w:rFonts w:hint="default" w:ascii="Times New Roman" w:hAnsi="Times New Roman" w:eastAsia="宋体" w:cs="Times New Roman"/>
          <w:color w:val="auto"/>
          <w:kern w:val="21"/>
          <w:sz w:val="24"/>
          <w:highlight w:val="none"/>
          <w:lang w:val="en-US" w:eastAsia="zh-CN"/>
        </w:rPr>
        <w:t>全部</w:t>
      </w:r>
      <w:r>
        <w:rPr>
          <w:rFonts w:hint="default" w:ascii="Times New Roman" w:hAnsi="Times New Roman" w:eastAsia="宋体" w:cs="Times New Roman"/>
          <w:b w:val="0"/>
          <w:color w:val="auto"/>
          <w:kern w:val="21"/>
          <w:sz w:val="24"/>
          <w:szCs w:val="24"/>
          <w:highlight w:val="none"/>
          <w:u w:val="none"/>
          <w:lang w:val="en-US" w:eastAsia="zh-CN" w:bidi="ar-SA"/>
        </w:rPr>
        <w:t>利用现有</w:t>
      </w:r>
      <w:r>
        <w:rPr>
          <w:rFonts w:hint="default" w:ascii="Times New Roman" w:hAnsi="Times New Roman" w:eastAsia="宋体" w:cs="Times New Roman"/>
          <w:color w:val="auto"/>
          <w:kern w:val="21"/>
          <w:szCs w:val="24"/>
          <w:highlight w:val="none"/>
          <w:u w:val="none"/>
          <w:lang w:val="en-US" w:eastAsia="zh-CN"/>
        </w:rPr>
        <w:t>废弃场地，</w:t>
      </w:r>
      <w:r>
        <w:rPr>
          <w:rFonts w:hint="default" w:ascii="Times New Roman" w:hAnsi="Times New Roman" w:eastAsia="宋体" w:cs="Times New Roman"/>
          <w:color w:val="auto"/>
          <w:highlight w:val="none"/>
          <w:u w:val="none"/>
          <w:lang w:val="en-US" w:eastAsia="zh-CN"/>
        </w:rPr>
        <w:t>不新增占地。</w:t>
      </w:r>
      <w:r>
        <w:rPr>
          <w:rFonts w:hint="default" w:ascii="Times New Roman" w:hAnsi="Times New Roman" w:eastAsia="宋体" w:cs="Times New Roman"/>
          <w:color w:val="auto"/>
          <w:spacing w:val="0"/>
          <w:kern w:val="21"/>
          <w:sz w:val="24"/>
          <w:szCs w:val="22"/>
          <w:highlight w:val="none"/>
          <w:u w:val="none"/>
          <w:lang w:val="en-US" w:eastAsia="zh-CN"/>
        </w:rPr>
        <w:t>并且项目工期相对较短，因</w:t>
      </w:r>
      <w:r>
        <w:rPr>
          <w:rFonts w:hint="default" w:ascii="Times New Roman" w:hAnsi="Times New Roman" w:eastAsia="宋体" w:cs="Times New Roman"/>
          <w:color w:val="auto"/>
          <w:kern w:val="21"/>
          <w:sz w:val="24"/>
          <w:szCs w:val="22"/>
          <w:highlight w:val="none"/>
          <w:u w:val="none"/>
          <w:lang w:val="en-US" w:eastAsia="zh-CN"/>
        </w:rPr>
        <w:t>施工活动干扰物种、种群、生物群落及自然景观的累积作用随着施工期的结束会逐渐消失，不会导致整个区域生境丧失和破碎化，不会导致生态系统退化、生物多样性下降。因此项目累积作用方式对生态环境的影响不大。</w:t>
      </w:r>
    </w:p>
    <w:p w14:paraId="11CEBC9D">
      <w:pPr>
        <w:pStyle w:val="6"/>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3</w:t>
      </w:r>
      <w:r>
        <w:rPr>
          <w:rFonts w:hint="default" w:ascii="Times New Roman" w:hAnsi="Times New Roman" w:eastAsia="宋体" w:cs="Times New Roman"/>
          <w:color w:val="auto"/>
          <w:highlight w:val="none"/>
          <w:u w:val="none"/>
        </w:rPr>
        <w:t xml:space="preserve"> </w:t>
      </w:r>
      <w:r>
        <w:rPr>
          <w:rFonts w:hint="default" w:ascii="Times New Roman" w:hAnsi="Times New Roman" w:eastAsia="宋体" w:cs="Times New Roman"/>
          <w:color w:val="auto"/>
          <w:highlight w:val="none"/>
          <w:u w:val="none"/>
          <w:lang w:val="en-US" w:eastAsia="zh-CN"/>
        </w:rPr>
        <w:t>土地利用功能影响分析</w:t>
      </w:r>
    </w:p>
    <w:p w14:paraId="457348EB">
      <w:pPr>
        <w:pStyle w:val="27"/>
        <w:bidi w:val="0"/>
        <w:rPr>
          <w:rFonts w:hint="default" w:ascii="Times New Roman" w:hAnsi="Times New Roman" w:cs="Times New Roman"/>
          <w:color w:val="auto"/>
          <w:highlight w:val="none"/>
        </w:rPr>
      </w:pPr>
      <w:r>
        <w:rPr>
          <w:rFonts w:hint="default" w:ascii="Times New Roman" w:hAnsi="Times New Roman" w:eastAsia="宋体" w:cs="Times New Roman"/>
          <w:b w:val="0"/>
          <w:color w:val="auto"/>
          <w:kern w:val="21"/>
          <w:sz w:val="24"/>
          <w:highlight w:val="none"/>
          <w:u w:val="none"/>
          <w:shd w:val="clear" w:color="auto" w:fill="auto"/>
          <w:lang w:val="en-US" w:eastAsia="zh-CN"/>
        </w:rPr>
        <w:t>本次</w:t>
      </w:r>
      <w:r>
        <w:rPr>
          <w:rFonts w:hint="default" w:ascii="Times New Roman" w:hAnsi="Times New Roman" w:eastAsia="宋体" w:cs="Times New Roman"/>
          <w:b w:val="0"/>
          <w:color w:val="auto"/>
          <w:kern w:val="21"/>
          <w:sz w:val="24"/>
          <w:szCs w:val="24"/>
          <w:highlight w:val="none"/>
          <w:u w:val="none"/>
          <w:lang w:val="en-US" w:eastAsia="zh-CN" w:bidi="ar-SA"/>
        </w:rPr>
        <w:t>回填修复面积</w:t>
      </w:r>
      <w:r>
        <w:rPr>
          <w:rFonts w:hint="default" w:ascii="Times New Roman" w:hAnsi="Times New Roman" w:eastAsia="宋体" w:cs="Times New Roman"/>
          <w:b w:val="0"/>
          <w:color w:val="auto"/>
          <w:kern w:val="21"/>
          <w:sz w:val="24"/>
          <w:highlight w:val="none"/>
          <w:u w:val="none"/>
          <w:shd w:val="clear" w:color="auto" w:fill="auto"/>
          <w:lang w:val="en-US" w:eastAsia="zh-CN"/>
        </w:rPr>
        <w:t>85303 m</w:t>
      </w:r>
      <w:r>
        <w:rPr>
          <w:rFonts w:hint="default" w:ascii="Times New Roman" w:hAnsi="Times New Roman" w:eastAsia="宋体" w:cs="Times New Roman"/>
          <w:b w:val="0"/>
          <w:color w:val="auto"/>
          <w:kern w:val="21"/>
          <w:sz w:val="24"/>
          <w:highlight w:val="none"/>
          <w:u w:val="none"/>
          <w:shd w:val="clear" w:color="auto" w:fill="auto"/>
          <w:vertAlign w:val="superscript"/>
          <w:lang w:val="en-US" w:eastAsia="zh-CN"/>
        </w:rPr>
        <w:t>2</w:t>
      </w:r>
      <w:r>
        <w:rPr>
          <w:rFonts w:hint="default" w:ascii="Times New Roman" w:hAnsi="Times New Roman" w:eastAsia="宋体" w:cs="Times New Roman"/>
          <w:b w:val="0"/>
          <w:color w:val="auto"/>
          <w:kern w:val="21"/>
          <w:sz w:val="24"/>
          <w:highlight w:val="none"/>
          <w:u w:val="none"/>
          <w:shd w:val="clear" w:color="auto" w:fill="auto"/>
          <w:lang w:val="en-US" w:eastAsia="zh-CN"/>
        </w:rPr>
        <w:t>，</w:t>
      </w:r>
      <w:r>
        <w:rPr>
          <w:rFonts w:hint="default" w:ascii="Times New Roman" w:hAnsi="Times New Roman" w:eastAsia="宋体" w:cs="Times New Roman"/>
          <w:b w:val="0"/>
          <w:color w:val="auto"/>
          <w:kern w:val="21"/>
          <w:sz w:val="24"/>
          <w:szCs w:val="24"/>
          <w:highlight w:val="none"/>
          <w:u w:val="none"/>
          <w:lang w:val="en-US" w:eastAsia="zh-CN" w:bidi="ar-SA"/>
        </w:rPr>
        <w:t>修复目标为</w:t>
      </w:r>
      <w:r>
        <w:rPr>
          <w:rFonts w:hint="default" w:ascii="Times New Roman" w:hAnsi="Times New Roman" w:eastAsia="宋体" w:cs="Times New Roman"/>
          <w:b w:val="0"/>
          <w:color w:val="auto"/>
          <w:kern w:val="21"/>
          <w:sz w:val="24"/>
          <w:highlight w:val="none"/>
          <w:u w:val="none"/>
          <w:shd w:val="clear" w:color="auto" w:fill="auto"/>
          <w:lang w:val="en-US" w:eastAsia="zh-CN"/>
        </w:rPr>
        <w:t>将土地全部修复为林地及农田，与周边环境持平。修复目标及封场要求为景观协调；地形基本平整；</w:t>
      </w:r>
      <w:r>
        <w:rPr>
          <w:rFonts w:hint="default" w:ascii="Times New Roman" w:hAnsi="Times New Roman" w:cs="Times New Roman"/>
          <w:color w:val="auto"/>
          <w:highlight w:val="none"/>
        </w:rPr>
        <w:t>在回填压实完成的基础上表层覆土，根据《土地复垦质量控制标准》（TD/T1036-2013）6.1.1.1露天采场（坑）自然沉实覆土厚度为50cm以上，需求量</w:t>
      </w:r>
      <w:r>
        <w:rPr>
          <w:rFonts w:hint="default" w:ascii="Times New Roman" w:hAnsi="Times New Roman" w:cs="Times New Roman"/>
          <w:color w:val="auto"/>
          <w:highlight w:val="none"/>
          <w:lang w:val="en-US" w:eastAsia="zh-CN"/>
        </w:rPr>
        <w:t>13300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；本项目在50cm的土层上再30cm表土，需求量</w:t>
      </w:r>
      <w:r>
        <w:rPr>
          <w:rFonts w:hint="default" w:ascii="Times New Roman" w:hAnsi="Times New Roman" w:cs="Times New Roman"/>
          <w:color w:val="auto"/>
          <w:highlight w:val="none"/>
          <w:lang w:val="en-US" w:eastAsia="zh-CN"/>
        </w:rPr>
        <w:t>7980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，共80cm，</w:t>
      </w:r>
      <w:r>
        <w:rPr>
          <w:rFonts w:hint="default" w:ascii="Times New Roman" w:hAnsi="Times New Roman" w:cs="Times New Roman"/>
          <w:color w:val="auto"/>
          <w:highlight w:val="none"/>
          <w:lang w:val="en-US" w:eastAsia="zh-CN"/>
        </w:rPr>
        <w:t>21280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val="en-US" w:eastAsia="zh-CN"/>
        </w:rPr>
        <w:t>；复垦为林地时覆表土厚度为30cm，需求量为17610.9</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可满足《土地复垦质量控制标准》（TD/T1036-2013）表的要求。覆土后利用自然降水、机械压实等方法让土壤沉降，使土壤密实度达到80%左右。</w:t>
      </w:r>
    </w:p>
    <w:p w14:paraId="160A4BD3">
      <w:pPr>
        <w:pStyle w:val="6"/>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4</w:t>
      </w:r>
      <w:r>
        <w:rPr>
          <w:rFonts w:hint="default" w:ascii="Times New Roman" w:hAnsi="Times New Roman" w:eastAsia="宋体" w:cs="Times New Roman"/>
          <w:color w:val="auto"/>
          <w:highlight w:val="none"/>
          <w:u w:val="none"/>
        </w:rPr>
        <w:t xml:space="preserve"> </w:t>
      </w:r>
      <w:r>
        <w:rPr>
          <w:rFonts w:hint="default" w:ascii="Times New Roman" w:hAnsi="Times New Roman" w:eastAsia="宋体" w:cs="Times New Roman"/>
          <w:color w:val="auto"/>
          <w:highlight w:val="none"/>
          <w:u w:val="none"/>
          <w:lang w:val="en-US" w:eastAsia="zh-CN"/>
        </w:rPr>
        <w:t>项目实施前后变化情况</w:t>
      </w:r>
    </w:p>
    <w:p w14:paraId="56EB33AD">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本项目复垦为林地和耕地，复垦后耕地面积增加了2.66hm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，林地面积增加了5.8703hm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，生物量增加，通过生态恢复，生境质量逐渐变好，生物多样性增加。</w:t>
      </w:r>
    </w:p>
    <w:p w14:paraId="464270D8">
      <w:pPr>
        <w:pStyle w:val="6"/>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highlight w:val="none"/>
          <w:u w:val="none"/>
          <w:lang w:val="en-US" w:eastAsia="zh-CN"/>
        </w:rPr>
        <w:t>1.5.5</w:t>
      </w:r>
      <w:r>
        <w:rPr>
          <w:rFonts w:hint="default" w:ascii="Times New Roman" w:hAnsi="Times New Roman" w:eastAsia="宋体" w:cs="Times New Roman"/>
          <w:color w:val="auto"/>
          <w:highlight w:val="none"/>
          <w:u w:val="none"/>
        </w:rPr>
        <w:t xml:space="preserve"> </w:t>
      </w:r>
      <w:r>
        <w:rPr>
          <w:rFonts w:hint="default" w:ascii="Times New Roman" w:hAnsi="Times New Roman" w:eastAsia="宋体" w:cs="Times New Roman"/>
          <w:color w:val="auto"/>
          <w:highlight w:val="none"/>
          <w:u w:val="none"/>
          <w:lang w:val="en-US" w:eastAsia="zh-CN"/>
        </w:rPr>
        <w:t>评价结论</w:t>
      </w:r>
    </w:p>
    <w:p w14:paraId="4094FF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u w:val="none"/>
          <w:lang w:val="en-US" w:eastAsia="zh-CN"/>
        </w:rPr>
      </w:pPr>
      <w:r>
        <w:rPr>
          <w:rFonts w:hint="default" w:ascii="Times New Roman" w:hAnsi="Times New Roman" w:eastAsia="宋体" w:cs="Times New Roman"/>
          <w:b w:val="0"/>
          <w:color w:val="auto"/>
          <w:kern w:val="21"/>
          <w:sz w:val="24"/>
          <w:szCs w:val="24"/>
          <w:highlight w:val="none"/>
          <w:u w:val="none"/>
          <w:lang w:val="en-US" w:eastAsia="zh-CN"/>
        </w:rPr>
        <w:t>项目施工期设备运行噪声可能会驱散附近动物</w:t>
      </w:r>
      <w:r>
        <w:rPr>
          <w:rFonts w:hint="default" w:ascii="Times New Roman" w:hAnsi="Times New Roman" w:eastAsia="宋体" w:cs="Times New Roman"/>
          <w:color w:val="auto"/>
          <w:kern w:val="21"/>
          <w:sz w:val="24"/>
          <w:szCs w:val="22"/>
          <w:highlight w:val="none"/>
          <w:u w:val="none"/>
          <w:lang w:val="en-US" w:eastAsia="zh-CN"/>
        </w:rPr>
        <w:t>产生间接生态影响</w:t>
      </w:r>
      <w:r>
        <w:rPr>
          <w:rFonts w:hint="default" w:ascii="Times New Roman" w:hAnsi="Times New Roman" w:eastAsia="宋体" w:cs="Times New Roman"/>
          <w:b w:val="0"/>
          <w:color w:val="auto"/>
          <w:kern w:val="21"/>
          <w:sz w:val="24"/>
          <w:szCs w:val="24"/>
          <w:highlight w:val="none"/>
          <w:u w:val="none"/>
          <w:lang w:val="en-US" w:eastAsia="zh-CN"/>
        </w:rPr>
        <w:t>。主要影响对象为动物分布范围、种群数量、种群结构、行为等。</w:t>
      </w:r>
      <w:r>
        <w:rPr>
          <w:rFonts w:hint="default" w:ascii="Times New Roman" w:hAnsi="Times New Roman" w:eastAsia="宋体" w:cs="Times New Roman"/>
          <w:color w:val="auto"/>
          <w:kern w:val="21"/>
          <w:sz w:val="24"/>
          <w:szCs w:val="22"/>
          <w:highlight w:val="none"/>
          <w:u w:val="none"/>
          <w:lang w:val="en-US" w:eastAsia="zh-CN"/>
        </w:rPr>
        <w:t>影响性质为长期不可逆，影响程度较弱。</w:t>
      </w:r>
      <w:r>
        <w:rPr>
          <w:rFonts w:hint="default" w:ascii="Times New Roman" w:hAnsi="Times New Roman" w:eastAsia="宋体" w:cs="Times New Roman"/>
          <w:b w:val="0"/>
          <w:color w:val="auto"/>
          <w:kern w:val="21"/>
          <w:sz w:val="24"/>
          <w:szCs w:val="24"/>
          <w:highlight w:val="none"/>
          <w:u w:val="none"/>
          <w:lang w:val="en-US" w:eastAsia="zh-CN"/>
        </w:rPr>
        <w:t>施工期设备运行产生的噪声对周边生活的动物产生一定影响，主要是驱赶的影响，迫使其迁移他处。大多数动物对噪声较为敏感，噪声将使其远离项目，缩小其生境范围；鸟类对噪声最为敏感，且分布广，相对来说对鸟类影响程度最大。但这种噪声持续时间较长，鸟类对长期而无害的噪声会有一定适应性，对其影响较小。</w:t>
      </w:r>
    </w:p>
    <w:p w14:paraId="1B6D6A97">
      <w:pPr>
        <w:pStyle w:val="1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21"/>
          <w:sz w:val="24"/>
          <w:szCs w:val="22"/>
          <w:highlight w:val="none"/>
          <w:u w:val="none"/>
          <w:lang w:val="en-US" w:eastAsia="zh-CN"/>
        </w:rPr>
      </w:pPr>
      <w:r>
        <w:rPr>
          <w:rFonts w:hint="default" w:ascii="Times New Roman" w:hAnsi="Times New Roman" w:eastAsia="宋体" w:cs="Times New Roman"/>
          <w:b w:val="0"/>
          <w:color w:val="auto"/>
          <w:kern w:val="21"/>
          <w:sz w:val="24"/>
          <w:szCs w:val="24"/>
          <w:highlight w:val="none"/>
          <w:u w:val="none"/>
          <w:lang w:val="en-US" w:eastAsia="zh-CN"/>
        </w:rPr>
        <w:t>综上所述，项目施工期对区域生态环境的影响可以接受，从环境保护的角度分析，项目的建设是可行的</w:t>
      </w:r>
      <w:r>
        <w:rPr>
          <w:rFonts w:hint="default" w:ascii="Times New Roman" w:hAnsi="Times New Roman" w:eastAsia="宋体" w:cs="Times New Roman"/>
          <w:color w:val="auto"/>
          <w:spacing w:val="0"/>
          <w:kern w:val="21"/>
          <w:sz w:val="24"/>
          <w:szCs w:val="22"/>
          <w:highlight w:val="none"/>
          <w:u w:val="none"/>
        </w:rPr>
        <w:t>。</w:t>
      </w:r>
    </w:p>
    <w:p w14:paraId="2B842F91">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5.1.6施工期土壤影响分析</w:t>
      </w:r>
      <w:bookmarkEnd w:id="275"/>
    </w:p>
    <w:p w14:paraId="0F6F0521">
      <w:pPr>
        <w:pStyle w:val="6"/>
        <w:bidi w:val="0"/>
        <w:rPr>
          <w:rFonts w:hint="default" w:ascii="Times New Roman" w:hAnsi="Times New Roman" w:cs="Times New Roman"/>
          <w:color w:val="auto"/>
          <w:highlight w:val="none"/>
          <w:lang w:val="en-US" w:eastAsia="zh-CN"/>
        </w:rPr>
      </w:pPr>
      <w:bookmarkStart w:id="276" w:name="_Toc152926825"/>
      <w:bookmarkStart w:id="277" w:name="_Toc494017092"/>
      <w:bookmarkStart w:id="278" w:name="_Toc28282"/>
      <w:bookmarkStart w:id="279" w:name="_Toc119316806"/>
      <w:bookmarkStart w:id="280" w:name="_Toc415146703"/>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.6.1</w:t>
      </w:r>
      <w:r>
        <w:rPr>
          <w:rFonts w:hint="default" w:ascii="Times New Roman" w:hAnsi="Times New Roman" w:cs="Times New Roman"/>
          <w:color w:val="auto"/>
          <w:highlight w:val="none"/>
          <w:lang w:val="en-US" w:eastAsia="zh-CN"/>
        </w:rPr>
        <w:t>理化性质分析</w:t>
      </w:r>
    </w:p>
    <w:p w14:paraId="6EC4EBC0">
      <w:pPr>
        <w:spacing w:before="39" w:line="354" w:lineRule="auto"/>
        <w:ind w:left="23" w:right="40" w:firstLine="482"/>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3"/>
          <w:sz w:val="24"/>
          <w:szCs w:val="24"/>
          <w:highlight w:val="none"/>
        </w:rPr>
        <w:t>本次评价进行土壤理化性质调查结果表明，项目</w:t>
      </w:r>
      <w:r>
        <w:rPr>
          <w:rFonts w:hint="default" w:ascii="Times New Roman" w:hAnsi="Times New Roman" w:eastAsia="宋体" w:cs="Times New Roman"/>
          <w:color w:val="auto"/>
          <w:spacing w:val="-4"/>
          <w:sz w:val="24"/>
          <w:szCs w:val="24"/>
          <w:highlight w:val="none"/>
          <w:lang w:val="en-US" w:eastAsia="zh-CN"/>
        </w:rPr>
        <w:t>现有矿坑</w:t>
      </w:r>
      <w:r>
        <w:rPr>
          <w:rFonts w:hint="default" w:ascii="Times New Roman" w:hAnsi="Times New Roman" w:eastAsia="宋体" w:cs="Times New Roman"/>
          <w:color w:val="auto"/>
          <w:spacing w:val="-3"/>
          <w:sz w:val="24"/>
          <w:szCs w:val="24"/>
          <w:highlight w:val="none"/>
        </w:rPr>
        <w:t>土壤孔隙</w:t>
      </w:r>
      <w:r>
        <w:rPr>
          <w:rFonts w:hint="default" w:ascii="Times New Roman" w:hAnsi="Times New Roman" w:eastAsia="宋体" w:cs="Times New Roman"/>
          <w:color w:val="auto"/>
          <w:spacing w:val="-4"/>
          <w:sz w:val="24"/>
          <w:szCs w:val="24"/>
          <w:highlight w:val="none"/>
        </w:rPr>
        <w:t>度相</w:t>
      </w:r>
      <w:r>
        <w:rPr>
          <w:rFonts w:hint="default" w:ascii="Times New Roman" w:hAnsi="Times New Roman" w:eastAsia="宋体" w:cs="Times New Roman"/>
          <w:color w:val="auto"/>
          <w:spacing w:val="-2"/>
          <w:sz w:val="24"/>
          <w:szCs w:val="24"/>
          <w:highlight w:val="none"/>
        </w:rPr>
        <w:t>对较低，土壤容重相对较高。回填</w:t>
      </w:r>
      <w:r>
        <w:rPr>
          <w:rFonts w:hint="default" w:ascii="Times New Roman" w:hAnsi="Times New Roman" w:eastAsia="宋体" w:cs="Times New Roman"/>
          <w:color w:val="auto"/>
          <w:spacing w:val="-3"/>
          <w:sz w:val="24"/>
          <w:szCs w:val="24"/>
          <w:highlight w:val="none"/>
        </w:rPr>
        <w:t>将会造成土壤层次发生一定变化，施工活动中没有人为盐分的输入，</w:t>
      </w:r>
      <w:r>
        <w:rPr>
          <w:rFonts w:hint="default" w:ascii="Times New Roman" w:hAnsi="Times New Roman" w:eastAsia="宋体" w:cs="Times New Roman"/>
          <w:color w:val="auto"/>
          <w:spacing w:val="14"/>
          <w:sz w:val="24"/>
          <w:szCs w:val="24"/>
          <w:highlight w:val="none"/>
        </w:rPr>
        <w:t xml:space="preserve"> </w:t>
      </w:r>
      <w:r>
        <w:rPr>
          <w:rFonts w:hint="default" w:ascii="Times New Roman" w:hAnsi="Times New Roman" w:eastAsia="宋体" w:cs="Times New Roman"/>
          <w:color w:val="auto"/>
          <w:spacing w:val="-3"/>
          <w:sz w:val="24"/>
          <w:szCs w:val="24"/>
          <w:highlight w:val="none"/>
        </w:rPr>
        <w:t>也不会造成地下水水位的变化，施工活动不会造成土壤盐化问题；施</w:t>
      </w:r>
      <w:r>
        <w:rPr>
          <w:rFonts w:hint="default" w:ascii="Times New Roman" w:hAnsi="Times New Roman" w:eastAsia="宋体" w:cs="Times New Roman"/>
          <w:color w:val="auto"/>
          <w:spacing w:val="-4"/>
          <w:sz w:val="24"/>
          <w:szCs w:val="24"/>
          <w:highlight w:val="none"/>
        </w:rPr>
        <w:t>工活动中没</w:t>
      </w:r>
      <w:r>
        <w:rPr>
          <w:rFonts w:hint="default" w:ascii="Times New Roman" w:hAnsi="Times New Roman" w:eastAsia="宋体" w:cs="Times New Roman"/>
          <w:color w:val="auto"/>
          <w:spacing w:val="2"/>
          <w:sz w:val="24"/>
          <w:szCs w:val="24"/>
          <w:highlight w:val="none"/>
        </w:rPr>
        <w:t xml:space="preserve">有酸、碱性物质输入，不会影响施工活动区域土壤的 </w:t>
      </w:r>
      <w:r>
        <w:rPr>
          <w:rFonts w:hint="default" w:ascii="Times New Roman" w:hAnsi="Times New Roman" w:eastAsia="Times New Roman" w:cs="Times New Roman"/>
          <w:color w:val="auto"/>
          <w:sz w:val="24"/>
          <w:szCs w:val="24"/>
          <w:highlight w:val="none"/>
        </w:rPr>
        <w:t>pH</w:t>
      </w:r>
      <w:r>
        <w:rPr>
          <w:rFonts w:hint="default" w:ascii="Times New Roman" w:hAnsi="Times New Roman" w:eastAsia="宋体" w:cs="Times New Roman"/>
          <w:color w:val="auto"/>
          <w:spacing w:val="2"/>
          <w:sz w:val="24"/>
          <w:szCs w:val="24"/>
          <w:highlight w:val="none"/>
        </w:rPr>
        <w:t>值，不会造成土壤酸</w:t>
      </w:r>
      <w:r>
        <w:rPr>
          <w:rFonts w:hint="default" w:ascii="Times New Roman" w:hAnsi="Times New Roman" w:eastAsia="宋体" w:cs="Times New Roman"/>
          <w:color w:val="auto"/>
          <w:spacing w:val="6"/>
          <w:sz w:val="24"/>
          <w:szCs w:val="24"/>
          <w:highlight w:val="none"/>
        </w:rPr>
        <w:t xml:space="preserve"> </w:t>
      </w:r>
      <w:r>
        <w:rPr>
          <w:rFonts w:hint="default" w:ascii="Times New Roman" w:hAnsi="Times New Roman" w:eastAsia="宋体" w:cs="Times New Roman"/>
          <w:color w:val="auto"/>
          <w:sz w:val="24"/>
          <w:szCs w:val="24"/>
          <w:highlight w:val="none"/>
        </w:rPr>
        <w:t>化或碱化； 施工活动中</w:t>
      </w:r>
      <w:r>
        <w:rPr>
          <w:rFonts w:hint="default" w:ascii="Times New Roman" w:hAnsi="Times New Roman" w:eastAsia="宋体" w:cs="Times New Roman"/>
          <w:color w:val="auto"/>
          <w:spacing w:val="-3"/>
          <w:sz w:val="24"/>
          <w:szCs w:val="24"/>
          <w:highlight w:val="none"/>
        </w:rPr>
        <w:t>不会造成土壤有机质含量变化及养分流失。</w:t>
      </w:r>
    </w:p>
    <w:p w14:paraId="752DDB8A">
      <w:pPr>
        <w:spacing w:before="43" w:line="346" w:lineRule="auto"/>
        <w:ind w:left="31" w:right="80" w:firstLine="477"/>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3"/>
          <w:sz w:val="24"/>
          <w:szCs w:val="24"/>
          <w:highlight w:val="none"/>
        </w:rPr>
        <w:t>综上所述</w:t>
      </w:r>
      <w:r>
        <w:rPr>
          <w:rFonts w:hint="default"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lang w:val="en-US" w:eastAsia="zh-CN"/>
        </w:rPr>
        <w:t>本项目施工</w:t>
      </w:r>
      <w:r>
        <w:rPr>
          <w:rFonts w:hint="default" w:ascii="Times New Roman" w:hAnsi="Times New Roman" w:eastAsia="宋体" w:cs="Times New Roman"/>
          <w:color w:val="auto"/>
          <w:spacing w:val="-3"/>
          <w:sz w:val="24"/>
          <w:szCs w:val="24"/>
          <w:highlight w:val="none"/>
        </w:rPr>
        <w:t>不</w:t>
      </w:r>
      <w:r>
        <w:rPr>
          <w:rFonts w:hint="default" w:ascii="Times New Roman" w:hAnsi="Times New Roman" w:eastAsia="宋体" w:cs="Times New Roman"/>
          <w:color w:val="auto"/>
          <w:spacing w:val="-4"/>
          <w:sz w:val="24"/>
          <w:szCs w:val="24"/>
          <w:highlight w:val="none"/>
        </w:rPr>
        <w:t>会影响</w:t>
      </w:r>
      <w:r>
        <w:rPr>
          <w:rFonts w:hint="default" w:ascii="Times New Roman" w:hAnsi="Times New Roman" w:eastAsia="宋体" w:cs="Times New Roman"/>
          <w:color w:val="auto"/>
          <w:spacing w:val="-1"/>
          <w:sz w:val="24"/>
          <w:szCs w:val="24"/>
          <w:highlight w:val="none"/>
        </w:rPr>
        <w:t>用地范围内的土壤理化性质。</w:t>
      </w:r>
    </w:p>
    <w:p w14:paraId="68254082">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.6.2</w:t>
      </w:r>
      <w:r>
        <w:rPr>
          <w:rFonts w:hint="default" w:ascii="Times New Roman" w:hAnsi="Times New Roman" w:cs="Times New Roman"/>
          <w:color w:val="auto"/>
          <w:highlight w:val="none"/>
          <w:lang w:val="en-US" w:eastAsia="zh-CN"/>
        </w:rPr>
        <w:t>土壤污影响分析</w:t>
      </w:r>
    </w:p>
    <w:p w14:paraId="5E9C82D9">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土壤环境》（HJ 964－2018）“表5现状调查范围”，评价工作等级为二级的污染影响型项目调查范围应为占地范围边界外扩0.2km范围内。</w:t>
      </w:r>
    </w:p>
    <w:p w14:paraId="21961A8D">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.6.3</w:t>
      </w:r>
      <w:r>
        <w:rPr>
          <w:rFonts w:hint="default" w:ascii="Times New Roman" w:hAnsi="Times New Roman" w:cs="Times New Roman"/>
          <w:color w:val="auto"/>
          <w:highlight w:val="none"/>
          <w:lang w:val="en-US" w:eastAsia="zh-CN"/>
        </w:rPr>
        <w:t>预测内容</w:t>
      </w:r>
    </w:p>
    <w:p w14:paraId="321D5A06">
      <w:pPr>
        <w:spacing w:before="184" w:line="350" w:lineRule="auto"/>
        <w:ind w:left="24" w:right="61" w:firstLine="480"/>
        <w:jc w:val="both"/>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pacing w:val="-3"/>
          <w:sz w:val="24"/>
          <w:szCs w:val="24"/>
          <w:highlight w:val="none"/>
        </w:rPr>
        <w:t>根据土壤环境影响识别结果，本次评价预测</w:t>
      </w:r>
      <w:r>
        <w:rPr>
          <w:rFonts w:hint="default" w:ascii="Times New Roman" w:hAnsi="Times New Roman" w:eastAsia="宋体" w:cs="Times New Roman"/>
          <w:color w:val="auto"/>
          <w:spacing w:val="-4"/>
          <w:sz w:val="24"/>
          <w:szCs w:val="24"/>
          <w:highlight w:val="none"/>
        </w:rPr>
        <w:t>地</w:t>
      </w:r>
      <w:r>
        <w:rPr>
          <w:rFonts w:hint="default" w:ascii="Times New Roman" w:hAnsi="Times New Roman" w:eastAsia="宋体" w:cs="Times New Roman"/>
          <w:color w:val="auto"/>
          <w:spacing w:val="-3"/>
          <w:sz w:val="24"/>
          <w:szCs w:val="24"/>
          <w:highlight w:val="none"/>
        </w:rPr>
        <w:t>面漫流，</w:t>
      </w:r>
      <w:r>
        <w:rPr>
          <w:rFonts w:hint="default" w:ascii="Times New Roman" w:hAnsi="Times New Roman" w:cs="Times New Roman"/>
          <w:color w:val="auto"/>
          <w:spacing w:val="-3"/>
          <w:sz w:val="24"/>
          <w:szCs w:val="24"/>
          <w:highlight w:val="none"/>
          <w:lang w:val="en-US" w:eastAsia="zh-CN"/>
        </w:rPr>
        <w:t>淋溶水收集池</w:t>
      </w:r>
      <w:r>
        <w:rPr>
          <w:rFonts w:hint="default" w:ascii="Times New Roman" w:hAnsi="Times New Roman" w:eastAsia="宋体" w:cs="Times New Roman"/>
          <w:color w:val="auto"/>
          <w:spacing w:val="-3"/>
          <w:sz w:val="24"/>
          <w:szCs w:val="24"/>
          <w:highlight w:val="none"/>
        </w:rPr>
        <w:t>垂直入渗、</w:t>
      </w:r>
      <w:r>
        <w:rPr>
          <w:rFonts w:hint="default" w:ascii="Times New Roman" w:hAnsi="Times New Roman" w:eastAsia="宋体" w:cs="Times New Roman"/>
          <w:color w:val="auto"/>
          <w:spacing w:val="-3"/>
          <w:sz w:val="24"/>
          <w:szCs w:val="24"/>
          <w:highlight w:val="none"/>
          <w:lang w:val="en-US" w:eastAsia="zh-CN"/>
        </w:rPr>
        <w:t>填埋</w:t>
      </w:r>
      <w:r>
        <w:rPr>
          <w:rFonts w:hint="default" w:ascii="Times New Roman" w:hAnsi="Times New Roman" w:eastAsia="宋体" w:cs="Times New Roman"/>
          <w:color w:val="auto"/>
          <w:spacing w:val="-1"/>
          <w:sz w:val="24"/>
          <w:szCs w:val="24"/>
          <w:highlight w:val="none"/>
        </w:rPr>
        <w:t>扬尘的大气沉降对土壤环境污染影响。</w:t>
      </w:r>
    </w:p>
    <w:p w14:paraId="36CF9E27">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5.1.6.4地面漫流</w:t>
      </w:r>
      <w:r>
        <w:rPr>
          <w:rFonts w:hint="default" w:ascii="Times New Roman" w:hAnsi="Times New Roman" w:cs="Times New Roman"/>
          <w:color w:val="auto"/>
          <w:highlight w:val="none"/>
        </w:rPr>
        <w:t>土壤</w:t>
      </w:r>
      <w:r>
        <w:rPr>
          <w:rFonts w:hint="default" w:ascii="Times New Roman" w:hAnsi="Times New Roman" w:cs="Times New Roman"/>
          <w:color w:val="auto"/>
          <w:highlight w:val="none"/>
          <w:lang w:val="en-US" w:eastAsia="zh-CN"/>
        </w:rPr>
        <w:t>预测</w:t>
      </w:r>
    </w:p>
    <w:p w14:paraId="286B18D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本项目地面漫流污染源主要为降雨情况下汇入</w:t>
      </w:r>
      <w:r>
        <w:rPr>
          <w:rFonts w:hint="default" w:ascii="Times New Roman" w:hAnsi="Times New Roman" w:cs="Times New Roman"/>
          <w:color w:val="auto"/>
          <w:highlight w:val="none"/>
          <w:lang w:val="en-US" w:eastAsia="zh-CN"/>
        </w:rPr>
        <w:t>回填区的</w:t>
      </w:r>
      <w:r>
        <w:rPr>
          <w:rFonts w:hint="default" w:ascii="Times New Roman" w:hAnsi="Times New Roman" w:cs="Times New Roman"/>
          <w:color w:val="auto"/>
          <w:highlight w:val="none"/>
        </w:rPr>
        <w:t>的水会发生地面漫流，带出</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中的部分有毒有害物质。</w:t>
      </w:r>
    </w:p>
    <w:p w14:paraId="4BE1DD3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根据工程分析章节可知，本项目淋溶液 pH  在 6~9 范围内； 任何一种污染物的浓度均未超过《危险废物鉴别标准— 浸出毒性鉴别》 （GB5085.3-2007）和《污水综合排放标准》（GB8978-1996）中的最高允许排 放浓度。项目所在区域多年平均</w:t>
      </w:r>
      <w:r>
        <w:rPr>
          <w:rFonts w:hint="default" w:ascii="Times New Roman" w:hAnsi="Times New Roman" w:cs="Times New Roman"/>
          <w:color w:val="auto"/>
          <w:highlight w:val="none"/>
          <w:lang w:val="en-US" w:eastAsia="zh-CN"/>
        </w:rPr>
        <w:t>同时鸡西市年平均蒸发量1284.7mm远大于年平均降水量537.5mm，</w:t>
      </w:r>
      <w:r>
        <w:rPr>
          <w:rFonts w:hint="default" w:ascii="Times New Roman" w:hAnsi="Times New Roman" w:cs="Times New Roman"/>
          <w:color w:val="auto"/>
          <w:highlight w:val="none"/>
        </w:rPr>
        <w:t>气 象条件决定不会有大量的径流，形不成淋溶实验条件，实际带出污染物远低于淋溶实验数据，因此，</w:t>
      </w:r>
      <w:r>
        <w:rPr>
          <w:rFonts w:hint="default" w:ascii="Times New Roman" w:hAnsi="Times New Roman" w:cs="Times New Roman"/>
          <w:color w:val="auto"/>
          <w:highlight w:val="none"/>
          <w:lang w:val="en-US" w:eastAsia="zh-CN"/>
        </w:rPr>
        <w:t>回填区</w:t>
      </w:r>
      <w:r>
        <w:rPr>
          <w:rFonts w:hint="default" w:ascii="Times New Roman" w:hAnsi="Times New Roman" w:cs="Times New Roman"/>
          <w:color w:val="auto"/>
          <w:highlight w:val="none"/>
        </w:rPr>
        <w:t>地表径流水质与天然条件下地表径流 总体上变化不大，进入土壤并不会对周围土壤造成污染影响。</w:t>
      </w:r>
    </w:p>
    <w:p w14:paraId="18264C1B">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5.1.6.5垂直入渗</w:t>
      </w:r>
      <w:r>
        <w:rPr>
          <w:rFonts w:hint="default" w:ascii="Times New Roman" w:hAnsi="Times New Roman" w:cs="Times New Roman"/>
          <w:color w:val="auto"/>
          <w:highlight w:val="none"/>
        </w:rPr>
        <w:t>土壤</w:t>
      </w:r>
      <w:r>
        <w:rPr>
          <w:rFonts w:hint="default" w:ascii="Times New Roman" w:hAnsi="Times New Roman" w:cs="Times New Roman"/>
          <w:color w:val="auto"/>
          <w:highlight w:val="none"/>
          <w:lang w:val="en-US" w:eastAsia="zh-CN"/>
        </w:rPr>
        <w:t>预测</w:t>
      </w:r>
    </w:p>
    <w:p w14:paraId="6C36FA5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土壤污染源包括</w:t>
      </w:r>
      <w:r>
        <w:rPr>
          <w:rFonts w:hint="default" w:ascii="Times New Roman" w:hAnsi="Times New Roman" w:cs="Times New Roman"/>
          <w:color w:val="auto"/>
          <w:highlight w:val="none"/>
          <w:lang w:val="en-US" w:eastAsia="zh-CN"/>
        </w:rPr>
        <w:t>淋溶水收集池破损的情况下以及强降雨时产生的淋溶水垂直入渗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通过垂直入渗进一步污染土壤。</w:t>
      </w:r>
    </w:p>
    <w:p w14:paraId="0A92166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根据土壤现状检测结果可知，</w:t>
      </w:r>
      <w:r>
        <w:rPr>
          <w:rFonts w:hint="default" w:ascii="Times New Roman" w:hAnsi="Times New Roman" w:cs="Times New Roman"/>
          <w:color w:val="auto"/>
          <w:highlight w:val="none"/>
          <w:lang w:val="en-US" w:eastAsia="zh-CN"/>
        </w:rPr>
        <w:t>占地内</w:t>
      </w:r>
      <w:r>
        <w:rPr>
          <w:rFonts w:hint="default" w:ascii="Times New Roman" w:hAnsi="Times New Roman" w:cs="Times New Roman"/>
          <w:color w:val="auto"/>
          <w:highlight w:val="none"/>
        </w:rPr>
        <w:t>现状各个监测因子不同取样深度、监测指标均满足《土壤环境质量 建设 用地土壤污染风险管控标准（试行）》中第二类建设用地风险筛选值限值，说明该区域土壤基本未受到污染，对土壤累积污染在可接受范围内。</w:t>
      </w:r>
    </w:p>
    <w:p w14:paraId="5AA1F38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本项目各功能区均采取“源头控制”防渗措施，对于场底清理后场底基础铺设30cm厚的改性压实粘土压实作为基础层，</w:t>
      </w:r>
      <w:r>
        <w:rPr>
          <w:rFonts w:hint="eastAsia" w:ascii="Times New Roman" w:hAnsi="Times New Roman" w:eastAsia="宋体"/>
          <w:b w:val="0"/>
          <w:color w:val="auto"/>
          <w:kern w:val="21"/>
          <w:sz w:val="24"/>
          <w:highlight w:val="none"/>
          <w:u w:val="none"/>
          <w:shd w:val="clear" w:color="auto" w:fill="auto"/>
          <w:lang w:val="en-US" w:eastAsia="zh-CN"/>
        </w:rPr>
        <w:t>并定期由勘测单位对其检测</w:t>
      </w:r>
      <w:r>
        <w:rPr>
          <w:rFonts w:hint="default" w:ascii="Times New Roman" w:hAnsi="Times New Roman" w:cs="Times New Roman"/>
          <w:color w:val="auto"/>
          <w:highlight w:val="none"/>
        </w:rPr>
        <w:t>，其防渗性能满足渗透系数为1.0×10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cm/s且厚度为0.75m的天然基础层后方可回填</w:t>
      </w:r>
      <w:r>
        <w:rPr>
          <w:rFonts w:hint="default" w:ascii="Times New Roman" w:hAnsi="Times New Roman" w:cs="Times New Roman"/>
          <w:color w:val="auto"/>
          <w:highlight w:val="none"/>
          <w:lang w:val="en-US" w:eastAsia="zh-CN"/>
        </w:rPr>
        <w:t>；边坡防渗结构自下而上分别为基础层、无纺长丝土工布（600g/m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）、1.5mm厚HDPE防渗膜。保证防渗膜渗透系数满足《火力发电厂干式贮灰场设计规程》（DL/T5488-2014）中的要求。</w:t>
      </w:r>
    </w:p>
    <w:p w14:paraId="106C514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在落实防渗措施的情况下，物料或污染物的垂直入渗对土壤影响较小。</w:t>
      </w:r>
    </w:p>
    <w:p w14:paraId="55A10AC4">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5.1.6.6大气沉降</w:t>
      </w:r>
      <w:r>
        <w:rPr>
          <w:rFonts w:hint="default" w:ascii="Times New Roman" w:hAnsi="Times New Roman" w:cs="Times New Roman"/>
          <w:color w:val="auto"/>
          <w:highlight w:val="none"/>
        </w:rPr>
        <w:t>土壤</w:t>
      </w:r>
      <w:r>
        <w:rPr>
          <w:rFonts w:hint="default" w:ascii="Times New Roman" w:hAnsi="Times New Roman" w:cs="Times New Roman"/>
          <w:color w:val="auto"/>
          <w:highlight w:val="none"/>
          <w:lang w:val="en-US" w:eastAsia="zh-CN"/>
        </w:rPr>
        <w:t>预测</w:t>
      </w:r>
    </w:p>
    <w:p w14:paraId="7E27870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发生大气沉降的区域主要为作业区的无组织废气。项目大气污染为运输及贮存时产生的少量扬尘；由于工程对粉尘排放都采取严格的防治措施，实际增加的污染物排放量很小，且根据项目的回填材料成分可知，回填材料主要成为Si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、Al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、Fe</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MgO、CaO等，不含有毒有害的重金属，且所有无组织废气降落到地面后不会下渗；因此发生大气沉降时对土壤影响轻微。因此，只要厂区严格落实各项大气污染防治措施，确保达标排放，大气沉降对项目厂区及周边的表层土壤影响甚微，预计对土壤质量的影响仍将维持在现有水平。</w:t>
      </w:r>
    </w:p>
    <w:p w14:paraId="55FEFED6">
      <w:pPr>
        <w:pStyle w:val="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5.1.6.7评价结论</w:t>
      </w:r>
    </w:p>
    <w:p w14:paraId="33C372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根据《鸡西市滴道南甸子碎石场矿山复垦项目风险评估报告》，根据地块土壤污染状况调查监测结果可知，各监测点的各项监测因子均可满足《土壤环境质量 建设用地土壤污染风险管控标准（试行）》（GB 36600-2018）中第二类用地筛选值、《土壤环境质量 农用地土壤污染风险管控标准（试行）》（GB 15618-2018）表1中其他土壤污染风险筛选值，该地块土壤未受到污染。通过对该地块环境本底调査，该地块历史用途简单，不属于污染地块。该项目对周边土壤的环境污染风险可以接受。无需开展后续详细调查和风险评估，项目实施后该地块对人体健康的风险可以忽略（即低于可接受水平）。《鸡西市滴道南甸子碎石场矿山复垦项目风险评估报告》已经完成专家评审并在相关管理部门备案。</w:t>
      </w:r>
    </w:p>
    <w:p w14:paraId="2B3D45F8">
      <w:pPr>
        <w:pStyle w:val="48"/>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本项目在认真落实上述提出的各项土壤及地下水污染防治措施的基础上，项目建设不会对当地土壤环境产生明显不利影响，结合环境风险评估报告，项目粉煤灰中可溶性重金属含量较低，对土壤和地下水水质的影响轻微，淋溶水不会对地下水和周边土壤环境造成明显影响，对周边环境风险可接受，从土壤环境保护角度而言，项目建设可行。</w:t>
      </w:r>
    </w:p>
    <w:p w14:paraId="0ADED752">
      <w:pPr>
        <w:pStyle w:val="4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5.1.7地下水影响预测与分析</w:t>
      </w:r>
    </w:p>
    <w:p w14:paraId="1DC3147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为了准确、详细刻画事故工况下淋溶水对区域地下水环境的影响，本次评价预测非正常工况下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强降雨下防渗层破裂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淋溶水渗漏对区域地下水环境的影响</w:t>
      </w:r>
      <w:r>
        <w:rPr>
          <w:rFonts w:hint="default" w:ascii="Times New Roman" w:hAnsi="Times New Roman" w:cs="Times New Roman"/>
          <w:color w:val="auto"/>
          <w:highlight w:val="none"/>
          <w:lang w:val="en-US" w:eastAsia="zh-CN"/>
        </w:rPr>
        <w:t>以及防渗淋溶水收集池防渗层破裂</w:t>
      </w:r>
      <w:r>
        <w:rPr>
          <w:rFonts w:hint="default" w:ascii="Times New Roman" w:hAnsi="Times New Roman" w:cs="Times New Roman"/>
          <w:color w:val="auto"/>
          <w:highlight w:val="none"/>
        </w:rPr>
        <w:t>渗漏对区域地下水环境的影响。</w:t>
      </w:r>
    </w:p>
    <w:p w14:paraId="3404657B">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5.1.7.1</w:t>
      </w:r>
      <w:r>
        <w:rPr>
          <w:rFonts w:hint="default" w:ascii="Times New Roman" w:hAnsi="Times New Roman" w:cs="Times New Roman"/>
          <w:color w:val="auto"/>
          <w:highlight w:val="none"/>
        </w:rPr>
        <w:t>预测范围</w:t>
      </w:r>
    </w:p>
    <w:p w14:paraId="437A52F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地下水环境》（HJ610-2016）的要求，本次地下水环境影响评价预测范围与地下水现状调查范围一致，即：项目所在区域范围内。预测层位为地下水</w:t>
      </w:r>
      <w:r>
        <w:rPr>
          <w:rFonts w:hint="eastAsia" w:cs="Times New Roman"/>
          <w:color w:val="auto"/>
          <w:highlight w:val="none"/>
          <w:lang w:val="en-US" w:eastAsia="zh-CN"/>
        </w:rPr>
        <w:t>可能受影响的水层</w:t>
      </w:r>
      <w:r>
        <w:rPr>
          <w:rFonts w:hint="default" w:ascii="Times New Roman" w:hAnsi="Times New Roman" w:cs="Times New Roman"/>
          <w:color w:val="auto"/>
          <w:highlight w:val="none"/>
        </w:rPr>
        <w:t>。</w:t>
      </w:r>
    </w:p>
    <w:p w14:paraId="33792976">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5.1.7.2预测时段</w:t>
      </w:r>
    </w:p>
    <w:p w14:paraId="28E9E04F">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选取可能产生地下水污染的关键时段，预测时段设定为发生</w:t>
      </w:r>
      <w:r>
        <w:rPr>
          <w:rFonts w:hint="default" w:ascii="Times New Roman" w:hAnsi="Times New Roman" w:cs="Times New Roman"/>
          <w:color w:val="auto"/>
          <w:highlight w:val="none"/>
          <w:lang w:val="en-US" w:eastAsia="zh-CN"/>
        </w:rPr>
        <w:t>非正常工况下回填区渗层破裂，</w:t>
      </w:r>
      <w:r>
        <w:rPr>
          <w:rFonts w:hint="default" w:ascii="Times New Roman" w:hAnsi="Times New Roman" w:cs="Times New Roman"/>
          <w:color w:val="auto"/>
          <w:highlight w:val="none"/>
        </w:rPr>
        <w:t>淋溶水泄漏后的100天、1000天、</w:t>
      </w:r>
      <w:r>
        <w:rPr>
          <w:rFonts w:hint="default" w:ascii="Times New Roman" w:hAnsi="Times New Roman" w:cs="Times New Roman"/>
          <w:color w:val="auto"/>
          <w:highlight w:val="none"/>
          <w:lang w:val="en-US" w:eastAsia="zh-CN"/>
        </w:rPr>
        <w:t>3650天；以及淋溶水收集池防渗层破裂，废水泄露后的</w:t>
      </w:r>
      <w:r>
        <w:rPr>
          <w:rFonts w:hint="default" w:ascii="Times New Roman" w:hAnsi="Times New Roman" w:cs="Times New Roman"/>
          <w:color w:val="auto"/>
          <w:highlight w:val="none"/>
        </w:rPr>
        <w:t>100天、1000天、</w:t>
      </w:r>
      <w:r>
        <w:rPr>
          <w:rFonts w:hint="default" w:ascii="Times New Roman" w:hAnsi="Times New Roman" w:cs="Times New Roman"/>
          <w:color w:val="auto"/>
          <w:highlight w:val="none"/>
          <w:lang w:val="en-US" w:eastAsia="zh-CN"/>
        </w:rPr>
        <w:t>3650天。</w:t>
      </w:r>
    </w:p>
    <w:p w14:paraId="320F0A34">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5.1.7.3预测因子</w:t>
      </w:r>
    </w:p>
    <w:p w14:paraId="6390B7A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按照《环境影响评价技术导则 地下水环境》（HJ610-2016）要求“对每一类别的各项因子采用标准指数法进行排序，分别取标准指数最大的因子作为预测因子”。根据前文对</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浸出液检测数据，首先筛选出超出检出限的污染因子，其次将筛选出的污染物按照特性分类，按重金属、持久性有机污染物及其他类别进行分类，根据污染物识别结果及淋溶水水质指标，最后，对照《地下水质量标准》（GB/T14848-2017）、《地表水环境质量标准》（GB3838-2002）计算标准指数，各污染物污染指数排序结果见下表。本项目不涉及持久性有机污染物，重金属因子选择标准指数最大的</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作为评价因子，其他类别选择标准指数最大的</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作为预测因子。</w:t>
      </w:r>
    </w:p>
    <w:p w14:paraId="2E38607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 xml:space="preserve">8 </w:t>
      </w:r>
      <w:r>
        <w:rPr>
          <w:rFonts w:hint="default" w:ascii="Times New Roman" w:hAnsi="Times New Roman" w:cs="Times New Roman"/>
          <w:color w:val="auto"/>
          <w:highlight w:val="none"/>
        </w:rPr>
        <w:t>淋溶水污染特征因子标准指数计算结果表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58"/>
        <w:gridCol w:w="1207"/>
        <w:gridCol w:w="1380"/>
        <w:gridCol w:w="1247"/>
        <w:gridCol w:w="1247"/>
        <w:gridCol w:w="1122"/>
        <w:gridCol w:w="1161"/>
      </w:tblGrid>
      <w:tr w14:paraId="175675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79" w:type="pct"/>
            <w:vAlign w:val="center"/>
          </w:tcPr>
          <w:p w14:paraId="7D9B28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废水名称</w:t>
            </w:r>
          </w:p>
        </w:tc>
        <w:tc>
          <w:tcPr>
            <w:tcW w:w="708" w:type="pct"/>
            <w:vAlign w:val="center"/>
          </w:tcPr>
          <w:p w14:paraId="43B79C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809" w:type="pct"/>
            <w:vAlign w:val="center"/>
          </w:tcPr>
          <w:p w14:paraId="22587E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现状浓度（mg/L）</w:t>
            </w:r>
          </w:p>
        </w:tc>
        <w:tc>
          <w:tcPr>
            <w:tcW w:w="731" w:type="pct"/>
            <w:vAlign w:val="center"/>
          </w:tcPr>
          <w:p w14:paraId="63D91B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标准值（mg/L）</w:t>
            </w:r>
          </w:p>
        </w:tc>
        <w:tc>
          <w:tcPr>
            <w:tcW w:w="731" w:type="pct"/>
            <w:vAlign w:val="center"/>
          </w:tcPr>
          <w:p w14:paraId="36290C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标准指数</w:t>
            </w:r>
          </w:p>
        </w:tc>
        <w:tc>
          <w:tcPr>
            <w:tcW w:w="658" w:type="pct"/>
            <w:vAlign w:val="center"/>
          </w:tcPr>
          <w:p w14:paraId="15A397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排序</w:t>
            </w:r>
          </w:p>
        </w:tc>
        <w:tc>
          <w:tcPr>
            <w:tcW w:w="681" w:type="pct"/>
            <w:vAlign w:val="center"/>
          </w:tcPr>
          <w:p w14:paraId="0C04795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分类</w:t>
            </w:r>
          </w:p>
        </w:tc>
      </w:tr>
      <w:tr w14:paraId="0CCCEB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53" w:hRule="atLeast"/>
          <w:jc w:val="center"/>
        </w:trPr>
        <w:tc>
          <w:tcPr>
            <w:tcW w:w="679" w:type="pct"/>
            <w:vMerge w:val="restart"/>
            <w:vAlign w:val="center"/>
          </w:tcPr>
          <w:p w14:paraId="33996C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淋溶水</w:t>
            </w:r>
          </w:p>
        </w:tc>
        <w:tc>
          <w:tcPr>
            <w:tcW w:w="708" w:type="pct"/>
            <w:vAlign w:val="center"/>
          </w:tcPr>
          <w:p w14:paraId="40ACBF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COD</w:t>
            </w:r>
          </w:p>
        </w:tc>
        <w:tc>
          <w:tcPr>
            <w:tcW w:w="809" w:type="pct"/>
            <w:vAlign w:val="center"/>
          </w:tcPr>
          <w:p w14:paraId="11CE8D7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731" w:type="pct"/>
            <w:vAlign w:val="center"/>
          </w:tcPr>
          <w:p w14:paraId="36960B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w:t>
            </w:r>
          </w:p>
        </w:tc>
        <w:tc>
          <w:tcPr>
            <w:tcW w:w="731" w:type="pct"/>
            <w:vAlign w:val="center"/>
          </w:tcPr>
          <w:p w14:paraId="601946F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w:t>
            </w:r>
          </w:p>
        </w:tc>
        <w:tc>
          <w:tcPr>
            <w:tcW w:w="658" w:type="pct"/>
            <w:vAlign w:val="center"/>
          </w:tcPr>
          <w:p w14:paraId="10CAAFA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681" w:type="pct"/>
            <w:vAlign w:val="center"/>
          </w:tcPr>
          <w:p w14:paraId="2F393E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其他类别</w:t>
            </w:r>
          </w:p>
        </w:tc>
      </w:tr>
      <w:tr w14:paraId="0EB3C6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58" w:hRule="atLeast"/>
          <w:jc w:val="center"/>
        </w:trPr>
        <w:tc>
          <w:tcPr>
            <w:tcW w:w="679" w:type="pct"/>
            <w:vMerge w:val="continue"/>
            <w:vAlign w:val="center"/>
          </w:tcPr>
          <w:p w14:paraId="2CA32861">
            <w:pPr>
              <w:pStyle w:val="46"/>
              <w:bidi w:val="0"/>
              <w:rPr>
                <w:rFonts w:hint="default" w:ascii="Times New Roman" w:hAnsi="Times New Roman" w:cs="Times New Roman"/>
                <w:color w:val="auto"/>
                <w:highlight w:val="none"/>
              </w:rPr>
            </w:pPr>
          </w:p>
        </w:tc>
        <w:tc>
          <w:tcPr>
            <w:tcW w:w="708" w:type="pct"/>
            <w:vAlign w:val="center"/>
          </w:tcPr>
          <w:p w14:paraId="5C246E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809" w:type="pct"/>
            <w:vAlign w:val="center"/>
          </w:tcPr>
          <w:p w14:paraId="4D1C309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731" w:type="pct"/>
            <w:vAlign w:val="center"/>
          </w:tcPr>
          <w:p w14:paraId="50F922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p>
        </w:tc>
        <w:tc>
          <w:tcPr>
            <w:tcW w:w="731" w:type="pct"/>
            <w:vAlign w:val="center"/>
          </w:tcPr>
          <w:p w14:paraId="20E60A5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c>
          <w:tcPr>
            <w:tcW w:w="658" w:type="pct"/>
            <w:vAlign w:val="center"/>
          </w:tcPr>
          <w:p w14:paraId="0FA7499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681" w:type="pct"/>
            <w:vAlign w:val="center"/>
          </w:tcPr>
          <w:p w14:paraId="33CC61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其他类别</w:t>
            </w:r>
          </w:p>
        </w:tc>
      </w:tr>
      <w:tr w14:paraId="6A8DF0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14" w:hRule="atLeast"/>
          <w:jc w:val="center"/>
        </w:trPr>
        <w:tc>
          <w:tcPr>
            <w:tcW w:w="679" w:type="pct"/>
            <w:vMerge w:val="continue"/>
            <w:vAlign w:val="center"/>
          </w:tcPr>
          <w:p w14:paraId="2D994150">
            <w:pPr>
              <w:pStyle w:val="46"/>
              <w:bidi w:val="0"/>
              <w:rPr>
                <w:rFonts w:hint="default" w:ascii="Times New Roman" w:hAnsi="Times New Roman" w:cs="Times New Roman"/>
                <w:color w:val="auto"/>
                <w:highlight w:val="none"/>
              </w:rPr>
            </w:pPr>
          </w:p>
        </w:tc>
        <w:tc>
          <w:tcPr>
            <w:tcW w:w="708" w:type="pct"/>
            <w:vAlign w:val="center"/>
          </w:tcPr>
          <w:p w14:paraId="35F8C2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氟化物</w:t>
            </w:r>
          </w:p>
        </w:tc>
        <w:tc>
          <w:tcPr>
            <w:tcW w:w="809" w:type="pct"/>
            <w:vAlign w:val="center"/>
          </w:tcPr>
          <w:p w14:paraId="3B6701D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731" w:type="pct"/>
            <w:vAlign w:val="center"/>
          </w:tcPr>
          <w:p w14:paraId="53ABC4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731" w:type="pct"/>
            <w:vAlign w:val="center"/>
          </w:tcPr>
          <w:p w14:paraId="4E75DD2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658" w:type="pct"/>
            <w:vAlign w:val="center"/>
          </w:tcPr>
          <w:p w14:paraId="5E077F0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681" w:type="pct"/>
            <w:vAlign w:val="center"/>
          </w:tcPr>
          <w:p w14:paraId="4ECBEC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其他类别</w:t>
            </w:r>
          </w:p>
        </w:tc>
      </w:tr>
      <w:tr w14:paraId="63DFAF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679" w:type="pct"/>
            <w:vMerge w:val="continue"/>
            <w:vAlign w:val="center"/>
          </w:tcPr>
          <w:p w14:paraId="61514863">
            <w:pPr>
              <w:pStyle w:val="46"/>
              <w:bidi w:val="0"/>
              <w:rPr>
                <w:rFonts w:hint="default" w:ascii="Times New Roman" w:hAnsi="Times New Roman" w:cs="Times New Roman"/>
                <w:color w:val="auto"/>
                <w:highlight w:val="none"/>
              </w:rPr>
            </w:pPr>
          </w:p>
        </w:tc>
        <w:tc>
          <w:tcPr>
            <w:tcW w:w="708" w:type="pct"/>
            <w:vAlign w:val="center"/>
          </w:tcPr>
          <w:p w14:paraId="2DB287D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氨氮</w:t>
            </w:r>
          </w:p>
        </w:tc>
        <w:tc>
          <w:tcPr>
            <w:tcW w:w="809" w:type="pct"/>
            <w:vAlign w:val="center"/>
          </w:tcPr>
          <w:p w14:paraId="7C6F630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0.048</w:t>
            </w:r>
          </w:p>
        </w:tc>
        <w:tc>
          <w:tcPr>
            <w:tcW w:w="731" w:type="pct"/>
            <w:vAlign w:val="center"/>
          </w:tcPr>
          <w:p w14:paraId="5A5DD8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0.5</w:t>
            </w:r>
          </w:p>
        </w:tc>
        <w:tc>
          <w:tcPr>
            <w:tcW w:w="731" w:type="pct"/>
            <w:vAlign w:val="center"/>
          </w:tcPr>
          <w:p w14:paraId="0903DDA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0.096</w:t>
            </w:r>
          </w:p>
        </w:tc>
        <w:tc>
          <w:tcPr>
            <w:tcW w:w="658" w:type="pct"/>
            <w:vAlign w:val="center"/>
          </w:tcPr>
          <w:p w14:paraId="0E374ED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681" w:type="pct"/>
            <w:vAlign w:val="center"/>
          </w:tcPr>
          <w:p w14:paraId="1BB595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其他类别</w:t>
            </w:r>
          </w:p>
        </w:tc>
      </w:tr>
      <w:tr w14:paraId="404190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679" w:type="pct"/>
            <w:vMerge w:val="continue"/>
            <w:vAlign w:val="center"/>
          </w:tcPr>
          <w:p w14:paraId="5C7AFCED">
            <w:pPr>
              <w:pStyle w:val="46"/>
              <w:bidi w:val="0"/>
              <w:rPr>
                <w:rFonts w:hint="default" w:ascii="Times New Roman" w:hAnsi="Times New Roman" w:cs="Times New Roman"/>
                <w:color w:val="auto"/>
                <w:highlight w:val="none"/>
              </w:rPr>
            </w:pPr>
          </w:p>
        </w:tc>
        <w:tc>
          <w:tcPr>
            <w:tcW w:w="708" w:type="pct"/>
            <w:vAlign w:val="center"/>
          </w:tcPr>
          <w:p w14:paraId="09102D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总砷</w:t>
            </w:r>
          </w:p>
        </w:tc>
        <w:tc>
          <w:tcPr>
            <w:tcW w:w="809" w:type="pct"/>
            <w:vAlign w:val="center"/>
          </w:tcPr>
          <w:p w14:paraId="30B9F93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0.0182</w:t>
            </w:r>
          </w:p>
        </w:tc>
        <w:tc>
          <w:tcPr>
            <w:tcW w:w="731" w:type="pct"/>
            <w:vAlign w:val="center"/>
          </w:tcPr>
          <w:p w14:paraId="5D1485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0.01</w:t>
            </w:r>
          </w:p>
        </w:tc>
        <w:tc>
          <w:tcPr>
            <w:tcW w:w="731" w:type="pct"/>
            <w:vAlign w:val="center"/>
          </w:tcPr>
          <w:p w14:paraId="07AB34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1.82</w:t>
            </w:r>
          </w:p>
        </w:tc>
        <w:tc>
          <w:tcPr>
            <w:tcW w:w="658" w:type="pct"/>
          </w:tcPr>
          <w:p w14:paraId="12FDC53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681" w:type="pct"/>
            <w:vAlign w:val="center"/>
          </w:tcPr>
          <w:p w14:paraId="6C7882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重金属</w:t>
            </w:r>
          </w:p>
        </w:tc>
      </w:tr>
      <w:tr w14:paraId="467E7F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679" w:type="pct"/>
            <w:vMerge w:val="continue"/>
            <w:vAlign w:val="center"/>
          </w:tcPr>
          <w:p w14:paraId="673784B0">
            <w:pPr>
              <w:pStyle w:val="46"/>
              <w:bidi w:val="0"/>
              <w:rPr>
                <w:rFonts w:hint="default" w:ascii="Times New Roman" w:hAnsi="Times New Roman" w:cs="Times New Roman"/>
                <w:color w:val="auto"/>
                <w:highlight w:val="none"/>
              </w:rPr>
            </w:pPr>
          </w:p>
        </w:tc>
        <w:tc>
          <w:tcPr>
            <w:tcW w:w="708" w:type="pct"/>
            <w:vAlign w:val="center"/>
          </w:tcPr>
          <w:p w14:paraId="4A203D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总铍</w:t>
            </w:r>
          </w:p>
        </w:tc>
        <w:tc>
          <w:tcPr>
            <w:tcW w:w="809" w:type="pct"/>
            <w:vAlign w:val="center"/>
          </w:tcPr>
          <w:p w14:paraId="49445B0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0.00014</w:t>
            </w:r>
          </w:p>
        </w:tc>
        <w:tc>
          <w:tcPr>
            <w:tcW w:w="731" w:type="pct"/>
            <w:vAlign w:val="center"/>
          </w:tcPr>
          <w:p w14:paraId="525419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0.002</w:t>
            </w:r>
          </w:p>
        </w:tc>
        <w:tc>
          <w:tcPr>
            <w:tcW w:w="731" w:type="pct"/>
            <w:vAlign w:val="center"/>
          </w:tcPr>
          <w:p w14:paraId="1C718D3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0.07</w:t>
            </w:r>
          </w:p>
        </w:tc>
        <w:tc>
          <w:tcPr>
            <w:tcW w:w="658" w:type="pct"/>
          </w:tcPr>
          <w:p w14:paraId="221E60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681" w:type="pct"/>
            <w:vAlign w:val="center"/>
          </w:tcPr>
          <w:p w14:paraId="0D166C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重金属</w:t>
            </w:r>
          </w:p>
        </w:tc>
      </w:tr>
      <w:tr w14:paraId="0330B3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679" w:type="pct"/>
            <w:vMerge w:val="continue"/>
            <w:vAlign w:val="center"/>
          </w:tcPr>
          <w:p w14:paraId="4DFB477F">
            <w:pPr>
              <w:pStyle w:val="46"/>
              <w:bidi w:val="0"/>
              <w:rPr>
                <w:rFonts w:hint="default" w:ascii="Times New Roman" w:hAnsi="Times New Roman" w:cs="Times New Roman"/>
                <w:color w:val="auto"/>
                <w:highlight w:val="none"/>
              </w:rPr>
            </w:pPr>
          </w:p>
        </w:tc>
        <w:tc>
          <w:tcPr>
            <w:tcW w:w="708" w:type="pct"/>
            <w:vAlign w:val="center"/>
          </w:tcPr>
          <w:p w14:paraId="72FDE9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总锌</w:t>
            </w:r>
          </w:p>
        </w:tc>
        <w:tc>
          <w:tcPr>
            <w:tcW w:w="809" w:type="pct"/>
            <w:vAlign w:val="center"/>
          </w:tcPr>
          <w:p w14:paraId="463B31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731" w:type="pct"/>
            <w:vAlign w:val="center"/>
          </w:tcPr>
          <w:p w14:paraId="6FEAD1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731" w:type="pct"/>
            <w:vAlign w:val="center"/>
          </w:tcPr>
          <w:p w14:paraId="214C52C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658" w:type="pct"/>
            <w:vAlign w:val="center"/>
          </w:tcPr>
          <w:p w14:paraId="2EDBF30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681" w:type="pct"/>
            <w:vAlign w:val="center"/>
          </w:tcPr>
          <w:p w14:paraId="314B2E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重金属</w:t>
            </w:r>
          </w:p>
        </w:tc>
      </w:tr>
    </w:tbl>
    <w:p w14:paraId="7DD47346">
      <w:pPr>
        <w:pStyle w:val="29"/>
        <w:bidi w:val="0"/>
        <w:rPr>
          <w:rFonts w:hint="default" w:ascii="Times New Roman" w:hAnsi="Times New Roman" w:cs="Times New Roman"/>
          <w:color w:val="auto"/>
          <w:highlight w:val="none"/>
        </w:rPr>
      </w:pPr>
    </w:p>
    <w:p w14:paraId="2A8257B6">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回填区防渗层破裂源强排放情况一览表</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69"/>
        <w:gridCol w:w="1470"/>
        <w:gridCol w:w="1563"/>
        <w:gridCol w:w="1505"/>
        <w:gridCol w:w="1568"/>
        <w:gridCol w:w="1344"/>
      </w:tblGrid>
      <w:tr w14:paraId="3AE3E4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8" w:hRule="atLeast"/>
          <w:jc w:val="center"/>
        </w:trPr>
        <w:tc>
          <w:tcPr>
            <w:tcW w:w="627" w:type="pct"/>
            <w:tcBorders>
              <w:tl2br w:val="nil"/>
              <w:tr2bl w:val="nil"/>
            </w:tcBorders>
            <w:shd w:val="clear" w:color="auto" w:fill="auto"/>
            <w:vAlign w:val="center"/>
          </w:tcPr>
          <w:p w14:paraId="6DEA100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62" w:type="pct"/>
            <w:tcBorders>
              <w:tl2br w:val="nil"/>
              <w:tr2bl w:val="nil"/>
            </w:tcBorders>
            <w:shd w:val="clear" w:color="auto" w:fill="auto"/>
            <w:vAlign w:val="center"/>
          </w:tcPr>
          <w:p w14:paraId="3A95B8A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w:t>
            </w:r>
          </w:p>
        </w:tc>
        <w:tc>
          <w:tcPr>
            <w:tcW w:w="917" w:type="pct"/>
            <w:tcBorders>
              <w:tl2br w:val="nil"/>
              <w:tr2bl w:val="nil"/>
            </w:tcBorders>
            <w:shd w:val="clear" w:color="auto" w:fill="auto"/>
            <w:vAlign w:val="center"/>
          </w:tcPr>
          <w:p w14:paraId="57AF50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渗漏面积m</w:t>
            </w:r>
            <w:r>
              <w:rPr>
                <w:rFonts w:hint="default" w:ascii="Times New Roman" w:hAnsi="Times New Roman" w:cs="Times New Roman"/>
                <w:color w:val="auto"/>
                <w:highlight w:val="none"/>
                <w:vertAlign w:val="superscript"/>
                <w:lang w:val="en-US" w:eastAsia="zh-CN"/>
              </w:rPr>
              <w:t>2</w:t>
            </w:r>
          </w:p>
        </w:tc>
        <w:tc>
          <w:tcPr>
            <w:tcW w:w="883" w:type="pct"/>
            <w:tcBorders>
              <w:tl2br w:val="nil"/>
              <w:tr2bl w:val="nil"/>
            </w:tcBorders>
            <w:shd w:val="clear" w:color="auto" w:fill="auto"/>
            <w:vAlign w:val="center"/>
          </w:tcPr>
          <w:p w14:paraId="3AAA14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渗漏强度m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p>
        </w:tc>
        <w:tc>
          <w:tcPr>
            <w:tcW w:w="920" w:type="pct"/>
            <w:tcBorders>
              <w:tl2br w:val="nil"/>
              <w:tr2bl w:val="nil"/>
            </w:tcBorders>
            <w:shd w:val="clear" w:color="auto" w:fill="auto"/>
            <w:vAlign w:val="center"/>
          </w:tcPr>
          <w:p w14:paraId="27FA73B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污染物浓度</w:t>
            </w:r>
          </w:p>
          <w:p w14:paraId="060B9A0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788" w:type="pct"/>
            <w:tcBorders>
              <w:tl2br w:val="nil"/>
              <w:tr2bl w:val="nil"/>
            </w:tcBorders>
            <w:shd w:val="clear" w:color="auto" w:fill="auto"/>
            <w:vAlign w:val="center"/>
          </w:tcPr>
          <w:p w14:paraId="71DBF57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污染物质量</w:t>
            </w:r>
          </w:p>
          <w:p w14:paraId="1DA4168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kg/d</w:t>
            </w:r>
          </w:p>
        </w:tc>
      </w:tr>
      <w:tr w14:paraId="159382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8" w:hRule="atLeast"/>
          <w:jc w:val="center"/>
        </w:trPr>
        <w:tc>
          <w:tcPr>
            <w:tcW w:w="627" w:type="pct"/>
            <w:tcBorders>
              <w:tl2br w:val="nil"/>
              <w:tr2bl w:val="nil"/>
            </w:tcBorders>
            <w:shd w:val="clear" w:color="auto" w:fill="auto"/>
            <w:vAlign w:val="center"/>
          </w:tcPr>
          <w:p w14:paraId="1DCCB69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62" w:type="pct"/>
            <w:tcBorders>
              <w:tl2br w:val="nil"/>
              <w:tr2bl w:val="nil"/>
            </w:tcBorders>
            <w:shd w:val="clear" w:color="auto" w:fill="auto"/>
            <w:vAlign w:val="center"/>
          </w:tcPr>
          <w:p w14:paraId="48D300C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917" w:type="pct"/>
            <w:tcBorders>
              <w:tl2br w:val="nil"/>
              <w:tr2bl w:val="nil"/>
            </w:tcBorders>
            <w:shd w:val="clear" w:color="auto" w:fill="auto"/>
            <w:vAlign w:val="center"/>
          </w:tcPr>
          <w:p w14:paraId="1504FAF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883" w:type="pct"/>
            <w:tcBorders>
              <w:tl2br w:val="nil"/>
              <w:tr2bl w:val="nil"/>
            </w:tcBorders>
            <w:shd w:val="clear" w:color="auto" w:fill="auto"/>
            <w:vAlign w:val="center"/>
          </w:tcPr>
          <w:p w14:paraId="227A2208">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920" w:type="pct"/>
            <w:tcBorders>
              <w:tl2br w:val="nil"/>
              <w:tr2bl w:val="nil"/>
            </w:tcBorders>
            <w:shd w:val="clear" w:color="auto" w:fill="auto"/>
            <w:vAlign w:val="center"/>
          </w:tcPr>
          <w:p w14:paraId="588518F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788" w:type="pct"/>
            <w:tcBorders>
              <w:tl2br w:val="nil"/>
              <w:tr2bl w:val="nil"/>
            </w:tcBorders>
            <w:shd w:val="clear" w:color="auto" w:fill="auto"/>
            <w:vAlign w:val="center"/>
          </w:tcPr>
          <w:p w14:paraId="2B78D1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8.84 </w:t>
            </w:r>
          </w:p>
        </w:tc>
      </w:tr>
      <w:tr w14:paraId="40AB37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627" w:type="pct"/>
            <w:tcBorders>
              <w:tl2br w:val="nil"/>
              <w:tr2bl w:val="nil"/>
            </w:tcBorders>
            <w:shd w:val="clear" w:color="auto" w:fill="auto"/>
            <w:vAlign w:val="center"/>
          </w:tcPr>
          <w:p w14:paraId="2835218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62" w:type="pct"/>
            <w:tcBorders>
              <w:tl2br w:val="nil"/>
              <w:tr2bl w:val="nil"/>
            </w:tcBorders>
            <w:shd w:val="clear" w:color="auto" w:fill="auto"/>
            <w:vAlign w:val="center"/>
          </w:tcPr>
          <w:p w14:paraId="7535B4A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总砷</w:t>
            </w:r>
          </w:p>
        </w:tc>
        <w:tc>
          <w:tcPr>
            <w:tcW w:w="917" w:type="pct"/>
            <w:tcBorders>
              <w:tl2br w:val="nil"/>
              <w:tr2bl w:val="nil"/>
            </w:tcBorders>
            <w:shd w:val="clear" w:color="auto" w:fill="auto"/>
            <w:vAlign w:val="center"/>
          </w:tcPr>
          <w:p w14:paraId="103517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85303</w:t>
            </w:r>
          </w:p>
        </w:tc>
        <w:tc>
          <w:tcPr>
            <w:tcW w:w="883" w:type="pct"/>
            <w:tcBorders>
              <w:tl2br w:val="nil"/>
              <w:tr2bl w:val="nil"/>
            </w:tcBorders>
            <w:shd w:val="clear" w:color="auto" w:fill="auto"/>
            <w:vAlign w:val="center"/>
          </w:tcPr>
          <w:p w14:paraId="45DD68D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737</w:t>
            </w:r>
          </w:p>
        </w:tc>
        <w:tc>
          <w:tcPr>
            <w:tcW w:w="920" w:type="pct"/>
            <w:tcBorders>
              <w:tl2br w:val="nil"/>
              <w:tr2bl w:val="nil"/>
            </w:tcBorders>
            <w:shd w:val="clear" w:color="auto" w:fill="auto"/>
            <w:vAlign w:val="center"/>
          </w:tcPr>
          <w:p w14:paraId="08B94FD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0.0182</w:t>
            </w:r>
          </w:p>
        </w:tc>
        <w:tc>
          <w:tcPr>
            <w:tcW w:w="788" w:type="pct"/>
            <w:tcBorders>
              <w:tl2br w:val="nil"/>
              <w:tr2bl w:val="nil"/>
            </w:tcBorders>
            <w:shd w:val="clear" w:color="auto" w:fill="auto"/>
            <w:vAlign w:val="center"/>
          </w:tcPr>
          <w:p w14:paraId="07BBC08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0.01 </w:t>
            </w:r>
          </w:p>
        </w:tc>
      </w:tr>
    </w:tbl>
    <w:p w14:paraId="5F382149">
      <w:pPr>
        <w:pStyle w:val="29"/>
        <w:bidi w:val="0"/>
        <w:rPr>
          <w:rFonts w:hint="default" w:ascii="Times New Roman" w:hAnsi="Times New Roman" w:cs="Times New Roman"/>
          <w:color w:val="auto"/>
          <w:highlight w:val="none"/>
        </w:rPr>
      </w:pPr>
    </w:p>
    <w:p w14:paraId="7F7178E9">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淋溶水收集池破裂源强排放情况一览表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1091"/>
        <w:gridCol w:w="1197"/>
        <w:gridCol w:w="1369"/>
        <w:gridCol w:w="1090"/>
        <w:gridCol w:w="1264"/>
        <w:gridCol w:w="1215"/>
      </w:tblGrid>
      <w:tr w14:paraId="2A4E8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0" w:type="pct"/>
            <w:shd w:val="clear" w:color="auto" w:fill="auto"/>
            <w:vAlign w:val="center"/>
          </w:tcPr>
          <w:p w14:paraId="0D0B47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非正常工况</w:t>
            </w:r>
          </w:p>
        </w:tc>
        <w:tc>
          <w:tcPr>
            <w:tcW w:w="640" w:type="pct"/>
            <w:shd w:val="clear" w:color="auto" w:fill="auto"/>
            <w:vAlign w:val="center"/>
          </w:tcPr>
          <w:p w14:paraId="0B7EC7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702" w:type="pct"/>
            <w:shd w:val="clear" w:color="auto" w:fill="auto"/>
            <w:vAlign w:val="center"/>
          </w:tcPr>
          <w:p w14:paraId="2E3C41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803" w:type="pct"/>
            <w:shd w:val="clear" w:color="auto" w:fill="auto"/>
            <w:vAlign w:val="center"/>
          </w:tcPr>
          <w:p w14:paraId="39DF89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渗漏强度（L/m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639" w:type="pct"/>
            <w:shd w:val="clear" w:color="auto" w:fill="auto"/>
            <w:vAlign w:val="center"/>
          </w:tcPr>
          <w:p w14:paraId="5369E9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渗漏量（L/d）</w:t>
            </w:r>
          </w:p>
        </w:tc>
        <w:tc>
          <w:tcPr>
            <w:tcW w:w="741" w:type="pct"/>
            <w:shd w:val="clear" w:color="auto" w:fill="auto"/>
            <w:vAlign w:val="center"/>
          </w:tcPr>
          <w:p w14:paraId="068F374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712" w:type="pct"/>
            <w:shd w:val="clear" w:color="auto" w:fill="auto"/>
            <w:vAlign w:val="center"/>
          </w:tcPr>
          <w:p w14:paraId="72C0D4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污染物质量（kg/d）</w:t>
            </w:r>
          </w:p>
        </w:tc>
      </w:tr>
      <w:tr w14:paraId="5641F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exact"/>
        </w:trPr>
        <w:tc>
          <w:tcPr>
            <w:tcW w:w="760" w:type="pct"/>
            <w:vMerge w:val="restart"/>
            <w:shd w:val="clear" w:color="auto" w:fill="auto"/>
            <w:vAlign w:val="center"/>
          </w:tcPr>
          <w:p w14:paraId="3D125E75">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淋溶水收集池破裂</w:t>
            </w:r>
          </w:p>
        </w:tc>
        <w:tc>
          <w:tcPr>
            <w:tcW w:w="640" w:type="pct"/>
            <w:shd w:val="clear" w:color="auto" w:fill="auto"/>
            <w:vAlign w:val="center"/>
          </w:tcPr>
          <w:p w14:paraId="14EB7D26">
            <w:pPr>
              <w:pStyle w:val="46"/>
              <w:bidi w:val="0"/>
              <w:ind w:firstLine="0" w:firstLineChars="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COD</w:t>
            </w:r>
          </w:p>
        </w:tc>
        <w:tc>
          <w:tcPr>
            <w:tcW w:w="702" w:type="pct"/>
            <w:shd w:val="clear" w:color="auto" w:fill="auto"/>
            <w:vAlign w:val="center"/>
          </w:tcPr>
          <w:p w14:paraId="4B076D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6EEBE9E6">
            <w:pPr>
              <w:pStyle w:val="46"/>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4A5C7F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294D735D">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120</w:t>
            </w:r>
          </w:p>
        </w:tc>
        <w:tc>
          <w:tcPr>
            <w:tcW w:w="712" w:type="pct"/>
            <w:shd w:val="clear" w:color="auto" w:fill="auto"/>
            <w:vAlign w:val="center"/>
          </w:tcPr>
          <w:p w14:paraId="3AAF6A6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w:t>
            </w:r>
          </w:p>
        </w:tc>
      </w:tr>
      <w:tr w14:paraId="63E99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60" w:type="pct"/>
            <w:vMerge w:val="continue"/>
            <w:shd w:val="clear" w:color="auto" w:fill="auto"/>
            <w:vAlign w:val="center"/>
          </w:tcPr>
          <w:p w14:paraId="7B135CC0">
            <w:pPr>
              <w:pStyle w:val="46"/>
              <w:bidi w:val="0"/>
              <w:rPr>
                <w:rFonts w:hint="default" w:ascii="Times New Roman" w:hAnsi="Times New Roman" w:cs="Times New Roman"/>
                <w:color w:val="auto"/>
                <w:highlight w:val="none"/>
              </w:rPr>
            </w:pPr>
          </w:p>
        </w:tc>
        <w:tc>
          <w:tcPr>
            <w:tcW w:w="640" w:type="pct"/>
            <w:shd w:val="clear" w:color="auto" w:fill="auto"/>
            <w:vAlign w:val="center"/>
          </w:tcPr>
          <w:p w14:paraId="3F068820">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总砷</w:t>
            </w:r>
          </w:p>
        </w:tc>
        <w:tc>
          <w:tcPr>
            <w:tcW w:w="702" w:type="pct"/>
            <w:shd w:val="clear" w:color="auto" w:fill="auto"/>
            <w:vAlign w:val="center"/>
          </w:tcPr>
          <w:p w14:paraId="481900F1">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50</w:t>
            </w:r>
          </w:p>
        </w:tc>
        <w:tc>
          <w:tcPr>
            <w:tcW w:w="803" w:type="pct"/>
            <w:shd w:val="clear" w:color="auto" w:fill="auto"/>
            <w:vAlign w:val="center"/>
          </w:tcPr>
          <w:p w14:paraId="034D20F9">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639" w:type="pct"/>
            <w:shd w:val="clear" w:color="auto" w:fill="auto"/>
            <w:vAlign w:val="center"/>
          </w:tcPr>
          <w:p w14:paraId="4111C7D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41" w:type="pct"/>
            <w:shd w:val="clear" w:color="auto" w:fill="auto"/>
            <w:vAlign w:val="center"/>
          </w:tcPr>
          <w:p w14:paraId="400FF9EF">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0.182</w:t>
            </w:r>
          </w:p>
        </w:tc>
        <w:tc>
          <w:tcPr>
            <w:tcW w:w="712" w:type="pct"/>
            <w:shd w:val="clear" w:color="auto" w:fill="auto"/>
            <w:vAlign w:val="center"/>
          </w:tcPr>
          <w:p w14:paraId="71B5A5A9">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0.055</w:t>
            </w:r>
          </w:p>
        </w:tc>
      </w:tr>
    </w:tbl>
    <w:p w14:paraId="57C770C6">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根据上表，本次预测分别选取</w:t>
      </w:r>
      <w:r>
        <w:rPr>
          <w:rFonts w:hint="default" w:ascii="Times New Roman" w:hAnsi="Times New Roman" w:cs="Times New Roman"/>
          <w:color w:val="auto"/>
          <w:highlight w:val="none"/>
          <w:lang w:val="en-US" w:eastAsia="zh-CN"/>
        </w:rPr>
        <w:t>总砷</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作为预测因子。</w:t>
      </w:r>
    </w:p>
    <w:p w14:paraId="763D60E2">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5.1.7.4评价标准</w:t>
      </w:r>
    </w:p>
    <w:p w14:paraId="61911D7B">
      <w:pPr>
        <w:pStyle w:val="27"/>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的评价标准按照《地下水质量标准》（GB/T14848-2017）Ш类标准（</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mg/L），</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类参照《地表水环境质量标准》（GB3838-2002）（</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mg/L）。</w:t>
      </w:r>
      <w:r>
        <w:rPr>
          <w:rFonts w:hint="default" w:ascii="Times New Roman" w:hAnsi="Times New Roman" w:cs="Times New Roman"/>
          <w:color w:val="auto"/>
          <w:highlight w:val="none"/>
          <w:lang w:val="en-US" w:eastAsia="zh-CN"/>
        </w:rPr>
        <w:t>检出限分别为砷0.0003mg/L，COD0.05mg/L。</w:t>
      </w:r>
    </w:p>
    <w:p w14:paraId="0B2236B8">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5.1.7.5预测模式</w:t>
      </w:r>
    </w:p>
    <w:p w14:paraId="6380CAC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1）预测模型</w:t>
      </w:r>
    </w:p>
    <w:p w14:paraId="55FC29B8">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地下水环境》（HJ610-2016）要求，地下水环境影响评价三级评价预测方法可以选用解析法。根据本项目地下水的污染特性选用一维预测模型，公式如下。</w:t>
      </w:r>
    </w:p>
    <w:p w14:paraId="0CE23F70">
      <w:pPr>
        <w:pStyle w:val="27"/>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219450" cy="752475"/>
            <wp:effectExtent l="0" t="0" r="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3219450" cy="752475"/>
                    </a:xfrm>
                    <a:prstGeom prst="rect">
                      <a:avLst/>
                    </a:prstGeom>
                    <a:noFill/>
                    <a:ln>
                      <a:noFill/>
                    </a:ln>
                  </pic:spPr>
                </pic:pic>
              </a:graphicData>
            </a:graphic>
          </wp:inline>
        </w:drawing>
      </w:r>
    </w:p>
    <w:p w14:paraId="7ACCAB75">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式中：x—距注入点的距离，m；</w:t>
      </w:r>
    </w:p>
    <w:p w14:paraId="224943B5">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t—时间，d；</w:t>
      </w:r>
    </w:p>
    <w:p w14:paraId="7FFCA6B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C（x,t）—t时刻点x处的示踪剂浓度，g/L；</w:t>
      </w:r>
    </w:p>
    <w:p w14:paraId="41B5B5F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—注入示踪剂浓度，g/L；</w:t>
      </w:r>
    </w:p>
    <w:p w14:paraId="27DBD025">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u—水流速度，m/d；</w:t>
      </w:r>
    </w:p>
    <w:p w14:paraId="19153DD8">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2576" behindDoc="1" locked="0" layoutInCell="1" allowOverlap="1">
                <wp:simplePos x="0" y="0"/>
                <wp:positionH relativeFrom="page">
                  <wp:posOffset>1970405</wp:posOffset>
                </wp:positionH>
                <wp:positionV relativeFrom="paragraph">
                  <wp:posOffset>159385</wp:posOffset>
                </wp:positionV>
                <wp:extent cx="38100" cy="762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38100" cy="76200"/>
                        </a:xfrm>
                        <a:prstGeom prst="rect">
                          <a:avLst/>
                        </a:prstGeom>
                        <a:noFill/>
                        <a:ln>
                          <a:noFill/>
                        </a:ln>
                      </wps:spPr>
                      <wps:txbx>
                        <w:txbxContent>
                          <w:p w14:paraId="655A2CC7">
                            <w:pPr>
                              <w:spacing w:line="120" w:lineRule="exact"/>
                              <w:ind w:firstLine="240"/>
                              <w:rPr>
                                <w:rFonts w:hint="eastAsia" w:ascii="宋体" w:hAnsi="宋体" w:cs="宋体"/>
                                <w:sz w:val="12"/>
                                <w:szCs w:val="12"/>
                              </w:rPr>
                            </w:pPr>
                            <w:r>
                              <w:rPr>
                                <w:rFonts w:hint="eastAsia" w:ascii="宋体"/>
                                <w:sz w:val="12"/>
                              </w:rPr>
                              <w:t>L</w:t>
                            </w:r>
                          </w:p>
                        </w:txbxContent>
                      </wps:txbx>
                      <wps:bodyPr lIns="0" tIns="0" rIns="0" bIns="0" upright="1"/>
                    </wps:wsp>
                  </a:graphicData>
                </a:graphic>
              </wp:anchor>
            </w:drawing>
          </mc:Choice>
          <mc:Fallback>
            <w:pict>
              <v:shape id="_x0000_s1026" o:spid="_x0000_s1026" o:spt="202" type="#_x0000_t202" style="position:absolute;left:0pt;margin-left:155.15pt;margin-top:12.55pt;height:6pt;width:3pt;mso-position-horizontal-relative:page;z-index:-251643904;mso-width-relative:page;mso-height-relative:page;" filled="f" stroked="f" coordsize="21600,21600" o:gfxdata="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RmvIjdcAAAAJAQAADwAAAAAAAAABACAAAAAiAAAAZHJzL2Rvd25yZXYueG1sUEsBAhQAFAAA&#10;AAgAh07iQNB2ApK3AQAAcQMAAA4AAAAAAAAAAQAgAAAAJgEAAGRycy9lMm9Eb2MueG1sUEsFBgAA&#10;AAAGAAYAWQEAAE8FAAAAAA==&#10;">
                <v:fill on="f" focussize="0,0"/>
                <v:stroke on="f"/>
                <v:imagedata o:title=""/>
                <o:lock v:ext="edit" aspectratio="f"/>
                <v:textbox inset="0mm,0mm,0mm,0mm">
                  <w:txbxContent>
                    <w:p w14:paraId="655A2CC7">
                      <w:pPr>
                        <w:spacing w:line="120" w:lineRule="exact"/>
                        <w:ind w:firstLine="240"/>
                        <w:rPr>
                          <w:rFonts w:hint="eastAsia" w:ascii="宋体" w:hAnsi="宋体" w:cs="宋体"/>
                          <w:sz w:val="12"/>
                          <w:szCs w:val="12"/>
                        </w:rPr>
                      </w:pPr>
                      <w:r>
                        <w:rPr>
                          <w:rFonts w:hint="eastAsia" w:ascii="宋体"/>
                          <w:sz w:val="12"/>
                        </w:rPr>
                        <w:t>L</w:t>
                      </w:r>
                    </w:p>
                  </w:txbxContent>
                </v:textbox>
              </v:shape>
            </w:pict>
          </mc:Fallback>
        </mc:AlternateContent>
      </w:r>
      <w:r>
        <w:rPr>
          <w:rFonts w:hint="default" w:ascii="Times New Roman" w:hAnsi="Times New Roman" w:cs="Times New Roman"/>
          <w:color w:val="auto"/>
          <w:highlight w:val="none"/>
        </w:rPr>
        <w:t>D—纵向弥散系数，m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14:paraId="3DC6F27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erfc（）—余差数函数；</w:t>
      </w:r>
    </w:p>
    <w:p w14:paraId="14D1086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2）模式中参数的确定</w:t>
      </w:r>
    </w:p>
    <w:p w14:paraId="7A4D1F08">
      <w:pPr>
        <w:pStyle w:val="27"/>
        <w:ind w:firstLine="480"/>
        <w:rPr>
          <w:rFonts w:hint="default" w:ascii="Times New Roman" w:hAnsi="Times New Roman" w:eastAsia="宋体" w:cs="Times New Roman"/>
          <w:b w:val="0"/>
          <w:color w:val="auto"/>
          <w:kern w:val="21"/>
          <w:sz w:val="24"/>
          <w:szCs w:val="24"/>
          <w:highlight w:val="none"/>
          <w:u w:val="none"/>
          <w:lang w:val="en-US" w:eastAsia="zh-CN"/>
        </w:rPr>
      </w:pPr>
      <w:r>
        <w:rPr>
          <w:rFonts w:hint="default" w:ascii="Times New Roman" w:hAnsi="Times New Roman" w:eastAsia="宋体" w:cs="Times New Roman"/>
          <w:b w:val="0"/>
          <w:color w:val="auto"/>
          <w:kern w:val="21"/>
          <w:sz w:val="24"/>
          <w:szCs w:val="24"/>
          <w:highlight w:val="none"/>
          <w:u w:val="none"/>
          <w:lang w:val="en-US" w:eastAsia="zh-CN"/>
        </w:rPr>
        <w:t>水流速度（u）：根据达西定律u=含水层渗透系数×地下水水力坡度，根据地下水概况分析，由于项目区域区内地表分布的残坡积层碎石层透水性差，为隔水层，基本不会影响地下水，但考虑最不利影响，按照砂砾石取值，渗透系数K取50m/d，水力坡度I=0.002</w:t>
      </w:r>
      <w:r>
        <w:rPr>
          <w:rFonts w:hint="default" w:ascii="Times New Roman" w:hAnsi="Times New Roman" w:cs="Times New Roman"/>
          <w:color w:val="auto"/>
          <w:kern w:val="21"/>
          <w:highlight w:val="none"/>
        </w:rPr>
        <w:t>（由1:5万等水位线图上量取）</w:t>
      </w:r>
      <w:r>
        <w:rPr>
          <w:rFonts w:hint="default" w:ascii="Times New Roman" w:hAnsi="Times New Roman" w:eastAsia="宋体" w:cs="Times New Roman"/>
          <w:b w:val="0"/>
          <w:color w:val="auto"/>
          <w:kern w:val="21"/>
          <w:sz w:val="24"/>
          <w:szCs w:val="24"/>
          <w:highlight w:val="none"/>
          <w:u w:val="none"/>
          <w:lang w:val="en-US" w:eastAsia="zh-CN"/>
        </w:rPr>
        <w:t>，所以u=0.01m/d。有效孔隙度（n）：</w:t>
      </w:r>
      <w:r>
        <w:rPr>
          <w:rFonts w:hint="default" w:ascii="Times New Roman" w:hAnsi="Times New Roman" w:cs="Times New Roman"/>
          <w:color w:val="auto"/>
          <w:kern w:val="21"/>
          <w:highlight w:val="none"/>
        </w:rPr>
        <w:t>0.</w:t>
      </w:r>
      <w:r>
        <w:rPr>
          <w:rFonts w:hint="default" w:ascii="Times New Roman" w:hAnsi="Times New Roman" w:cs="Times New Roman"/>
          <w:color w:val="auto"/>
          <w:kern w:val="21"/>
          <w:highlight w:val="none"/>
          <w:lang w:val="en-US" w:eastAsia="zh-CN"/>
        </w:rPr>
        <w:t>35</w:t>
      </w:r>
      <w:r>
        <w:rPr>
          <w:rFonts w:hint="default" w:ascii="Times New Roman" w:hAnsi="Times New Roman" w:cs="Times New Roman"/>
          <w:color w:val="auto"/>
          <w:kern w:val="21"/>
          <w:highlight w:val="none"/>
        </w:rPr>
        <w:t>（</w:t>
      </w:r>
      <w:r>
        <w:rPr>
          <w:rFonts w:hint="default" w:ascii="Times New Roman" w:hAnsi="Times New Roman" w:cs="Times New Roman"/>
          <w:color w:val="auto"/>
          <w:kern w:val="21"/>
          <w:highlight w:val="none"/>
          <w:lang w:val="en-US" w:eastAsia="zh-CN"/>
        </w:rPr>
        <w:t>由</w:t>
      </w:r>
      <w:r>
        <w:rPr>
          <w:rFonts w:hint="default" w:ascii="Times New Roman" w:hAnsi="Times New Roman" w:cs="Times New Roman"/>
          <w:color w:val="auto"/>
          <w:kern w:val="21"/>
          <w:highlight w:val="none"/>
        </w:rPr>
        <w:t>地质专业知识服务系统</w:t>
      </w:r>
      <w:r>
        <w:rPr>
          <w:rFonts w:hint="default" w:ascii="Times New Roman" w:hAnsi="Times New Roman" w:cs="Times New Roman"/>
          <w:color w:val="auto"/>
          <w:kern w:val="21"/>
          <w:highlight w:val="none"/>
          <w:lang w:val="en-US" w:eastAsia="zh-CN"/>
        </w:rPr>
        <w:t>查取</w:t>
      </w:r>
      <w:r>
        <w:rPr>
          <w:rFonts w:hint="default" w:ascii="Times New Roman" w:hAnsi="Times New Roman" w:cs="Times New Roman"/>
          <w:color w:val="auto"/>
          <w:kern w:val="21"/>
          <w:highlight w:val="none"/>
        </w:rPr>
        <w:t>）</w:t>
      </w:r>
      <w:r>
        <w:rPr>
          <w:rFonts w:hint="default" w:ascii="Times New Roman" w:hAnsi="Times New Roman" w:eastAsia="宋体" w:cs="Times New Roman"/>
          <w:b w:val="0"/>
          <w:color w:val="auto"/>
          <w:kern w:val="21"/>
          <w:sz w:val="24"/>
          <w:szCs w:val="24"/>
          <w:highlight w:val="none"/>
          <w:u w:val="none"/>
          <w:lang w:val="en-US" w:eastAsia="zh-CN"/>
        </w:rPr>
        <w:t>。</w:t>
      </w:r>
    </w:p>
    <w:p w14:paraId="29BDE20A">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弥散系数：纵横弥散系数根据含水层岩性及渗透系数、水力坡度等因素，本项目参考《海岸工程》第17卷第3期－地下水弥散系数的测定中的弥散系数参考表，具体见下表。</w:t>
      </w:r>
    </w:p>
    <w:p w14:paraId="2064A01B">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1</w:t>
      </w:r>
      <w:r>
        <w:rPr>
          <w:rFonts w:hint="default" w:ascii="Times New Roman" w:hAnsi="Times New Roman" w:cs="Times New Roman"/>
          <w:color w:val="auto"/>
          <w:highlight w:val="none"/>
        </w:rPr>
        <w:t xml:space="preserve">弥散系数参考表 </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106"/>
        <w:gridCol w:w="1938"/>
        <w:gridCol w:w="2528"/>
        <w:gridCol w:w="2734"/>
      </w:tblGrid>
      <w:tr w14:paraId="162CD7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6" w:type="pct"/>
            <w:vMerge w:val="restart"/>
            <w:vAlign w:val="center"/>
          </w:tcPr>
          <w:p w14:paraId="511DB2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国内外经验系数</w:t>
            </w:r>
          </w:p>
        </w:tc>
        <w:tc>
          <w:tcPr>
            <w:tcW w:w="1166" w:type="pct"/>
            <w:vAlign w:val="center"/>
          </w:tcPr>
          <w:p w14:paraId="683C09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含水层类型</w:t>
            </w:r>
          </w:p>
        </w:tc>
        <w:tc>
          <w:tcPr>
            <w:tcW w:w="1521" w:type="pct"/>
            <w:vAlign w:val="center"/>
          </w:tcPr>
          <w:p w14:paraId="0CACF1F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纵向弥散系数（m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1645" w:type="pct"/>
            <w:vAlign w:val="center"/>
          </w:tcPr>
          <w:p w14:paraId="7A028C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横向弥散系数（m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r>
      <w:tr w14:paraId="5E92F7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6" w:type="pct"/>
            <w:vMerge w:val="continue"/>
            <w:vAlign w:val="center"/>
          </w:tcPr>
          <w:p w14:paraId="6F6A8BA6">
            <w:pPr>
              <w:pStyle w:val="46"/>
              <w:bidi w:val="0"/>
              <w:rPr>
                <w:rFonts w:hint="default" w:ascii="Times New Roman" w:hAnsi="Times New Roman" w:cs="Times New Roman"/>
                <w:color w:val="auto"/>
                <w:highlight w:val="none"/>
              </w:rPr>
            </w:pPr>
          </w:p>
        </w:tc>
        <w:tc>
          <w:tcPr>
            <w:tcW w:w="1166" w:type="pct"/>
            <w:vAlign w:val="center"/>
          </w:tcPr>
          <w:p w14:paraId="0C691FE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砂砾</w:t>
            </w:r>
          </w:p>
        </w:tc>
        <w:tc>
          <w:tcPr>
            <w:tcW w:w="1521" w:type="pct"/>
            <w:vAlign w:val="center"/>
          </w:tcPr>
          <w:p w14:paraId="081D05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645" w:type="pct"/>
            <w:vAlign w:val="center"/>
          </w:tcPr>
          <w:p w14:paraId="34954D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0.2~1</w:t>
            </w:r>
          </w:p>
        </w:tc>
      </w:tr>
    </w:tbl>
    <w:p w14:paraId="37853CE4">
      <w:pPr>
        <w:pStyle w:val="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5.1.7.6预测结果</w:t>
      </w:r>
    </w:p>
    <w:p w14:paraId="6724E82B">
      <w:pPr>
        <w:pStyle w:val="27"/>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最大运移距离：含水层中特征因子在地下水中运移的最远距离，以其检出限计。</w:t>
      </w:r>
    </w:p>
    <w:p w14:paraId="72E07FDE">
      <w:pPr>
        <w:pStyle w:val="27"/>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最大超标距离：含水层中特征因子超过相应标准值的运移距离。</w:t>
      </w:r>
    </w:p>
    <w:p w14:paraId="288FE5F9">
      <w:pPr>
        <w:pStyle w:val="27"/>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超标范围：含水层中特征因子超过相应标准值的分布面积。</w:t>
      </w:r>
    </w:p>
    <w:p w14:paraId="6431685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预测计算结果见下表。</w:t>
      </w:r>
    </w:p>
    <w:p w14:paraId="5918562F">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2</w:t>
      </w:r>
      <w:r>
        <w:rPr>
          <w:rFonts w:hint="default" w:ascii="Times New Roman" w:hAnsi="Times New Roman" w:cs="Times New Roman"/>
          <w:color w:val="auto"/>
          <w:highlight w:val="none"/>
        </w:rPr>
        <w:t>非正常状况下</w:t>
      </w:r>
      <w:r>
        <w:rPr>
          <w:rFonts w:hint="default" w:ascii="Times New Roman" w:hAnsi="Times New Roman" w:cs="Times New Roman"/>
          <w:color w:val="auto"/>
          <w:highlight w:val="none"/>
          <w:lang w:val="en-US" w:eastAsia="zh-CN"/>
        </w:rPr>
        <w:t>回填区</w:t>
      </w:r>
      <w:r>
        <w:rPr>
          <w:rFonts w:hint="default" w:ascii="Times New Roman" w:hAnsi="Times New Roman" w:cs="Times New Roman"/>
          <w:color w:val="auto"/>
          <w:highlight w:val="none"/>
        </w:rPr>
        <w:t>地下水环境影响范围预测结果</w:t>
      </w:r>
    </w:p>
    <w:tbl>
      <w:tblPr>
        <w:tblStyle w:val="24"/>
        <w:tblW w:w="474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93"/>
        <w:gridCol w:w="1262"/>
        <w:gridCol w:w="1946"/>
        <w:gridCol w:w="1454"/>
        <w:gridCol w:w="2221"/>
      </w:tblGrid>
      <w:tr w14:paraId="2D043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630" w:type="pct"/>
            <w:noWrap w:val="0"/>
            <w:vAlign w:val="center"/>
          </w:tcPr>
          <w:p w14:paraId="23B73D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特征因子</w:t>
            </w:r>
          </w:p>
        </w:tc>
        <w:tc>
          <w:tcPr>
            <w:tcW w:w="801" w:type="pct"/>
            <w:noWrap w:val="0"/>
            <w:vAlign w:val="center"/>
          </w:tcPr>
          <w:p w14:paraId="703B368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预测年限</w:t>
            </w:r>
          </w:p>
        </w:tc>
        <w:tc>
          <w:tcPr>
            <w:tcW w:w="1235" w:type="pct"/>
            <w:noWrap w:val="0"/>
            <w:vAlign w:val="center"/>
          </w:tcPr>
          <w:p w14:paraId="4CCB5F4D">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最大超标距离(m)</w:t>
            </w:r>
          </w:p>
        </w:tc>
        <w:tc>
          <w:tcPr>
            <w:tcW w:w="923" w:type="pct"/>
            <w:noWrap w:val="0"/>
            <w:vAlign w:val="center"/>
          </w:tcPr>
          <w:p w14:paraId="241A12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运移距离</w:t>
            </w:r>
            <w:r>
              <w:rPr>
                <w:rFonts w:hint="default" w:ascii="Times New Roman" w:hAnsi="Times New Roman" w:cs="Times New Roman"/>
                <w:color w:val="auto"/>
                <w:highlight w:val="none"/>
              </w:rPr>
              <w:t>距离(m)</w:t>
            </w:r>
          </w:p>
        </w:tc>
        <w:tc>
          <w:tcPr>
            <w:tcW w:w="1409" w:type="pct"/>
            <w:noWrap w:val="0"/>
            <w:vAlign w:val="center"/>
          </w:tcPr>
          <w:p w14:paraId="3ED18D3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最大浓度（mg/L）</w:t>
            </w:r>
          </w:p>
        </w:tc>
      </w:tr>
      <w:tr w14:paraId="6E0A3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630" w:type="pct"/>
            <w:vMerge w:val="restart"/>
            <w:noWrap w:val="0"/>
            <w:vAlign w:val="center"/>
          </w:tcPr>
          <w:p w14:paraId="4E791D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801" w:type="pct"/>
            <w:noWrap w:val="0"/>
            <w:vAlign w:val="center"/>
          </w:tcPr>
          <w:p w14:paraId="1CC324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235" w:type="pct"/>
            <w:noWrap w:val="0"/>
            <w:vAlign w:val="center"/>
          </w:tcPr>
          <w:p w14:paraId="4A5E0FD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195C030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3C678199">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0.00835</w:t>
            </w:r>
          </w:p>
        </w:tc>
      </w:tr>
      <w:tr w14:paraId="00BAE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630" w:type="pct"/>
            <w:vMerge w:val="continue"/>
            <w:noWrap w:val="0"/>
            <w:vAlign w:val="center"/>
          </w:tcPr>
          <w:p w14:paraId="01832763">
            <w:pPr>
              <w:pStyle w:val="46"/>
              <w:bidi w:val="0"/>
              <w:rPr>
                <w:rFonts w:hint="default" w:ascii="Times New Roman" w:hAnsi="Times New Roman" w:cs="Times New Roman"/>
                <w:color w:val="auto"/>
                <w:highlight w:val="none"/>
              </w:rPr>
            </w:pPr>
          </w:p>
        </w:tc>
        <w:tc>
          <w:tcPr>
            <w:tcW w:w="801" w:type="pct"/>
            <w:noWrap w:val="0"/>
            <w:vAlign w:val="center"/>
          </w:tcPr>
          <w:p w14:paraId="06C749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235" w:type="pct"/>
            <w:noWrap w:val="0"/>
            <w:vAlign w:val="center"/>
          </w:tcPr>
          <w:p w14:paraId="2735F43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77636840">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6D9A28B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0.0026</w:t>
            </w:r>
          </w:p>
        </w:tc>
      </w:tr>
      <w:tr w14:paraId="42AAE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630" w:type="pct"/>
            <w:vMerge w:val="continue"/>
            <w:noWrap w:val="0"/>
            <w:vAlign w:val="center"/>
          </w:tcPr>
          <w:p w14:paraId="654DA8DE">
            <w:pPr>
              <w:pStyle w:val="46"/>
              <w:bidi w:val="0"/>
              <w:rPr>
                <w:rFonts w:hint="default" w:ascii="Times New Roman" w:hAnsi="Times New Roman" w:cs="Times New Roman"/>
                <w:color w:val="auto"/>
                <w:highlight w:val="none"/>
              </w:rPr>
            </w:pPr>
          </w:p>
        </w:tc>
        <w:tc>
          <w:tcPr>
            <w:tcW w:w="801" w:type="pct"/>
            <w:noWrap w:val="0"/>
            <w:vAlign w:val="center"/>
          </w:tcPr>
          <w:p w14:paraId="7A4B2C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235" w:type="pct"/>
            <w:noWrap w:val="0"/>
            <w:vAlign w:val="center"/>
          </w:tcPr>
          <w:p w14:paraId="233B5F5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09F5347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41DB86C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0.0014</w:t>
            </w:r>
          </w:p>
        </w:tc>
      </w:tr>
      <w:tr w14:paraId="50FF5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630" w:type="pct"/>
            <w:vMerge w:val="restart"/>
            <w:noWrap w:val="0"/>
            <w:vAlign w:val="center"/>
          </w:tcPr>
          <w:p w14:paraId="77B5C30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w:t>
            </w:r>
          </w:p>
        </w:tc>
        <w:tc>
          <w:tcPr>
            <w:tcW w:w="801" w:type="pct"/>
            <w:noWrap w:val="0"/>
            <w:vAlign w:val="center"/>
          </w:tcPr>
          <w:p w14:paraId="7D6258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235" w:type="pct"/>
            <w:noWrap w:val="0"/>
            <w:vAlign w:val="center"/>
          </w:tcPr>
          <w:p w14:paraId="0807B221">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08370FC7">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59D2C107">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0.000009</w:t>
            </w:r>
          </w:p>
        </w:tc>
      </w:tr>
      <w:tr w14:paraId="51259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630" w:type="pct"/>
            <w:vMerge w:val="continue"/>
            <w:noWrap w:val="0"/>
            <w:vAlign w:val="center"/>
          </w:tcPr>
          <w:p w14:paraId="0B6AD2AD">
            <w:pPr>
              <w:pStyle w:val="46"/>
              <w:bidi w:val="0"/>
              <w:rPr>
                <w:rFonts w:hint="default" w:ascii="Times New Roman" w:hAnsi="Times New Roman" w:cs="Times New Roman"/>
                <w:color w:val="auto"/>
                <w:highlight w:val="none"/>
              </w:rPr>
            </w:pPr>
          </w:p>
        </w:tc>
        <w:tc>
          <w:tcPr>
            <w:tcW w:w="801" w:type="pct"/>
            <w:noWrap w:val="0"/>
            <w:vAlign w:val="center"/>
          </w:tcPr>
          <w:p w14:paraId="0E1BCC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235" w:type="pct"/>
            <w:noWrap w:val="0"/>
            <w:vAlign w:val="center"/>
          </w:tcPr>
          <w:p w14:paraId="4E5E79FF">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2913230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6EC15EF8">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0.0000029</w:t>
            </w:r>
          </w:p>
        </w:tc>
      </w:tr>
      <w:tr w14:paraId="48E5E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630" w:type="pct"/>
            <w:vMerge w:val="continue"/>
            <w:noWrap w:val="0"/>
            <w:vAlign w:val="center"/>
          </w:tcPr>
          <w:p w14:paraId="400C4666">
            <w:pPr>
              <w:pStyle w:val="46"/>
              <w:bidi w:val="0"/>
              <w:rPr>
                <w:rFonts w:hint="default" w:ascii="Times New Roman" w:hAnsi="Times New Roman" w:cs="Times New Roman"/>
                <w:color w:val="auto"/>
                <w:highlight w:val="none"/>
              </w:rPr>
            </w:pPr>
          </w:p>
        </w:tc>
        <w:tc>
          <w:tcPr>
            <w:tcW w:w="801" w:type="pct"/>
            <w:noWrap w:val="0"/>
            <w:vAlign w:val="center"/>
          </w:tcPr>
          <w:p w14:paraId="784EFC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235" w:type="pct"/>
            <w:noWrap w:val="0"/>
            <w:vAlign w:val="center"/>
          </w:tcPr>
          <w:p w14:paraId="37ACF161">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23" w:type="pct"/>
            <w:noWrap w:val="0"/>
            <w:vAlign w:val="center"/>
          </w:tcPr>
          <w:p w14:paraId="3EB48F7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09" w:type="pct"/>
            <w:noWrap w:val="0"/>
            <w:vAlign w:val="center"/>
          </w:tcPr>
          <w:p w14:paraId="28F32C42">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0.0000016</w:t>
            </w:r>
          </w:p>
        </w:tc>
      </w:tr>
    </w:tbl>
    <w:p w14:paraId="2CACC170">
      <w:pPr>
        <w:pStyle w:val="4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从</w:t>
      </w:r>
      <w:r>
        <w:rPr>
          <w:rFonts w:hint="default" w:ascii="Times New Roman" w:hAnsi="Times New Roman" w:cs="Times New Roman"/>
          <w:color w:val="auto"/>
          <w:highlight w:val="none"/>
          <w:lang w:val="en-US" w:eastAsia="zh-CN"/>
        </w:rPr>
        <w:t>上表</w:t>
      </w:r>
      <w:r>
        <w:rPr>
          <w:rFonts w:hint="default" w:ascii="Times New Roman" w:hAnsi="Times New Roman" w:cs="Times New Roman"/>
          <w:color w:val="auto"/>
          <w:highlight w:val="none"/>
        </w:rPr>
        <w:t>可见，在渗漏状态下，随着时间的增长，渗漏点位置污染物通过地下水径流向下游迁移，在渗漏发生100d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1000d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0a之后COD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污染物（以超标限值为界）</w:t>
      </w:r>
      <w:r>
        <w:rPr>
          <w:rFonts w:hint="default" w:ascii="Times New Roman" w:hAnsi="Times New Roman" w:cs="Times New Roman"/>
          <w:color w:val="auto"/>
          <w:highlight w:val="none"/>
          <w:lang w:val="en-US" w:eastAsia="zh-CN"/>
        </w:rPr>
        <w:t>均未出现超标</w:t>
      </w:r>
      <w:r>
        <w:rPr>
          <w:rFonts w:hint="default" w:ascii="Times New Roman" w:hAnsi="Times New Roman" w:cs="Times New Roman"/>
          <w:color w:val="auto"/>
          <w:highlight w:val="none"/>
        </w:rPr>
        <w:t>；本项目在下游布设地下水跟踪监测点，定期开展跟踪监测，可监测反映渗滤液渗漏现象，及时采取相应处理措施，避免对下游其他区域地下水环境造成影响。在落实地下水跟踪监测计划，及时发现非正常渗漏情况，项目非正常状况下对地下水影响可接受。</w:t>
      </w:r>
    </w:p>
    <w:p w14:paraId="0CC70266">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4272915" cy="4079240"/>
            <wp:effectExtent l="0" t="0" r="13335" b="165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54"/>
                    <a:stretch>
                      <a:fillRect/>
                    </a:stretch>
                  </pic:blipFill>
                  <pic:spPr>
                    <a:xfrm>
                      <a:off x="0" y="0"/>
                      <a:ext cx="4272915" cy="4079240"/>
                    </a:xfrm>
                    <a:prstGeom prst="rect">
                      <a:avLst/>
                    </a:prstGeom>
                    <a:noFill/>
                    <a:ln>
                      <a:noFill/>
                    </a:ln>
                  </pic:spPr>
                </pic:pic>
              </a:graphicData>
            </a:graphic>
          </wp:inline>
        </w:drawing>
      </w:r>
    </w:p>
    <w:p w14:paraId="44BAB411">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图5-1-1非正常工况下回填区COD100天预测图</w:t>
      </w:r>
    </w:p>
    <w:p w14:paraId="6103F558">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4142740" cy="4164965"/>
            <wp:effectExtent l="0" t="0" r="10160" b="698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5"/>
                    <a:stretch>
                      <a:fillRect/>
                    </a:stretch>
                  </pic:blipFill>
                  <pic:spPr>
                    <a:xfrm>
                      <a:off x="0" y="0"/>
                      <a:ext cx="4142740" cy="4164965"/>
                    </a:xfrm>
                    <a:prstGeom prst="rect">
                      <a:avLst/>
                    </a:prstGeom>
                    <a:noFill/>
                    <a:ln>
                      <a:noFill/>
                    </a:ln>
                  </pic:spPr>
                </pic:pic>
              </a:graphicData>
            </a:graphic>
          </wp:inline>
        </w:drawing>
      </w:r>
    </w:p>
    <w:p w14:paraId="726CCE88">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图5-1-2 非正常工况下回填区COD1000天预测图</w:t>
      </w:r>
    </w:p>
    <w:p w14:paraId="684F3229">
      <w:pPr>
        <w:pStyle w:val="27"/>
        <w:ind w:left="0" w:leftChars="0" w:firstLine="0" w:firstLineChars="0"/>
        <w:rPr>
          <w:rFonts w:hint="default" w:ascii="Times New Roman" w:hAnsi="Times New Roman" w:eastAsia="宋体" w:cs="Times New Roman"/>
          <w:color w:val="auto"/>
          <w:highlight w:val="none"/>
          <w:lang w:eastAsia="zh-CN"/>
        </w:rPr>
      </w:pPr>
    </w:p>
    <w:p w14:paraId="22BCCBE7">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3781425" cy="3600450"/>
            <wp:effectExtent l="0" t="0" r="9525"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56"/>
                    <a:stretch>
                      <a:fillRect/>
                    </a:stretch>
                  </pic:blipFill>
                  <pic:spPr>
                    <a:xfrm>
                      <a:off x="0" y="0"/>
                      <a:ext cx="3781425" cy="3600450"/>
                    </a:xfrm>
                    <a:prstGeom prst="rect">
                      <a:avLst/>
                    </a:prstGeom>
                    <a:noFill/>
                    <a:ln>
                      <a:noFill/>
                    </a:ln>
                  </pic:spPr>
                </pic:pic>
              </a:graphicData>
            </a:graphic>
          </wp:inline>
        </w:drawing>
      </w:r>
    </w:p>
    <w:p w14:paraId="21A098CA">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图5-1-3 非正常工况下回填区COD3650天预测图</w:t>
      </w:r>
    </w:p>
    <w:p w14:paraId="5B8C4AC2">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3737610" cy="3497580"/>
            <wp:effectExtent l="0" t="0" r="15240" b="762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57"/>
                    <a:stretch>
                      <a:fillRect/>
                    </a:stretch>
                  </pic:blipFill>
                  <pic:spPr>
                    <a:xfrm>
                      <a:off x="0" y="0"/>
                      <a:ext cx="3737610" cy="3497580"/>
                    </a:xfrm>
                    <a:prstGeom prst="rect">
                      <a:avLst/>
                    </a:prstGeom>
                    <a:noFill/>
                    <a:ln>
                      <a:noFill/>
                    </a:ln>
                  </pic:spPr>
                </pic:pic>
              </a:graphicData>
            </a:graphic>
          </wp:inline>
        </w:drawing>
      </w:r>
    </w:p>
    <w:p w14:paraId="62A6D915">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图5-1-4非正常工况下回填区砷100天预测图</w:t>
      </w:r>
    </w:p>
    <w:p w14:paraId="448E3758">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006850" cy="3740150"/>
            <wp:effectExtent l="0" t="0" r="12700" b="1270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58"/>
                    <a:stretch>
                      <a:fillRect/>
                    </a:stretch>
                  </pic:blipFill>
                  <pic:spPr>
                    <a:xfrm>
                      <a:off x="0" y="0"/>
                      <a:ext cx="4006850" cy="3740150"/>
                    </a:xfrm>
                    <a:prstGeom prst="rect">
                      <a:avLst/>
                    </a:prstGeom>
                    <a:noFill/>
                    <a:ln>
                      <a:noFill/>
                    </a:ln>
                  </pic:spPr>
                </pic:pic>
              </a:graphicData>
            </a:graphic>
          </wp:inline>
        </w:drawing>
      </w:r>
    </w:p>
    <w:p w14:paraId="3D7792CD">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图5-1-5非正常工况下回填区砷1000天预测图</w:t>
      </w:r>
    </w:p>
    <w:p w14:paraId="0B11E377">
      <w:pPr>
        <w:pStyle w:val="27"/>
        <w:bidi w:val="0"/>
        <w:rPr>
          <w:rFonts w:hint="default" w:ascii="Times New Roman" w:hAnsi="Times New Roman" w:cs="Times New Roman"/>
          <w:color w:val="auto"/>
          <w:highlight w:val="none"/>
          <w:lang w:val="en-US" w:eastAsia="zh-CN"/>
        </w:rPr>
      </w:pPr>
    </w:p>
    <w:p w14:paraId="3E2C3A89">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205605" cy="3877310"/>
            <wp:effectExtent l="0" t="0" r="4445" b="889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59"/>
                    <a:stretch>
                      <a:fillRect/>
                    </a:stretch>
                  </pic:blipFill>
                  <pic:spPr>
                    <a:xfrm>
                      <a:off x="0" y="0"/>
                      <a:ext cx="4205605" cy="3877310"/>
                    </a:xfrm>
                    <a:prstGeom prst="rect">
                      <a:avLst/>
                    </a:prstGeom>
                    <a:noFill/>
                    <a:ln>
                      <a:noFill/>
                    </a:ln>
                  </pic:spPr>
                </pic:pic>
              </a:graphicData>
            </a:graphic>
          </wp:inline>
        </w:drawing>
      </w:r>
    </w:p>
    <w:p w14:paraId="09F89483">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图5-1-6 非正常工况下回填区砷3650天预测图</w:t>
      </w:r>
    </w:p>
    <w:p w14:paraId="21BD9F27">
      <w:pPr>
        <w:rPr>
          <w:rFonts w:hint="default" w:ascii="Times New Roman" w:hAnsi="Times New Roman" w:cs="Times New Roman"/>
          <w:color w:val="auto"/>
          <w:highlight w:val="none"/>
          <w:lang w:val="en-US" w:eastAsia="zh-CN"/>
        </w:rPr>
      </w:pPr>
    </w:p>
    <w:p w14:paraId="78E6E3F2">
      <w:pPr>
        <w:pStyle w:val="14"/>
        <w:rPr>
          <w:rFonts w:hint="default"/>
          <w:color w:val="auto"/>
          <w:highlight w:val="none"/>
          <w:lang w:val="en-US" w:eastAsia="zh-CN"/>
        </w:rPr>
      </w:pPr>
    </w:p>
    <w:p w14:paraId="2AE6FBE8">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非正常状况下</w:t>
      </w:r>
      <w:r>
        <w:rPr>
          <w:rFonts w:hint="default" w:ascii="Times New Roman" w:hAnsi="Times New Roman" w:cs="Times New Roman"/>
          <w:color w:val="auto"/>
          <w:highlight w:val="none"/>
          <w:lang w:val="en-US" w:eastAsia="zh-CN"/>
        </w:rPr>
        <w:t>淋溶水收集池</w:t>
      </w:r>
      <w:r>
        <w:rPr>
          <w:rFonts w:hint="default" w:ascii="Times New Roman" w:hAnsi="Times New Roman" w:cs="Times New Roman"/>
          <w:color w:val="auto"/>
          <w:highlight w:val="none"/>
        </w:rPr>
        <w:t>地下水环境影响范围预测结果</w:t>
      </w:r>
    </w:p>
    <w:tbl>
      <w:tblPr>
        <w:tblStyle w:val="24"/>
        <w:tblW w:w="44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21"/>
        <w:gridCol w:w="1173"/>
        <w:gridCol w:w="1808"/>
        <w:gridCol w:w="1808"/>
        <w:gridCol w:w="1606"/>
      </w:tblGrid>
      <w:tr w14:paraId="67523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629" w:type="pct"/>
            <w:noWrap w:val="0"/>
            <w:vAlign w:val="center"/>
          </w:tcPr>
          <w:p w14:paraId="5479D9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特征因子</w:t>
            </w:r>
          </w:p>
        </w:tc>
        <w:tc>
          <w:tcPr>
            <w:tcW w:w="801" w:type="pct"/>
            <w:noWrap w:val="0"/>
            <w:vAlign w:val="center"/>
          </w:tcPr>
          <w:p w14:paraId="772F25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预测年限</w:t>
            </w:r>
          </w:p>
        </w:tc>
        <w:tc>
          <w:tcPr>
            <w:tcW w:w="1235" w:type="pct"/>
            <w:noWrap w:val="0"/>
            <w:vAlign w:val="center"/>
          </w:tcPr>
          <w:p w14:paraId="799FA596">
            <w:pPr>
              <w:pStyle w:val="46"/>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最大超标距离(m)</w:t>
            </w:r>
          </w:p>
        </w:tc>
        <w:tc>
          <w:tcPr>
            <w:tcW w:w="1235" w:type="pct"/>
            <w:noWrap w:val="0"/>
            <w:vAlign w:val="center"/>
          </w:tcPr>
          <w:p w14:paraId="065E15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运移距离</w:t>
            </w:r>
            <w:r>
              <w:rPr>
                <w:rFonts w:hint="default" w:ascii="Times New Roman" w:hAnsi="Times New Roman" w:cs="Times New Roman"/>
                <w:color w:val="auto"/>
                <w:highlight w:val="none"/>
              </w:rPr>
              <w:t>(m)</w:t>
            </w:r>
          </w:p>
        </w:tc>
        <w:tc>
          <w:tcPr>
            <w:tcW w:w="1097" w:type="pct"/>
            <w:noWrap w:val="0"/>
            <w:vAlign w:val="center"/>
          </w:tcPr>
          <w:p w14:paraId="476EE67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最大浓度（mg/L）</w:t>
            </w:r>
          </w:p>
        </w:tc>
      </w:tr>
      <w:tr w14:paraId="62253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629" w:type="pct"/>
            <w:vMerge w:val="restart"/>
            <w:noWrap w:val="0"/>
            <w:vAlign w:val="center"/>
          </w:tcPr>
          <w:p w14:paraId="7125DB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801" w:type="pct"/>
            <w:noWrap w:val="0"/>
            <w:vAlign w:val="center"/>
          </w:tcPr>
          <w:p w14:paraId="406861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235" w:type="pct"/>
            <w:noWrap w:val="0"/>
            <w:vAlign w:val="center"/>
          </w:tcPr>
          <w:p w14:paraId="7F4554C9">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235" w:type="pct"/>
            <w:noWrap w:val="0"/>
            <w:vAlign w:val="center"/>
          </w:tcPr>
          <w:p w14:paraId="3ADDD72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98</w:t>
            </w:r>
          </w:p>
        </w:tc>
        <w:tc>
          <w:tcPr>
            <w:tcW w:w="1097" w:type="pct"/>
            <w:noWrap w:val="0"/>
            <w:vAlign w:val="center"/>
          </w:tcPr>
          <w:p w14:paraId="62D0D56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19.34</w:t>
            </w:r>
          </w:p>
        </w:tc>
      </w:tr>
      <w:tr w14:paraId="1A702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0" w:hRule="atLeast"/>
          <w:jc w:val="center"/>
        </w:trPr>
        <w:tc>
          <w:tcPr>
            <w:tcW w:w="629" w:type="pct"/>
            <w:vMerge w:val="continue"/>
            <w:noWrap w:val="0"/>
            <w:vAlign w:val="center"/>
          </w:tcPr>
          <w:p w14:paraId="52746854">
            <w:pPr>
              <w:pStyle w:val="46"/>
              <w:bidi w:val="0"/>
              <w:rPr>
                <w:rFonts w:hint="default" w:ascii="Times New Roman" w:hAnsi="Times New Roman" w:cs="Times New Roman"/>
                <w:color w:val="auto"/>
                <w:highlight w:val="none"/>
              </w:rPr>
            </w:pPr>
          </w:p>
        </w:tc>
        <w:tc>
          <w:tcPr>
            <w:tcW w:w="801" w:type="pct"/>
            <w:noWrap w:val="0"/>
            <w:vAlign w:val="center"/>
          </w:tcPr>
          <w:p w14:paraId="5943BB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235" w:type="pct"/>
            <w:noWrap w:val="0"/>
            <w:vAlign w:val="center"/>
          </w:tcPr>
          <w:p w14:paraId="64EAFF3A">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235" w:type="pct"/>
            <w:noWrap w:val="0"/>
            <w:vAlign w:val="center"/>
          </w:tcPr>
          <w:p w14:paraId="7DAA96E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638</w:t>
            </w:r>
          </w:p>
        </w:tc>
        <w:tc>
          <w:tcPr>
            <w:tcW w:w="1097" w:type="pct"/>
            <w:noWrap w:val="0"/>
            <w:vAlign w:val="center"/>
          </w:tcPr>
          <w:p w14:paraId="5E7390DD">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6.11</w:t>
            </w:r>
          </w:p>
        </w:tc>
      </w:tr>
      <w:tr w14:paraId="2638A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629" w:type="pct"/>
            <w:vMerge w:val="continue"/>
            <w:noWrap w:val="0"/>
            <w:vAlign w:val="center"/>
          </w:tcPr>
          <w:p w14:paraId="0566424B">
            <w:pPr>
              <w:pStyle w:val="46"/>
              <w:bidi w:val="0"/>
              <w:rPr>
                <w:rFonts w:hint="default" w:ascii="Times New Roman" w:hAnsi="Times New Roman" w:cs="Times New Roman"/>
                <w:color w:val="auto"/>
                <w:highlight w:val="none"/>
              </w:rPr>
            </w:pPr>
          </w:p>
        </w:tc>
        <w:tc>
          <w:tcPr>
            <w:tcW w:w="801" w:type="pct"/>
            <w:noWrap w:val="0"/>
            <w:vAlign w:val="center"/>
          </w:tcPr>
          <w:p w14:paraId="7FF838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235" w:type="pct"/>
            <w:noWrap w:val="0"/>
            <w:vAlign w:val="center"/>
          </w:tcPr>
          <w:p w14:paraId="68810D6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235" w:type="pct"/>
            <w:noWrap w:val="0"/>
            <w:vAlign w:val="center"/>
          </w:tcPr>
          <w:p w14:paraId="44D6A6B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2071</w:t>
            </w:r>
          </w:p>
        </w:tc>
        <w:tc>
          <w:tcPr>
            <w:tcW w:w="1097" w:type="pct"/>
            <w:noWrap w:val="0"/>
            <w:vAlign w:val="center"/>
          </w:tcPr>
          <w:p w14:paraId="7225355E">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w:t>
            </w:r>
          </w:p>
        </w:tc>
      </w:tr>
      <w:tr w14:paraId="76F1C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629" w:type="pct"/>
            <w:vMerge w:val="restart"/>
            <w:noWrap w:val="0"/>
            <w:vAlign w:val="center"/>
          </w:tcPr>
          <w:p w14:paraId="264B08D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w:t>
            </w:r>
          </w:p>
        </w:tc>
        <w:tc>
          <w:tcPr>
            <w:tcW w:w="801" w:type="pct"/>
            <w:noWrap w:val="0"/>
            <w:vAlign w:val="center"/>
          </w:tcPr>
          <w:p w14:paraId="33F51C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235" w:type="pct"/>
            <w:noWrap w:val="0"/>
            <w:vAlign w:val="center"/>
          </w:tcPr>
          <w:p w14:paraId="2E417E0B">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w:t>
            </w:r>
          </w:p>
        </w:tc>
        <w:tc>
          <w:tcPr>
            <w:tcW w:w="1235" w:type="pct"/>
            <w:noWrap w:val="0"/>
            <w:vAlign w:val="center"/>
          </w:tcPr>
          <w:p w14:paraId="38CDBC4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92</w:t>
            </w:r>
          </w:p>
        </w:tc>
        <w:tc>
          <w:tcPr>
            <w:tcW w:w="1097" w:type="pct"/>
            <w:noWrap w:val="0"/>
            <w:vAlign w:val="center"/>
          </w:tcPr>
          <w:p w14:paraId="115222E4">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0.029</w:t>
            </w:r>
          </w:p>
        </w:tc>
      </w:tr>
      <w:tr w14:paraId="7B807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629" w:type="pct"/>
            <w:vMerge w:val="continue"/>
            <w:noWrap w:val="0"/>
            <w:vAlign w:val="center"/>
          </w:tcPr>
          <w:p w14:paraId="7ADAC3B8">
            <w:pPr>
              <w:pStyle w:val="46"/>
              <w:bidi w:val="0"/>
              <w:rPr>
                <w:rFonts w:hint="default" w:ascii="Times New Roman" w:hAnsi="Times New Roman" w:cs="Times New Roman"/>
                <w:color w:val="auto"/>
                <w:highlight w:val="none"/>
              </w:rPr>
            </w:pPr>
          </w:p>
        </w:tc>
        <w:tc>
          <w:tcPr>
            <w:tcW w:w="801" w:type="pct"/>
            <w:noWrap w:val="0"/>
            <w:vAlign w:val="center"/>
          </w:tcPr>
          <w:p w14:paraId="5E1829D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235" w:type="pct"/>
            <w:noWrap w:val="0"/>
            <w:vAlign w:val="center"/>
          </w:tcPr>
          <w:p w14:paraId="4BFFE7E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235" w:type="pct"/>
            <w:noWrap w:val="0"/>
            <w:vAlign w:val="center"/>
          </w:tcPr>
          <w:p w14:paraId="7F39ACB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617</w:t>
            </w:r>
          </w:p>
        </w:tc>
        <w:tc>
          <w:tcPr>
            <w:tcW w:w="1097" w:type="pct"/>
            <w:noWrap w:val="0"/>
            <w:vAlign w:val="center"/>
          </w:tcPr>
          <w:p w14:paraId="630507AC">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0.0093</w:t>
            </w:r>
          </w:p>
        </w:tc>
      </w:tr>
      <w:tr w14:paraId="48E6C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6" w:hRule="atLeast"/>
          <w:jc w:val="center"/>
        </w:trPr>
        <w:tc>
          <w:tcPr>
            <w:tcW w:w="629" w:type="pct"/>
            <w:vMerge w:val="continue"/>
            <w:noWrap w:val="0"/>
            <w:vAlign w:val="center"/>
          </w:tcPr>
          <w:p w14:paraId="71F347C8">
            <w:pPr>
              <w:pStyle w:val="46"/>
              <w:bidi w:val="0"/>
              <w:rPr>
                <w:rFonts w:hint="default" w:ascii="Times New Roman" w:hAnsi="Times New Roman" w:cs="Times New Roman"/>
                <w:color w:val="auto"/>
                <w:highlight w:val="none"/>
              </w:rPr>
            </w:pPr>
          </w:p>
        </w:tc>
        <w:tc>
          <w:tcPr>
            <w:tcW w:w="801" w:type="pct"/>
            <w:noWrap w:val="0"/>
            <w:vAlign w:val="center"/>
          </w:tcPr>
          <w:p w14:paraId="60CF63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235" w:type="pct"/>
            <w:noWrap w:val="0"/>
            <w:vAlign w:val="center"/>
          </w:tcPr>
          <w:p w14:paraId="35EBDFB5">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235" w:type="pct"/>
            <w:noWrap w:val="0"/>
            <w:vAlign w:val="center"/>
          </w:tcPr>
          <w:p w14:paraId="36A39452">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2026</w:t>
            </w:r>
          </w:p>
        </w:tc>
        <w:tc>
          <w:tcPr>
            <w:tcW w:w="1097" w:type="pct"/>
            <w:noWrap w:val="0"/>
            <w:vAlign w:val="center"/>
          </w:tcPr>
          <w:p w14:paraId="340573B3">
            <w:pPr>
              <w:pStyle w:val="46"/>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0.0049</w:t>
            </w:r>
          </w:p>
        </w:tc>
      </w:tr>
    </w:tbl>
    <w:p w14:paraId="7B9B14D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从</w:t>
      </w:r>
      <w:r>
        <w:rPr>
          <w:rFonts w:hint="default" w:ascii="Times New Roman" w:hAnsi="Times New Roman" w:cs="Times New Roman"/>
          <w:color w:val="auto"/>
          <w:highlight w:val="none"/>
          <w:lang w:val="en-US" w:eastAsia="zh-CN"/>
        </w:rPr>
        <w:t>上表</w:t>
      </w:r>
      <w:r>
        <w:rPr>
          <w:rFonts w:hint="default" w:ascii="Times New Roman" w:hAnsi="Times New Roman" w:cs="Times New Roman"/>
          <w:color w:val="auto"/>
          <w:highlight w:val="none"/>
        </w:rPr>
        <w:t>可见，在渗漏状态下，随着时间的增长，渗漏点位置污染物通过地下水径流向下游迁移，在渗漏发生100d之后</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98</w:t>
      </w:r>
      <w:r>
        <w:rPr>
          <w:rFonts w:hint="default" w:ascii="Times New Roman" w:hAnsi="Times New Roman" w:cs="Times New Roman"/>
          <w:color w:val="auto"/>
          <w:highlight w:val="none"/>
        </w:rPr>
        <w:t>m，在渗漏发生1000d之后</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638</w:t>
      </w:r>
      <w:r>
        <w:rPr>
          <w:rFonts w:hint="default" w:ascii="Times New Roman" w:hAnsi="Times New Roman" w:cs="Times New Roman"/>
          <w:color w:val="auto"/>
          <w:highlight w:val="none"/>
        </w:rPr>
        <w:t>m，在渗漏发生</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0a之后</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2071</w:t>
      </w:r>
      <w:r>
        <w:rPr>
          <w:rFonts w:hint="default" w:ascii="Times New Roman" w:hAnsi="Times New Roman" w:cs="Times New Roman"/>
          <w:color w:val="auto"/>
          <w:highlight w:val="none"/>
        </w:rPr>
        <w:t>m；在渗漏发生100d之后</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92</w:t>
      </w:r>
      <w:r>
        <w:rPr>
          <w:rFonts w:hint="default" w:ascii="Times New Roman" w:hAnsi="Times New Roman" w:cs="Times New Roman"/>
          <w:color w:val="auto"/>
          <w:highlight w:val="none"/>
        </w:rPr>
        <w:t>m，在渗漏发生1000d之后</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617</w:t>
      </w:r>
      <w:r>
        <w:rPr>
          <w:rFonts w:hint="default" w:ascii="Times New Roman" w:hAnsi="Times New Roman" w:cs="Times New Roman"/>
          <w:color w:val="auto"/>
          <w:highlight w:val="none"/>
        </w:rPr>
        <w:t>m，在渗漏发生</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0a之后</w:t>
      </w:r>
      <w:r>
        <w:rPr>
          <w:rFonts w:hint="default" w:ascii="Times New Roman" w:hAnsi="Times New Roman" w:cs="Times New Roman"/>
          <w:color w:val="auto"/>
          <w:highlight w:val="none"/>
          <w:lang w:val="en-US" w:eastAsia="zh-CN"/>
        </w:rPr>
        <w:t>砷</w:t>
      </w:r>
      <w:r>
        <w:rPr>
          <w:rFonts w:hint="default" w:ascii="Times New Roman" w:hAnsi="Times New Roman" w:cs="Times New Roman"/>
          <w:color w:val="auto"/>
          <w:highlight w:val="none"/>
        </w:rPr>
        <w:t>（以超标限值为界）扩散距离为</w:t>
      </w:r>
      <w:r>
        <w:rPr>
          <w:rFonts w:hint="default" w:ascii="Times New Roman" w:hAnsi="Times New Roman" w:cs="Times New Roman"/>
          <w:color w:val="auto"/>
          <w:highlight w:val="none"/>
          <w:lang w:val="en-US" w:eastAsia="zh-CN"/>
        </w:rPr>
        <w:t>2026</w:t>
      </w:r>
      <w:r>
        <w:rPr>
          <w:rFonts w:hint="default" w:ascii="Times New Roman" w:hAnsi="Times New Roman" w:cs="Times New Roman"/>
          <w:color w:val="auto"/>
          <w:highlight w:val="none"/>
        </w:rPr>
        <w:t>m；本项目在下游布设地下水跟踪监测点，定期开展跟踪监测，可监测反映渗滤液渗漏现象，及时采取相应处理措施，避免对下游其他区域地下水环境造成影响。在落实地下水跟踪监测计划，及时发现非正常渗漏情况，项目非正常状况下对地下水影响可接受。</w:t>
      </w:r>
    </w:p>
    <w:p w14:paraId="55C27DC1">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613785" cy="3529965"/>
            <wp:effectExtent l="0" t="0" r="5715" b="1333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60"/>
                    <a:stretch>
                      <a:fillRect/>
                    </a:stretch>
                  </pic:blipFill>
                  <pic:spPr>
                    <a:xfrm>
                      <a:off x="0" y="0"/>
                      <a:ext cx="3613785" cy="3529965"/>
                    </a:xfrm>
                    <a:prstGeom prst="rect">
                      <a:avLst/>
                    </a:prstGeom>
                    <a:noFill/>
                    <a:ln>
                      <a:noFill/>
                    </a:ln>
                  </pic:spPr>
                </pic:pic>
              </a:graphicData>
            </a:graphic>
          </wp:inline>
        </w:drawing>
      </w:r>
    </w:p>
    <w:p w14:paraId="13CF5969">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图5-1-7非正常工况下淋溶水收集池COD100天预测图</w:t>
      </w:r>
    </w:p>
    <w:p w14:paraId="34D18CB2">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155440" cy="4017645"/>
            <wp:effectExtent l="0" t="0" r="16510" b="190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61"/>
                    <a:stretch>
                      <a:fillRect/>
                    </a:stretch>
                  </pic:blipFill>
                  <pic:spPr>
                    <a:xfrm>
                      <a:off x="0" y="0"/>
                      <a:ext cx="4155440" cy="4017645"/>
                    </a:xfrm>
                    <a:prstGeom prst="rect">
                      <a:avLst/>
                    </a:prstGeom>
                    <a:noFill/>
                    <a:ln>
                      <a:noFill/>
                    </a:ln>
                  </pic:spPr>
                </pic:pic>
              </a:graphicData>
            </a:graphic>
          </wp:inline>
        </w:drawing>
      </w:r>
    </w:p>
    <w:p w14:paraId="63849229">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图5-1-8非正常工况下淋溶水收集池COD1000天预测图</w:t>
      </w:r>
    </w:p>
    <w:p w14:paraId="6293E4AA">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229735" cy="4037330"/>
            <wp:effectExtent l="0" t="0" r="18415" b="1270"/>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62"/>
                    <a:stretch>
                      <a:fillRect/>
                    </a:stretch>
                  </pic:blipFill>
                  <pic:spPr>
                    <a:xfrm>
                      <a:off x="0" y="0"/>
                      <a:ext cx="4229735" cy="4037330"/>
                    </a:xfrm>
                    <a:prstGeom prst="rect">
                      <a:avLst/>
                    </a:prstGeom>
                    <a:noFill/>
                    <a:ln>
                      <a:noFill/>
                    </a:ln>
                  </pic:spPr>
                </pic:pic>
              </a:graphicData>
            </a:graphic>
          </wp:inline>
        </w:drawing>
      </w:r>
    </w:p>
    <w:p w14:paraId="42698268">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图5-1-9非正常工况下淋溶水收集池COD3650天预测图</w:t>
      </w:r>
    </w:p>
    <w:p w14:paraId="57E73B4D">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447540" cy="4182110"/>
            <wp:effectExtent l="0" t="0" r="10160" b="889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63"/>
                    <a:stretch>
                      <a:fillRect/>
                    </a:stretch>
                  </pic:blipFill>
                  <pic:spPr>
                    <a:xfrm>
                      <a:off x="0" y="0"/>
                      <a:ext cx="4447540" cy="4182110"/>
                    </a:xfrm>
                    <a:prstGeom prst="rect">
                      <a:avLst/>
                    </a:prstGeom>
                    <a:noFill/>
                    <a:ln>
                      <a:noFill/>
                    </a:ln>
                  </pic:spPr>
                </pic:pic>
              </a:graphicData>
            </a:graphic>
          </wp:inline>
        </w:drawing>
      </w:r>
    </w:p>
    <w:p w14:paraId="64CD6825">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图5-1-10非正常工况下淋溶水收集池砷100天预测图</w:t>
      </w:r>
    </w:p>
    <w:p w14:paraId="5D063CAC">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279900" cy="3994785"/>
            <wp:effectExtent l="0" t="0" r="6350" b="571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64"/>
                    <a:stretch>
                      <a:fillRect/>
                    </a:stretch>
                  </pic:blipFill>
                  <pic:spPr>
                    <a:xfrm>
                      <a:off x="0" y="0"/>
                      <a:ext cx="4279900" cy="3994785"/>
                    </a:xfrm>
                    <a:prstGeom prst="rect">
                      <a:avLst/>
                    </a:prstGeom>
                    <a:noFill/>
                    <a:ln>
                      <a:noFill/>
                    </a:ln>
                  </pic:spPr>
                </pic:pic>
              </a:graphicData>
            </a:graphic>
          </wp:inline>
        </w:drawing>
      </w:r>
    </w:p>
    <w:p w14:paraId="4582CE59">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图5-1-11非正常工况下淋溶水收集池砷1000天预测图</w:t>
      </w:r>
    </w:p>
    <w:p w14:paraId="4C6EA1AD">
      <w:pPr>
        <w:pStyle w:val="27"/>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574540" cy="4270375"/>
            <wp:effectExtent l="0" t="0" r="16510" b="1587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65"/>
                    <a:stretch>
                      <a:fillRect/>
                    </a:stretch>
                  </pic:blipFill>
                  <pic:spPr>
                    <a:xfrm>
                      <a:off x="0" y="0"/>
                      <a:ext cx="4574540" cy="4270375"/>
                    </a:xfrm>
                    <a:prstGeom prst="rect">
                      <a:avLst/>
                    </a:prstGeom>
                    <a:noFill/>
                    <a:ln>
                      <a:noFill/>
                    </a:ln>
                  </pic:spPr>
                </pic:pic>
              </a:graphicData>
            </a:graphic>
          </wp:inline>
        </w:drawing>
      </w:r>
    </w:p>
    <w:p w14:paraId="61435A24">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图5-1-12非正常工况下淋溶水收集池砷3650天预测图</w:t>
      </w:r>
    </w:p>
    <w:bookmarkEnd w:id="276"/>
    <w:bookmarkEnd w:id="277"/>
    <w:bookmarkEnd w:id="278"/>
    <w:bookmarkEnd w:id="279"/>
    <w:bookmarkEnd w:id="280"/>
    <w:p w14:paraId="4906D55D">
      <w:pPr>
        <w:pStyle w:val="6"/>
        <w:bidi w:val="0"/>
        <w:rPr>
          <w:rFonts w:hint="default" w:ascii="Times New Roman" w:hAnsi="Times New Roman" w:cs="Times New Roman"/>
          <w:color w:val="auto"/>
          <w:highlight w:val="none"/>
          <w:lang w:val="en-US" w:eastAsia="zh-CN"/>
        </w:rPr>
      </w:pPr>
      <w:bookmarkStart w:id="281" w:name="_Toc140149431"/>
      <w:bookmarkStart w:id="282" w:name="_Toc152926826"/>
      <w:bookmarkStart w:id="283" w:name="_Toc27181"/>
      <w:r>
        <w:rPr>
          <w:rFonts w:hint="default" w:ascii="Times New Roman" w:hAnsi="Times New Roman" w:cs="Times New Roman"/>
          <w:color w:val="auto"/>
          <w:highlight w:val="none"/>
          <w:lang w:val="en-US" w:eastAsia="zh-CN"/>
        </w:rPr>
        <w:t>5.1.7.7评价结论</w:t>
      </w:r>
    </w:p>
    <w:p w14:paraId="7103DEFE">
      <w:pPr>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根据《鸡西市滴道南甸子碎石场矿山复垦项目风险评估报告》，根据监测结果可知，</w:t>
      </w:r>
      <w:r>
        <w:rPr>
          <w:rFonts w:hint="default" w:ascii="Times New Roman" w:hAnsi="Times New Roman" w:cs="Times New Roman"/>
          <w:color w:val="auto"/>
          <w:highlight w:val="none"/>
        </w:rPr>
        <w:t>除铁、锰外，各监测点位的监测因子指标均满足《地下水质量标准》（GB/T14848-2017）中的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类标准要求。铁、锰超标的原因是黑龙江原生地质条件所致。</w:t>
      </w:r>
      <w:r>
        <w:rPr>
          <w:rFonts w:hint="default" w:ascii="Times New Roman" w:hAnsi="Times New Roman" w:eastAsia="宋体" w:cs="Times New Roman"/>
          <w:color w:val="auto"/>
          <w:kern w:val="2"/>
          <w:sz w:val="24"/>
          <w:szCs w:val="24"/>
          <w:highlight w:val="none"/>
          <w:lang w:val="en-US" w:eastAsia="zh-CN" w:bidi="ar-SA"/>
        </w:rPr>
        <w:t>该地块土壤未受到污染。通过对该地块环境本底调査，该地块历史用途简单，不属于污染地块。该项目对周边土壤的环境污染风险可以接受。无需开展后续详细调查和风险评估，项目实施后该地块对人体健康的风险可以忽略（即低于可接受水平）。《鸡西市滴道南甸子碎石场矿山复垦项目风险评估报告》已经完成专家评审并在相关管理部门备案。</w:t>
      </w:r>
    </w:p>
    <w:p w14:paraId="3B9FF51F">
      <w:pPr>
        <w:pStyle w:val="48"/>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本项目在认真落实上述提出的各项土壤及地下水污染防治措施的基础上，项目建设不会对当地土壤环境产生明显不利影响，结合环境风险评估报告，项目粉煤灰中可溶性重金属含量较低，对土壤和地下水水质的影响轻微，淋溶水不会对地下水和周边土壤环境造成明显影响，对周边环境风险可接受，从土壤环境保护角度而言，项目建设可行。</w:t>
      </w:r>
    </w:p>
    <w:p w14:paraId="17935242">
      <w:pPr>
        <w:pStyle w:val="43"/>
        <w:bidi w:val="0"/>
        <w:rPr>
          <w:rFonts w:hint="default" w:ascii="Times New Roman" w:hAnsi="Times New Roman" w:cs="Times New Roman"/>
          <w:color w:val="auto"/>
          <w:highlight w:val="none"/>
        </w:rPr>
      </w:pPr>
      <w:bookmarkStart w:id="284" w:name="_Toc20771"/>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生态恢复期影响分析</w:t>
      </w:r>
      <w:bookmarkEnd w:id="281"/>
      <w:bookmarkEnd w:id="282"/>
      <w:bookmarkEnd w:id="283"/>
      <w:bookmarkEnd w:id="284"/>
      <w:r>
        <w:rPr>
          <w:rFonts w:hint="default" w:ascii="Times New Roman" w:hAnsi="Times New Roman" w:cs="Times New Roman"/>
          <w:color w:val="auto"/>
          <w:highlight w:val="none"/>
        </w:rPr>
        <w:t xml:space="preserve"> </w:t>
      </w:r>
    </w:p>
    <w:p w14:paraId="406E36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项目区现状为废弃采坑，本项目回填完成进行土地复垦为</w:t>
      </w:r>
      <w:r>
        <w:rPr>
          <w:rFonts w:hint="default" w:ascii="Times New Roman" w:hAnsi="Times New Roman" w:cs="Times New Roman"/>
          <w:color w:val="auto"/>
          <w:highlight w:val="none"/>
          <w:lang w:val="en-US" w:eastAsia="zh-CN"/>
        </w:rPr>
        <w:t>林</w:t>
      </w:r>
      <w:r>
        <w:rPr>
          <w:rFonts w:hint="default" w:ascii="Times New Roman" w:hAnsi="Times New Roman" w:cs="Times New Roman"/>
          <w:color w:val="auto"/>
          <w:highlight w:val="none"/>
        </w:rPr>
        <w:t>地</w:t>
      </w:r>
      <w:r>
        <w:rPr>
          <w:rFonts w:hint="default" w:ascii="Times New Roman" w:hAnsi="Times New Roman" w:cs="Times New Roman"/>
          <w:color w:val="auto"/>
          <w:highlight w:val="none"/>
          <w:lang w:val="en-US" w:eastAsia="zh-CN"/>
        </w:rPr>
        <w:t>及耕地</w:t>
      </w:r>
      <w:r>
        <w:rPr>
          <w:rFonts w:hint="default" w:ascii="Times New Roman" w:hAnsi="Times New Roman" w:cs="Times New Roman"/>
          <w:color w:val="auto"/>
          <w:highlight w:val="none"/>
        </w:rPr>
        <w:t>。受影响的土地将逐渐形成新的利用功能，生物组分斑块的空间分布格局逐渐向有利于景观稳定的方向变化，区域内生态系统稳定性将起到积极作用。</w:t>
      </w:r>
    </w:p>
    <w:p w14:paraId="761A598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中含有K、Ca、Mg、P等多种营养元素和微量元素，具有一定的肥用价值，可促进作物的生长，缓解土壤酸化，提高土壤的保水保肥性能。本项目的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已进行了浸出试验，浸出液中的重金属含量很低，且灰层已上覆80cm</w:t>
      </w:r>
      <w:r>
        <w:rPr>
          <w:rFonts w:hint="default" w:ascii="Times New Roman" w:hAnsi="Times New Roman" w:cs="Times New Roman"/>
          <w:color w:val="auto"/>
          <w:highlight w:val="none"/>
          <w:lang w:val="en-US" w:eastAsia="zh-CN"/>
        </w:rPr>
        <w:t>及30cm的表</w:t>
      </w:r>
      <w:r>
        <w:rPr>
          <w:rFonts w:hint="default" w:ascii="Times New Roman" w:hAnsi="Times New Roman" w:cs="Times New Roman"/>
          <w:color w:val="auto"/>
          <w:highlight w:val="none"/>
        </w:rPr>
        <w:t>土层，因此，</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中成分能被作物根系吸收的部分有限，对作物的生长影响很小，对人体健康的危害很小。</w:t>
      </w:r>
    </w:p>
    <w:p w14:paraId="6BE9D76D">
      <w:pPr>
        <w:pStyle w:val="43"/>
        <w:bidi w:val="0"/>
        <w:rPr>
          <w:rFonts w:hint="default" w:ascii="Times New Roman" w:hAnsi="Times New Roman" w:cs="Times New Roman"/>
          <w:color w:val="auto"/>
          <w:highlight w:val="none"/>
        </w:rPr>
      </w:pPr>
      <w:bookmarkStart w:id="285" w:name="_Toc152926827"/>
      <w:bookmarkStart w:id="286" w:name="_Toc25744"/>
      <w:bookmarkStart w:id="287" w:name="_Toc30535"/>
      <w:bookmarkStart w:id="288" w:name="_Toc119316808"/>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环境风险分析</w:t>
      </w:r>
      <w:bookmarkEnd w:id="285"/>
      <w:bookmarkEnd w:id="286"/>
      <w:bookmarkEnd w:id="287"/>
      <w:bookmarkEnd w:id="288"/>
    </w:p>
    <w:p w14:paraId="7C341A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bidi="ar"/>
        </w:rPr>
      </w:pPr>
      <w:r>
        <w:rPr>
          <w:rFonts w:hint="default" w:ascii="Times New Roman" w:hAnsi="Times New Roman" w:eastAsia="宋体" w:cs="Times New Roman"/>
          <w:color w:val="auto"/>
          <w:kern w:val="21"/>
          <w:highlight w:val="none"/>
          <w:u w:val="none"/>
          <w:lang w:val="en-US" w:eastAsia="zh-CN" w:bidi="ar"/>
        </w:rPr>
        <w:t>根据项目所在地气象资料，由于项目区所在区域降雨较少，区域蒸发量远大于降水量。考虑到近年极端天气较频繁，从环保角度考虑，依照国家相关标准和技术规范进行设计及施工，本工程场区四周建设截水沟，场区外的地表降水由截水沟截流，防止雨水进入场区，淋溶水可沉淀后回用。并且回填区不在当地泄洪通道上，只要及时疏通截水沟，及时导排厂外雨水，发生此风险的可能性极小。</w:t>
      </w:r>
    </w:p>
    <w:p w14:paraId="4E00DA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highlight w:val="none"/>
          <w:u w:val="none"/>
          <w:lang w:val="en-US" w:eastAsia="zh-CN" w:bidi="ar"/>
        </w:rPr>
      </w:pPr>
      <w:r>
        <w:rPr>
          <w:rFonts w:hint="default" w:ascii="Times New Roman" w:hAnsi="Times New Roman" w:eastAsia="宋体" w:cs="Times New Roman"/>
          <w:color w:val="auto"/>
          <w:kern w:val="21"/>
          <w:highlight w:val="none"/>
          <w:u w:val="none"/>
          <w:lang w:val="en-US" w:eastAsia="zh-CN" w:bidi="ar"/>
        </w:rPr>
        <w:t>由于选址不当或防渗施工及防渗材料不符合技术要求，出现暂存池防渗层断裂，淋溶水将可能对土壤及地下水造成污染。因输送管道材料质量、所采取的防渗防腐措施或人为破坏等原因，导致管道淋溶水收集管道破裂，致使淋溶水泄漏，可能会污染土壤及地下水。本项目对淋溶水暂存池采取有效的防渗措施，做好淋溶水导排管道的铺设工作，保证其不堵塞、不破裂，正常运转，发生此风险的可能性极小。</w:t>
      </w:r>
    </w:p>
    <w:p w14:paraId="7E20EA65">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项目场底清理后场底基础铺设30cm厚的改性压实粘土压实作为基础层，</w:t>
      </w:r>
      <w:r>
        <w:rPr>
          <w:rFonts w:hint="eastAsia" w:cs="Times New Roman"/>
          <w:color w:val="auto"/>
          <w:highlight w:val="none"/>
          <w:lang w:eastAsia="zh-CN"/>
        </w:rPr>
        <w:t>并定期由勘测单位对其检测</w:t>
      </w:r>
      <w:r>
        <w:rPr>
          <w:rFonts w:hint="default" w:ascii="Times New Roman" w:hAnsi="Times New Roman" w:cs="Times New Roman"/>
          <w:color w:val="auto"/>
          <w:highlight w:val="none"/>
        </w:rPr>
        <w:t>，其防渗性能满足渗透系数为1.0×10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cm/s且厚度为0.75m的天然基础层后方可回填。粘土压实量为11536m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场边坡防渗采用粘土填筑压实，防渗材料采用600g/m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长纤无纺土工布+1.5mm厚HDPE防渗膜作为人工合成衬层。需保证防渗要求满足《一般工业固体废物贮存和填埋污染控制标准》（GB 18599-2020）</w:t>
      </w:r>
    </w:p>
    <w:p w14:paraId="47F05C3D">
      <w:pPr>
        <w:pStyle w:val="27"/>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在</w:t>
      </w:r>
      <w:r>
        <w:rPr>
          <w:rFonts w:hint="default" w:ascii="Times New Roman" w:hAnsi="Times New Roman" w:cs="Times New Roman"/>
          <w:color w:val="auto"/>
          <w:highlight w:val="none"/>
        </w:rPr>
        <w:t>回填区库底设置1条梯形断面淋溶水导排沟，</w:t>
      </w:r>
      <w:r>
        <w:rPr>
          <w:rFonts w:hint="default" w:ascii="Times New Roman" w:hAnsi="Times New Roman" w:cs="Times New Roman"/>
          <w:color w:val="auto"/>
          <w:highlight w:val="none"/>
          <w:lang w:val="en-US" w:eastAsia="zh-CN"/>
        </w:rPr>
        <w:t>在回填区东侧配套建设1座暂存池（200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实际场地整平</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地形情况，在主导排沟纵线上敷设导排支沟，支</w:t>
      </w:r>
      <w:r>
        <w:rPr>
          <w:rFonts w:hint="default" w:ascii="Times New Roman" w:hAnsi="Times New Roman" w:eastAsia="宋体" w:cs="Times New Roman"/>
          <w:color w:val="auto"/>
          <w:kern w:val="2"/>
          <w:sz w:val="24"/>
          <w:szCs w:val="24"/>
          <w:highlight w:val="none"/>
          <w:lang w:val="en-US" w:eastAsia="zh-CN" w:bidi="ar-SA"/>
        </w:rPr>
        <w:t>沟以45度斜角插入导排主沟，用于施工期极端天气强降雨时期产生的淋溶水收集。淋溶水收集后用于降尘。</w:t>
      </w:r>
    </w:p>
    <w:p w14:paraId="1EFFC5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根据《鸡西市滴道南甸子碎石场矿山复垦项目风险评估报告》，根据地块土壤污染状况调查监测结果可知，各监测点的各项监测因子均可满足《土壤环境质量 建设用地土壤污染风险管控标准（试行）》（GB 36600-2018）中第二类用地筛选值、《土壤环境质量 农用地土壤污染风险管控标准（试行）》（GB 15618-2018）表1中其他土壤污染风险筛选值，该地块土壤未受到污染。通过对该地块环境本底调査，该地块历史用途简单，不属于污染地块。该项目对周边土壤的环境污染风险可以接受。无需开展后续详细调查和风险评估，项目实施后该地块对人体健康的风险可以忽略（即低于可接受水平）。《鸡西市滴道南甸子碎石场矿山复垦项目风险评估报告》已经完成专家评审并在相关管理部门备案。</w:t>
      </w:r>
    </w:p>
    <w:p w14:paraId="4CDE5DC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以上叙述，本项目环境风险事故可能会对周边环境产生一定的影响，建设单位应采取有效的事故预防和处理措施，加大事故防范力度和处理能力，将环境风险事故对周围环境的影响降至最低。在建设单位认真落实各项风险管理与防范措施，本项目实施的环境风险可被接受。</w:t>
      </w:r>
    </w:p>
    <w:p w14:paraId="617732FE">
      <w:pPr>
        <w:pStyle w:val="27"/>
        <w:bidi w:val="0"/>
        <w:rPr>
          <w:rFonts w:hint="default" w:ascii="Times New Roman" w:hAnsi="Times New Roman" w:cs="Times New Roman"/>
          <w:color w:val="auto"/>
          <w:highlight w:val="none"/>
        </w:rPr>
        <w:sectPr>
          <w:headerReference r:id="rId9" w:type="default"/>
          <w:footerReference r:id="rId10"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289" w:name="_Toc479252821"/>
      <w:bookmarkStart w:id="290" w:name="_Toc477954576"/>
    </w:p>
    <w:bookmarkEnd w:id="289"/>
    <w:bookmarkEnd w:id="290"/>
    <w:p w14:paraId="78964854">
      <w:pPr>
        <w:pStyle w:val="44"/>
        <w:bidi w:val="0"/>
        <w:rPr>
          <w:rFonts w:hint="default" w:ascii="Times New Roman" w:hAnsi="Times New Roman" w:cs="Times New Roman"/>
          <w:color w:val="auto"/>
          <w:highlight w:val="none"/>
        </w:rPr>
      </w:pPr>
      <w:bookmarkStart w:id="291" w:name="_Toc119316809"/>
      <w:bookmarkStart w:id="292" w:name="_Toc152926828"/>
      <w:bookmarkStart w:id="293" w:name="_Toc11796"/>
      <w:bookmarkStart w:id="294" w:name="_Toc21191"/>
      <w:bookmarkStart w:id="295" w:name="_Toc152926843"/>
      <w:bookmarkStart w:id="296" w:name="_Toc477954594"/>
      <w:bookmarkStart w:id="297" w:name="_Toc3673"/>
      <w:bookmarkStart w:id="298" w:name="_Toc119316825"/>
      <w:bookmarkStart w:id="299" w:name="_Toc484077219"/>
      <w:r>
        <w:rPr>
          <w:rFonts w:hint="default" w:ascii="Times New Roman" w:hAnsi="Times New Roman" w:cs="Times New Roman"/>
          <w:color w:val="auto"/>
          <w:highlight w:val="none"/>
        </w:rPr>
        <w:t>6环境保护措施及其可行性论证</w:t>
      </w:r>
      <w:bookmarkEnd w:id="291"/>
      <w:bookmarkEnd w:id="292"/>
      <w:bookmarkEnd w:id="293"/>
      <w:bookmarkEnd w:id="294"/>
    </w:p>
    <w:p w14:paraId="57955017">
      <w:pPr>
        <w:pStyle w:val="43"/>
        <w:bidi w:val="0"/>
        <w:rPr>
          <w:rFonts w:hint="default" w:ascii="Times New Roman" w:hAnsi="Times New Roman" w:cs="Times New Roman"/>
          <w:color w:val="auto"/>
          <w:highlight w:val="none"/>
        </w:rPr>
      </w:pPr>
      <w:bookmarkStart w:id="300" w:name="_Toc23087"/>
      <w:bookmarkStart w:id="301" w:name="_Toc119316810"/>
      <w:bookmarkStart w:id="302" w:name="_Toc152926829"/>
      <w:bookmarkStart w:id="303" w:name="_Toc494017094"/>
      <w:bookmarkStart w:id="304" w:name="_Toc493664702"/>
      <w:bookmarkStart w:id="305" w:name="_Toc31150"/>
      <w:r>
        <w:rPr>
          <w:rFonts w:hint="default" w:ascii="Times New Roman" w:hAnsi="Times New Roman" w:cs="Times New Roman"/>
          <w:color w:val="auto"/>
          <w:highlight w:val="none"/>
        </w:rPr>
        <w:t>6.1施工期环境保护措施</w:t>
      </w:r>
      <w:bookmarkEnd w:id="300"/>
      <w:bookmarkEnd w:id="301"/>
      <w:bookmarkEnd w:id="302"/>
      <w:bookmarkEnd w:id="303"/>
      <w:bookmarkEnd w:id="304"/>
      <w:bookmarkEnd w:id="305"/>
    </w:p>
    <w:p w14:paraId="431B1DCB">
      <w:pPr>
        <w:pStyle w:val="41"/>
        <w:bidi w:val="0"/>
        <w:rPr>
          <w:rFonts w:hint="default" w:ascii="Times New Roman" w:hAnsi="Times New Roman" w:cs="Times New Roman"/>
          <w:color w:val="auto"/>
          <w:highlight w:val="none"/>
        </w:rPr>
      </w:pPr>
      <w:bookmarkStart w:id="306" w:name="_Toc26596"/>
      <w:r>
        <w:rPr>
          <w:rFonts w:hint="default" w:ascii="Times New Roman" w:hAnsi="Times New Roman" w:cs="Times New Roman"/>
          <w:color w:val="auto"/>
          <w:highlight w:val="none"/>
        </w:rPr>
        <w:t>6.1.1施工期大气环境保护措施</w:t>
      </w:r>
      <w:bookmarkEnd w:id="306"/>
    </w:p>
    <w:p w14:paraId="5482D1AB">
      <w:pPr>
        <w:pStyle w:val="6"/>
        <w:bidi w:val="0"/>
        <w:rPr>
          <w:rFonts w:hint="default" w:ascii="Times New Roman" w:hAnsi="Times New Roman" w:eastAsia="宋体" w:cs="Times New Roman"/>
          <w:color w:val="auto"/>
          <w:highlight w:val="none"/>
          <w:lang w:val="en-US" w:eastAsia="zh-CN"/>
        </w:rPr>
      </w:pPr>
      <w:bookmarkStart w:id="307" w:name="_Toc3554"/>
      <w:r>
        <w:rPr>
          <w:rFonts w:hint="default" w:ascii="Times New Roman" w:hAnsi="Times New Roman" w:cs="Times New Roman"/>
          <w:color w:val="auto"/>
          <w:highlight w:val="none"/>
          <w:lang w:val="en-US" w:eastAsia="zh-CN"/>
        </w:rPr>
        <w:t>6.1.1.1扬尘防治措施</w:t>
      </w:r>
    </w:p>
    <w:p w14:paraId="72D1A1B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采用全封闭式专用密闭运输汽车，将</w:t>
      </w:r>
      <w:r>
        <w:rPr>
          <w:rFonts w:hint="default" w:ascii="Times New Roman" w:hAnsi="Times New Roman" w:cs="Times New Roman"/>
          <w:color w:val="auto"/>
          <w:highlight w:val="none"/>
          <w:lang w:val="en-US" w:eastAsia="zh-CN"/>
        </w:rPr>
        <w:t>含有</w:t>
      </w:r>
      <w:r>
        <w:rPr>
          <w:rFonts w:hint="default" w:ascii="Times New Roman" w:hAnsi="Times New Roman" w:cs="Times New Roman"/>
          <w:color w:val="auto"/>
          <w:highlight w:val="none"/>
        </w:rPr>
        <w:t>一定水分的</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，从厂区直接运入回填区；卸车后，采用推土机推摊铺平；紧接着采用压实机碾压，堆而填之。管理人员可根据当地的气候变化规律，找出适合本工程的喷洒水规律，建立制度，控制回填作业扬尘。</w:t>
      </w:r>
    </w:p>
    <w:p w14:paraId="6598A09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必须做到随倒随压，避免碾压不及时或未进行保湿时，风吹扬尘造成二次污染。分区分单元分层作业，单元面积1200m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，对每日回填完成的作业单元进行及时苫布覆盖，非作业面以及已碾实的</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表面采用苫布覆盖。</w:t>
      </w:r>
    </w:p>
    <w:p w14:paraId="72EF264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为减轻卸车时产生的灰尘对大气环境的影响，应注意控制卸车时的速度，在干燥天气，应配备水车，边卸车边适当洒水，减少灰尘飞扬。</w:t>
      </w:r>
    </w:p>
    <w:p w14:paraId="269B4C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回填区运行管理中应建立严格的质量保证体系，对碾压</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的干容量、含水量、喷洒质量、设备完好率、回填设施的安全进行检测和检查。</w:t>
      </w:r>
    </w:p>
    <w:p w14:paraId="7C703EC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制定严格的回填区回填作业的运行规章制度，加强岗前和岗中培训，培养工作人员的高度责任心和环保意识。加强回填区的运行管理和环境管理，建立管理制度，严格按规程操作，在现场要有专人管理，加强扬尘的监视和防治。</w:t>
      </w:r>
    </w:p>
    <w:p w14:paraId="185BCE2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与当地气象部门建立合作关系，根据中期和近期的大风预报情况制订并调整回填作业运作程序。当风力大于四级时，当停止本项目的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等的运输，同时暂停本项目回填运作，并在大风来临之前加强回填区域洒水作业，并提前对回填单元进行遮盖；在大风期间，要缩短洒水的时间间隔，适当增加调湿干灰的水量，以防扬尘的发生。</w:t>
      </w:r>
    </w:p>
    <w:p w14:paraId="3A9B7E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在大风、干燥季节来临前，回填区应备用苫布等遮盖物，以便于在大风、干燥季节对未进行碾压的</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等</w:t>
      </w:r>
      <w:r>
        <w:rPr>
          <w:rFonts w:hint="default" w:ascii="Times New Roman" w:hAnsi="Times New Roman" w:cs="Times New Roman"/>
          <w:color w:val="auto"/>
          <w:highlight w:val="none"/>
          <w:lang w:val="en-US" w:eastAsia="zh-CN"/>
        </w:rPr>
        <w:t>进行</w:t>
      </w:r>
      <w:r>
        <w:rPr>
          <w:rFonts w:hint="default" w:ascii="Times New Roman" w:hAnsi="Times New Roman" w:cs="Times New Roman"/>
          <w:color w:val="auto"/>
          <w:highlight w:val="none"/>
        </w:rPr>
        <w:t>临时</w:t>
      </w:r>
      <w:r>
        <w:rPr>
          <w:rFonts w:hint="default" w:ascii="Times New Roman" w:hAnsi="Times New Roman" w:cs="Times New Roman"/>
          <w:color w:val="auto"/>
          <w:highlight w:val="none"/>
          <w:lang w:val="en-US" w:eastAsia="zh-CN"/>
        </w:rPr>
        <w:t>遮盖</w:t>
      </w:r>
      <w:r>
        <w:rPr>
          <w:rFonts w:hint="default" w:ascii="Times New Roman" w:hAnsi="Times New Roman" w:cs="Times New Roman"/>
          <w:color w:val="auto"/>
          <w:highlight w:val="none"/>
        </w:rPr>
        <w:t>，避免扬尘的产生。</w:t>
      </w:r>
    </w:p>
    <w:p w14:paraId="1B99D67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在回填区下风向设监测点，定期对总悬浮微粒进行监测，为环境管理提供数据。</w:t>
      </w:r>
    </w:p>
    <w:p w14:paraId="6E45E0D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2、回填区洒水</w:t>
      </w:r>
    </w:p>
    <w:p w14:paraId="77428EE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洒水是抑制扬尘的重要工程措施。洒水周期和水量应根据季节和天气，适时洒水，避免因风吹而扬灰。例如干燥多风季节应勤洒多洒，阴雨天气可以少洒或不洒。一般情况下，建议每天洒</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次水，每次洒水深度2mm。配备1辆移动式洒水车，在</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间定期对作业面进行洒水降尘，洒水面积1200m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。在运行过程中应经常了解天气预报，避免扬尘污染。不得在大风天气作业。</w:t>
      </w:r>
    </w:p>
    <w:p w14:paraId="0B31827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3、雨天运行时应满足下列要求：</w:t>
      </w:r>
    </w:p>
    <w:p w14:paraId="52DBD213">
      <w:pPr>
        <w:pStyle w:val="27"/>
        <w:bidi w:val="0"/>
        <w:rPr>
          <w:rFonts w:hint="default" w:ascii="Times New Roman" w:hAnsi="Times New Roman" w:eastAsia="宋体" w:cs="Times New Roman"/>
          <w:b w:val="0"/>
          <w:color w:val="auto"/>
          <w:kern w:val="21"/>
          <w:sz w:val="24"/>
          <w:szCs w:val="24"/>
          <w:highlight w:val="none"/>
          <w:lang w:val="en-US" w:eastAsia="zh-CN" w:bidi="ar-SA"/>
        </w:rPr>
      </w:pPr>
      <w:r>
        <w:rPr>
          <w:rFonts w:hint="default" w:ascii="Times New Roman" w:hAnsi="Times New Roman" w:cs="Times New Roman"/>
          <w:color w:val="auto"/>
          <w:highlight w:val="none"/>
        </w:rPr>
        <w:t>阴雨天时卸到现场的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应及时铺平、碾压，避免雨天时将松散灰堆在现场；压实后的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表面应保持平整，避免中到大雨时形成的径流冲蚀灰面；阴雨</w:t>
      </w:r>
      <w:r>
        <w:rPr>
          <w:rFonts w:hint="default" w:ascii="Times New Roman" w:hAnsi="Times New Roman" w:eastAsia="宋体" w:cs="Times New Roman"/>
          <w:b w:val="0"/>
          <w:color w:val="auto"/>
          <w:kern w:val="21"/>
          <w:sz w:val="24"/>
          <w:szCs w:val="24"/>
          <w:highlight w:val="none"/>
          <w:lang w:val="en-US" w:eastAsia="zh-CN" w:bidi="ar-SA"/>
        </w:rPr>
        <w:t>天气应适当降低调湿灰的含水量，并适当降低灰面碾压过程的喷洒水量；运灰罐车内的粘灰应及时清理；雨天灰面碾压工作应在积水区边缘30m以外进行，不得在积水区卸灰及碾压；</w:t>
      </w:r>
    </w:p>
    <w:p w14:paraId="466345A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lang w:val="en-US" w:eastAsia="zh-CN" w:bidi="ar-SA"/>
        </w:rPr>
      </w:pPr>
      <w:r>
        <w:rPr>
          <w:rFonts w:hint="default" w:ascii="Times New Roman" w:hAnsi="Times New Roman" w:eastAsia="宋体" w:cs="Times New Roman"/>
          <w:b w:val="0"/>
          <w:color w:val="auto"/>
          <w:kern w:val="21"/>
          <w:sz w:val="24"/>
          <w:szCs w:val="24"/>
          <w:highlight w:val="none"/>
          <w:lang w:val="en-US" w:eastAsia="zh-CN" w:bidi="ar-SA"/>
        </w:rPr>
        <w:t>4、冬季运行应满足下列要求</w:t>
      </w:r>
    </w:p>
    <w:p w14:paraId="71E80B3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lang w:val="en-US" w:eastAsia="zh-CN" w:bidi="ar-SA"/>
        </w:rPr>
      </w:pPr>
      <w:r>
        <w:rPr>
          <w:rFonts w:hint="default" w:ascii="Times New Roman" w:hAnsi="Times New Roman" w:eastAsia="宋体" w:cs="Times New Roman"/>
          <w:b w:val="0"/>
          <w:color w:val="auto"/>
          <w:kern w:val="21"/>
          <w:sz w:val="24"/>
          <w:szCs w:val="24"/>
          <w:highlight w:val="none"/>
          <w:lang w:val="en-US" w:eastAsia="zh-CN" w:bidi="ar-SA"/>
        </w:rPr>
        <w:t>冬季运行时应使用较小堆灰工作面，连续铺碾，减少裸露面积，减轻冻害。</w:t>
      </w:r>
    </w:p>
    <w:p w14:paraId="7117A66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lang w:val="en-US" w:eastAsia="zh-CN" w:bidi="ar-SA"/>
        </w:rPr>
      </w:pPr>
      <w:r>
        <w:rPr>
          <w:rFonts w:hint="default" w:ascii="Times New Roman" w:hAnsi="Times New Roman" w:eastAsia="宋体" w:cs="Times New Roman"/>
          <w:b w:val="0"/>
          <w:color w:val="auto"/>
          <w:kern w:val="21"/>
          <w:sz w:val="24"/>
          <w:szCs w:val="24"/>
          <w:highlight w:val="none"/>
          <w:lang w:val="en-US" w:eastAsia="zh-CN" w:bidi="ar-SA"/>
        </w:rPr>
        <w:t>低温天气运行时，应适当降低粉煤灰含水量，既保证粉煤灰碾压效果，又不使粉煤灰产生冻结现象。</w:t>
      </w:r>
    </w:p>
    <w:p w14:paraId="597B6F1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lang w:val="en-US" w:eastAsia="zh-CN" w:bidi="ar-SA"/>
        </w:rPr>
      </w:pPr>
      <w:r>
        <w:rPr>
          <w:rFonts w:hint="default" w:ascii="Times New Roman" w:hAnsi="Times New Roman" w:eastAsia="宋体" w:cs="Times New Roman"/>
          <w:b w:val="0"/>
          <w:color w:val="auto"/>
          <w:kern w:val="21"/>
          <w:sz w:val="24"/>
          <w:szCs w:val="24"/>
          <w:highlight w:val="none"/>
          <w:lang w:val="en-US" w:eastAsia="zh-CN" w:bidi="ar-SA"/>
        </w:rPr>
        <w:t>寒冷结冰季节应加快灰场运行过程，避免作业时间长，导致粉煤灰结冰。在隔夜的压实灰面上继续摊灰前，应先振碾和静碾各一遍，使新旧粉煤灰表面结合良好。对于风干的灰面应及时洒水，使灰面形成冰壳防止扬尘污染。</w:t>
      </w:r>
    </w:p>
    <w:p w14:paraId="0BFE205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、运输过程扬尘防治对策</w:t>
      </w:r>
    </w:p>
    <w:p w14:paraId="0E5CE1F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为防止炉渣等运输过程产生的扬尘污染，环评要求采取以下措施：</w:t>
      </w:r>
    </w:p>
    <w:p w14:paraId="697CAC4A">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 1 \* GB3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粉煤灰应加湿后用专用运灰车运输，并在出厂前对干灰进行加湿搅拌，干灰含水率控制在20%左右，避免运输及卸渣时扬尘产生，避免车辆运输对保护目标南甸子村及沿线敏感点造成影响。</w:t>
      </w:r>
    </w:p>
    <w:p w14:paraId="10A1AB3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②运输车辆往返回填区，车厢板和轮胎会滞留有残灰，会造成粉煤灰沿运灰道路抛洒、散失，应定时对运输车辆进行清洗，杜绝运输途中发生扬尘污染。严格禁止超高装车，防止粉煤灰散落。</w:t>
      </w:r>
    </w:p>
    <w:p w14:paraId="192BBC4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③遇大风天气，为防止扬尘污染不得进行运输、回填作业。</w:t>
      </w:r>
    </w:p>
    <w:p w14:paraId="7976B6FB">
      <w:pPr>
        <w:pStyle w:val="27"/>
        <w:bidi w:val="0"/>
        <w:rPr>
          <w:rFonts w:hint="default" w:ascii="Times New Roman" w:hAnsi="Times New Roman" w:cs="Times New Roman"/>
          <w:color w:val="auto"/>
          <w:highlight w:val="none"/>
        </w:rPr>
      </w:pPr>
    </w:p>
    <w:p w14:paraId="43ECF5D9">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.1.2机械尾气防治措施</w:t>
      </w:r>
    </w:p>
    <w:p w14:paraId="02A53CD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选用质量好、设计环保的机械设备，使用高品质柴油，降低对空气的污染；定期对机械进行维修和检查，对于使用时间过长、技术落后、技术状况差、耗油量大、污染严重的机械，严格按照相关标准予以报废。</w:t>
      </w:r>
    </w:p>
    <w:p w14:paraId="7BF8FB6A">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.1.3小结</w:t>
      </w:r>
    </w:p>
    <w:p w14:paraId="3AEC67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w:t>
      </w: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rPr>
        <w:t>过程中产生的扬尘均为无组织排放，现场的扬尘将对周边环境空气造成一定程度的污染，但这种污染是短期的，工程结束后，将不再存在。</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废气拟采取的污染防治措施主要为：回填面及时覆盖，运输车辆采取篷布遮盖、封闭车厢、罐车运输等密闭措施，并控制车速；回填区配备洒水车辆，对运输道路及作业区进行洒水降尘，使用高品质柴油，定期对机械进行检修。采取上述措施后，经估算场界污染物浓度可达到《大气污染物综合排放标准》（GB16297-1996）中的表2无组织排放监控浓度限值，敏感点及区域环境空气满足《环境空气质量标准》（GB3095-2012）及修改单二级标准的要求，对区域环境空气产生的影响可以接受。</w:t>
      </w:r>
    </w:p>
    <w:p w14:paraId="50B13504">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6.1.2施工期水环境保护措施</w:t>
      </w:r>
      <w:bookmarkEnd w:id="307"/>
    </w:p>
    <w:p w14:paraId="3D8EDF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施工期废水主要为生活污水、施工废水</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w:t>
      </w:r>
    </w:p>
    <w:p w14:paraId="38C6B9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1、施工人员生活污水排入</w:t>
      </w:r>
      <w:r>
        <w:rPr>
          <w:rFonts w:hint="default" w:ascii="Times New Roman" w:hAnsi="Times New Roman" w:cs="Times New Roman"/>
          <w:color w:val="auto"/>
          <w:highlight w:val="none"/>
          <w:lang w:val="en-US" w:eastAsia="zh-CN"/>
        </w:rPr>
        <w:t>碎石厂</w:t>
      </w:r>
      <w:r>
        <w:rPr>
          <w:rFonts w:hint="default" w:ascii="Times New Roman" w:hAnsi="Times New Roman" w:cs="Times New Roman"/>
          <w:color w:val="auto"/>
          <w:highlight w:val="none"/>
        </w:rPr>
        <w:t>的防渗旱厕，定期清掏，可不外排，对环境影响很小。</w:t>
      </w:r>
    </w:p>
    <w:p w14:paraId="4C92525C">
      <w:pPr>
        <w:pStyle w:val="2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现有开采区西侧设置300m的截洪沟、排水渠，现有开采区西侧原有300m的截洪沟、排水渠；本项目在回填区四周设置550m的截洪沟、排水渠</w:t>
      </w:r>
      <w:r>
        <w:rPr>
          <w:rFonts w:hint="default" w:ascii="Times New Roman" w:hAnsi="Times New Roman" w:cs="Times New Roman"/>
          <w:color w:val="auto"/>
          <w:highlight w:val="none"/>
          <w:lang w:eastAsia="zh-CN"/>
        </w:rPr>
        <w:t>，将整个回填场地与场外其他区域分开，未受污染的雨水沿防坡面排入排水沟内，最终排入厂区</w:t>
      </w:r>
      <w:r>
        <w:rPr>
          <w:rFonts w:hint="default" w:ascii="Times New Roman" w:hAnsi="Times New Roman" w:cs="Times New Roman"/>
          <w:color w:val="auto"/>
          <w:highlight w:val="none"/>
          <w:lang w:val="en-US" w:eastAsia="zh-CN"/>
        </w:rPr>
        <w:t>外</w:t>
      </w:r>
      <w:r>
        <w:rPr>
          <w:rFonts w:hint="default" w:ascii="Times New Roman" w:hAnsi="Times New Roman" w:cs="Times New Roman"/>
          <w:color w:val="auto"/>
          <w:highlight w:val="none"/>
          <w:lang w:eastAsia="zh-CN"/>
        </w:rPr>
        <w:t>自然冲沟内；</w:t>
      </w:r>
    </w:p>
    <w:p w14:paraId="30C21C85">
      <w:pPr>
        <w:pStyle w:val="27"/>
        <w:bidi w:val="0"/>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3、根据雨季强降雨淋溶水计算，雨季最大降雨量产生的淋溶水为25.24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降尘用水量为25m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/d，淋溶水全部回用可行。雨季优先适用暂存池收集的淋溶水及雨水，水量不够时，</w:t>
      </w:r>
      <w:r>
        <w:rPr>
          <w:rFonts w:hint="default" w:ascii="Times New Roman" w:hAnsi="Times New Roman" w:cs="Times New Roman"/>
          <w:color w:val="auto"/>
          <w:highlight w:val="none"/>
        </w:rPr>
        <w:t>依托</w:t>
      </w:r>
      <w:r>
        <w:rPr>
          <w:rFonts w:hint="default" w:ascii="Times New Roman" w:hAnsi="Times New Roman" w:cs="Times New Roman"/>
          <w:color w:val="auto"/>
          <w:highlight w:val="none"/>
          <w:lang w:val="en-US" w:eastAsia="zh-CN"/>
        </w:rPr>
        <w:t>南甸子村</w:t>
      </w:r>
      <w:r>
        <w:rPr>
          <w:rFonts w:hint="default" w:ascii="Times New Roman" w:hAnsi="Times New Roman" w:cs="Times New Roman"/>
          <w:color w:val="auto"/>
          <w:highlight w:val="none"/>
        </w:rPr>
        <w:t>自来水，</w:t>
      </w:r>
      <w:r>
        <w:rPr>
          <w:rFonts w:hint="default" w:ascii="Times New Roman" w:hAnsi="Times New Roman" w:cs="Times New Roman"/>
          <w:color w:val="auto"/>
          <w:highlight w:val="none"/>
          <w:lang w:val="en-US" w:eastAsia="zh-CN"/>
        </w:rPr>
        <w:t>采</w:t>
      </w:r>
      <w:r>
        <w:rPr>
          <w:rFonts w:hint="default" w:ascii="Times New Roman" w:hAnsi="Times New Roman" w:cs="Times New Roman"/>
          <w:color w:val="auto"/>
          <w:highlight w:val="none"/>
        </w:rPr>
        <w:t>用自备洒水车拉运至厂区。</w:t>
      </w:r>
    </w:p>
    <w:p w14:paraId="57408D4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w:t>
      </w:r>
      <w:r>
        <w:rPr>
          <w:rFonts w:hint="default" w:ascii="Times New Roman" w:hAnsi="Times New Roman" w:cs="Times New Roman"/>
          <w:color w:val="auto"/>
          <w:highlight w:val="none"/>
          <w:lang w:val="en-US" w:eastAsia="zh-CN"/>
        </w:rPr>
        <w:t>无废水外排，对</w:t>
      </w:r>
      <w:r>
        <w:rPr>
          <w:rFonts w:hint="default" w:ascii="Times New Roman" w:hAnsi="Times New Roman" w:cs="Times New Roman"/>
          <w:color w:val="auto"/>
          <w:highlight w:val="none"/>
        </w:rPr>
        <w:t>水环境</w:t>
      </w:r>
      <w:r>
        <w:rPr>
          <w:rFonts w:hint="default" w:ascii="Times New Roman" w:hAnsi="Times New Roman" w:cs="Times New Roman"/>
          <w:color w:val="auto"/>
          <w:highlight w:val="none"/>
          <w:lang w:val="en-US" w:eastAsia="zh-CN"/>
        </w:rPr>
        <w:t>影响较小，</w:t>
      </w:r>
      <w:r>
        <w:rPr>
          <w:rFonts w:hint="default" w:ascii="Times New Roman" w:hAnsi="Times New Roman" w:cs="Times New Roman"/>
          <w:color w:val="auto"/>
          <w:highlight w:val="none"/>
        </w:rPr>
        <w:t>保护措施可行。</w:t>
      </w:r>
    </w:p>
    <w:p w14:paraId="469B5862">
      <w:pPr>
        <w:pStyle w:val="41"/>
        <w:bidi w:val="0"/>
        <w:rPr>
          <w:rFonts w:hint="default" w:ascii="Times New Roman" w:hAnsi="Times New Roman" w:cs="Times New Roman"/>
          <w:color w:val="auto"/>
          <w:highlight w:val="none"/>
        </w:rPr>
      </w:pPr>
      <w:bookmarkStart w:id="308" w:name="_Toc24312"/>
      <w:r>
        <w:rPr>
          <w:rFonts w:hint="default" w:ascii="Times New Roman" w:hAnsi="Times New Roman" w:cs="Times New Roman"/>
          <w:color w:val="auto"/>
          <w:highlight w:val="none"/>
        </w:rPr>
        <w:t>6.1.3施工期声环境保护措施</w:t>
      </w:r>
      <w:bookmarkEnd w:id="308"/>
    </w:p>
    <w:p w14:paraId="1DFCF49F">
      <w:pPr>
        <w:pStyle w:val="27"/>
        <w:bidi w:val="0"/>
        <w:rPr>
          <w:rFonts w:hint="default" w:ascii="Times New Roman" w:hAnsi="Times New Roman" w:cs="Times New Roman"/>
          <w:color w:val="auto"/>
          <w:highlight w:val="none"/>
        </w:rPr>
      </w:pPr>
      <w:bookmarkStart w:id="309" w:name="_Toc9146"/>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噪声源主要来自运输车噪声和设备噪声，拟采取的污染防治措施如下：</w:t>
      </w:r>
    </w:p>
    <w:p w14:paraId="5D5CC7B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（1）噪声控制措施</w:t>
      </w:r>
    </w:p>
    <w:p w14:paraId="6A869CD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①优先选用低噪声设备。尽可能选取运行精度高、噪声低，配备有减振、降噪装置的生产设备。</w:t>
      </w:r>
    </w:p>
    <w:p w14:paraId="53CA8E2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②回填区设置围挡，减少噪声对周围环境的影响。</w:t>
      </w:r>
    </w:p>
    <w:p w14:paraId="58E3DC3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运输</w:t>
      </w:r>
      <w:r>
        <w:rPr>
          <w:rFonts w:hint="default" w:ascii="Times New Roman" w:hAnsi="Times New Roman" w:cs="Times New Roman"/>
          <w:color w:val="auto"/>
          <w:highlight w:val="none"/>
        </w:rPr>
        <w:t>交通噪声控制措施</w:t>
      </w:r>
    </w:p>
    <w:p w14:paraId="6D7A82F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①机动车辆必须加强维修和保养，保持技术性能良好；要强化车辆行驶规章制度；加强人员环保意识。</w:t>
      </w:r>
    </w:p>
    <w:p w14:paraId="50C7AA7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②运输车辆经过沿线村庄时将车速控制在20km/h以下、禁止鸣笛；</w:t>
      </w:r>
    </w:p>
    <w:p w14:paraId="10FC42B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③同时加强道路、车辆养护，减少噪声产生。</w:t>
      </w:r>
    </w:p>
    <w:p w14:paraId="121E379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（3）加强生产管理</w:t>
      </w:r>
    </w:p>
    <w:p w14:paraId="751D41F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提高自动控制水平，为操作人员配备噪声防护装备；设备、车辆定期维护保养，减少非正常运营噪声产生；加强员工岗位培训，按规程操作，文明生产。</w:t>
      </w:r>
    </w:p>
    <w:p w14:paraId="55180F6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降噪措施降噪和距离衰减后，项目对厂界外环境噪声影响很小，厂界噪声满足《工业企业厂界环境噪声排放标准》(GB12348-2008）表1中1类标准要求。运输道路敏感点处噪声满足《声环境质量标准》（GB3096-2008）中1类、2类标准要求。</w:t>
      </w:r>
    </w:p>
    <w:p w14:paraId="47A72B11">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6.1.4施工期固体废物处置措施</w:t>
      </w:r>
      <w:bookmarkEnd w:id="309"/>
    </w:p>
    <w:p w14:paraId="365A101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生活垃圾、场地清理废物。建筑材料下脚料、包装袋等建筑废弃物，外售废品回收部门；生活垃圾集中收集后定期就近交由当地村屯生活垃圾收集系统进行分类处置；场地清理废物包含杂草、草木根茎、杂物等，集中收集后交由市政部门统一处理。</w:t>
      </w:r>
    </w:p>
    <w:p w14:paraId="6B8CF3F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单位应遵照当地建筑垃圾管理办法进行处置，把产生的建筑垃圾充分、合理地利用起来，贯彻变“废”为“宝”和清洁生产的理念。采取上述措施，本项目施工期产生的固废处置率100%，不会对环境产生明显影响，施工期固体废物处置措施可行。</w:t>
      </w:r>
    </w:p>
    <w:p w14:paraId="783788E2">
      <w:pPr>
        <w:pStyle w:val="41"/>
        <w:bidi w:val="0"/>
        <w:rPr>
          <w:rFonts w:hint="default" w:ascii="Times New Roman" w:hAnsi="Times New Roman" w:cs="Times New Roman"/>
          <w:color w:val="auto"/>
          <w:highlight w:val="none"/>
        </w:rPr>
      </w:pPr>
      <w:bookmarkStart w:id="310" w:name="_Toc27095"/>
      <w:r>
        <w:rPr>
          <w:rFonts w:hint="default" w:ascii="Times New Roman" w:hAnsi="Times New Roman" w:cs="Times New Roman"/>
          <w:color w:val="auto"/>
          <w:highlight w:val="none"/>
        </w:rPr>
        <w:t>6.1.5施工期生态保护措施</w:t>
      </w:r>
      <w:bookmarkEnd w:id="310"/>
    </w:p>
    <w:p w14:paraId="3E0FE88A">
      <w:pPr>
        <w:pStyle w:val="27"/>
        <w:bidi w:val="0"/>
        <w:rPr>
          <w:rFonts w:hint="default" w:ascii="Times New Roman" w:hAnsi="Times New Roman" w:cs="Times New Roman"/>
          <w:color w:val="auto"/>
          <w:highlight w:val="none"/>
        </w:rPr>
      </w:pPr>
      <w:bookmarkStart w:id="311" w:name="_Toc119316811"/>
      <w:r>
        <w:rPr>
          <w:rFonts w:hint="default" w:ascii="Times New Roman" w:hAnsi="Times New Roman" w:cs="Times New Roman"/>
          <w:color w:val="auto"/>
          <w:highlight w:val="none"/>
        </w:rPr>
        <w:t>项目施工过程对治理区范围外的生态影响主要为施工扬尘对周边植被的影响及施工机械、车辆对植被的碾压破坏，</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堆积将加剧地区水土流失等。本</w:t>
      </w:r>
    </w:p>
    <w:p w14:paraId="52EE0BF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项目采取以下措施，以减缓对生态环境的影响：</w:t>
      </w:r>
    </w:p>
    <w:p w14:paraId="4042FCC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划定施工作业范围，严禁随意扩大施工区域：运</w:t>
      </w:r>
      <w:r>
        <w:rPr>
          <w:rFonts w:hint="default" w:ascii="Times New Roman" w:hAnsi="Times New Roman" w:cs="Times New Roman"/>
          <w:color w:val="auto"/>
          <w:highlight w:val="none"/>
          <w:lang w:val="en-US" w:eastAsia="zh-CN"/>
        </w:rPr>
        <w:t>输车</w:t>
      </w:r>
      <w:r>
        <w:rPr>
          <w:rFonts w:hint="default" w:ascii="Times New Roman" w:hAnsi="Times New Roman" w:cs="Times New Roman"/>
          <w:color w:val="auto"/>
          <w:highlight w:val="none"/>
        </w:rPr>
        <w:t>辆及施工机械按规定线路行驶，严禁碾压施工作业范围外的植被。</w:t>
      </w:r>
    </w:p>
    <w:p w14:paraId="0C779D1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治理区根据</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的填充情况，及时碾压覆土，减少地表裸露面。最终覆土完毕后，占用地表根据情况填充，进行覆土、</w:t>
      </w:r>
      <w:r>
        <w:rPr>
          <w:rFonts w:hint="default" w:ascii="Times New Roman" w:hAnsi="Times New Roman" w:cs="Times New Roman"/>
          <w:color w:val="auto"/>
          <w:highlight w:val="none"/>
          <w:lang w:val="en-US" w:eastAsia="zh-CN"/>
        </w:rPr>
        <w:t>恢复植被</w:t>
      </w:r>
      <w:r>
        <w:rPr>
          <w:rFonts w:hint="default" w:ascii="Times New Roman" w:hAnsi="Times New Roman" w:cs="Times New Roman"/>
          <w:color w:val="auto"/>
          <w:highlight w:val="none"/>
        </w:rPr>
        <w:t>。</w:t>
      </w:r>
    </w:p>
    <w:p w14:paraId="7A691257">
      <w:pPr>
        <w:pStyle w:val="2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现有</w:t>
      </w:r>
      <w:r>
        <w:rPr>
          <w:rFonts w:hint="default" w:ascii="Times New Roman" w:hAnsi="Times New Roman" w:cs="Times New Roman"/>
          <w:color w:val="auto"/>
          <w:highlight w:val="none"/>
        </w:rPr>
        <w:t>表土场采用临时挡土墙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拦挡加固，防止水土流失</w:t>
      </w:r>
      <w:r>
        <w:rPr>
          <w:rFonts w:hint="default" w:ascii="Times New Roman" w:hAnsi="Times New Roman" w:cs="Times New Roman"/>
          <w:color w:val="auto"/>
          <w:highlight w:val="none"/>
          <w:lang w:eastAsia="zh-CN"/>
        </w:rPr>
        <w:t>。</w:t>
      </w:r>
    </w:p>
    <w:p w14:paraId="6F446CBB">
      <w:pPr>
        <w:pStyle w:val="27"/>
        <w:numPr>
          <w:ilvl w:val="0"/>
          <w:numId w:val="11"/>
        </w:num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回填区生态保护措施</w:t>
      </w:r>
      <w:r>
        <w:rPr>
          <w:rFonts w:hint="eastAsia" w:cs="Times New Roman"/>
          <w:color w:val="auto"/>
          <w:highlight w:val="none"/>
          <w:lang w:val="en-US" w:eastAsia="zh-CN"/>
        </w:rPr>
        <w:t>：</w:t>
      </w:r>
      <w:r>
        <w:rPr>
          <w:rFonts w:hint="default" w:ascii="Times New Roman" w:hAnsi="Times New Roman" w:cs="Times New Roman"/>
          <w:color w:val="auto"/>
          <w:highlight w:val="none"/>
        </w:rPr>
        <w:t>项目施工过程中对边坡及矸石平台进行喷淋酒水抑尘。对已经成型平台及边坡及时进行生态恢复，在回填至设计标高后回填表土，边坡覆盖表土后边坡比不小于1:1，本项目回填后应立即</w:t>
      </w:r>
      <w:r>
        <w:rPr>
          <w:rFonts w:hint="default" w:ascii="Times New Roman" w:hAnsi="Times New Roman" w:cs="Times New Roman"/>
          <w:color w:val="auto"/>
          <w:highlight w:val="none"/>
          <w:lang w:val="en-US" w:eastAsia="zh-CN"/>
        </w:rPr>
        <w:t>对场地进行植被恢复，工程内容如下表所示</w:t>
      </w:r>
      <w:r>
        <w:rPr>
          <w:rFonts w:hint="default" w:ascii="Times New Roman" w:hAnsi="Times New Roman" w:cs="Times New Roman"/>
          <w:color w:val="auto"/>
          <w:highlight w:val="none"/>
        </w:rPr>
        <w:t>。</w:t>
      </w:r>
    </w:p>
    <w:p w14:paraId="65BB0A2D">
      <w:pPr>
        <w:pStyle w:val="2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表6-1-1  植被恢复措施一览表</w:t>
      </w:r>
    </w:p>
    <w:tbl>
      <w:tblPr>
        <w:tblStyle w:val="24"/>
        <w:tblW w:w="526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5"/>
        <w:gridCol w:w="3645"/>
        <w:gridCol w:w="3798"/>
      </w:tblGrid>
      <w:tr w14:paraId="3FE54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854" w:type="pct"/>
            <w:tcBorders>
              <w:tl2br w:val="nil"/>
              <w:tr2bl w:val="nil"/>
            </w:tcBorders>
            <w:vAlign w:val="center"/>
          </w:tcPr>
          <w:p w14:paraId="7CE189B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恢复类型</w:t>
            </w:r>
          </w:p>
        </w:tc>
        <w:tc>
          <w:tcPr>
            <w:tcW w:w="2029" w:type="pct"/>
            <w:tcBorders>
              <w:tl2br w:val="nil"/>
              <w:tr2bl w:val="nil"/>
            </w:tcBorders>
            <w:vAlign w:val="center"/>
          </w:tcPr>
          <w:p w14:paraId="4DC0DF3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耕地</w:t>
            </w:r>
          </w:p>
        </w:tc>
        <w:tc>
          <w:tcPr>
            <w:tcW w:w="2115" w:type="pct"/>
            <w:tcBorders>
              <w:tl2br w:val="nil"/>
              <w:tr2bl w:val="nil"/>
            </w:tcBorders>
            <w:vAlign w:val="center"/>
          </w:tcPr>
          <w:p w14:paraId="3DDEC0E4">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林地</w:t>
            </w:r>
          </w:p>
        </w:tc>
      </w:tr>
      <w:tr w14:paraId="449B3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854" w:type="pct"/>
            <w:tcBorders>
              <w:tl2br w:val="nil"/>
              <w:tr2bl w:val="nil"/>
            </w:tcBorders>
            <w:vAlign w:val="center"/>
          </w:tcPr>
          <w:p w14:paraId="701B466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恢复内容</w:t>
            </w:r>
          </w:p>
        </w:tc>
        <w:tc>
          <w:tcPr>
            <w:tcW w:w="2029" w:type="pct"/>
            <w:tcBorders>
              <w:tl2br w:val="nil"/>
              <w:tr2bl w:val="nil"/>
            </w:tcBorders>
            <w:vAlign w:val="center"/>
          </w:tcPr>
          <w:p w14:paraId="2EC12FA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面积2.66</w:t>
            </w:r>
            <w:r>
              <w:rPr>
                <w:rFonts w:hint="default" w:ascii="Times New Roman" w:hAnsi="Times New Roman" w:cs="Times New Roman"/>
                <w:color w:val="auto"/>
                <w:highlight w:val="none"/>
              </w:rPr>
              <w:t>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种植种类为玉米</w:t>
            </w:r>
          </w:p>
        </w:tc>
        <w:tc>
          <w:tcPr>
            <w:tcW w:w="2115" w:type="pct"/>
            <w:tcBorders>
              <w:tl2br w:val="nil"/>
              <w:tr2bl w:val="nil"/>
            </w:tcBorders>
            <w:vAlign w:val="center"/>
          </w:tcPr>
          <w:p w14:paraId="31A3CCA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面积5.8703hm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eastAsia="zh-CN"/>
              </w:rPr>
              <w:t>落叶</w:t>
            </w:r>
            <w:r>
              <w:rPr>
                <w:rFonts w:hint="default" w:ascii="Times New Roman" w:hAnsi="Times New Roman" w:cs="Times New Roman"/>
                <w:color w:val="auto"/>
                <w:highlight w:val="none"/>
              </w:rPr>
              <w:t>松</w:t>
            </w:r>
            <w:r>
              <w:rPr>
                <w:rFonts w:hint="default" w:ascii="Times New Roman" w:hAnsi="Times New Roman" w:cs="Times New Roman"/>
                <w:color w:val="auto"/>
                <w:highlight w:val="none"/>
                <w:lang w:val="en-US" w:eastAsia="zh-CN"/>
              </w:rPr>
              <w:t>6523株</w:t>
            </w:r>
          </w:p>
        </w:tc>
      </w:tr>
    </w:tbl>
    <w:p w14:paraId="4E0B320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w:t>
      </w: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rPr>
        <w:t>阶段结合以上防治措施可以有效的防止施工过程中生态的破坏，将生态损害程度降低到最小。</w:t>
      </w:r>
    </w:p>
    <w:p w14:paraId="6257F561">
      <w:pPr>
        <w:pStyle w:val="4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6.1.6土壤环境保护</w:t>
      </w:r>
    </w:p>
    <w:p w14:paraId="52A780FC">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.6.1源头控制措施</w:t>
      </w:r>
    </w:p>
    <w:p w14:paraId="052439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本项目土壤污染源头控制措施主要是减少项目废气、废水、固废等污染物的产生及排放量。本环评报告主要提出如下措施：</w:t>
      </w:r>
    </w:p>
    <w:p w14:paraId="3942C25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①企业应加强对废气治理措施的管理和维护，确保各污染物达标排放，有效减少废气污染物通过沉降或降水进入土壤的量。</w:t>
      </w:r>
    </w:p>
    <w:p w14:paraId="3B088C7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严格按照国家相关规范要求，对工艺、设备、废水处理构筑物采取相应的措施并对运输车辆实行密闭措施，以防止和降低可能污染物的“跑、冒、滴、漏”，将污染物泄漏的环境风险事故降低到最低程度。</w:t>
      </w:r>
    </w:p>
    <w:p w14:paraId="56449744">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.6.2过程控制措施</w:t>
      </w:r>
    </w:p>
    <w:p w14:paraId="650750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正常状况下填埋过程</w:t>
      </w:r>
      <w:r>
        <w:rPr>
          <w:rFonts w:hint="default" w:ascii="Times New Roman" w:hAnsi="Times New Roman" w:cs="Times New Roman"/>
          <w:color w:val="auto"/>
          <w:highlight w:val="none"/>
        </w:rPr>
        <w:t>淋溶水不会对土壤环境造成明显影响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只有遇到强降雨时产生的淋溶水才会对土壤产生影响，根据预测，强降雨对土壤影响较小</w:t>
      </w:r>
      <w:r>
        <w:rPr>
          <w:rFonts w:hint="default" w:ascii="Times New Roman" w:hAnsi="Times New Roman" w:cs="Times New Roman"/>
          <w:color w:val="auto"/>
          <w:highlight w:val="none"/>
        </w:rPr>
        <w:t>。因此，通过及时导排</w:t>
      </w:r>
      <w:r>
        <w:rPr>
          <w:rFonts w:hint="default" w:ascii="Times New Roman" w:hAnsi="Times New Roman" w:cs="Times New Roman"/>
          <w:color w:val="auto"/>
          <w:highlight w:val="none"/>
          <w:lang w:val="en-US" w:eastAsia="zh-CN"/>
        </w:rPr>
        <w:t>雨水</w:t>
      </w:r>
      <w:r>
        <w:rPr>
          <w:rFonts w:hint="default" w:ascii="Times New Roman" w:hAnsi="Times New Roman" w:cs="Times New Roman"/>
          <w:color w:val="auto"/>
          <w:highlight w:val="none"/>
        </w:rPr>
        <w:t>，经常疏通截水沟，防止场外降水进入场内，减少淋溶水产生量等措施，本项目实施不会对土壤环境造成明显影响，不存在土壤污染环境风险。</w:t>
      </w:r>
    </w:p>
    <w:p w14:paraId="02980A9C">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.6.3跟踪监测</w:t>
      </w:r>
    </w:p>
    <w:p w14:paraId="73C04B2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（1）监测点位、位置、层位及监测因子</w:t>
      </w:r>
    </w:p>
    <w:p w14:paraId="5D81357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本项目共布设1个土壤污染跟踪监测点，监测点位置见下表。根据《环境影响评价技术导则 土壤环境（试行）》（HJ964-2018）的要求，二级评价的项目跟踪监测每5年开展1次，监测点位布设在重点影响区和土壤环境敏感目标附近。根据GB 18599-2020的要求，充填及回填活动结束后，应对土壤开展长期监测，监测频次至少每</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年1次。因此，监测频率设置为每年一次。</w:t>
      </w:r>
    </w:p>
    <w:p w14:paraId="0F6094FA">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-2土壤污染跟踪监测点信息一览表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503"/>
        <w:gridCol w:w="1311"/>
        <w:gridCol w:w="1309"/>
        <w:gridCol w:w="3867"/>
      </w:tblGrid>
      <w:tr w14:paraId="1A95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241BE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点号</w:t>
            </w:r>
          </w:p>
        </w:tc>
        <w:tc>
          <w:tcPr>
            <w:tcW w:w="882" w:type="pct"/>
            <w:vAlign w:val="center"/>
          </w:tcPr>
          <w:p w14:paraId="51A013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位置</w:t>
            </w:r>
          </w:p>
        </w:tc>
        <w:tc>
          <w:tcPr>
            <w:tcW w:w="769" w:type="pct"/>
            <w:vAlign w:val="center"/>
          </w:tcPr>
          <w:p w14:paraId="1476C0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取样层位</w:t>
            </w:r>
          </w:p>
        </w:tc>
        <w:tc>
          <w:tcPr>
            <w:tcW w:w="768" w:type="pct"/>
            <w:vAlign w:val="center"/>
          </w:tcPr>
          <w:p w14:paraId="13D8F1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w:t>
            </w:r>
          </w:p>
        </w:tc>
        <w:tc>
          <w:tcPr>
            <w:tcW w:w="2269" w:type="pct"/>
            <w:vAlign w:val="center"/>
          </w:tcPr>
          <w:p w14:paraId="09FD6B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r>
      <w:tr w14:paraId="56B46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76328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82" w:type="pct"/>
            <w:vAlign w:val="center"/>
          </w:tcPr>
          <w:p w14:paraId="67F644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场区东侧</w:t>
            </w:r>
          </w:p>
        </w:tc>
        <w:tc>
          <w:tcPr>
            <w:tcW w:w="769" w:type="pct"/>
            <w:vAlign w:val="center"/>
          </w:tcPr>
          <w:p w14:paraId="0CB8EB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表层土壤</w:t>
            </w:r>
          </w:p>
        </w:tc>
        <w:tc>
          <w:tcPr>
            <w:tcW w:w="768" w:type="pct"/>
            <w:vAlign w:val="center"/>
          </w:tcPr>
          <w:p w14:paraId="2950E90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每</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年一次</w:t>
            </w:r>
          </w:p>
        </w:tc>
        <w:tc>
          <w:tcPr>
            <w:tcW w:w="2269" w:type="pct"/>
            <w:vAlign w:val="center"/>
          </w:tcPr>
          <w:p w14:paraId="3F5CBB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pH、镉、汞、砷、铜、铅、铬、镍、锌</w:t>
            </w:r>
          </w:p>
        </w:tc>
      </w:tr>
    </w:tbl>
    <w:p w14:paraId="7B626D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（2）执行标准</w:t>
      </w:r>
    </w:p>
    <w:p w14:paraId="1BC813A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土壤环境质量执行《土壤环境质量 农用地土壤污染风险管控标准（试行）》（GB15618-2018）的要求。如发现监测结果异常，应立即采取措施，排查原因，并开展土壤修复工作。</w:t>
      </w:r>
    </w:p>
    <w:p w14:paraId="0D70181A">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根据环境风险评估报告及对本项目</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淋溶水的检测结果，可溶性重金属含量较低，对地下水水质的影响轻微，淋溶水不会对</w:t>
      </w:r>
      <w:r>
        <w:rPr>
          <w:rFonts w:hint="default" w:ascii="Times New Roman" w:hAnsi="Times New Roman" w:cs="Times New Roman"/>
          <w:color w:val="auto"/>
          <w:highlight w:val="none"/>
          <w:lang w:val="en-US" w:eastAsia="zh-CN"/>
        </w:rPr>
        <w:t>土壤</w:t>
      </w:r>
      <w:r>
        <w:rPr>
          <w:rFonts w:hint="default" w:ascii="Times New Roman" w:hAnsi="Times New Roman" w:cs="Times New Roman"/>
          <w:color w:val="auto"/>
          <w:highlight w:val="none"/>
        </w:rPr>
        <w:t>环境造成明显影响，</w:t>
      </w:r>
      <w:r>
        <w:rPr>
          <w:rFonts w:hint="default" w:ascii="Times New Roman" w:hAnsi="Times New Roman" w:cs="Times New Roman"/>
          <w:color w:val="auto"/>
          <w:highlight w:val="none"/>
          <w:lang w:val="en-US" w:eastAsia="zh-CN"/>
        </w:rPr>
        <w:t>采取措施后</w:t>
      </w:r>
      <w:r>
        <w:rPr>
          <w:rFonts w:hint="default" w:ascii="Times New Roman" w:hAnsi="Times New Roman" w:cs="Times New Roman"/>
          <w:color w:val="auto"/>
          <w:highlight w:val="none"/>
        </w:rPr>
        <w:t>对周边环境风险可接受</w:t>
      </w:r>
      <w:r>
        <w:rPr>
          <w:rFonts w:hint="default" w:ascii="Times New Roman" w:hAnsi="Times New Roman" w:cs="Times New Roman"/>
          <w:color w:val="auto"/>
          <w:highlight w:val="none"/>
          <w:lang w:eastAsia="zh-CN"/>
        </w:rPr>
        <w:t>。</w:t>
      </w:r>
    </w:p>
    <w:p w14:paraId="2DCF94BB">
      <w:pPr>
        <w:pStyle w:val="4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6.1.7地下水污染防治措施</w:t>
      </w:r>
    </w:p>
    <w:p w14:paraId="18CBEF8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根据可能产生地下水污染的工程单元的分布情况，按照“源头控制、分区防治、污染监控、应急响应”相结合的原则，从污染物的产生、入渗、扩散、应急响应等方面制定地下水环境保护措施。</w:t>
      </w:r>
    </w:p>
    <w:p w14:paraId="5062AF20">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.1源头控制措施</w:t>
      </w:r>
    </w:p>
    <w:p w14:paraId="6039008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1、工程对产生的废污水进行综合利用，从源头上减少废污水的排放量；</w:t>
      </w:r>
    </w:p>
    <w:p w14:paraId="0F16DB3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2、定期巡检维护，做到废水泄漏早发现、早处理，确保废污水处理设施和输送管线正常运行；</w:t>
      </w:r>
    </w:p>
    <w:p w14:paraId="44030C3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、建立有关规章制度和岗位责任制，制定风险预警方案，设立应急设施减轻环境污染影响。</w:t>
      </w:r>
    </w:p>
    <w:p w14:paraId="3D1E3227">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.2分区控制措施</w:t>
      </w:r>
    </w:p>
    <w:p w14:paraId="7EFB272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根据环境风险评估报告及对本项目</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淋溶水的检测结果，可溶性重金属含量较低，对地下水水质的影响轻微，淋溶水不会对地下水和周边土壤环境造成明显影响，对周边环境风险可接受，为减少淋溶水的产生量及下渗量，避免对地下水造成影响，本</w:t>
      </w:r>
      <w:r>
        <w:rPr>
          <w:rFonts w:hint="default" w:ascii="Times New Roman" w:hAnsi="Times New Roman" w:cs="Times New Roman"/>
          <w:color w:val="auto"/>
          <w:highlight w:val="none"/>
          <w:lang w:val="sq-AL"/>
        </w:rPr>
        <w:t>项目场底清理后场底基础铺设30cm厚的改性压实粘土压实作为基础层</w:t>
      </w:r>
      <w:r>
        <w:rPr>
          <w:rFonts w:hint="default" w:ascii="Times New Roman" w:hAnsi="Times New Roman" w:cs="Times New Roman"/>
          <w:color w:val="auto"/>
          <w:highlight w:val="none"/>
        </w:rPr>
        <w:t>，</w:t>
      </w:r>
      <w:r>
        <w:rPr>
          <w:rFonts w:hint="eastAsia" w:cs="Times New Roman"/>
          <w:color w:val="auto"/>
          <w:highlight w:val="none"/>
          <w:lang w:eastAsia="zh-CN"/>
        </w:rPr>
        <w:t>并定期由勘测单位对其检测</w:t>
      </w:r>
      <w:r>
        <w:rPr>
          <w:rFonts w:hint="default" w:ascii="Times New Roman" w:hAnsi="Times New Roman" w:cs="Times New Roman"/>
          <w:color w:val="auto"/>
          <w:highlight w:val="none"/>
        </w:rPr>
        <w:t>，其防渗性能满足渗透系数为1.0×10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cm/s且厚度为0.75m的天然基础层后方可回填。</w:t>
      </w:r>
    </w:p>
    <w:p w14:paraId="07CF06F0">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末端控制措施</w:t>
      </w:r>
    </w:p>
    <w:p w14:paraId="563EAE1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在回填区设置地下水监测井，</w:t>
      </w:r>
      <w:r>
        <w:rPr>
          <w:rFonts w:hint="default" w:ascii="Times New Roman" w:hAnsi="Times New Roman" w:cs="Times New Roman"/>
          <w:color w:val="auto"/>
          <w:highlight w:val="none"/>
        </w:rPr>
        <w:t>建立场区地下水环境监控体系，包括建立地下水污染监控和环境管理制度，制定监测计划，及时发现问题采取预防措施。地下水监测内容包括监测井位置、井深、监测井结构、监测层位、监测项目、监测频率等。</w:t>
      </w:r>
    </w:p>
    <w:p w14:paraId="1E0AD89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跟踪监测点位布设参照《一般工业固体废物贮存和填埋污染控制标准》（GB 18599-2020）10.3.2中相关要求：在回填区设置</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口地下水水质长期观测监控井，满足《一般工业固体废物贮存和填埋污染控制标准》（GB18599-2020）对监测井设置的要求。</w:t>
      </w:r>
    </w:p>
    <w:p w14:paraId="67811F7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结合《地下水环境监测技术规范》（HJ164-2020）的要求，地下水监测点位布设、层位、监测频率、监测计划、监测项目见下表。</w:t>
      </w:r>
    </w:p>
    <w:p w14:paraId="673A4F0E">
      <w:pPr>
        <w:pStyle w:val="29"/>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地下水环境监测井相关参数</w:t>
      </w:r>
    </w:p>
    <w:tbl>
      <w:tblPr>
        <w:tblStyle w:val="24"/>
        <w:tblW w:w="507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81"/>
        <w:gridCol w:w="1065"/>
        <w:gridCol w:w="705"/>
        <w:gridCol w:w="675"/>
        <w:gridCol w:w="1650"/>
        <w:gridCol w:w="3119"/>
      </w:tblGrid>
      <w:tr w14:paraId="51FA2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382" w:type="pct"/>
            <w:tcBorders>
              <w:tl2br w:val="nil"/>
              <w:tr2bl w:val="nil"/>
            </w:tcBorders>
            <w:vAlign w:val="center"/>
          </w:tcPr>
          <w:p w14:paraId="60C0288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451" w:type="pct"/>
            <w:tcBorders>
              <w:tl2br w:val="nil"/>
              <w:tr2bl w:val="nil"/>
            </w:tcBorders>
            <w:vAlign w:val="center"/>
          </w:tcPr>
          <w:p w14:paraId="72CC2E3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位置</w:t>
            </w:r>
          </w:p>
        </w:tc>
        <w:tc>
          <w:tcPr>
            <w:tcW w:w="615" w:type="pct"/>
            <w:tcBorders>
              <w:tl2br w:val="nil"/>
              <w:tr2bl w:val="nil"/>
            </w:tcBorders>
            <w:vAlign w:val="center"/>
          </w:tcPr>
          <w:p w14:paraId="151E3BDD">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坐标</w:t>
            </w:r>
          </w:p>
        </w:tc>
        <w:tc>
          <w:tcPr>
            <w:tcW w:w="407" w:type="pct"/>
            <w:tcBorders>
              <w:tl2br w:val="nil"/>
              <w:tr2bl w:val="nil"/>
            </w:tcBorders>
            <w:vAlign w:val="center"/>
          </w:tcPr>
          <w:p w14:paraId="4A24C97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层位</w:t>
            </w:r>
          </w:p>
        </w:tc>
        <w:tc>
          <w:tcPr>
            <w:tcW w:w="389" w:type="pct"/>
            <w:tcBorders>
              <w:tl2br w:val="nil"/>
              <w:tr2bl w:val="nil"/>
            </w:tcBorders>
            <w:vAlign w:val="center"/>
          </w:tcPr>
          <w:p w14:paraId="086F78D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井深</w:t>
            </w:r>
          </w:p>
        </w:tc>
        <w:tc>
          <w:tcPr>
            <w:tcW w:w="952" w:type="pct"/>
            <w:tcBorders>
              <w:tl2br w:val="nil"/>
              <w:tr2bl w:val="nil"/>
            </w:tcBorders>
            <w:vAlign w:val="center"/>
          </w:tcPr>
          <w:p w14:paraId="3293A771">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1801" w:type="pct"/>
            <w:tcBorders>
              <w:tl2br w:val="nil"/>
              <w:tr2bl w:val="nil"/>
            </w:tcBorders>
            <w:vAlign w:val="center"/>
          </w:tcPr>
          <w:p w14:paraId="096DD962">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r>
      <w:tr w14:paraId="31411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82" w:type="pct"/>
            <w:tcBorders>
              <w:tl2br w:val="nil"/>
              <w:tr2bl w:val="nil"/>
            </w:tcBorders>
            <w:vAlign w:val="center"/>
          </w:tcPr>
          <w:p w14:paraId="3414C9D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w:t>
            </w:r>
          </w:p>
        </w:tc>
        <w:tc>
          <w:tcPr>
            <w:tcW w:w="451" w:type="pct"/>
            <w:tcBorders>
              <w:tl2br w:val="nil"/>
              <w:tr2bl w:val="nil"/>
            </w:tcBorders>
            <w:vAlign w:val="center"/>
          </w:tcPr>
          <w:p w14:paraId="2354B491">
            <w:pPr>
              <w:pStyle w:val="46"/>
              <w:bidi w:val="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回填区</w:t>
            </w:r>
            <w:r>
              <w:rPr>
                <w:rFonts w:hint="default" w:ascii="Times New Roman" w:hAnsi="Times New Roman" w:cs="Times New Roman"/>
                <w:color w:val="auto"/>
                <w:highlight w:val="none"/>
                <w:lang w:val="en-US" w:eastAsia="zh-CN"/>
              </w:rPr>
              <w:t>下游</w:t>
            </w:r>
          </w:p>
        </w:tc>
        <w:tc>
          <w:tcPr>
            <w:tcW w:w="615" w:type="pct"/>
            <w:tcBorders>
              <w:tl2br w:val="nil"/>
              <w:tr2bl w:val="nil"/>
            </w:tcBorders>
            <w:vAlign w:val="center"/>
          </w:tcPr>
          <w:p w14:paraId="3540A668">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130.75363690,45.34155519</w:t>
            </w:r>
          </w:p>
        </w:tc>
        <w:tc>
          <w:tcPr>
            <w:tcW w:w="407" w:type="pct"/>
            <w:tcBorders>
              <w:tl2br w:val="nil"/>
              <w:tr2bl w:val="nil"/>
            </w:tcBorders>
            <w:vAlign w:val="center"/>
          </w:tcPr>
          <w:p w14:paraId="2CD70B52">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浅层地下水</w:t>
            </w:r>
          </w:p>
        </w:tc>
        <w:tc>
          <w:tcPr>
            <w:tcW w:w="389" w:type="pct"/>
            <w:tcBorders>
              <w:tl2br w:val="nil"/>
              <w:tr2bl w:val="nil"/>
            </w:tcBorders>
            <w:vAlign w:val="center"/>
          </w:tcPr>
          <w:p w14:paraId="7B2A4D02">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80</w:t>
            </w:r>
            <w:r>
              <w:rPr>
                <w:rFonts w:hint="default" w:ascii="Times New Roman" w:hAnsi="Times New Roman" w:cs="Times New Roman"/>
                <w:color w:val="auto"/>
                <w:highlight w:val="none"/>
              </w:rPr>
              <w:t>m</w:t>
            </w:r>
          </w:p>
        </w:tc>
        <w:tc>
          <w:tcPr>
            <w:tcW w:w="952" w:type="pct"/>
            <w:tcBorders>
              <w:tl2br w:val="nil"/>
              <w:tr2bl w:val="nil"/>
            </w:tcBorders>
            <w:vAlign w:val="center"/>
          </w:tcPr>
          <w:p w14:paraId="704F9717">
            <w:pPr>
              <w:pStyle w:val="46"/>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1次/</w:t>
            </w:r>
            <w:r>
              <w:rPr>
                <w:rFonts w:hint="default" w:ascii="Times New Roman" w:hAnsi="Times New Roman" w:cs="Times New Roman"/>
                <w:color w:val="auto"/>
                <w:highlight w:val="none"/>
                <w:lang w:val="en-US" w:eastAsia="zh-CN"/>
              </w:rPr>
              <w:t>年</w:t>
            </w:r>
          </w:p>
        </w:tc>
        <w:tc>
          <w:tcPr>
            <w:tcW w:w="1801" w:type="pct"/>
            <w:tcBorders>
              <w:tl2br w:val="nil"/>
              <w:tr2bl w:val="nil"/>
            </w:tcBorders>
            <w:shd w:val="clear" w:color="auto" w:fill="auto"/>
            <w:vAlign w:val="center"/>
          </w:tcPr>
          <w:p w14:paraId="119E2273">
            <w:pPr>
              <w:pStyle w:val="4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浑浊度、pH、溶解性总固体、氯化物、硝酸盐（以N计）、亚硝酸盐（以N计）、COD、氨氮、镉、汞、砷、铅、铬、铜、镍、锌</w:t>
            </w:r>
          </w:p>
        </w:tc>
      </w:tr>
    </w:tbl>
    <w:p w14:paraId="68F6AD7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监测点位布设见下图。</w:t>
      </w:r>
    </w:p>
    <w:p w14:paraId="447D1CCE">
      <w:pPr>
        <w:pStyle w:val="27"/>
        <w:bidi w:val="0"/>
        <w:ind w:left="0" w:leftChars="0" w:firstLine="0" w:firstLineChars="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011420" cy="2855595"/>
            <wp:effectExtent l="0" t="0" r="17780" b="19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66"/>
                    <a:stretch>
                      <a:fillRect/>
                    </a:stretch>
                  </pic:blipFill>
                  <pic:spPr>
                    <a:xfrm>
                      <a:off x="0" y="0"/>
                      <a:ext cx="5011420" cy="2855595"/>
                    </a:xfrm>
                    <a:prstGeom prst="rect">
                      <a:avLst/>
                    </a:prstGeom>
                    <a:noFill/>
                    <a:ln>
                      <a:noFill/>
                    </a:ln>
                  </pic:spPr>
                </pic:pic>
              </a:graphicData>
            </a:graphic>
          </wp:inline>
        </w:drawing>
      </w:r>
    </w:p>
    <w:p w14:paraId="3FAFE588">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图6-</w:t>
      </w:r>
      <w:r>
        <w:rPr>
          <w:rFonts w:hint="eastAsia" w:cs="Times New Roman"/>
          <w:color w:val="auto"/>
          <w:highlight w:val="none"/>
          <w:lang w:val="en-US" w:eastAsia="zh-CN"/>
        </w:rPr>
        <w:t>1</w:t>
      </w:r>
      <w:r>
        <w:rPr>
          <w:rFonts w:hint="default" w:ascii="Times New Roman" w:hAnsi="Times New Roman" w:cs="Times New Roman"/>
          <w:color w:val="auto"/>
          <w:highlight w:val="none"/>
        </w:rPr>
        <w:t>-1地下水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土壤跟踪</w:t>
      </w:r>
      <w:r>
        <w:rPr>
          <w:rFonts w:hint="default" w:ascii="Times New Roman" w:hAnsi="Times New Roman" w:cs="Times New Roman"/>
          <w:color w:val="auto"/>
          <w:highlight w:val="none"/>
        </w:rPr>
        <w:t>监测布点图</w:t>
      </w:r>
    </w:p>
    <w:p w14:paraId="717F7FEE">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其他措施</w:t>
      </w:r>
    </w:p>
    <w:p w14:paraId="689DD28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1、数据管理</w:t>
      </w:r>
    </w:p>
    <w:p w14:paraId="784692F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按照相关规定对监测结果及时建立档案，并按照国家环保部门相关规定定期向相关部门汇报并报备。如发现污染物浓度异常升高，加密监测频次，并分析污染原因，确定泄漏污染源，及时采取应急措施。建设单位应建立完善的质量管理体系，实现“质量、安全、环境”三位一体的全面质量管理目标。设立地下水动态监测小组，负责对地下水环境监测和管理，或者委托专业的资质机构完成。建立有关规章制度和岗位责任制。制定风险预警方案，设立应急设施减少环境污染影响。</w:t>
      </w:r>
    </w:p>
    <w:p w14:paraId="19620D4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（1）管理措施</w:t>
      </w:r>
    </w:p>
    <w:p w14:paraId="2CD6522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建设单位应委托具有监测资质的单位负责地下水监测工作，按要求及时分析整理原始资料、监测报告的编写工作。</w:t>
      </w:r>
    </w:p>
    <w:p w14:paraId="0D5E55D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立地下水监测数据信息管理系统，根据实际情况，按事故的性质、类型、影响范围、严重后果分等级制定相应预案。在制定预案时要根据本场环境污染事故潜在威胁的情况，认真细致地考虑各项影响因素，适当的时候组织有关部门、人员进行演练，不断补充完善。</w:t>
      </w:r>
    </w:p>
    <w:p w14:paraId="1647332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（2）技术措施</w:t>
      </w:r>
    </w:p>
    <w:p w14:paraId="1820BB9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按照《地下水环境监测技术规范》（HJ/T164-2020）要求，及时上报监测数据和有关表格。</w:t>
      </w:r>
    </w:p>
    <w:p w14:paraId="5B8A84D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在日常例行监测中，一旦发现地下水水质监测数据异常</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应尽快核查数据，确保数据的正确性。并将核查过的监测数据报告公司安全环保部门，由专人负责对数据进行分析、核实，并密切关注生产设施的运行情况，为防止地下水污染采取措施提供正确的依据。应采取措施如下：</w:t>
      </w:r>
    </w:p>
    <w:p w14:paraId="723AE4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了解全场生产是否出现异常情况，出现异常情况的装置、原因。加大监测密度，分析变化动向；周期性地编写地下水动态监测报告；定期对污染区的生产装置进行检查。如发现地下水遭到污染，应立即停止回填，并开展地下水污染修复工作。</w:t>
      </w:r>
    </w:p>
    <w:p w14:paraId="72CD45C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2、信息公开</w:t>
      </w:r>
    </w:p>
    <w:p w14:paraId="4AD9178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跟踪监测报告内容包括：</w:t>
      </w:r>
    </w:p>
    <w:p w14:paraId="04BB1D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本项目设置的环境监测点的地下水环境跟踪监测数据，同时包括项目排放的污染物的种类、数量和浓度。</w:t>
      </w:r>
    </w:p>
    <w:p w14:paraId="72047B5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场区管线、污水收集装置等设施的运行状况、跑冒滴漏记录、维护记录等。</w:t>
      </w:r>
    </w:p>
    <w:p w14:paraId="7CAC1FE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跟踪监测的信息应在当地环境保护主管部门网站上公开，公开内容主要包含建设项目特征因子的地下水环境监测值。</w:t>
      </w:r>
    </w:p>
    <w:p w14:paraId="2200B96D">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根据环境风险评估报告及对本项目</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淋溶水的检测结果，项目</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中可溶性重金属含量较低，对地下水水质的影响轻微，淋溶水不会对</w:t>
      </w:r>
      <w:r>
        <w:rPr>
          <w:rFonts w:hint="default" w:ascii="Times New Roman" w:hAnsi="Times New Roman" w:cs="Times New Roman"/>
          <w:color w:val="auto"/>
          <w:highlight w:val="none"/>
          <w:lang w:val="en-US" w:eastAsia="zh-CN"/>
        </w:rPr>
        <w:t>地下水</w:t>
      </w:r>
      <w:r>
        <w:rPr>
          <w:rFonts w:hint="default" w:ascii="Times New Roman" w:hAnsi="Times New Roman" w:cs="Times New Roman"/>
          <w:color w:val="auto"/>
          <w:highlight w:val="none"/>
        </w:rPr>
        <w:t>环境造成明显影响，</w:t>
      </w:r>
      <w:r>
        <w:rPr>
          <w:rFonts w:hint="default" w:ascii="Times New Roman" w:hAnsi="Times New Roman" w:cs="Times New Roman"/>
          <w:color w:val="auto"/>
          <w:highlight w:val="none"/>
          <w:lang w:val="en-US" w:eastAsia="zh-CN"/>
        </w:rPr>
        <w:t>采取措施后</w:t>
      </w:r>
      <w:r>
        <w:rPr>
          <w:rFonts w:hint="default" w:ascii="Times New Roman" w:hAnsi="Times New Roman" w:cs="Times New Roman"/>
          <w:color w:val="auto"/>
          <w:highlight w:val="none"/>
        </w:rPr>
        <w:t>对周边环境风险可接受</w:t>
      </w:r>
      <w:r>
        <w:rPr>
          <w:rFonts w:hint="default" w:ascii="Times New Roman" w:hAnsi="Times New Roman" w:cs="Times New Roman"/>
          <w:color w:val="auto"/>
          <w:highlight w:val="none"/>
          <w:lang w:eastAsia="zh-CN"/>
        </w:rPr>
        <w:t>。</w:t>
      </w:r>
    </w:p>
    <w:p w14:paraId="214D34CE">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.8环境风险防范措施</w:t>
      </w:r>
    </w:p>
    <w:p w14:paraId="29FF3D37">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.8.1环境风险管理措施</w:t>
      </w:r>
    </w:p>
    <w:p w14:paraId="3CFC7AC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所在区域环境特征和生产运营特性，本项目回填复垦期主要环境风险为淋溶水的产生、泄漏风险等。环境风险事故的发生，不仅对现场人员、财产造成损失，而且对周围环境可能存在着难以弥补的危害。本着避免风险事故发生和降低风险事故发生后对环境造成污染的态度，建设单位首先应努力开展和完善本项目的风险管理体系和各项防范措施。</w:t>
      </w:r>
    </w:p>
    <w:p w14:paraId="4338D8E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（1）树立并强化环境风险意识</w:t>
      </w:r>
    </w:p>
    <w:p w14:paraId="29CF3CF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建设单位应全面贯彻“安全第一，预防为主，综合治理”方针，树立环境风险意识，明确环境风险责任，落实环境保护的内容。</w:t>
      </w:r>
    </w:p>
    <w:p w14:paraId="1CC14C6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（2）实行安全环保管理制度</w:t>
      </w:r>
    </w:p>
    <w:p w14:paraId="748D01E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间应针对事故可能发生的环节及可能造成的影响开展全面、全员、全过程的系统管理，把安全工作重点放在系统的安全隐患的预防上，并从整体和全局上促进建设项目各个环节的安全操作，同时建立监察、监测、管理系统，实行安全检查目标管理。</w:t>
      </w:r>
    </w:p>
    <w:p w14:paraId="250A7D6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（3）规范并强化风险预防措施</w:t>
      </w:r>
    </w:p>
    <w:p w14:paraId="31A7C45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制定安全管理规章制度，并采取相应的预防和处理措施，对防止安全事故的发生起到制度上、技术上的保证作用，对淋溶水产生、渗漏和交通运输事故等一些较大的事故进行重点防范，把事故发生的概率降到最低。</w:t>
      </w:r>
    </w:p>
    <w:p w14:paraId="3D13478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）建立事故的监测报警系统</w:t>
      </w:r>
    </w:p>
    <w:p w14:paraId="6A27FED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建议建设单位在场区附近建立地下水环境监测系统，随时掌握周边环境质量情况，及早发现事故排放风险，及早治理，减少事故影响。</w:t>
      </w:r>
    </w:p>
    <w:p w14:paraId="150B9DC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）从法律法规上加强管理</w:t>
      </w:r>
    </w:p>
    <w:p w14:paraId="718CF54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为确保</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运输和处理的安全，应严格遵守国家及有关部门制定的相关法规并严格执行，杜绝事故发生的源头。</w:t>
      </w:r>
    </w:p>
    <w:p w14:paraId="294EE985">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.8.2环境风险防范措施</w:t>
      </w:r>
    </w:p>
    <w:p w14:paraId="26D0D02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项目在回填区周边设置了</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口地下水监测井，应加强监控措施、增加监测频次，一旦数据异常，有污染迹象时，应及时查找原因，发现渗漏位置并采取补救措施，防止污染进一步扩散。</w:t>
      </w:r>
    </w:p>
    <w:p w14:paraId="4BC403CA">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环境风险分析结论</w:t>
      </w:r>
    </w:p>
    <w:p w14:paraId="3BA64F8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以上分析内容可知，本工程在认真采取防控措施，最大限度消除隐患的前提下，事故概率极低，一旦发生事故，按应急预案计划处理，也会使事故损失降到最低程度。项目设计、施工、生产运行中，在切实落实各项环保、安全措施基础上，在可控的范围内，项目产生的环境风险环境可接受。</w:t>
      </w:r>
    </w:p>
    <w:bookmarkEnd w:id="311"/>
    <w:p w14:paraId="36C32E9D">
      <w:pPr>
        <w:pStyle w:val="43"/>
        <w:bidi w:val="0"/>
        <w:rPr>
          <w:rFonts w:hint="default" w:ascii="Times New Roman" w:hAnsi="Times New Roman" w:cs="Times New Roman"/>
          <w:color w:val="auto"/>
          <w:highlight w:val="none"/>
        </w:rPr>
      </w:pPr>
      <w:bookmarkStart w:id="312" w:name="_Toc152926831"/>
      <w:bookmarkStart w:id="313" w:name="_Toc11053"/>
      <w:bookmarkStart w:id="314" w:name="_Toc20761"/>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生态恢复期保护措施</w:t>
      </w:r>
      <w:bookmarkEnd w:id="312"/>
      <w:bookmarkEnd w:id="313"/>
      <w:bookmarkEnd w:id="314"/>
    </w:p>
    <w:p w14:paraId="32DAD78D">
      <w:pPr>
        <w:pStyle w:val="27"/>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矿山复垦</w:t>
      </w:r>
      <w:r>
        <w:rPr>
          <w:rFonts w:hint="default" w:ascii="Times New Roman" w:hAnsi="Times New Roman" w:cs="Times New Roman"/>
          <w:color w:val="auto"/>
          <w:highlight w:val="none"/>
        </w:rPr>
        <w:t>工程，主要对露天采坑进行回填</w:t>
      </w:r>
      <w:r>
        <w:rPr>
          <w:rFonts w:hint="default" w:ascii="Times New Roman" w:hAnsi="Times New Roman" w:cs="Times New Roman"/>
          <w:color w:val="auto"/>
          <w:highlight w:val="none"/>
          <w:lang w:val="en-US" w:eastAsia="zh-CN"/>
        </w:rPr>
        <w:t>恢复植被。</w:t>
      </w:r>
      <w:r>
        <w:rPr>
          <w:rFonts w:hint="default" w:ascii="Times New Roman" w:hAnsi="Times New Roman" w:cs="Times New Roman"/>
          <w:color w:val="auto"/>
          <w:highlight w:val="none"/>
        </w:rPr>
        <w:t>。工程建设完成后，</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覆表土厚度</w:t>
      </w:r>
      <w:r>
        <w:rPr>
          <w:rFonts w:hint="default" w:ascii="Times New Roman" w:hAnsi="Times New Roman" w:cs="Times New Roman"/>
          <w:color w:val="auto"/>
          <w:highlight w:val="none"/>
          <w:lang w:val="en-US" w:eastAsia="zh-CN"/>
        </w:rPr>
        <w:t>30c</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val="en-US" w:eastAsia="zh-CN"/>
        </w:rPr>
        <w:t>耕地覆土80cm，其中表土30cm。</w:t>
      </w:r>
    </w:p>
    <w:p w14:paraId="0AD580BD">
      <w:pPr>
        <w:pStyle w:val="27"/>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本次种植落叶松6523株，面积5.8703hm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lang w:val="en-US" w:eastAsia="zh-CN"/>
        </w:rPr>
        <w:t>主要选择栽植方法，选择树苗高0.5m，株行间距为3.0m×3.0m，挖直径0.4m，深0.5m的植树穴苗木直立穴中，保持根系舒展，分层覆土，踏实。栽后灌透水，扶正苗木，填平陷穴。抚育管理：三年三次，每年人工穴内松土、除草一次，松士深5~10cm。第二年冬季开始平茬，以后每隔四年修剪一次，隔带交替进行。</w:t>
      </w:r>
    </w:p>
    <w:p w14:paraId="09E64A6C">
      <w:pPr>
        <w:pStyle w:val="27"/>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恢复耕地面积2.66hm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，主要作物为玉米。种植方式为人工播撒种子。</w:t>
      </w:r>
    </w:p>
    <w:p w14:paraId="77476DA2">
      <w:pPr>
        <w:pStyle w:val="27"/>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根据当地的气候因素和种植经验，种植的最佳时节应选在4～5月和9月初。</w:t>
      </w:r>
    </w:p>
    <w:p w14:paraId="3DC975E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项目区复垦治理后不但能美化环境、改造人工景观，而且具有防止水土流失的效能。</w:t>
      </w:r>
    </w:p>
    <w:p w14:paraId="38555BE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生态恢复期</w:t>
      </w:r>
      <w:r>
        <w:rPr>
          <w:rFonts w:hint="default" w:ascii="Times New Roman" w:hAnsi="Times New Roman" w:cs="Times New Roman"/>
          <w:color w:val="auto"/>
          <w:highlight w:val="none"/>
        </w:rPr>
        <w:t>为植被的抚育、管护、补植等工程，根据各地段的实际情况，因地制宜地对施工迹地进行治理恢复，最大可能的恢复已被破坏的植被，提高植物多样性。工程完工后通过种植</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和</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highlight w:val="none"/>
        </w:rPr>
        <w:t>措施使地表植被覆盖率高于原有植被覆盖率。植被恢复过程中，严防外来物种入侵对当地原生种类的生态影响。最终复垦为</w:t>
      </w:r>
      <w:r>
        <w:rPr>
          <w:rFonts w:hint="default" w:ascii="Times New Roman" w:hAnsi="Times New Roman" w:cs="Times New Roman"/>
          <w:color w:val="auto"/>
          <w:highlight w:val="none"/>
          <w:lang w:val="en-US" w:eastAsia="zh-CN"/>
        </w:rPr>
        <w:t>林地和耕地</w:t>
      </w:r>
      <w:r>
        <w:rPr>
          <w:rFonts w:hint="default" w:ascii="Times New Roman" w:hAnsi="Times New Roman" w:cs="Times New Roman"/>
          <w:color w:val="auto"/>
          <w:highlight w:val="none"/>
        </w:rPr>
        <w:t>，达到地质灾害治理区绿化、改善环境的生态效果。</w:t>
      </w:r>
    </w:p>
    <w:p w14:paraId="5E1E8452">
      <w:pPr>
        <w:pStyle w:val="43"/>
        <w:rPr>
          <w:rFonts w:hint="default" w:ascii="Times New Roman" w:hAnsi="Times New Roman" w:cs="Times New Roman"/>
          <w:color w:val="auto"/>
          <w:highlight w:val="none"/>
        </w:rPr>
      </w:pPr>
      <w:bookmarkStart w:id="315" w:name="_Toc2253"/>
      <w:bookmarkStart w:id="316" w:name="_Toc119316814"/>
      <w:bookmarkStart w:id="317" w:name="_Toc9153"/>
      <w:bookmarkStart w:id="318" w:name="_Toc152926832"/>
      <w:r>
        <w:rPr>
          <w:rFonts w:hint="default" w:ascii="Times New Roman" w:hAnsi="Times New Roman" w:cs="Times New Roman"/>
          <w:color w:val="auto"/>
          <w:highlight w:val="none"/>
        </w:rPr>
        <w:t>6.</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环境保护投资</w:t>
      </w:r>
      <w:bookmarkEnd w:id="315"/>
      <w:bookmarkEnd w:id="316"/>
      <w:bookmarkEnd w:id="317"/>
      <w:bookmarkEnd w:id="318"/>
    </w:p>
    <w:p w14:paraId="3F43BA6F">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环保投资比按下式计算：</w:t>
      </w:r>
    </w:p>
    <w:p w14:paraId="02E5C9D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132840" cy="409575"/>
            <wp:effectExtent l="0" t="0" r="10160" b="8890"/>
            <wp:docPr id="67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51"/>
                    <pic:cNvPicPr>
                      <a:picLocks noChangeAspect="1" noChangeArrowheads="1"/>
                    </pic:cNvPicPr>
                  </pic:nvPicPr>
                  <pic:blipFill>
                    <a:blip r:embed="rId67" cstate="print"/>
                    <a:srcRect/>
                    <a:stretch>
                      <a:fillRect/>
                    </a:stretch>
                  </pic:blipFill>
                  <pic:spPr>
                    <a:xfrm>
                      <a:off x="0" y="0"/>
                      <a:ext cx="1132840" cy="409575"/>
                    </a:xfrm>
                    <a:prstGeom prst="rect">
                      <a:avLst/>
                    </a:prstGeom>
                    <a:noFill/>
                    <a:ln w="9525">
                      <a:noFill/>
                      <a:miter lim="800000"/>
                      <a:headEnd/>
                      <a:tailEnd/>
                    </a:ln>
                  </pic:spPr>
                </pic:pic>
              </a:graphicData>
            </a:graphic>
          </wp:inline>
        </w:drawing>
      </w:r>
    </w:p>
    <w:p w14:paraId="3F2A2AC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式中：HJ—环保费用投资比，100％；</w:t>
      </w:r>
    </w:p>
    <w:p w14:paraId="756327E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HT—环保投资，万元；</w:t>
      </w:r>
    </w:p>
    <w:p w14:paraId="42CC320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JI—项目总投资，万元。</w:t>
      </w:r>
    </w:p>
    <w:p w14:paraId="1743BA20">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工程分析和环境影响预测及评价结果，本项目产生的污水、废气、噪声固废等对周围环境将会产生一定的影响，因此，必须采取相应的环境保护措施加以控制，并保证相应环保投资的投入，以使项目建成后生产过程中产生的各类污染物对周围环境的影响降低到最低程度。根据初步估算，本项目的环保投资见表6-</w:t>
      </w:r>
      <w:r>
        <w:rPr>
          <w:rFonts w:hint="default" w:ascii="Times New Roman" w:hAnsi="Times New Roman" w:cs="Times New Roman"/>
          <w:snapToGrid w:val="0"/>
          <w:color w:val="auto"/>
          <w:highlight w:val="none"/>
          <w:lang w:val="en-US" w:eastAsia="zh-CN"/>
        </w:rPr>
        <w:t>3</w:t>
      </w:r>
      <w:r>
        <w:rPr>
          <w:rFonts w:hint="default" w:ascii="Times New Roman" w:hAnsi="Times New Roman" w:cs="Times New Roman"/>
          <w:snapToGrid w:val="0"/>
          <w:color w:val="auto"/>
          <w:highlight w:val="none"/>
        </w:rPr>
        <w:t>-1。</w:t>
      </w:r>
    </w:p>
    <w:p w14:paraId="20459E58">
      <w:pPr>
        <w:pStyle w:val="27"/>
        <w:ind w:firstLine="480"/>
        <w:rPr>
          <w:rFonts w:hint="default" w:ascii="Times New Roman" w:hAnsi="Times New Roman" w:cs="Times New Roman"/>
          <w:b/>
          <w:snapToGrid w:val="0"/>
          <w:color w:val="auto"/>
          <w:highlight w:val="none"/>
          <w:lang w:val="zh-CN"/>
        </w:rPr>
      </w:pPr>
      <w:bookmarkStart w:id="319" w:name="_Hlk480428871"/>
      <w:r>
        <w:rPr>
          <w:rFonts w:hint="default" w:ascii="Times New Roman" w:hAnsi="Times New Roman" w:cs="Times New Roman"/>
          <w:snapToGrid w:val="0"/>
          <w:color w:val="auto"/>
          <w:highlight w:val="none"/>
        </w:rPr>
        <w:t>本工程总投资为</w:t>
      </w:r>
      <w:r>
        <w:rPr>
          <w:rFonts w:hint="default" w:ascii="Times New Roman" w:hAnsi="Times New Roman" w:cs="Times New Roman"/>
          <w:snapToGrid w:val="0"/>
          <w:color w:val="auto"/>
          <w:highlight w:val="none"/>
          <w:lang w:val="en-US" w:eastAsia="zh-CN"/>
        </w:rPr>
        <w:t>52.29</w:t>
      </w:r>
      <w:r>
        <w:rPr>
          <w:rFonts w:hint="default" w:ascii="Times New Roman" w:hAnsi="Times New Roman" w:cs="Times New Roman"/>
          <w:snapToGrid w:val="0"/>
          <w:color w:val="auto"/>
          <w:highlight w:val="none"/>
        </w:rPr>
        <w:t>万元，环保投资估算为</w:t>
      </w:r>
      <w:r>
        <w:rPr>
          <w:rFonts w:hint="default" w:ascii="Times New Roman" w:hAnsi="Times New Roman" w:cs="Times New Roman"/>
          <w:snapToGrid w:val="0"/>
          <w:color w:val="auto"/>
          <w:highlight w:val="none"/>
          <w:lang w:val="en-US" w:eastAsia="zh-CN"/>
        </w:rPr>
        <w:t>12</w:t>
      </w:r>
      <w:r>
        <w:rPr>
          <w:rFonts w:hint="default" w:ascii="Times New Roman" w:hAnsi="Times New Roman" w:cs="Times New Roman"/>
          <w:snapToGrid w:val="0"/>
          <w:color w:val="auto"/>
          <w:highlight w:val="none"/>
        </w:rPr>
        <w:t>万元，占总投资的</w:t>
      </w:r>
      <w:r>
        <w:rPr>
          <w:rFonts w:hint="default" w:ascii="Times New Roman" w:hAnsi="Times New Roman" w:cs="Times New Roman"/>
          <w:snapToGrid w:val="0"/>
          <w:color w:val="auto"/>
          <w:highlight w:val="none"/>
          <w:lang w:val="en-US" w:eastAsia="zh-CN"/>
        </w:rPr>
        <w:t>22.9</w:t>
      </w:r>
      <w:r>
        <w:rPr>
          <w:rFonts w:hint="default" w:ascii="Times New Roman" w:hAnsi="Times New Roman" w:cs="Times New Roman"/>
          <w:snapToGrid w:val="0"/>
          <w:color w:val="auto"/>
          <w:highlight w:val="none"/>
        </w:rPr>
        <w:t>%。</w:t>
      </w:r>
    </w:p>
    <w:p w14:paraId="443D9911">
      <w:pPr>
        <w:pStyle w:val="29"/>
        <w:bidi w:val="0"/>
        <w:ind w:left="0" w:leftChars="0" w:firstLine="0" w:firstLineChars="0"/>
        <w:rPr>
          <w:rFonts w:hint="default" w:ascii="Times New Roman" w:hAnsi="Times New Roman" w:cs="Times New Roman"/>
          <w:color w:val="auto"/>
          <w:highlight w:val="none"/>
          <w:lang w:val="zh-CN"/>
        </w:rPr>
      </w:pPr>
    </w:p>
    <w:p w14:paraId="566C2308">
      <w:pPr>
        <w:pStyle w:val="29"/>
        <w:bidi w:val="0"/>
        <w:ind w:left="0" w:leftChars="0"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表6-</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-1环保投资明细表</w:t>
      </w:r>
    </w:p>
    <w:tbl>
      <w:tblPr>
        <w:tblStyle w:val="24"/>
        <w:tblW w:w="86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918"/>
        <w:gridCol w:w="5374"/>
        <w:gridCol w:w="1242"/>
      </w:tblGrid>
      <w:tr w14:paraId="2C82C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shd w:val="clear" w:color="auto" w:fill="auto"/>
            <w:vAlign w:val="center"/>
          </w:tcPr>
          <w:p w14:paraId="2EE09B6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5374" w:type="dxa"/>
            <w:shd w:val="clear" w:color="auto" w:fill="auto"/>
            <w:vAlign w:val="center"/>
          </w:tcPr>
          <w:p w14:paraId="52AAAA7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治理设施内容</w:t>
            </w:r>
          </w:p>
        </w:tc>
        <w:tc>
          <w:tcPr>
            <w:tcW w:w="1242" w:type="dxa"/>
            <w:shd w:val="clear" w:color="auto" w:fill="auto"/>
            <w:vAlign w:val="center"/>
          </w:tcPr>
          <w:p w14:paraId="1704364F">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金额（万元）</w:t>
            </w:r>
          </w:p>
        </w:tc>
      </w:tr>
      <w:tr w14:paraId="37E40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restart"/>
            <w:shd w:val="clear" w:color="auto" w:fill="auto"/>
            <w:vAlign w:val="center"/>
          </w:tcPr>
          <w:p w14:paraId="240D26B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w:t>
            </w:r>
          </w:p>
        </w:tc>
        <w:tc>
          <w:tcPr>
            <w:tcW w:w="5374" w:type="dxa"/>
            <w:shd w:val="clear" w:color="auto" w:fill="auto"/>
            <w:vAlign w:val="center"/>
          </w:tcPr>
          <w:p w14:paraId="0131E50B">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施工期设备减振措施、选用低噪声设备</w:t>
            </w:r>
          </w:p>
        </w:tc>
        <w:tc>
          <w:tcPr>
            <w:tcW w:w="1242" w:type="dxa"/>
            <w:shd w:val="clear" w:color="auto" w:fill="auto"/>
            <w:vAlign w:val="center"/>
          </w:tcPr>
          <w:p w14:paraId="22DA5F0A">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w:t>
            </w:r>
          </w:p>
        </w:tc>
      </w:tr>
      <w:tr w14:paraId="25993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722BFAD9">
            <w:pPr>
              <w:pStyle w:val="46"/>
              <w:bidi w:val="0"/>
              <w:rPr>
                <w:rFonts w:hint="default" w:ascii="Times New Roman" w:hAnsi="Times New Roman" w:cs="Times New Roman"/>
                <w:color w:val="auto"/>
                <w:highlight w:val="none"/>
                <w:lang w:val="zh-CN"/>
              </w:rPr>
            </w:pPr>
          </w:p>
        </w:tc>
        <w:tc>
          <w:tcPr>
            <w:tcW w:w="5374" w:type="dxa"/>
            <w:shd w:val="clear" w:color="auto" w:fill="auto"/>
            <w:vAlign w:val="center"/>
          </w:tcPr>
          <w:p w14:paraId="52A3A118">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施工场地洒水降尘</w:t>
            </w:r>
          </w:p>
        </w:tc>
        <w:tc>
          <w:tcPr>
            <w:tcW w:w="1242" w:type="dxa"/>
            <w:shd w:val="clear" w:color="auto" w:fill="auto"/>
            <w:vAlign w:val="center"/>
          </w:tcPr>
          <w:p w14:paraId="6E16C598">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r>
      <w:tr w14:paraId="456B3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05E97F0E">
            <w:pPr>
              <w:pStyle w:val="46"/>
              <w:bidi w:val="0"/>
              <w:rPr>
                <w:rFonts w:hint="default" w:ascii="Times New Roman" w:hAnsi="Times New Roman" w:cs="Times New Roman"/>
                <w:color w:val="auto"/>
                <w:highlight w:val="none"/>
                <w:lang w:val="zh-CN"/>
              </w:rPr>
            </w:pPr>
          </w:p>
        </w:tc>
        <w:tc>
          <w:tcPr>
            <w:tcW w:w="5374" w:type="dxa"/>
            <w:shd w:val="clear" w:color="auto" w:fill="auto"/>
            <w:vAlign w:val="center"/>
          </w:tcPr>
          <w:p w14:paraId="2B252B8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固废运输</w:t>
            </w:r>
            <w:r>
              <w:rPr>
                <w:rFonts w:hint="default" w:ascii="Times New Roman" w:hAnsi="Times New Roman" w:cs="Times New Roman"/>
                <w:color w:val="auto"/>
                <w:highlight w:val="none"/>
                <w:lang w:val="en-US" w:eastAsia="zh-CN"/>
              </w:rPr>
              <w:t>车辆遮盖</w:t>
            </w:r>
          </w:p>
        </w:tc>
        <w:tc>
          <w:tcPr>
            <w:tcW w:w="1242" w:type="dxa"/>
            <w:shd w:val="clear" w:color="auto" w:fill="auto"/>
            <w:vAlign w:val="center"/>
          </w:tcPr>
          <w:p w14:paraId="6B31219A">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0.5</w:t>
            </w:r>
          </w:p>
        </w:tc>
      </w:tr>
      <w:tr w14:paraId="21C66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1969B651">
            <w:pPr>
              <w:pStyle w:val="46"/>
              <w:bidi w:val="0"/>
              <w:rPr>
                <w:rFonts w:hint="default" w:ascii="Times New Roman" w:hAnsi="Times New Roman" w:cs="Times New Roman"/>
                <w:color w:val="auto"/>
                <w:highlight w:val="none"/>
                <w:lang w:val="zh-CN"/>
              </w:rPr>
            </w:pPr>
          </w:p>
        </w:tc>
        <w:tc>
          <w:tcPr>
            <w:tcW w:w="5374" w:type="dxa"/>
            <w:shd w:val="clear" w:color="auto" w:fill="auto"/>
            <w:vAlign w:val="center"/>
          </w:tcPr>
          <w:p w14:paraId="3BF719B9">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防渗淋溶水收集池</w:t>
            </w:r>
            <w:r>
              <w:rPr>
                <w:rFonts w:hint="eastAsia" w:cs="Times New Roman"/>
                <w:color w:val="auto"/>
                <w:highlight w:val="none"/>
                <w:lang w:val="en-US" w:eastAsia="zh-CN"/>
              </w:rPr>
              <w:t>、黏土压实等防渗措施、截洪沟、排水渠</w:t>
            </w:r>
          </w:p>
        </w:tc>
        <w:tc>
          <w:tcPr>
            <w:tcW w:w="1242" w:type="dxa"/>
            <w:shd w:val="clear" w:color="auto" w:fill="auto"/>
            <w:vAlign w:val="center"/>
          </w:tcPr>
          <w:p w14:paraId="7C6F28EA">
            <w:pPr>
              <w:pStyle w:val="46"/>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w:t>
            </w:r>
          </w:p>
        </w:tc>
      </w:tr>
      <w:tr w14:paraId="2C89C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4958401B">
            <w:pPr>
              <w:pStyle w:val="46"/>
              <w:bidi w:val="0"/>
              <w:rPr>
                <w:rFonts w:hint="default" w:ascii="Times New Roman" w:hAnsi="Times New Roman" w:cs="Times New Roman"/>
                <w:color w:val="auto"/>
                <w:highlight w:val="none"/>
                <w:lang w:val="zh-CN"/>
              </w:rPr>
            </w:pPr>
          </w:p>
        </w:tc>
        <w:tc>
          <w:tcPr>
            <w:tcW w:w="5374" w:type="dxa"/>
            <w:shd w:val="clear" w:color="auto" w:fill="auto"/>
            <w:vAlign w:val="center"/>
          </w:tcPr>
          <w:p w14:paraId="29771EED">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回填结束后</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土地</w:t>
            </w:r>
            <w:r>
              <w:rPr>
                <w:rFonts w:hint="default" w:ascii="Times New Roman" w:hAnsi="Times New Roman" w:cs="Times New Roman"/>
                <w:color w:val="auto"/>
                <w:highlight w:val="none"/>
                <w:lang w:val="en-US" w:eastAsia="zh-CN"/>
              </w:rPr>
              <w:t>进行植被</w:t>
            </w:r>
            <w:r>
              <w:rPr>
                <w:rFonts w:hint="default" w:ascii="Times New Roman" w:hAnsi="Times New Roman" w:cs="Times New Roman"/>
                <w:color w:val="auto"/>
                <w:highlight w:val="none"/>
              </w:rPr>
              <w:t>复垦，</w:t>
            </w:r>
            <w:r>
              <w:rPr>
                <w:rFonts w:hint="default" w:ascii="Times New Roman" w:hAnsi="Times New Roman" w:cs="Times New Roman"/>
                <w:color w:val="auto"/>
                <w:highlight w:val="none"/>
                <w:lang w:val="en-US" w:eastAsia="zh-CN"/>
              </w:rPr>
              <w:t>复垦植被</w:t>
            </w:r>
          </w:p>
        </w:tc>
        <w:tc>
          <w:tcPr>
            <w:tcW w:w="1242" w:type="dxa"/>
            <w:shd w:val="clear" w:color="auto" w:fill="auto"/>
            <w:vAlign w:val="center"/>
          </w:tcPr>
          <w:p w14:paraId="322582D2">
            <w:pPr>
              <w:pStyle w:val="46"/>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p>
        </w:tc>
      </w:tr>
      <w:tr w14:paraId="3A0ED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451A4E68">
            <w:pPr>
              <w:pStyle w:val="46"/>
              <w:bidi w:val="0"/>
              <w:rPr>
                <w:rFonts w:hint="default" w:ascii="Times New Roman" w:hAnsi="Times New Roman" w:cs="Times New Roman"/>
                <w:color w:val="auto"/>
                <w:highlight w:val="none"/>
                <w:lang w:val="zh-CN"/>
              </w:rPr>
            </w:pPr>
          </w:p>
        </w:tc>
        <w:tc>
          <w:tcPr>
            <w:tcW w:w="5374" w:type="dxa"/>
            <w:shd w:val="clear" w:color="auto" w:fill="auto"/>
            <w:vAlign w:val="center"/>
          </w:tcPr>
          <w:p w14:paraId="4E105BEC">
            <w:pPr>
              <w:pStyle w:val="46"/>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zh-CN"/>
              </w:rPr>
              <w:t>各环保设施的运行维护维修费用</w:t>
            </w:r>
          </w:p>
        </w:tc>
        <w:tc>
          <w:tcPr>
            <w:tcW w:w="1242" w:type="dxa"/>
            <w:shd w:val="clear" w:color="auto" w:fill="auto"/>
            <w:vAlign w:val="center"/>
          </w:tcPr>
          <w:p w14:paraId="3517F590">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r>
      <w:tr w14:paraId="7EFA8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shd w:val="clear" w:color="auto" w:fill="auto"/>
            <w:vAlign w:val="center"/>
          </w:tcPr>
          <w:p w14:paraId="7A3A4F5A">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生态恢复期</w:t>
            </w:r>
          </w:p>
        </w:tc>
        <w:tc>
          <w:tcPr>
            <w:tcW w:w="918" w:type="dxa"/>
            <w:shd w:val="clear" w:color="auto" w:fill="auto"/>
            <w:vAlign w:val="center"/>
          </w:tcPr>
          <w:p w14:paraId="54BEDB44">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生态保护措施</w:t>
            </w:r>
          </w:p>
        </w:tc>
        <w:tc>
          <w:tcPr>
            <w:tcW w:w="5374" w:type="dxa"/>
            <w:shd w:val="clear" w:color="auto" w:fill="auto"/>
            <w:vAlign w:val="center"/>
          </w:tcPr>
          <w:p w14:paraId="3BA2E692">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生态监测与管护</w:t>
            </w:r>
          </w:p>
        </w:tc>
        <w:tc>
          <w:tcPr>
            <w:tcW w:w="1242" w:type="dxa"/>
            <w:shd w:val="clear" w:color="auto" w:fill="auto"/>
            <w:vAlign w:val="center"/>
          </w:tcPr>
          <w:p w14:paraId="5826357D">
            <w:pPr>
              <w:pStyle w:val="46"/>
              <w:bidi w:val="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en-US" w:eastAsia="zh-CN"/>
              </w:rPr>
              <w:t>1</w:t>
            </w:r>
          </w:p>
        </w:tc>
      </w:tr>
      <w:tr w14:paraId="5D576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shd w:val="clear" w:color="auto" w:fill="auto"/>
            <w:vAlign w:val="center"/>
          </w:tcPr>
          <w:p w14:paraId="119A7880">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合计</w:t>
            </w:r>
          </w:p>
        </w:tc>
        <w:tc>
          <w:tcPr>
            <w:tcW w:w="5374" w:type="dxa"/>
            <w:shd w:val="clear" w:color="auto" w:fill="auto"/>
            <w:vAlign w:val="center"/>
          </w:tcPr>
          <w:p w14:paraId="12B180E3">
            <w:pPr>
              <w:pStyle w:val="46"/>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242" w:type="dxa"/>
            <w:shd w:val="clear" w:color="auto" w:fill="auto"/>
            <w:vAlign w:val="center"/>
          </w:tcPr>
          <w:p w14:paraId="5BAE4A93">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12</w:t>
            </w:r>
          </w:p>
        </w:tc>
      </w:tr>
      <w:bookmarkEnd w:id="319"/>
    </w:tbl>
    <w:p w14:paraId="5FA7AC56">
      <w:pPr>
        <w:pStyle w:val="27"/>
        <w:bidi w:val="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D4A24CF">
      <w:pPr>
        <w:pStyle w:val="44"/>
        <w:bidi w:val="0"/>
        <w:rPr>
          <w:rFonts w:hint="default" w:ascii="Times New Roman" w:hAnsi="Times New Roman" w:cs="Times New Roman"/>
          <w:color w:val="auto"/>
          <w:highlight w:val="none"/>
        </w:rPr>
      </w:pPr>
      <w:bookmarkStart w:id="320" w:name="_Toc119316815"/>
      <w:bookmarkStart w:id="321" w:name="_Toc152926833"/>
      <w:bookmarkStart w:id="322" w:name="_Toc477954582"/>
      <w:bookmarkStart w:id="323" w:name="_Toc21455"/>
      <w:bookmarkStart w:id="324" w:name="_Toc25335"/>
      <w:r>
        <w:rPr>
          <w:rFonts w:hint="default" w:ascii="Times New Roman" w:hAnsi="Times New Roman" w:cs="Times New Roman"/>
          <w:color w:val="auto"/>
          <w:highlight w:val="none"/>
        </w:rPr>
        <w:t>7环境影响经济损益分析</w:t>
      </w:r>
      <w:bookmarkEnd w:id="320"/>
      <w:bookmarkEnd w:id="321"/>
      <w:bookmarkEnd w:id="322"/>
      <w:bookmarkEnd w:id="323"/>
      <w:bookmarkEnd w:id="324"/>
    </w:p>
    <w:p w14:paraId="280D932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环境经济损益分析主要是评价建设项目实施后，对环境造成的损失费用和采取各种环保治理措施所能收到的环保效果及其带来的经济和社会效益，衡量建设项目的环保投资在经济上的合理水平。</w:t>
      </w:r>
    </w:p>
    <w:p w14:paraId="02A6C88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个项目的开发建设，除对国民经济的发展起着促进作用外，同时也在一定程度上影响着项目拟建地区环境的变化。社会影响、经济影响、环境影响是一个系统的三要素，最终以提高人类的生活质量为目的。它们之间既互相促进，又互相制约，必须通过全面规划、综合平衡、正确地把全局利益和局部利益、长远利益和近期利益结合起来，对环境保护和经济发展进行协调，实现社会效益、经济效益、环境效益的三统一。通过对拟建项目的经济、社会和环境效益分析，为项目决策者更好地考虑环境、经济和社会效益的统一提供依据。</w:t>
      </w:r>
    </w:p>
    <w:p w14:paraId="0DA7FA74">
      <w:pPr>
        <w:pStyle w:val="43"/>
        <w:bidi w:val="0"/>
        <w:rPr>
          <w:rFonts w:hint="default" w:ascii="Times New Roman" w:hAnsi="Times New Roman" w:cs="Times New Roman"/>
          <w:color w:val="auto"/>
          <w:highlight w:val="none"/>
        </w:rPr>
      </w:pPr>
      <w:bookmarkStart w:id="325" w:name="_Toc369009159"/>
      <w:bookmarkStart w:id="326" w:name="_Toc477954583"/>
      <w:bookmarkStart w:id="327" w:name="_Toc119316816"/>
      <w:bookmarkStart w:id="328" w:name="_Toc28764"/>
      <w:bookmarkStart w:id="329" w:name="_Toc152926834"/>
      <w:bookmarkStart w:id="330" w:name="_Toc8436"/>
      <w:r>
        <w:rPr>
          <w:rFonts w:hint="default" w:ascii="Times New Roman" w:hAnsi="Times New Roman" w:cs="Times New Roman"/>
          <w:color w:val="auto"/>
          <w:highlight w:val="none"/>
        </w:rPr>
        <w:t>7.1</w:t>
      </w:r>
      <w:bookmarkEnd w:id="325"/>
      <w:bookmarkEnd w:id="326"/>
      <w:r>
        <w:rPr>
          <w:rFonts w:hint="default" w:ascii="Times New Roman" w:hAnsi="Times New Roman" w:cs="Times New Roman"/>
          <w:color w:val="auto"/>
          <w:highlight w:val="none"/>
        </w:rPr>
        <w:t>社会经济效益分析</w:t>
      </w:r>
      <w:bookmarkEnd w:id="327"/>
      <w:bookmarkEnd w:id="328"/>
      <w:bookmarkEnd w:id="329"/>
      <w:bookmarkEnd w:id="330"/>
    </w:p>
    <w:p w14:paraId="0544248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本项目可以有效解决热电厂</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的处置问题，其建设及投入运营将给鸡</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rPr>
        <w:t>县的经济、社会公众就业等的改善带来积极的影响。</w:t>
      </w:r>
    </w:p>
    <w:p w14:paraId="6EBF530E">
      <w:pPr>
        <w:pStyle w:val="27"/>
        <w:numPr>
          <w:ilvl w:val="0"/>
          <w:numId w:val="12"/>
        </w:num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对社区公众就业的影响，随着该项工程的建设，将为当地的劳务市场提供一定的就业机会。</w:t>
      </w:r>
    </w:p>
    <w:p w14:paraId="6D10C5BD">
      <w:pPr>
        <w:pStyle w:val="27"/>
        <w:numPr>
          <w:ilvl w:val="0"/>
          <w:numId w:val="12"/>
        </w:num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（2）对公众生活质量的影响，该项目工程的实施，可以有效预防其对周边环境的污染，有利于居民的身体健康和生活质量的提升。</w:t>
      </w:r>
    </w:p>
    <w:p w14:paraId="4712AA27">
      <w:pPr>
        <w:pStyle w:val="43"/>
        <w:bidi w:val="0"/>
        <w:rPr>
          <w:rFonts w:hint="default" w:ascii="Times New Roman" w:hAnsi="Times New Roman" w:cs="Times New Roman"/>
          <w:color w:val="auto"/>
          <w:highlight w:val="none"/>
        </w:rPr>
      </w:pPr>
      <w:bookmarkStart w:id="331" w:name="_Toc24968"/>
      <w:bookmarkStart w:id="332" w:name="_Toc21875"/>
      <w:bookmarkStart w:id="333" w:name="_Toc152926835"/>
      <w:bookmarkStart w:id="334" w:name="_Toc119316817"/>
      <w:r>
        <w:rPr>
          <w:rFonts w:hint="default" w:ascii="Times New Roman" w:hAnsi="Times New Roman" w:cs="Times New Roman"/>
          <w:color w:val="auto"/>
          <w:highlight w:val="none"/>
        </w:rPr>
        <w:t>7.2经济损益分析</w:t>
      </w:r>
      <w:bookmarkEnd w:id="331"/>
      <w:bookmarkEnd w:id="332"/>
      <w:bookmarkEnd w:id="333"/>
      <w:bookmarkEnd w:id="334"/>
    </w:p>
    <w:p w14:paraId="1301834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拟建项目是一个以保护环境为主要目标的治理工程，对当地国民经济的贡献主要体现在环境效益方面。</w:t>
      </w:r>
    </w:p>
    <w:p w14:paraId="5197701A">
      <w:pPr>
        <w:pStyle w:val="43"/>
        <w:bidi w:val="0"/>
        <w:rPr>
          <w:rFonts w:hint="default" w:ascii="Times New Roman" w:hAnsi="Times New Roman" w:cs="Times New Roman"/>
          <w:color w:val="auto"/>
          <w:highlight w:val="none"/>
        </w:rPr>
      </w:pPr>
      <w:bookmarkStart w:id="335" w:name="_Toc10228"/>
      <w:bookmarkStart w:id="336" w:name="_Toc152926836"/>
      <w:bookmarkStart w:id="337" w:name="_Toc7051"/>
      <w:bookmarkStart w:id="338" w:name="_Toc528847181"/>
      <w:bookmarkStart w:id="339" w:name="_Toc15991709"/>
      <w:bookmarkStart w:id="340" w:name="_Toc119316818"/>
      <w:r>
        <w:rPr>
          <w:rFonts w:hint="default" w:ascii="Times New Roman" w:hAnsi="Times New Roman" w:cs="Times New Roman"/>
          <w:color w:val="auto"/>
          <w:highlight w:val="none"/>
        </w:rPr>
        <w:t>7.3环境效益分析</w:t>
      </w:r>
      <w:bookmarkEnd w:id="335"/>
      <w:bookmarkEnd w:id="336"/>
      <w:bookmarkEnd w:id="337"/>
      <w:bookmarkEnd w:id="338"/>
      <w:bookmarkEnd w:id="339"/>
      <w:bookmarkEnd w:id="340"/>
    </w:p>
    <w:p w14:paraId="24E0D549">
      <w:pPr>
        <w:pStyle w:val="27"/>
        <w:bidi w:val="0"/>
        <w:rPr>
          <w:rFonts w:hint="default" w:ascii="Times New Roman" w:hAnsi="Times New Roman" w:cs="Times New Roman"/>
          <w:color w:val="auto"/>
          <w:highlight w:val="none"/>
        </w:rPr>
      </w:pPr>
      <w:bookmarkStart w:id="341" w:name="_Toc527121414"/>
      <w:bookmarkStart w:id="342" w:name="_Toc480447676"/>
      <w:bookmarkStart w:id="343" w:name="_Toc15991705"/>
      <w:r>
        <w:rPr>
          <w:rFonts w:hint="default" w:ascii="Times New Roman" w:hAnsi="Times New Roman" w:cs="Times New Roman"/>
          <w:color w:val="auto"/>
          <w:highlight w:val="none"/>
        </w:rPr>
        <w:t>项目环保措施主要是体现国家环保政策，贯彻“总量控制”和“污染物达标排放”的原则，达到保护环境的目的。本项目采用的废气、废水、噪声等污染治理及清洁生产措施，达到了有效控制污染和保护环境的目的。环境保护投资的环境效益表现在以下方面：</w:t>
      </w:r>
    </w:p>
    <w:p w14:paraId="5E8CE06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（1）项目汽车运输扬尘对大气环境有一定影响，在落实报告书提出处理措施后，可以有效减少对周围环境空气质量的影响。</w:t>
      </w:r>
    </w:p>
    <w:p w14:paraId="56D2531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（2）各种设备经隔声、减振处理后对周围声环境影响显著降低。</w:t>
      </w:r>
    </w:p>
    <w:p w14:paraId="5894AC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）项目回填结束后开展生态恢复，可以有效改善生态环境，实现废物综合利用和环境改善的双效益。综上所述，本项目采用相应环境保护措施后环境效益较显著。</w:t>
      </w:r>
    </w:p>
    <w:bookmarkEnd w:id="341"/>
    <w:bookmarkEnd w:id="342"/>
    <w:bookmarkEnd w:id="343"/>
    <w:p w14:paraId="1EA679E4">
      <w:pPr>
        <w:pStyle w:val="43"/>
        <w:bidi w:val="0"/>
        <w:rPr>
          <w:rFonts w:hint="default" w:ascii="Times New Roman" w:hAnsi="Times New Roman" w:cs="Times New Roman"/>
          <w:color w:val="auto"/>
          <w:highlight w:val="none"/>
        </w:rPr>
      </w:pPr>
      <w:bookmarkStart w:id="344" w:name="_Toc528847186"/>
      <w:bookmarkStart w:id="345" w:name="_Toc15991714"/>
      <w:bookmarkStart w:id="346" w:name="_Toc152926837"/>
      <w:bookmarkStart w:id="347" w:name="_Toc31653"/>
      <w:bookmarkStart w:id="348" w:name="_Toc119316819"/>
      <w:bookmarkStart w:id="349" w:name="_Toc20885"/>
      <w:r>
        <w:rPr>
          <w:rFonts w:hint="default" w:ascii="Times New Roman" w:hAnsi="Times New Roman" w:cs="Times New Roman"/>
          <w:color w:val="auto"/>
          <w:highlight w:val="none"/>
        </w:rPr>
        <w:t>7.</w:t>
      </w:r>
      <w:bookmarkEnd w:id="344"/>
      <w:bookmarkEnd w:id="345"/>
      <w:r>
        <w:rPr>
          <w:rFonts w:hint="default" w:ascii="Times New Roman" w:hAnsi="Times New Roman" w:cs="Times New Roman"/>
          <w:color w:val="auto"/>
          <w:highlight w:val="none"/>
        </w:rPr>
        <w:t>4小结</w:t>
      </w:r>
      <w:bookmarkEnd w:id="346"/>
      <w:bookmarkEnd w:id="347"/>
      <w:bookmarkEnd w:id="348"/>
      <w:bookmarkEnd w:id="349"/>
    </w:p>
    <w:p w14:paraId="43AEAA06">
      <w:pPr>
        <w:pStyle w:val="27"/>
        <w:bidi w:val="0"/>
        <w:rPr>
          <w:rFonts w:hint="default" w:ascii="Times New Roman" w:hAnsi="Times New Roman" w:cs="Times New Roman"/>
          <w:color w:val="auto"/>
          <w:highlight w:val="none"/>
        </w:rPr>
      </w:pPr>
      <w:bookmarkStart w:id="350" w:name="_Toc477954588"/>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rPr>
        <w:t>回填进行采坑修复工程本身就是一项环境保护的建设工程，该项目的实施有利于改善城镇市容和景观，有利于改善城镇投资环境，对促进经济、社会的发展具有重要的意义，具有良好的社会效益、经济效益和环境效益。</w:t>
      </w:r>
    </w:p>
    <w:p w14:paraId="78EC426A">
      <w:pPr>
        <w:pStyle w:val="27"/>
        <w:bidi w:val="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highlight w:val="none"/>
        </w:rPr>
        <w:t>综上所述，在落实本报告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p w14:paraId="1149FBEE">
      <w:pPr>
        <w:pStyle w:val="44"/>
        <w:bidi w:val="0"/>
        <w:rPr>
          <w:rFonts w:hint="default" w:ascii="Times New Roman" w:hAnsi="Times New Roman" w:cs="Times New Roman"/>
          <w:color w:val="auto"/>
          <w:highlight w:val="none"/>
        </w:rPr>
      </w:pPr>
      <w:bookmarkStart w:id="351" w:name="_Toc152926838"/>
      <w:bookmarkStart w:id="352" w:name="_Toc3429"/>
      <w:bookmarkStart w:id="353" w:name="_Toc7475"/>
      <w:bookmarkStart w:id="354" w:name="_Toc119316820"/>
      <w:r>
        <w:rPr>
          <w:rFonts w:hint="default" w:ascii="Times New Roman" w:hAnsi="Times New Roman" w:cs="Times New Roman"/>
          <w:color w:val="auto"/>
          <w:highlight w:val="none"/>
        </w:rPr>
        <w:t>8环境管理与监测计划</w:t>
      </w:r>
      <w:bookmarkEnd w:id="350"/>
      <w:bookmarkEnd w:id="351"/>
      <w:bookmarkEnd w:id="352"/>
      <w:bookmarkEnd w:id="353"/>
      <w:bookmarkEnd w:id="354"/>
    </w:p>
    <w:p w14:paraId="5FA72989">
      <w:pPr>
        <w:pStyle w:val="43"/>
        <w:bidi w:val="0"/>
        <w:rPr>
          <w:rFonts w:hint="default" w:ascii="Times New Roman" w:hAnsi="Times New Roman" w:cs="Times New Roman"/>
          <w:color w:val="auto"/>
          <w:highlight w:val="none"/>
        </w:rPr>
      </w:pPr>
      <w:bookmarkStart w:id="355" w:name="_Toc27807"/>
      <w:bookmarkStart w:id="356" w:name="_Toc7450"/>
      <w:bookmarkStart w:id="357" w:name="_Toc119316821"/>
      <w:bookmarkStart w:id="358" w:name="_Toc152926839"/>
      <w:bookmarkStart w:id="359" w:name="_Toc477954589"/>
      <w:r>
        <w:rPr>
          <w:rFonts w:hint="default" w:ascii="Times New Roman" w:hAnsi="Times New Roman" w:cs="Times New Roman"/>
          <w:color w:val="auto"/>
          <w:highlight w:val="none"/>
        </w:rPr>
        <w:t>8.1环境管理</w:t>
      </w:r>
      <w:bookmarkEnd w:id="355"/>
      <w:bookmarkEnd w:id="356"/>
      <w:bookmarkEnd w:id="357"/>
      <w:bookmarkEnd w:id="358"/>
      <w:bookmarkEnd w:id="359"/>
    </w:p>
    <w:p w14:paraId="3E0DAEC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环境管理是以环境科学理论为基础，运用经济、法律、技术、行政、教育等手段对经济、社会发展过程中施加给环境的污染和破坏影响进行调节控制，实现经济、社会和环境效益的和谐统一。</w:t>
      </w:r>
    </w:p>
    <w:p w14:paraId="64E34BD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为全面贯彻和落实国家及地方环保法律法规，加强企业内部污染物排放监督控制，本项目将环境保护纳入企业管理和生产计划之中，企业内部必须建立相应的环境管理机构及监控计划。</w:t>
      </w:r>
    </w:p>
    <w:p w14:paraId="587A41A6">
      <w:pPr>
        <w:pStyle w:val="27"/>
        <w:bidi w:val="0"/>
        <w:rPr>
          <w:rFonts w:hint="default" w:ascii="Times New Roman" w:hAnsi="Times New Roman" w:cs="Times New Roman"/>
          <w:color w:val="auto"/>
          <w:highlight w:val="none"/>
        </w:rPr>
      </w:pPr>
      <w:bookmarkStart w:id="360" w:name="_Toc477954590"/>
      <w:bookmarkStart w:id="361" w:name="_Toc342462534"/>
      <w:r>
        <w:rPr>
          <w:rFonts w:hint="default" w:ascii="Times New Roman" w:hAnsi="Times New Roman" w:cs="Times New Roman"/>
          <w:color w:val="auto"/>
          <w:highlight w:val="none"/>
        </w:rPr>
        <w:t>1、管理机构</w:t>
      </w:r>
    </w:p>
    <w:p w14:paraId="308F482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14:paraId="452B08C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根据本项目的污染特点，建设单位应有一名副经理负责环保工作，设立环境保护管理机构，配备专职环保管理人员两人。</w:t>
      </w:r>
    </w:p>
    <w:p w14:paraId="5FCB361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2、企业环境管理机构的基本职能与职责</w:t>
      </w:r>
    </w:p>
    <w:p w14:paraId="34EE1BF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（1）基本职能</w:t>
      </w:r>
    </w:p>
    <w:p w14:paraId="6D30A79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企业环境管理机构是企业管理工作的职能部门，其基本职能有以下三方面：</w:t>
      </w:r>
    </w:p>
    <w:p w14:paraId="65544E6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①组织编制环境计划（包括规划）；</w:t>
      </w:r>
    </w:p>
    <w:p w14:paraId="57B0B2C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②组织环境保护工作的协调；</w:t>
      </w:r>
    </w:p>
    <w:p w14:paraId="0E2C5C2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③实施企业环境监督。</w:t>
      </w:r>
    </w:p>
    <w:p w14:paraId="31A3553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（2）主要工作职责</w:t>
      </w:r>
    </w:p>
    <w:p w14:paraId="73F3791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a.督促、检查本企业执行国家环境保护方针、政策、法规及本企业环境保护制度；</w:t>
      </w:r>
    </w:p>
    <w:p w14:paraId="44440B8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b.拟定本企业环境管理办法，按照国家和地区的规定制定本企业污染物排放指标和污染综合防治的经济技术原则，做好企业升级环保考核工作；</w:t>
      </w:r>
    </w:p>
    <w:p w14:paraId="2F8D05E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c.负责组织污染源调查，填写环保报表；</w:t>
      </w:r>
    </w:p>
    <w:p w14:paraId="3D3E80C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d.组织推动本企业在基本建设、技术改造中，贯彻执行“三同时”的规定，并参加有关方案的审定及竣工验收工作；</w:t>
      </w:r>
    </w:p>
    <w:p w14:paraId="4040369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e.加强与主管环保部门的联系，会同有关单位做好环境预测，制定企业环境保护长远规划和年度计划，并督促实施；</w:t>
      </w:r>
    </w:p>
    <w:p w14:paraId="13E633E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f.组织有关部门和人员，检查企业环境质量状况及发展趋势；</w:t>
      </w:r>
    </w:p>
    <w:p w14:paraId="6F9685B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g.监督全厂环境保护设施的运行与污染物的排放；</w:t>
      </w:r>
    </w:p>
    <w:p w14:paraId="205CE75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h.会同有关单位组织和开展企业环境科研工作；</w:t>
      </w:r>
    </w:p>
    <w:p w14:paraId="6F7FCC2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i.负责组织本企业污染事故的调查与处理；</w:t>
      </w:r>
    </w:p>
    <w:p w14:paraId="7F3B61F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j.做好企业环境统计工作，建立环境保护档案；</w:t>
      </w:r>
    </w:p>
    <w:p w14:paraId="415A028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k.会同有关单位组织开展清洁生产活动，负责广泛开展环境宣传教育活动，普及环境科学知识，推动清洁生产活动的深入开展。</w:t>
      </w:r>
    </w:p>
    <w:p w14:paraId="32B6AEF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3、企业管理</w:t>
      </w:r>
    </w:p>
    <w:p w14:paraId="77D42AB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（1）确保各项环保设施的正常运转，负责日常维护，并制定事故的应急处理方法；</w:t>
      </w:r>
    </w:p>
    <w:p w14:paraId="119153B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（2）加强管理，提出清洁生产方案，降低了污染物的可能产生量；</w:t>
      </w:r>
    </w:p>
    <w:p w14:paraId="3D9BB0F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（3）加强对生产设备的管理和维护，杜绝跑、冒、滴、漏现象的发生；</w:t>
      </w:r>
    </w:p>
    <w:p w14:paraId="113A3E6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（4）负责企业的日常环境监测工作。</w:t>
      </w:r>
    </w:p>
    <w:p w14:paraId="373E88C6">
      <w:pPr>
        <w:pStyle w:val="41"/>
        <w:bidi w:val="0"/>
        <w:rPr>
          <w:rFonts w:hint="default" w:ascii="Times New Roman" w:hAnsi="Times New Roman" w:cs="Times New Roman"/>
          <w:color w:val="auto"/>
          <w:highlight w:val="none"/>
        </w:rPr>
      </w:pPr>
      <w:bookmarkStart w:id="362" w:name="_Toc15991718"/>
      <w:bookmarkStart w:id="363" w:name="_Toc12626"/>
      <w:r>
        <w:rPr>
          <w:rFonts w:hint="default" w:ascii="Times New Roman" w:hAnsi="Times New Roman" w:cs="Times New Roman"/>
          <w:color w:val="auto"/>
          <w:highlight w:val="none"/>
        </w:rPr>
        <w:t>8.1.1施工期环境管理</w:t>
      </w:r>
      <w:bookmarkEnd w:id="362"/>
      <w:r>
        <w:rPr>
          <w:rFonts w:hint="default" w:ascii="Times New Roman" w:hAnsi="Times New Roman" w:cs="Times New Roman"/>
          <w:color w:val="auto"/>
          <w:highlight w:val="none"/>
        </w:rPr>
        <w:t>要求</w:t>
      </w:r>
      <w:bookmarkEnd w:id="363"/>
    </w:p>
    <w:p w14:paraId="7C97A86F">
      <w:pPr>
        <w:pStyle w:val="27"/>
        <w:bidi w:val="0"/>
        <w:rPr>
          <w:rFonts w:hint="default" w:ascii="Times New Roman" w:hAnsi="Times New Roman" w:cs="Times New Roman"/>
          <w:color w:val="auto"/>
          <w:highlight w:val="none"/>
        </w:rPr>
      </w:pPr>
      <w:bookmarkStart w:id="364" w:name="_Toc17492"/>
      <w:bookmarkStart w:id="365" w:name="_Toc15991719"/>
      <w:r>
        <w:rPr>
          <w:rFonts w:hint="default" w:ascii="Times New Roman" w:hAnsi="Times New Roman" w:cs="Times New Roman"/>
          <w:color w:val="auto"/>
          <w:highlight w:val="none"/>
        </w:rPr>
        <w:t>1、建立、执行并监督管理计划，对大气、废水等主要污染物制定详尽的监测、控制制度，以保证及时了解并控制污染物排放情况和对周围环境的影响情况。</w:t>
      </w:r>
    </w:p>
    <w:p w14:paraId="1545698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2、加强项目运营设备与设施的巡查检查，对于损坏的零部件要及时更换或维修，加强对回填区的围挡、截洪沟系统等的日常检查，对于潜在的环境风险及时采取有效措施加以防治处理。</w:t>
      </w:r>
    </w:p>
    <w:p w14:paraId="2007121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3、明确环境监测的职责，建立健全回填区的各项规章制度：根据国家环境标准，对重点污染源及污染物开展日常监测工作，编制表格和报表，定期上报有关主管部门，建立监测档案。</w:t>
      </w:r>
    </w:p>
    <w:p w14:paraId="6F1200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4、做好回填区运行情况记录，包括</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来源、数量、进场时间、废物回填位置等，记录单位应存档至少3年。定期对回填区进行检查，发现问题及时采取措施维修。</w:t>
      </w:r>
    </w:p>
    <w:p w14:paraId="33B33A91">
      <w:pPr>
        <w:spacing w:line="360" w:lineRule="auto"/>
        <w:ind w:firstLine="480" w:firstLineChars="200"/>
        <w:rPr>
          <w:rFonts w:hint="default" w:ascii="Times New Roman" w:hAnsi="Times New Roman" w:eastAsia="宋体" w:cs="Times New Roman"/>
          <w:color w:val="auto"/>
          <w:kern w:val="21"/>
          <w:highlight w:val="none"/>
          <w:u w:val="none"/>
          <w:lang w:eastAsia="zh-CN"/>
        </w:rPr>
      </w:pP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kern w:val="21"/>
          <w:highlight w:val="none"/>
          <w:u w:val="none"/>
          <w:lang w:eastAsia="zh-CN"/>
        </w:rPr>
        <w:t>回填结束后应进行土地</w:t>
      </w:r>
      <w:r>
        <w:rPr>
          <w:rFonts w:hint="default" w:ascii="Times New Roman" w:hAnsi="Times New Roman" w:eastAsia="宋体" w:cs="Times New Roman"/>
          <w:color w:val="auto"/>
          <w:kern w:val="21"/>
          <w:highlight w:val="none"/>
          <w:u w:val="none"/>
          <w:lang w:val="en-US" w:eastAsia="zh-CN"/>
        </w:rPr>
        <w:t>生态修复</w:t>
      </w:r>
      <w:r>
        <w:rPr>
          <w:rFonts w:hint="default" w:ascii="Times New Roman" w:hAnsi="Times New Roman" w:eastAsia="宋体" w:cs="Times New Roman"/>
          <w:color w:val="auto"/>
          <w:kern w:val="21"/>
          <w:highlight w:val="none"/>
          <w:u w:val="none"/>
          <w:lang w:eastAsia="zh-CN"/>
        </w:rPr>
        <w:t>，用安全合理的方式净化废物处理和贮存辅助措施，并且实施生态恢复计划。</w:t>
      </w:r>
    </w:p>
    <w:p w14:paraId="1150BF0A">
      <w:pPr>
        <w:spacing w:line="360" w:lineRule="auto"/>
        <w:ind w:firstLine="480" w:firstLineChars="200"/>
        <w:rPr>
          <w:rFonts w:hint="default" w:ascii="Times New Roman" w:hAnsi="Times New Roman" w:eastAsia="宋体" w:cs="Times New Roman"/>
          <w:color w:val="auto"/>
          <w:kern w:val="21"/>
          <w:highlight w:val="none"/>
          <w:u w:val="none"/>
          <w:lang w:eastAsia="zh-CN"/>
        </w:rPr>
      </w:pPr>
      <w:r>
        <w:rPr>
          <w:rFonts w:hint="default" w:ascii="Times New Roman" w:hAnsi="Times New Roman" w:eastAsia="宋体" w:cs="Times New Roman"/>
          <w:color w:val="auto"/>
          <w:kern w:val="21"/>
          <w:highlight w:val="none"/>
          <w:u w:val="none"/>
          <w:lang w:val="en-US" w:eastAsia="zh-CN"/>
        </w:rPr>
        <w:t>1</w:t>
      </w:r>
      <w:r>
        <w:rPr>
          <w:rFonts w:hint="default" w:ascii="Times New Roman" w:hAnsi="Times New Roman" w:eastAsia="宋体" w:cs="Times New Roman"/>
          <w:color w:val="auto"/>
          <w:kern w:val="21"/>
          <w:highlight w:val="none"/>
          <w:u w:val="none"/>
          <w:lang w:eastAsia="zh-CN"/>
        </w:rPr>
        <w:t>）维护最终覆盖层的完整性和有效性，进行必要的维修以消除沉降和凹陷及其他影响；</w:t>
      </w:r>
    </w:p>
    <w:p w14:paraId="25A911A9">
      <w:pPr>
        <w:spacing w:line="360" w:lineRule="auto"/>
        <w:ind w:firstLine="480" w:firstLineChars="200"/>
        <w:rPr>
          <w:rFonts w:hint="default" w:ascii="Times New Roman" w:hAnsi="Times New Roman" w:eastAsia="宋体" w:cs="Times New Roman"/>
          <w:color w:val="auto"/>
          <w:kern w:val="21"/>
          <w:highlight w:val="none"/>
          <w:u w:val="none"/>
          <w:lang w:eastAsia="zh-CN"/>
        </w:rPr>
      </w:pPr>
      <w:r>
        <w:rPr>
          <w:rFonts w:hint="default" w:ascii="Times New Roman" w:hAnsi="Times New Roman" w:eastAsia="宋体" w:cs="Times New Roman"/>
          <w:color w:val="auto"/>
          <w:kern w:val="21"/>
          <w:highlight w:val="none"/>
          <w:u w:val="none"/>
          <w:lang w:eastAsia="zh-CN"/>
        </w:rPr>
        <w:t>2）继续导排产生的淋溶水，并定期进行监测，直到未产生淋溶水为止。</w:t>
      </w:r>
    </w:p>
    <w:p w14:paraId="68AD2862">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8.1.2</w:t>
      </w:r>
      <w:bookmarkEnd w:id="364"/>
      <w:bookmarkEnd w:id="365"/>
      <w:bookmarkStart w:id="366" w:name="_Toc14844"/>
      <w:r>
        <w:rPr>
          <w:rFonts w:hint="default" w:ascii="Times New Roman" w:hAnsi="Times New Roman" w:cs="Times New Roman"/>
          <w:color w:val="auto"/>
          <w:highlight w:val="none"/>
        </w:rPr>
        <w:t>生态恢复期环境管理要求</w:t>
      </w:r>
      <w:bookmarkEnd w:id="366"/>
    </w:p>
    <w:p w14:paraId="4F04E39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回填结束后应进行土地复垦，实施生态恢复计划。</w:t>
      </w:r>
    </w:p>
    <w:p w14:paraId="0EA7814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维护最终覆盖层的完整性和有效性，进行必要的维护以消除沉降和凹陷及其他影响；</w:t>
      </w:r>
    </w:p>
    <w:p w14:paraId="0CD505E3">
      <w:pPr>
        <w:pStyle w:val="6"/>
        <w:bidi w:val="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恢复目标</w:t>
      </w:r>
    </w:p>
    <w:p w14:paraId="3FAA54E7">
      <w:pP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本项目回填后复垦为林地及耕地，生态恢复后耕地面积为2.66hm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，主要作物为玉米；林地面积5.8703hm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，种植落叶松6523株。保证植被的成活率，死苗要及时补种，达到预期效果。</w:t>
      </w:r>
    </w:p>
    <w:p w14:paraId="35FFD8E9">
      <w:pPr>
        <w:pStyle w:val="6"/>
        <w:bidi w:val="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2生态监测</w:t>
      </w:r>
    </w:p>
    <w:p w14:paraId="18F58929">
      <w:pPr>
        <w:pStyle w:val="27"/>
        <w:numPr>
          <w:ilvl w:val="0"/>
          <w:numId w:val="1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复垦后土壤质量监测</w:t>
      </w:r>
    </w:p>
    <w:p w14:paraId="20C1EC32">
      <w:pPr>
        <w:pStyle w:val="27"/>
        <w:numPr>
          <w:ilvl w:val="0"/>
          <w:numId w:val="0"/>
        </w:numPr>
        <w:bidi w:val="0"/>
        <w:ind w:firstLine="240" w:firstLineChars="1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监测内容包括 ：地形坡度、有效土层厚度、土壤有效水分、土壤容重、酸碱度（pH 值）、有机质含量、有效磷含量、全氮含量、土壤侵蚀模数等。</w:t>
      </w:r>
    </w:p>
    <w:p w14:paraId="65D392A6">
      <w:pPr>
        <w:pStyle w:val="27"/>
        <w:numPr>
          <w:ilvl w:val="0"/>
          <w:numId w:val="0"/>
        </w:numPr>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2、植被生长监测</w:t>
      </w:r>
    </w:p>
    <w:p w14:paraId="23F38B3E">
      <w:pPr>
        <w:pStyle w:val="27"/>
        <w:numPr>
          <w:ilvl w:val="0"/>
          <w:numId w:val="0"/>
        </w:numPr>
        <w:bidi w:val="0"/>
        <w:ind w:firstLine="240" w:firstLineChars="1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采用样方随机调查法，监测复垦后林地的生长势、高度、种植密度、成活率、郁闭度、生长量等。监测点位3个，每个点位每年监测1次，监测时间为三年。</w:t>
      </w:r>
    </w:p>
    <w:p w14:paraId="791AA314">
      <w:pPr>
        <w:pStyle w:val="41"/>
        <w:bidi w:val="0"/>
        <w:rPr>
          <w:rFonts w:hint="default" w:ascii="Times New Roman" w:hAnsi="Times New Roman" w:cs="Times New Roman"/>
          <w:color w:val="auto"/>
          <w:highlight w:val="none"/>
        </w:rPr>
      </w:pPr>
      <w:bookmarkStart w:id="367" w:name="_Toc527121434"/>
      <w:bookmarkStart w:id="368" w:name="_Toc15991720"/>
      <w:bookmarkStart w:id="369" w:name="_Toc13291"/>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污染物排放清单及管理要求</w:t>
      </w:r>
      <w:bookmarkEnd w:id="367"/>
      <w:bookmarkEnd w:id="368"/>
      <w:bookmarkEnd w:id="369"/>
    </w:p>
    <w:p w14:paraId="47D2F811">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.1排放管理清单</w:t>
      </w:r>
    </w:p>
    <w:p w14:paraId="6D9A5FF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建设项目拟采取的环境保护措施及主要运行参数，排放的污染物种类、排放浓度和总量指标，污染物排放的分时段要求，执行的环境标准等详见污染物排放清单，见表8-1-1。</w:t>
      </w:r>
    </w:p>
    <w:p w14:paraId="7496F4BB">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.2排放管理要求</w:t>
      </w:r>
    </w:p>
    <w:p w14:paraId="19FE63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根据国家环保政策、标准及环境监测要求，制定该项目回填复垦期环境管理规章制度、各种污染物排放指标；对环保设施进行定期维护和检修，确保环保设施的正常运行及管网畅通；对本项目废水进行处理，确保处理系统的正常运行；生活垃圾收集管理应由专人负责，分类收集，外运时，应采用封闭自卸专用车，运到指定地点处置。</w:t>
      </w:r>
    </w:p>
    <w:p w14:paraId="5A9665F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（2）工程组成：回填区等。</w:t>
      </w:r>
    </w:p>
    <w:p w14:paraId="7FBBB6E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原辅材料组分：本项目回填材料</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，属于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w:t>
      </w:r>
    </w:p>
    <w:p w14:paraId="693ABA9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（3）环境风险防范措施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回填区</w:t>
      </w:r>
      <w:r>
        <w:rPr>
          <w:rFonts w:hint="default" w:ascii="Times New Roman" w:hAnsi="Times New Roman" w:cs="Times New Roman"/>
          <w:color w:val="auto"/>
          <w:highlight w:val="none"/>
          <w:lang w:val="en-US" w:eastAsia="zh-CN"/>
        </w:rPr>
        <w:t>附近</w:t>
      </w:r>
      <w:r>
        <w:rPr>
          <w:rFonts w:hint="default" w:ascii="Times New Roman" w:hAnsi="Times New Roman" w:cs="Times New Roman"/>
          <w:color w:val="auto"/>
          <w:highlight w:val="none"/>
        </w:rPr>
        <w:t>设置了</w:t>
      </w:r>
      <w:r>
        <w:rPr>
          <w:rFonts w:hint="default" w:ascii="Times New Roman" w:hAnsi="Times New Roman" w:cs="Times New Roman"/>
          <w:color w:val="auto"/>
          <w:highlight w:val="none"/>
          <w:lang w:val="en-US" w:eastAsia="zh-CN"/>
        </w:rPr>
        <w:t>3口</w:t>
      </w:r>
      <w:r>
        <w:rPr>
          <w:rFonts w:hint="default" w:ascii="Times New Roman" w:hAnsi="Times New Roman" w:cs="Times New Roman"/>
          <w:color w:val="auto"/>
          <w:highlight w:val="none"/>
        </w:rPr>
        <w:t>地下水监测井，加强监控措施、增加监测频次，一旦数据异常，有污染迹象时，应及时查找原因，发现渗漏位置并采取补救措施，防止污染进一步扩散。</w:t>
      </w:r>
    </w:p>
    <w:p w14:paraId="3CC3799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采取上述措施后，可将淋溶水渗漏等风险降至可接受水平。</w:t>
      </w:r>
    </w:p>
    <w:p w14:paraId="1292392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（4）环境监测：应按本报告提出的要求定期对地下水、土壤环境质量和废气排放进行监测。</w:t>
      </w:r>
    </w:p>
    <w:p w14:paraId="7E13A1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（5）应向社会公开的信息内容：应对地下水、土壤环境质量、废气排放和污染防治设施的运行情况进行公开。</w:t>
      </w:r>
    </w:p>
    <w:p w14:paraId="6145B242">
      <w:pPr>
        <w:pStyle w:val="27"/>
        <w:bidi w:val="0"/>
        <w:rPr>
          <w:rFonts w:hint="default" w:ascii="Times New Roman" w:hAnsi="Times New Roman" w:cs="Times New Roman"/>
          <w:color w:val="auto"/>
          <w:highlight w:val="none"/>
        </w:rPr>
        <w:sectPr>
          <w:pgSz w:w="11906" w:h="16838"/>
          <w:pgMar w:top="1440" w:right="1800" w:bottom="1440" w:left="1800" w:header="850" w:footer="992" w:gutter="0"/>
          <w:pgBorders>
            <w:top w:val="none" w:sz="0" w:space="0"/>
            <w:left w:val="none" w:sz="0" w:space="0"/>
            <w:bottom w:val="none" w:sz="0" w:space="0"/>
            <w:right w:val="none" w:sz="0" w:space="0"/>
          </w:pgBorders>
          <w:cols w:space="425" w:num="1"/>
          <w:docGrid w:type="lines" w:linePitch="312" w:charSpace="0"/>
        </w:sectPr>
      </w:pPr>
    </w:p>
    <w:p w14:paraId="36EC00DD">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表8-1-1污染物排放管理清单一览表</w:t>
      </w:r>
    </w:p>
    <w:tbl>
      <w:tblPr>
        <w:tblStyle w:val="24"/>
        <w:tblW w:w="13938"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Layout w:type="autofit"/>
        <w:tblCellMar>
          <w:top w:w="0" w:type="dxa"/>
          <w:left w:w="108" w:type="dxa"/>
          <w:bottom w:w="0" w:type="dxa"/>
          <w:right w:w="108" w:type="dxa"/>
        </w:tblCellMar>
      </w:tblPr>
      <w:tblGrid>
        <w:gridCol w:w="1459"/>
        <w:gridCol w:w="1508"/>
        <w:gridCol w:w="2101"/>
        <w:gridCol w:w="1459"/>
        <w:gridCol w:w="1459"/>
        <w:gridCol w:w="2822"/>
        <w:gridCol w:w="3130"/>
      </w:tblGrid>
      <w:tr w14:paraId="7F9A3349">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552" w:hRule="atLeast"/>
        </w:trPr>
        <w:tc>
          <w:tcPr>
            <w:tcW w:w="1459" w:type="dxa"/>
            <w:tcBorders>
              <w:tl2br w:val="nil"/>
              <w:tr2bl w:val="nil"/>
            </w:tcBorders>
            <w:shd w:val="clear" w:color="auto" w:fill="auto"/>
            <w:vAlign w:val="center"/>
          </w:tcPr>
          <w:p w14:paraId="74A42C4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环境要素</w:t>
            </w:r>
          </w:p>
        </w:tc>
        <w:tc>
          <w:tcPr>
            <w:tcW w:w="3609" w:type="dxa"/>
            <w:gridSpan w:val="2"/>
            <w:tcBorders>
              <w:tl2br w:val="nil"/>
              <w:tr2bl w:val="nil"/>
            </w:tcBorders>
            <w:shd w:val="clear" w:color="auto" w:fill="auto"/>
            <w:vAlign w:val="center"/>
          </w:tcPr>
          <w:p w14:paraId="7103C46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管理项目</w:t>
            </w:r>
          </w:p>
        </w:tc>
        <w:tc>
          <w:tcPr>
            <w:tcW w:w="1459" w:type="dxa"/>
            <w:tcBorders>
              <w:tl2br w:val="nil"/>
              <w:tr2bl w:val="nil"/>
            </w:tcBorders>
            <w:shd w:val="clear" w:color="auto" w:fill="auto"/>
            <w:vAlign w:val="center"/>
          </w:tcPr>
          <w:p w14:paraId="709712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污染防治措施</w:t>
            </w:r>
          </w:p>
        </w:tc>
        <w:tc>
          <w:tcPr>
            <w:tcW w:w="1459" w:type="dxa"/>
            <w:tcBorders>
              <w:tl2br w:val="nil"/>
              <w:tr2bl w:val="nil"/>
            </w:tcBorders>
            <w:shd w:val="clear" w:color="auto" w:fill="auto"/>
            <w:vAlign w:val="center"/>
          </w:tcPr>
          <w:p w14:paraId="52E238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排放浓度</w:t>
            </w:r>
          </w:p>
        </w:tc>
        <w:tc>
          <w:tcPr>
            <w:tcW w:w="2822" w:type="dxa"/>
            <w:tcBorders>
              <w:tl2br w:val="nil"/>
              <w:tr2bl w:val="nil"/>
            </w:tcBorders>
            <w:shd w:val="clear" w:color="auto" w:fill="auto"/>
            <w:vAlign w:val="center"/>
          </w:tcPr>
          <w:p w14:paraId="67A2A7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排放量</w:t>
            </w:r>
          </w:p>
        </w:tc>
        <w:tc>
          <w:tcPr>
            <w:tcW w:w="3130" w:type="dxa"/>
            <w:tcBorders>
              <w:tl2br w:val="nil"/>
              <w:tr2bl w:val="nil"/>
            </w:tcBorders>
            <w:shd w:val="clear" w:color="auto" w:fill="auto"/>
            <w:vAlign w:val="center"/>
          </w:tcPr>
          <w:p w14:paraId="56C8956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执行标准</w:t>
            </w:r>
          </w:p>
        </w:tc>
      </w:tr>
      <w:tr w14:paraId="27C2C1A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restart"/>
            <w:tcBorders>
              <w:tl2br w:val="nil"/>
              <w:tr2bl w:val="nil"/>
            </w:tcBorders>
            <w:shd w:val="clear" w:color="auto" w:fill="auto"/>
            <w:vAlign w:val="center"/>
          </w:tcPr>
          <w:p w14:paraId="0A3A36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地表水环境</w:t>
            </w:r>
          </w:p>
        </w:tc>
        <w:tc>
          <w:tcPr>
            <w:tcW w:w="1508" w:type="dxa"/>
            <w:vMerge w:val="restart"/>
            <w:tcBorders>
              <w:tl2br w:val="nil"/>
              <w:tr2bl w:val="nil"/>
            </w:tcBorders>
            <w:shd w:val="clear" w:color="auto" w:fill="auto"/>
            <w:vAlign w:val="center"/>
          </w:tcPr>
          <w:p w14:paraId="6DA93B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淋溶水</w:t>
            </w:r>
          </w:p>
        </w:tc>
        <w:tc>
          <w:tcPr>
            <w:tcW w:w="2101" w:type="dxa"/>
            <w:tcBorders>
              <w:tl2br w:val="nil"/>
              <w:tr2bl w:val="nil"/>
            </w:tcBorders>
            <w:shd w:val="clear" w:color="auto" w:fill="auto"/>
            <w:vAlign w:val="center"/>
          </w:tcPr>
          <w:p w14:paraId="13851E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w:t>
            </w:r>
          </w:p>
        </w:tc>
        <w:tc>
          <w:tcPr>
            <w:tcW w:w="1459" w:type="dxa"/>
            <w:vMerge w:val="restart"/>
            <w:tcBorders>
              <w:tl2br w:val="nil"/>
              <w:tr2bl w:val="nil"/>
            </w:tcBorders>
            <w:shd w:val="clear" w:color="auto" w:fill="auto"/>
            <w:vAlign w:val="center"/>
          </w:tcPr>
          <w:p w14:paraId="44246654">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用于洒水降尘</w:t>
            </w:r>
          </w:p>
        </w:tc>
        <w:tc>
          <w:tcPr>
            <w:tcW w:w="1459" w:type="dxa"/>
            <w:vMerge w:val="restart"/>
            <w:tcBorders>
              <w:tl2br w:val="nil"/>
              <w:tr2bl w:val="nil"/>
            </w:tcBorders>
            <w:shd w:val="clear" w:color="auto" w:fill="auto"/>
            <w:vAlign w:val="center"/>
          </w:tcPr>
          <w:p w14:paraId="656B0D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vMerge w:val="restart"/>
            <w:tcBorders>
              <w:tl2br w:val="nil"/>
              <w:tr2bl w:val="nil"/>
            </w:tcBorders>
            <w:shd w:val="clear" w:color="auto" w:fill="auto"/>
            <w:vAlign w:val="center"/>
          </w:tcPr>
          <w:p w14:paraId="528C20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130" w:type="dxa"/>
            <w:vMerge w:val="restart"/>
            <w:tcBorders>
              <w:tl2br w:val="nil"/>
              <w:tr2bl w:val="nil"/>
            </w:tcBorders>
            <w:shd w:val="clear" w:color="auto" w:fill="auto"/>
            <w:vAlign w:val="center"/>
          </w:tcPr>
          <w:p w14:paraId="16AC77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66637B0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612D87F">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58EC7F94">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765BEE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CODcr</w:t>
            </w:r>
          </w:p>
        </w:tc>
        <w:tc>
          <w:tcPr>
            <w:tcW w:w="1459" w:type="dxa"/>
            <w:vMerge w:val="continue"/>
            <w:tcBorders>
              <w:tl2br w:val="nil"/>
              <w:tr2bl w:val="nil"/>
            </w:tcBorders>
            <w:shd w:val="clear" w:color="auto" w:fill="auto"/>
            <w:vAlign w:val="center"/>
          </w:tcPr>
          <w:p w14:paraId="768A8D4C">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03BE2241">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7331CD55">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3A239329">
            <w:pPr>
              <w:pStyle w:val="46"/>
              <w:bidi w:val="0"/>
              <w:rPr>
                <w:rFonts w:hint="default" w:ascii="Times New Roman" w:hAnsi="Times New Roman" w:cs="Times New Roman"/>
                <w:color w:val="auto"/>
                <w:highlight w:val="none"/>
              </w:rPr>
            </w:pPr>
          </w:p>
        </w:tc>
      </w:tr>
      <w:tr w14:paraId="171A2FE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2CB21AE3">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22A77526">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577B1DD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BOD5</w:t>
            </w:r>
          </w:p>
        </w:tc>
        <w:tc>
          <w:tcPr>
            <w:tcW w:w="1459" w:type="dxa"/>
            <w:vMerge w:val="continue"/>
            <w:tcBorders>
              <w:tl2br w:val="nil"/>
              <w:tr2bl w:val="nil"/>
            </w:tcBorders>
            <w:shd w:val="clear" w:color="auto" w:fill="auto"/>
            <w:vAlign w:val="center"/>
          </w:tcPr>
          <w:p w14:paraId="50537D56">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7FBFDD85">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6EE64A52">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4EA760DA">
            <w:pPr>
              <w:pStyle w:val="46"/>
              <w:bidi w:val="0"/>
              <w:rPr>
                <w:rFonts w:hint="default" w:ascii="Times New Roman" w:hAnsi="Times New Roman" w:cs="Times New Roman"/>
                <w:color w:val="auto"/>
                <w:highlight w:val="none"/>
              </w:rPr>
            </w:pPr>
          </w:p>
        </w:tc>
      </w:tr>
      <w:tr w14:paraId="6C3E4F1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F4CDD27">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1F8DC025">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5CC912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SS等</w:t>
            </w:r>
          </w:p>
        </w:tc>
        <w:tc>
          <w:tcPr>
            <w:tcW w:w="1459" w:type="dxa"/>
            <w:vMerge w:val="continue"/>
            <w:tcBorders>
              <w:tl2br w:val="nil"/>
              <w:tr2bl w:val="nil"/>
            </w:tcBorders>
            <w:shd w:val="clear" w:color="auto" w:fill="auto"/>
            <w:vAlign w:val="center"/>
          </w:tcPr>
          <w:p w14:paraId="10868659">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1E0DBE44">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5B4738F2">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542F21EC">
            <w:pPr>
              <w:pStyle w:val="46"/>
              <w:bidi w:val="0"/>
              <w:rPr>
                <w:rFonts w:hint="default" w:ascii="Times New Roman" w:hAnsi="Times New Roman" w:cs="Times New Roman"/>
                <w:color w:val="auto"/>
                <w:highlight w:val="none"/>
              </w:rPr>
            </w:pPr>
          </w:p>
        </w:tc>
      </w:tr>
      <w:tr w14:paraId="4623B63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06FB2F57">
            <w:pPr>
              <w:pStyle w:val="46"/>
              <w:bidi w:val="0"/>
              <w:rPr>
                <w:rFonts w:hint="default" w:ascii="Times New Roman" w:hAnsi="Times New Roman" w:cs="Times New Roman"/>
                <w:color w:val="auto"/>
                <w:highlight w:val="none"/>
              </w:rPr>
            </w:pPr>
          </w:p>
        </w:tc>
        <w:tc>
          <w:tcPr>
            <w:tcW w:w="1508" w:type="dxa"/>
            <w:vMerge w:val="restart"/>
            <w:tcBorders>
              <w:tl2br w:val="nil"/>
              <w:tr2bl w:val="nil"/>
            </w:tcBorders>
            <w:shd w:val="clear" w:color="auto" w:fill="auto"/>
            <w:vAlign w:val="center"/>
          </w:tcPr>
          <w:p w14:paraId="373C353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工作人员生活污水</w:t>
            </w:r>
          </w:p>
        </w:tc>
        <w:tc>
          <w:tcPr>
            <w:tcW w:w="2101" w:type="dxa"/>
            <w:tcBorders>
              <w:tl2br w:val="nil"/>
              <w:tr2bl w:val="nil"/>
            </w:tcBorders>
            <w:shd w:val="clear" w:color="auto" w:fill="auto"/>
            <w:vAlign w:val="center"/>
          </w:tcPr>
          <w:p w14:paraId="54E8C3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CODcr</w:t>
            </w:r>
          </w:p>
        </w:tc>
        <w:tc>
          <w:tcPr>
            <w:tcW w:w="1459" w:type="dxa"/>
            <w:vMerge w:val="restart"/>
            <w:tcBorders>
              <w:tl2br w:val="nil"/>
              <w:tr2bl w:val="nil"/>
            </w:tcBorders>
            <w:shd w:val="clear" w:color="auto" w:fill="auto"/>
            <w:vAlign w:val="center"/>
          </w:tcPr>
          <w:p w14:paraId="55FD8B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排入民房的防渗旱厕，定期清掏，外运积肥</w:t>
            </w:r>
          </w:p>
        </w:tc>
        <w:tc>
          <w:tcPr>
            <w:tcW w:w="1459" w:type="dxa"/>
            <w:vMerge w:val="restart"/>
            <w:tcBorders>
              <w:tl2br w:val="nil"/>
              <w:tr2bl w:val="nil"/>
            </w:tcBorders>
            <w:shd w:val="clear" w:color="auto" w:fill="auto"/>
            <w:vAlign w:val="center"/>
          </w:tcPr>
          <w:p w14:paraId="514EADB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vMerge w:val="restart"/>
            <w:tcBorders>
              <w:tl2br w:val="nil"/>
              <w:tr2bl w:val="nil"/>
            </w:tcBorders>
            <w:shd w:val="clear" w:color="auto" w:fill="auto"/>
            <w:vAlign w:val="center"/>
          </w:tcPr>
          <w:p w14:paraId="26C1C17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130" w:type="dxa"/>
            <w:vMerge w:val="restart"/>
            <w:tcBorders>
              <w:tl2br w:val="nil"/>
              <w:tr2bl w:val="nil"/>
            </w:tcBorders>
            <w:shd w:val="clear" w:color="auto" w:fill="auto"/>
            <w:vAlign w:val="center"/>
          </w:tcPr>
          <w:p w14:paraId="65FFD4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00A185E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674BE2D3">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663C0609">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5C4E96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BOD5</w:t>
            </w:r>
          </w:p>
        </w:tc>
        <w:tc>
          <w:tcPr>
            <w:tcW w:w="1459" w:type="dxa"/>
            <w:vMerge w:val="continue"/>
            <w:tcBorders>
              <w:tl2br w:val="nil"/>
              <w:tr2bl w:val="nil"/>
            </w:tcBorders>
            <w:shd w:val="clear" w:color="auto" w:fill="auto"/>
            <w:vAlign w:val="center"/>
          </w:tcPr>
          <w:p w14:paraId="006D2D06">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1B8EE81A">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2DB8FA85">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1BDA60EC">
            <w:pPr>
              <w:pStyle w:val="46"/>
              <w:bidi w:val="0"/>
              <w:rPr>
                <w:rFonts w:hint="default" w:ascii="Times New Roman" w:hAnsi="Times New Roman" w:cs="Times New Roman"/>
                <w:color w:val="auto"/>
                <w:highlight w:val="none"/>
              </w:rPr>
            </w:pPr>
          </w:p>
        </w:tc>
      </w:tr>
      <w:tr w14:paraId="310D28C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6DD1538D">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1794BEB0">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3D21AA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SS</w:t>
            </w:r>
          </w:p>
        </w:tc>
        <w:tc>
          <w:tcPr>
            <w:tcW w:w="1459" w:type="dxa"/>
            <w:vMerge w:val="continue"/>
            <w:tcBorders>
              <w:tl2br w:val="nil"/>
              <w:tr2bl w:val="nil"/>
            </w:tcBorders>
            <w:shd w:val="clear" w:color="auto" w:fill="auto"/>
            <w:vAlign w:val="center"/>
          </w:tcPr>
          <w:p w14:paraId="11A0FCC6">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1F6FD903">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25BD30A8">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64139011">
            <w:pPr>
              <w:pStyle w:val="46"/>
              <w:bidi w:val="0"/>
              <w:rPr>
                <w:rFonts w:hint="default" w:ascii="Times New Roman" w:hAnsi="Times New Roman" w:cs="Times New Roman"/>
                <w:color w:val="auto"/>
                <w:highlight w:val="none"/>
              </w:rPr>
            </w:pPr>
          </w:p>
        </w:tc>
      </w:tr>
      <w:tr w14:paraId="423610E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B35BCA9">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6F47EA6A">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3CDDD9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氨氮</w:t>
            </w:r>
          </w:p>
        </w:tc>
        <w:tc>
          <w:tcPr>
            <w:tcW w:w="1459" w:type="dxa"/>
            <w:vMerge w:val="continue"/>
            <w:tcBorders>
              <w:tl2br w:val="nil"/>
              <w:tr2bl w:val="nil"/>
            </w:tcBorders>
            <w:shd w:val="clear" w:color="auto" w:fill="auto"/>
            <w:vAlign w:val="center"/>
          </w:tcPr>
          <w:p w14:paraId="12A5328B">
            <w:pPr>
              <w:pStyle w:val="46"/>
              <w:bidi w:val="0"/>
              <w:rPr>
                <w:rFonts w:hint="default" w:ascii="Times New Roman" w:hAnsi="Times New Roman" w:cs="Times New Roman"/>
                <w:color w:val="auto"/>
                <w:highlight w:val="none"/>
              </w:rPr>
            </w:pPr>
          </w:p>
        </w:tc>
        <w:tc>
          <w:tcPr>
            <w:tcW w:w="1459" w:type="dxa"/>
            <w:vMerge w:val="continue"/>
            <w:tcBorders>
              <w:tl2br w:val="nil"/>
              <w:tr2bl w:val="nil"/>
            </w:tcBorders>
            <w:shd w:val="clear" w:color="auto" w:fill="auto"/>
            <w:vAlign w:val="center"/>
          </w:tcPr>
          <w:p w14:paraId="1D6D6441">
            <w:pPr>
              <w:pStyle w:val="46"/>
              <w:bidi w:val="0"/>
              <w:rPr>
                <w:rFonts w:hint="default" w:ascii="Times New Roman" w:hAnsi="Times New Roman" w:cs="Times New Roman"/>
                <w:color w:val="auto"/>
                <w:highlight w:val="none"/>
              </w:rPr>
            </w:pPr>
          </w:p>
        </w:tc>
        <w:tc>
          <w:tcPr>
            <w:tcW w:w="2822" w:type="dxa"/>
            <w:vMerge w:val="continue"/>
            <w:tcBorders>
              <w:tl2br w:val="nil"/>
              <w:tr2bl w:val="nil"/>
            </w:tcBorders>
            <w:shd w:val="clear" w:color="auto" w:fill="auto"/>
            <w:vAlign w:val="center"/>
          </w:tcPr>
          <w:p w14:paraId="6BF8824B">
            <w:pPr>
              <w:pStyle w:val="46"/>
              <w:bidi w:val="0"/>
              <w:rPr>
                <w:rFonts w:hint="default" w:ascii="Times New Roman" w:hAnsi="Times New Roman" w:cs="Times New Roman"/>
                <w:color w:val="auto"/>
                <w:highlight w:val="none"/>
              </w:rPr>
            </w:pPr>
          </w:p>
        </w:tc>
        <w:tc>
          <w:tcPr>
            <w:tcW w:w="3130" w:type="dxa"/>
            <w:vMerge w:val="continue"/>
            <w:tcBorders>
              <w:tl2br w:val="nil"/>
              <w:tr2bl w:val="nil"/>
            </w:tcBorders>
            <w:shd w:val="clear" w:color="auto" w:fill="auto"/>
            <w:vAlign w:val="center"/>
          </w:tcPr>
          <w:p w14:paraId="72BB5679">
            <w:pPr>
              <w:pStyle w:val="46"/>
              <w:bidi w:val="0"/>
              <w:rPr>
                <w:rFonts w:hint="default" w:ascii="Times New Roman" w:hAnsi="Times New Roman" w:cs="Times New Roman"/>
                <w:color w:val="auto"/>
                <w:highlight w:val="none"/>
              </w:rPr>
            </w:pPr>
          </w:p>
        </w:tc>
      </w:tr>
      <w:tr w14:paraId="0620A8A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restart"/>
            <w:tcBorders>
              <w:tl2br w:val="nil"/>
              <w:tr2bl w:val="nil"/>
            </w:tcBorders>
            <w:shd w:val="clear" w:color="auto" w:fill="auto"/>
            <w:vAlign w:val="center"/>
          </w:tcPr>
          <w:p w14:paraId="0EF297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环境空气</w:t>
            </w:r>
          </w:p>
        </w:tc>
        <w:tc>
          <w:tcPr>
            <w:tcW w:w="1508" w:type="dxa"/>
            <w:vMerge w:val="restart"/>
            <w:tcBorders>
              <w:tl2br w:val="nil"/>
              <w:tr2bl w:val="nil"/>
            </w:tcBorders>
            <w:shd w:val="clear" w:color="auto" w:fill="auto"/>
            <w:vAlign w:val="center"/>
          </w:tcPr>
          <w:p w14:paraId="2FEEAD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作业机械尾气</w:t>
            </w:r>
          </w:p>
        </w:tc>
        <w:tc>
          <w:tcPr>
            <w:tcW w:w="2101" w:type="dxa"/>
            <w:tcBorders>
              <w:tl2br w:val="nil"/>
              <w:tr2bl w:val="nil"/>
            </w:tcBorders>
            <w:shd w:val="clear" w:color="auto" w:fill="auto"/>
            <w:vAlign w:val="center"/>
          </w:tcPr>
          <w:p w14:paraId="090142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CO</w:t>
            </w:r>
          </w:p>
        </w:tc>
        <w:tc>
          <w:tcPr>
            <w:tcW w:w="1459" w:type="dxa"/>
            <w:vMerge w:val="restart"/>
            <w:tcBorders>
              <w:tl2br w:val="nil"/>
              <w:tr2bl w:val="nil"/>
            </w:tcBorders>
            <w:shd w:val="clear" w:color="auto" w:fill="auto"/>
            <w:vAlign w:val="center"/>
          </w:tcPr>
          <w:p w14:paraId="01AA45E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自然扩散</w:t>
            </w:r>
          </w:p>
        </w:tc>
        <w:tc>
          <w:tcPr>
            <w:tcW w:w="1459" w:type="dxa"/>
            <w:tcBorders>
              <w:tl2br w:val="nil"/>
              <w:tr2bl w:val="nil"/>
            </w:tcBorders>
            <w:shd w:val="clear" w:color="auto" w:fill="auto"/>
            <w:vAlign w:val="center"/>
          </w:tcPr>
          <w:p w14:paraId="7EBE9C2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3CA452CA">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59kg/h</w:t>
            </w:r>
          </w:p>
        </w:tc>
        <w:tc>
          <w:tcPr>
            <w:tcW w:w="3130" w:type="dxa"/>
            <w:vMerge w:val="restart"/>
            <w:tcBorders>
              <w:tl2br w:val="nil"/>
              <w:tr2bl w:val="nil"/>
            </w:tcBorders>
            <w:shd w:val="clear" w:color="auto" w:fill="auto"/>
            <w:vAlign w:val="center"/>
          </w:tcPr>
          <w:p w14:paraId="7B12D3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《大气污染物综合排放标准》（GB16297-1996）中的表2无组织排放监控浓度限值</w:t>
            </w:r>
          </w:p>
        </w:tc>
      </w:tr>
      <w:tr w14:paraId="62F3234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7DAC851C">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289E3830">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41BC70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NOx</w:t>
            </w:r>
          </w:p>
        </w:tc>
        <w:tc>
          <w:tcPr>
            <w:tcW w:w="1459" w:type="dxa"/>
            <w:vMerge w:val="continue"/>
            <w:tcBorders>
              <w:tl2br w:val="nil"/>
              <w:tr2bl w:val="nil"/>
            </w:tcBorders>
            <w:shd w:val="clear" w:color="auto" w:fill="auto"/>
            <w:vAlign w:val="center"/>
          </w:tcPr>
          <w:p w14:paraId="16172C74">
            <w:pPr>
              <w:pStyle w:val="46"/>
              <w:bidi w:val="0"/>
              <w:rPr>
                <w:rFonts w:hint="default" w:ascii="Times New Roman" w:hAnsi="Times New Roman" w:cs="Times New Roman"/>
                <w:color w:val="auto"/>
                <w:highlight w:val="none"/>
              </w:rPr>
            </w:pPr>
          </w:p>
        </w:tc>
        <w:tc>
          <w:tcPr>
            <w:tcW w:w="1459" w:type="dxa"/>
            <w:tcBorders>
              <w:tl2br w:val="nil"/>
              <w:tr2bl w:val="nil"/>
            </w:tcBorders>
            <w:shd w:val="clear" w:color="auto" w:fill="auto"/>
            <w:vAlign w:val="center"/>
          </w:tcPr>
          <w:p w14:paraId="52D4F4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20F6C40B">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84kg/h</w:t>
            </w:r>
          </w:p>
        </w:tc>
        <w:tc>
          <w:tcPr>
            <w:tcW w:w="3130" w:type="dxa"/>
            <w:vMerge w:val="continue"/>
            <w:tcBorders>
              <w:tl2br w:val="nil"/>
              <w:tr2bl w:val="nil"/>
            </w:tcBorders>
            <w:shd w:val="clear" w:color="auto" w:fill="auto"/>
            <w:vAlign w:val="center"/>
          </w:tcPr>
          <w:p w14:paraId="71494DA7">
            <w:pPr>
              <w:pStyle w:val="46"/>
              <w:bidi w:val="0"/>
              <w:rPr>
                <w:rFonts w:hint="default" w:ascii="Times New Roman" w:hAnsi="Times New Roman" w:cs="Times New Roman"/>
                <w:color w:val="auto"/>
                <w:highlight w:val="none"/>
              </w:rPr>
            </w:pPr>
          </w:p>
        </w:tc>
      </w:tr>
      <w:tr w14:paraId="2DEBABC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70B609E">
            <w:pPr>
              <w:pStyle w:val="46"/>
              <w:bidi w:val="0"/>
              <w:rPr>
                <w:rFonts w:hint="default" w:ascii="Times New Roman" w:hAnsi="Times New Roman" w:cs="Times New Roman"/>
                <w:color w:val="auto"/>
                <w:highlight w:val="none"/>
              </w:rPr>
            </w:pPr>
          </w:p>
        </w:tc>
        <w:tc>
          <w:tcPr>
            <w:tcW w:w="1508" w:type="dxa"/>
            <w:vMerge w:val="continue"/>
            <w:tcBorders>
              <w:tl2br w:val="nil"/>
              <w:tr2bl w:val="nil"/>
            </w:tcBorders>
            <w:shd w:val="clear" w:color="auto" w:fill="auto"/>
            <w:vAlign w:val="center"/>
          </w:tcPr>
          <w:p w14:paraId="2470490F">
            <w:pPr>
              <w:pStyle w:val="46"/>
              <w:bidi w:val="0"/>
              <w:rPr>
                <w:rFonts w:hint="default" w:ascii="Times New Roman" w:hAnsi="Times New Roman" w:cs="Times New Roman"/>
                <w:color w:val="auto"/>
                <w:highlight w:val="none"/>
              </w:rPr>
            </w:pPr>
          </w:p>
        </w:tc>
        <w:tc>
          <w:tcPr>
            <w:tcW w:w="2101" w:type="dxa"/>
            <w:tcBorders>
              <w:tl2br w:val="nil"/>
              <w:tr2bl w:val="nil"/>
            </w:tcBorders>
            <w:shd w:val="clear" w:color="auto" w:fill="auto"/>
            <w:vAlign w:val="center"/>
          </w:tcPr>
          <w:p w14:paraId="7327329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HC</w:t>
            </w:r>
          </w:p>
        </w:tc>
        <w:tc>
          <w:tcPr>
            <w:tcW w:w="1459" w:type="dxa"/>
            <w:vMerge w:val="continue"/>
            <w:tcBorders>
              <w:tl2br w:val="nil"/>
              <w:tr2bl w:val="nil"/>
            </w:tcBorders>
            <w:shd w:val="clear" w:color="auto" w:fill="auto"/>
            <w:vAlign w:val="center"/>
          </w:tcPr>
          <w:p w14:paraId="5680D3CE">
            <w:pPr>
              <w:pStyle w:val="46"/>
              <w:bidi w:val="0"/>
              <w:rPr>
                <w:rFonts w:hint="default" w:ascii="Times New Roman" w:hAnsi="Times New Roman" w:cs="Times New Roman"/>
                <w:color w:val="auto"/>
                <w:highlight w:val="none"/>
              </w:rPr>
            </w:pPr>
          </w:p>
        </w:tc>
        <w:tc>
          <w:tcPr>
            <w:tcW w:w="1459" w:type="dxa"/>
            <w:tcBorders>
              <w:tl2br w:val="nil"/>
              <w:tr2bl w:val="nil"/>
            </w:tcBorders>
            <w:shd w:val="clear" w:color="auto" w:fill="auto"/>
            <w:vAlign w:val="center"/>
          </w:tcPr>
          <w:p w14:paraId="249981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179BB345">
            <w:pPr>
              <w:pStyle w:val="46"/>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0.00</w:t>
            </w:r>
            <w:r>
              <w:rPr>
                <w:rFonts w:hint="default" w:ascii="Times New Roman" w:hAnsi="Times New Roman" w:cs="Times New Roman"/>
                <w:color w:val="auto"/>
                <w:highlight w:val="none"/>
                <w:lang w:val="en-US" w:eastAsia="zh-CN"/>
              </w:rPr>
              <w:t>019kg/h</w:t>
            </w:r>
          </w:p>
        </w:tc>
        <w:tc>
          <w:tcPr>
            <w:tcW w:w="3130" w:type="dxa"/>
            <w:vMerge w:val="continue"/>
            <w:tcBorders>
              <w:tl2br w:val="nil"/>
              <w:tr2bl w:val="nil"/>
            </w:tcBorders>
            <w:shd w:val="clear" w:color="auto" w:fill="auto"/>
            <w:vAlign w:val="center"/>
          </w:tcPr>
          <w:p w14:paraId="2D6A4728">
            <w:pPr>
              <w:pStyle w:val="46"/>
              <w:bidi w:val="0"/>
              <w:rPr>
                <w:rFonts w:hint="default" w:ascii="Times New Roman" w:hAnsi="Times New Roman" w:cs="Times New Roman"/>
                <w:color w:val="auto"/>
                <w:highlight w:val="none"/>
              </w:rPr>
            </w:pPr>
          </w:p>
        </w:tc>
      </w:tr>
      <w:tr w14:paraId="425C4A83">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1E5C19DE">
            <w:pPr>
              <w:pStyle w:val="46"/>
              <w:bidi w:val="0"/>
              <w:rPr>
                <w:rFonts w:hint="default" w:ascii="Times New Roman" w:hAnsi="Times New Roman" w:cs="Times New Roman"/>
                <w:color w:val="auto"/>
                <w:highlight w:val="none"/>
              </w:rPr>
            </w:pPr>
          </w:p>
        </w:tc>
        <w:tc>
          <w:tcPr>
            <w:tcW w:w="1508" w:type="dxa"/>
            <w:tcBorders>
              <w:tl2br w:val="nil"/>
              <w:tr2bl w:val="nil"/>
            </w:tcBorders>
            <w:shd w:val="clear" w:color="auto" w:fill="auto"/>
            <w:vAlign w:val="center"/>
          </w:tcPr>
          <w:p w14:paraId="1EAA29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装卸、运输、堆积</w:t>
            </w:r>
          </w:p>
        </w:tc>
        <w:tc>
          <w:tcPr>
            <w:tcW w:w="2101" w:type="dxa"/>
            <w:tcBorders>
              <w:tl2br w:val="nil"/>
              <w:tr2bl w:val="nil"/>
            </w:tcBorders>
            <w:shd w:val="clear" w:color="auto" w:fill="auto"/>
            <w:vAlign w:val="center"/>
          </w:tcPr>
          <w:p w14:paraId="29F990C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TSP</w:t>
            </w:r>
          </w:p>
        </w:tc>
        <w:tc>
          <w:tcPr>
            <w:tcW w:w="1459" w:type="dxa"/>
            <w:tcBorders>
              <w:tl2br w:val="nil"/>
              <w:tr2bl w:val="nil"/>
            </w:tcBorders>
            <w:shd w:val="clear" w:color="auto" w:fill="auto"/>
            <w:vAlign w:val="center"/>
          </w:tcPr>
          <w:p w14:paraId="186C31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洒水抑尘、及时苫盖、分区作业</w:t>
            </w:r>
          </w:p>
        </w:tc>
        <w:tc>
          <w:tcPr>
            <w:tcW w:w="1459" w:type="dxa"/>
            <w:tcBorders>
              <w:tl2br w:val="nil"/>
              <w:tr2bl w:val="nil"/>
            </w:tcBorders>
            <w:shd w:val="clear" w:color="auto" w:fill="auto"/>
            <w:vAlign w:val="center"/>
          </w:tcPr>
          <w:p w14:paraId="28587AB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434368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0.0039kg/h</w:t>
            </w:r>
          </w:p>
        </w:tc>
        <w:tc>
          <w:tcPr>
            <w:tcW w:w="3130" w:type="dxa"/>
            <w:tcBorders>
              <w:tl2br w:val="nil"/>
              <w:tr2bl w:val="nil"/>
            </w:tcBorders>
            <w:shd w:val="clear" w:color="auto" w:fill="auto"/>
            <w:vAlign w:val="center"/>
          </w:tcPr>
          <w:p w14:paraId="4FE5EE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《大气污染物综合排放标准》（GB16297-1996）中的表2无组织排放监控浓度限值</w:t>
            </w:r>
          </w:p>
        </w:tc>
      </w:tr>
      <w:tr w14:paraId="77C6CA4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50FE4E6A">
            <w:pPr>
              <w:pStyle w:val="46"/>
              <w:bidi w:val="0"/>
              <w:rPr>
                <w:rFonts w:hint="default" w:ascii="Times New Roman" w:hAnsi="Times New Roman" w:cs="Times New Roman"/>
                <w:color w:val="auto"/>
                <w:highlight w:val="none"/>
              </w:rPr>
            </w:pPr>
          </w:p>
        </w:tc>
        <w:tc>
          <w:tcPr>
            <w:tcW w:w="1508" w:type="dxa"/>
            <w:tcBorders>
              <w:tl2br w:val="nil"/>
              <w:tr2bl w:val="nil"/>
            </w:tcBorders>
            <w:shd w:val="clear" w:color="auto" w:fill="auto"/>
            <w:vAlign w:val="center"/>
          </w:tcPr>
          <w:p w14:paraId="02BD70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进场运输道路</w:t>
            </w:r>
          </w:p>
        </w:tc>
        <w:tc>
          <w:tcPr>
            <w:tcW w:w="2101" w:type="dxa"/>
            <w:tcBorders>
              <w:tl2br w:val="nil"/>
              <w:tr2bl w:val="nil"/>
            </w:tcBorders>
            <w:shd w:val="clear" w:color="auto" w:fill="auto"/>
            <w:vAlign w:val="center"/>
          </w:tcPr>
          <w:p w14:paraId="432966A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TSP</w:t>
            </w:r>
          </w:p>
        </w:tc>
        <w:tc>
          <w:tcPr>
            <w:tcW w:w="1459" w:type="dxa"/>
            <w:tcBorders>
              <w:tl2br w:val="nil"/>
              <w:tr2bl w:val="nil"/>
            </w:tcBorders>
            <w:shd w:val="clear" w:color="auto" w:fill="auto"/>
            <w:vAlign w:val="center"/>
          </w:tcPr>
          <w:p w14:paraId="4C27B0B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密闭运输、减速慢行，洒水抑尘</w:t>
            </w:r>
          </w:p>
        </w:tc>
        <w:tc>
          <w:tcPr>
            <w:tcW w:w="1459" w:type="dxa"/>
            <w:tcBorders>
              <w:tl2br w:val="nil"/>
              <w:tr2bl w:val="nil"/>
            </w:tcBorders>
            <w:shd w:val="clear" w:color="auto" w:fill="auto"/>
            <w:vAlign w:val="center"/>
          </w:tcPr>
          <w:p w14:paraId="50B7F8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3107DA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0.488kg/h</w:t>
            </w:r>
          </w:p>
        </w:tc>
        <w:tc>
          <w:tcPr>
            <w:tcW w:w="3130" w:type="dxa"/>
            <w:tcBorders>
              <w:tl2br w:val="nil"/>
              <w:tr2bl w:val="nil"/>
            </w:tcBorders>
            <w:shd w:val="clear" w:color="auto" w:fill="auto"/>
            <w:vAlign w:val="center"/>
          </w:tcPr>
          <w:p w14:paraId="215413F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《大气污染物综合排放标准》（GB16297-1996）中的表2无组织排放监控浓度限值</w:t>
            </w:r>
          </w:p>
        </w:tc>
      </w:tr>
      <w:tr w14:paraId="2A60883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tcBorders>
              <w:tl2br w:val="nil"/>
              <w:tr2bl w:val="nil"/>
            </w:tcBorders>
            <w:shd w:val="clear" w:color="auto" w:fill="auto"/>
            <w:vAlign w:val="center"/>
          </w:tcPr>
          <w:p w14:paraId="4901D5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声环境</w:t>
            </w:r>
          </w:p>
        </w:tc>
        <w:tc>
          <w:tcPr>
            <w:tcW w:w="3609" w:type="dxa"/>
            <w:gridSpan w:val="2"/>
            <w:tcBorders>
              <w:tl2br w:val="nil"/>
              <w:tr2bl w:val="nil"/>
            </w:tcBorders>
            <w:shd w:val="clear" w:color="auto" w:fill="auto"/>
            <w:vAlign w:val="center"/>
          </w:tcPr>
          <w:p w14:paraId="49F325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厂界噪声</w:t>
            </w:r>
          </w:p>
        </w:tc>
        <w:tc>
          <w:tcPr>
            <w:tcW w:w="1459" w:type="dxa"/>
            <w:tcBorders>
              <w:tl2br w:val="nil"/>
              <w:tr2bl w:val="nil"/>
            </w:tcBorders>
            <w:shd w:val="clear" w:color="auto" w:fill="auto"/>
            <w:vAlign w:val="center"/>
          </w:tcPr>
          <w:p w14:paraId="175ABD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低噪声设备、加强管理</w:t>
            </w:r>
          </w:p>
        </w:tc>
        <w:tc>
          <w:tcPr>
            <w:tcW w:w="1459" w:type="dxa"/>
            <w:tcBorders>
              <w:tl2br w:val="nil"/>
              <w:tr2bl w:val="nil"/>
            </w:tcBorders>
            <w:shd w:val="clear" w:color="auto" w:fill="auto"/>
            <w:vAlign w:val="center"/>
          </w:tcPr>
          <w:p w14:paraId="67F43C5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7548AC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130" w:type="dxa"/>
            <w:tcBorders>
              <w:tl2br w:val="nil"/>
              <w:tr2bl w:val="nil"/>
            </w:tcBorders>
            <w:shd w:val="clear" w:color="auto" w:fill="auto"/>
            <w:vAlign w:val="center"/>
          </w:tcPr>
          <w:p w14:paraId="21083C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厂界满足《工业企业厂界环境噪声排放标准》表1中的1类标准</w:t>
            </w:r>
          </w:p>
        </w:tc>
      </w:tr>
      <w:tr w14:paraId="5AB9697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568" w:hRule="atLeast"/>
        </w:trPr>
        <w:tc>
          <w:tcPr>
            <w:tcW w:w="1459" w:type="dxa"/>
            <w:tcBorders>
              <w:tl2br w:val="nil"/>
              <w:tr2bl w:val="nil"/>
            </w:tcBorders>
            <w:shd w:val="clear" w:color="auto" w:fill="auto"/>
            <w:vAlign w:val="center"/>
          </w:tcPr>
          <w:p w14:paraId="2C8DC3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固体废物</w:t>
            </w:r>
          </w:p>
        </w:tc>
        <w:tc>
          <w:tcPr>
            <w:tcW w:w="1508" w:type="dxa"/>
            <w:tcBorders>
              <w:tl2br w:val="nil"/>
              <w:tr2bl w:val="nil"/>
            </w:tcBorders>
            <w:shd w:val="clear" w:color="auto" w:fill="auto"/>
            <w:vAlign w:val="center"/>
          </w:tcPr>
          <w:p w14:paraId="09C6ED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沉渣</w:t>
            </w:r>
          </w:p>
        </w:tc>
        <w:tc>
          <w:tcPr>
            <w:tcW w:w="2101" w:type="dxa"/>
            <w:tcBorders>
              <w:tl2br w:val="nil"/>
              <w:tr2bl w:val="nil"/>
            </w:tcBorders>
            <w:shd w:val="clear" w:color="auto" w:fill="auto"/>
            <w:vAlign w:val="center"/>
          </w:tcPr>
          <w:p w14:paraId="289353D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沉渣</w:t>
            </w:r>
          </w:p>
        </w:tc>
        <w:tc>
          <w:tcPr>
            <w:tcW w:w="1459" w:type="dxa"/>
            <w:tcBorders>
              <w:tl2br w:val="nil"/>
              <w:tr2bl w:val="nil"/>
            </w:tcBorders>
            <w:shd w:val="clear" w:color="auto" w:fill="auto"/>
            <w:vAlign w:val="center"/>
          </w:tcPr>
          <w:p w14:paraId="6BA231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后期直接回填</w:t>
            </w:r>
          </w:p>
        </w:tc>
        <w:tc>
          <w:tcPr>
            <w:tcW w:w="1459" w:type="dxa"/>
            <w:tcBorders>
              <w:tl2br w:val="nil"/>
              <w:tr2bl w:val="nil"/>
            </w:tcBorders>
            <w:shd w:val="clear" w:color="auto" w:fill="auto"/>
            <w:vAlign w:val="center"/>
          </w:tcPr>
          <w:p w14:paraId="03E5CFA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2822" w:type="dxa"/>
            <w:tcBorders>
              <w:tl2br w:val="nil"/>
              <w:tr2bl w:val="nil"/>
            </w:tcBorders>
            <w:shd w:val="clear" w:color="auto" w:fill="auto"/>
            <w:vAlign w:val="center"/>
          </w:tcPr>
          <w:p w14:paraId="037203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130" w:type="dxa"/>
            <w:tcBorders>
              <w:tl2br w:val="nil"/>
              <w:tr2bl w:val="nil"/>
            </w:tcBorders>
            <w:shd w:val="clear" w:color="auto" w:fill="auto"/>
            <w:vAlign w:val="center"/>
          </w:tcPr>
          <w:p w14:paraId="359937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固废处置率100%</w:t>
            </w:r>
          </w:p>
        </w:tc>
      </w:tr>
    </w:tbl>
    <w:p w14:paraId="645175E5">
      <w:pPr>
        <w:pStyle w:val="27"/>
        <w:tabs>
          <w:tab w:val="left" w:pos="2084"/>
        </w:tabs>
        <w:ind w:firstLine="480"/>
        <w:rPr>
          <w:rFonts w:hint="default" w:ascii="Times New Roman" w:hAnsi="Times New Roman" w:eastAsia="宋体" w:cs="Times New Roman"/>
          <w:color w:val="auto"/>
          <w:highlight w:val="none"/>
          <w:lang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E0E55A9">
      <w:pPr>
        <w:pStyle w:val="43"/>
        <w:bidi w:val="0"/>
        <w:rPr>
          <w:rFonts w:hint="default" w:ascii="Times New Roman" w:hAnsi="Times New Roman" w:cs="Times New Roman"/>
          <w:color w:val="auto"/>
          <w:highlight w:val="none"/>
        </w:rPr>
      </w:pPr>
      <w:bookmarkStart w:id="370" w:name="_Toc119316822"/>
      <w:bookmarkStart w:id="371" w:name="_Toc8370"/>
      <w:bookmarkStart w:id="372" w:name="_Toc16531"/>
      <w:bookmarkStart w:id="373" w:name="_Toc152926840"/>
      <w:r>
        <w:rPr>
          <w:rFonts w:hint="default" w:ascii="Times New Roman" w:hAnsi="Times New Roman" w:cs="Times New Roman"/>
          <w:color w:val="auto"/>
          <w:highlight w:val="none"/>
        </w:rPr>
        <w:t>8.2生态恢复期环境监测</w:t>
      </w:r>
      <w:bookmarkEnd w:id="360"/>
      <w:bookmarkEnd w:id="361"/>
      <w:bookmarkEnd w:id="370"/>
      <w:r>
        <w:rPr>
          <w:rFonts w:hint="default" w:ascii="Times New Roman" w:hAnsi="Times New Roman" w:cs="Times New Roman"/>
          <w:color w:val="auto"/>
          <w:highlight w:val="none"/>
        </w:rPr>
        <w:t>计划</w:t>
      </w:r>
      <w:bookmarkEnd w:id="371"/>
      <w:bookmarkEnd w:id="372"/>
      <w:bookmarkEnd w:id="373"/>
    </w:p>
    <w:p w14:paraId="36C5C607">
      <w:pPr>
        <w:pStyle w:val="43"/>
        <w:bidi w:val="0"/>
        <w:rPr>
          <w:rFonts w:hint="default" w:ascii="Times New Roman" w:hAnsi="Times New Roman" w:cs="Times New Roman"/>
          <w:color w:val="auto"/>
          <w:highlight w:val="none"/>
        </w:rPr>
      </w:pPr>
      <w:bookmarkStart w:id="374" w:name="_Toc18861"/>
      <w:bookmarkStart w:id="375" w:name="_Toc8612"/>
      <w:r>
        <w:rPr>
          <w:rFonts w:hint="default" w:ascii="Times New Roman" w:hAnsi="Times New Roman" w:cs="Times New Roman"/>
          <w:color w:val="auto"/>
          <w:highlight w:val="none"/>
        </w:rPr>
        <w:t>8.2.1环境监测机构设置及职责</w:t>
      </w:r>
      <w:bookmarkEnd w:id="374"/>
      <w:bookmarkEnd w:id="375"/>
    </w:p>
    <w:p w14:paraId="1D62624C">
      <w:pPr>
        <w:pStyle w:val="27"/>
        <w:bidi w:val="0"/>
        <w:rPr>
          <w:rFonts w:hint="default" w:ascii="Times New Roman" w:hAnsi="Times New Roman" w:cs="Times New Roman"/>
          <w:color w:val="auto"/>
          <w:highlight w:val="none"/>
        </w:rPr>
      </w:pPr>
      <w:bookmarkStart w:id="376" w:name="_Toc11758577"/>
      <w:r>
        <w:rPr>
          <w:rFonts w:hint="default" w:ascii="Times New Roman" w:hAnsi="Times New Roman" w:cs="Times New Roman"/>
          <w:color w:val="auto"/>
          <w:highlight w:val="none"/>
        </w:rPr>
        <w:t>（1）依据国家颁发的环境质量标准、污染物排放标准及地方环保主管部门的要求，制定全厂的监测计划和工作方案。</w:t>
      </w:r>
    </w:p>
    <w:p w14:paraId="21DA40A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（2）根据监测计划预定的监测任务，安排全厂主要排污点的监测任务，及时整理数据，建立污染源监测档案，并将监测结果和环境考核指标及时上报各级主管部门。</w:t>
      </w:r>
    </w:p>
    <w:p w14:paraId="75D715F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（3）通过对监测结果的综合分析，摸清污染源排放情况，防止污染事故的发生，如果出现异常情况及时反馈到有关部门，以便采取应急措施。</w:t>
      </w:r>
    </w:p>
    <w:p w14:paraId="1935A7BC">
      <w:pPr>
        <w:pStyle w:val="41"/>
        <w:bidi w:val="0"/>
        <w:rPr>
          <w:rFonts w:hint="default" w:ascii="Times New Roman" w:hAnsi="Times New Roman" w:cs="Times New Roman"/>
          <w:color w:val="auto"/>
          <w:highlight w:val="none"/>
        </w:rPr>
      </w:pPr>
      <w:bookmarkStart w:id="377" w:name="_Toc1499"/>
      <w:r>
        <w:rPr>
          <w:rFonts w:hint="default" w:ascii="Times New Roman" w:hAnsi="Times New Roman" w:cs="Times New Roman"/>
          <w:color w:val="auto"/>
          <w:highlight w:val="none"/>
        </w:rPr>
        <w:t>8.2.2监测计划</w:t>
      </w:r>
      <w:bookmarkEnd w:id="377"/>
    </w:p>
    <w:p w14:paraId="5D1F382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项目建成投产后，建设单位应根据《排污单位自行监测技术指南 总则》（HJ819-2017）制定自行环境监测计划，满足《一般工业固体废物贮存和填埋污染控制标准》（GB18599-2020）中相关监测要求。</w:t>
      </w:r>
    </w:p>
    <w:p w14:paraId="47FA3BE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公司可委托检测机构定期对项目污染源及场界环境状况进行例行监测，保证环境保护工作的顺利进行。</w:t>
      </w:r>
    </w:p>
    <w:p w14:paraId="5DBF434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根据该项目生产特点和主要污染源及污染物排放情况，提出如下监测要求：</w:t>
      </w:r>
    </w:p>
    <w:p w14:paraId="7C1C783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（1）委托环境监测部门定期对产生的废气、废水、项目区地下水进行监测；</w:t>
      </w:r>
    </w:p>
    <w:p w14:paraId="78150DE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（2）定期向环境管理部门上报监测结果；</w:t>
      </w:r>
    </w:p>
    <w:p w14:paraId="5810707E">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（3）监测中发现超标排放或其他异常情况，及时报告企业环保管理部门查找原因、解决处理，遇有特殊情况时应随时监测。</w:t>
      </w:r>
    </w:p>
    <w:p w14:paraId="47239FB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按照《一般工业固体废物贮存和填埋污染控制标准》（GB18599-2020）、《排污单位自行监测技术指南 总则》（HJ819-2017）相关要求，监测点位、监测项目和监测频率见下表。</w:t>
      </w:r>
    </w:p>
    <w:p w14:paraId="5E49309D">
      <w:pPr>
        <w:pStyle w:val="29"/>
        <w:bidi w:val="0"/>
        <w:ind w:left="0" w:leftChars="0"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表8-2-1环境监测计划一览表</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136"/>
        <w:gridCol w:w="901"/>
        <w:gridCol w:w="831"/>
        <w:gridCol w:w="1740"/>
        <w:gridCol w:w="920"/>
        <w:gridCol w:w="2125"/>
      </w:tblGrid>
      <w:tr w14:paraId="6F774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13" w:type="pct"/>
            <w:tcBorders>
              <w:tl2br w:val="nil"/>
              <w:tr2bl w:val="nil"/>
            </w:tcBorders>
            <w:vAlign w:val="center"/>
          </w:tcPr>
          <w:p w14:paraId="206D338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监测时段</w:t>
            </w:r>
          </w:p>
        </w:tc>
        <w:tc>
          <w:tcPr>
            <w:tcW w:w="1194" w:type="pct"/>
            <w:gridSpan w:val="2"/>
            <w:tcBorders>
              <w:tl2br w:val="nil"/>
              <w:tr2bl w:val="nil"/>
            </w:tcBorders>
            <w:vAlign w:val="center"/>
          </w:tcPr>
          <w:p w14:paraId="0EEBC35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监测方案</w:t>
            </w:r>
          </w:p>
          <w:p w14:paraId="1618408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监测内容</w:t>
            </w:r>
          </w:p>
        </w:tc>
        <w:tc>
          <w:tcPr>
            <w:tcW w:w="487" w:type="pct"/>
            <w:tcBorders>
              <w:tl2br w:val="nil"/>
              <w:tr2bl w:val="nil"/>
            </w:tcBorders>
            <w:vAlign w:val="center"/>
          </w:tcPr>
          <w:p w14:paraId="498ED04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监测点位</w:t>
            </w:r>
          </w:p>
        </w:tc>
        <w:tc>
          <w:tcPr>
            <w:tcW w:w="1020" w:type="pct"/>
            <w:tcBorders>
              <w:tl2br w:val="nil"/>
              <w:tr2bl w:val="nil"/>
            </w:tcBorders>
            <w:vAlign w:val="center"/>
          </w:tcPr>
          <w:p w14:paraId="1B0A50E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监测指标</w:t>
            </w:r>
          </w:p>
        </w:tc>
        <w:tc>
          <w:tcPr>
            <w:tcW w:w="539" w:type="pct"/>
            <w:tcBorders>
              <w:tl2br w:val="nil"/>
              <w:tr2bl w:val="nil"/>
            </w:tcBorders>
            <w:vAlign w:val="center"/>
          </w:tcPr>
          <w:p w14:paraId="694B2C7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监测频率</w:t>
            </w:r>
          </w:p>
        </w:tc>
        <w:tc>
          <w:tcPr>
            <w:tcW w:w="1245" w:type="pct"/>
            <w:tcBorders>
              <w:tl2br w:val="nil"/>
              <w:tr2bl w:val="nil"/>
            </w:tcBorders>
            <w:vAlign w:val="center"/>
          </w:tcPr>
          <w:p w14:paraId="2D73591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监测要求</w:t>
            </w:r>
          </w:p>
        </w:tc>
      </w:tr>
      <w:tr w14:paraId="1AE55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restart"/>
            <w:tcBorders>
              <w:tl2br w:val="nil"/>
              <w:tr2bl w:val="nil"/>
            </w:tcBorders>
            <w:vAlign w:val="center"/>
          </w:tcPr>
          <w:p w14:paraId="7CE5E860">
            <w:pPr>
              <w:pStyle w:val="46"/>
              <w:bidi w:val="0"/>
              <w:jc w:val="both"/>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lang w:val="zh-CN"/>
              </w:rPr>
              <w:t>期</w:t>
            </w:r>
          </w:p>
        </w:tc>
        <w:tc>
          <w:tcPr>
            <w:tcW w:w="666" w:type="pct"/>
            <w:vMerge w:val="restart"/>
            <w:tcBorders>
              <w:tl2br w:val="nil"/>
              <w:tr2bl w:val="nil"/>
            </w:tcBorders>
            <w:vAlign w:val="center"/>
          </w:tcPr>
          <w:p w14:paraId="0D84A2F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污染物排放监测</w:t>
            </w:r>
          </w:p>
        </w:tc>
        <w:tc>
          <w:tcPr>
            <w:tcW w:w="528" w:type="pct"/>
            <w:tcBorders>
              <w:tl2br w:val="nil"/>
              <w:tr2bl w:val="nil"/>
            </w:tcBorders>
            <w:vAlign w:val="center"/>
          </w:tcPr>
          <w:p w14:paraId="3A52C72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w:t>
            </w:r>
          </w:p>
        </w:tc>
        <w:tc>
          <w:tcPr>
            <w:tcW w:w="487" w:type="pct"/>
            <w:tcBorders>
              <w:tl2br w:val="nil"/>
              <w:tr2bl w:val="nil"/>
            </w:tcBorders>
            <w:vAlign w:val="center"/>
          </w:tcPr>
          <w:p w14:paraId="5FB0755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w:t>
            </w:r>
          </w:p>
        </w:tc>
        <w:tc>
          <w:tcPr>
            <w:tcW w:w="1020" w:type="pct"/>
            <w:tcBorders>
              <w:tl2br w:val="nil"/>
              <w:tr2bl w:val="nil"/>
            </w:tcBorders>
            <w:vAlign w:val="center"/>
          </w:tcPr>
          <w:p w14:paraId="694A3EF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颗粒物</w:t>
            </w:r>
          </w:p>
        </w:tc>
        <w:tc>
          <w:tcPr>
            <w:tcW w:w="539" w:type="pct"/>
            <w:tcBorders>
              <w:tl2br w:val="nil"/>
              <w:tr2bl w:val="nil"/>
            </w:tcBorders>
            <w:vAlign w:val="center"/>
          </w:tcPr>
          <w:p w14:paraId="24EE0ED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每季度一次</w:t>
            </w:r>
          </w:p>
        </w:tc>
        <w:tc>
          <w:tcPr>
            <w:tcW w:w="1245" w:type="pct"/>
            <w:tcBorders>
              <w:tl2br w:val="nil"/>
              <w:tr2bl w:val="nil"/>
            </w:tcBorders>
            <w:vAlign w:val="center"/>
          </w:tcPr>
          <w:p w14:paraId="25DC718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满足《大气污染物综合排放标准》（GB16297-1996）表2中无组织排放监控浓度限值（周界外浓度最高点≤1.0mg/m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w:t>
            </w:r>
          </w:p>
        </w:tc>
      </w:tr>
      <w:tr w14:paraId="17DF1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5C0861FA">
            <w:pPr>
              <w:pStyle w:val="46"/>
              <w:bidi w:val="0"/>
              <w:jc w:val="center"/>
              <w:rPr>
                <w:rFonts w:hint="default" w:ascii="Times New Roman" w:hAnsi="Times New Roman" w:cs="Times New Roman"/>
                <w:color w:val="auto"/>
                <w:highlight w:val="none"/>
                <w:lang w:val="zh-CN"/>
              </w:rPr>
            </w:pPr>
          </w:p>
        </w:tc>
        <w:tc>
          <w:tcPr>
            <w:tcW w:w="666" w:type="pct"/>
            <w:vMerge w:val="continue"/>
            <w:tcBorders>
              <w:tl2br w:val="nil"/>
              <w:tr2bl w:val="nil"/>
            </w:tcBorders>
            <w:vAlign w:val="center"/>
          </w:tcPr>
          <w:p w14:paraId="7062675D">
            <w:pPr>
              <w:pStyle w:val="46"/>
              <w:bidi w:val="0"/>
              <w:jc w:val="center"/>
              <w:rPr>
                <w:rFonts w:hint="default" w:ascii="Times New Roman" w:hAnsi="Times New Roman" w:cs="Times New Roman"/>
                <w:color w:val="auto"/>
                <w:highlight w:val="none"/>
                <w:lang w:val="zh-CN"/>
              </w:rPr>
            </w:pPr>
          </w:p>
        </w:tc>
        <w:tc>
          <w:tcPr>
            <w:tcW w:w="528" w:type="pct"/>
            <w:tcBorders>
              <w:tl2br w:val="nil"/>
              <w:tr2bl w:val="nil"/>
            </w:tcBorders>
            <w:vAlign w:val="center"/>
          </w:tcPr>
          <w:p w14:paraId="5B00FFC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噪声</w:t>
            </w:r>
          </w:p>
        </w:tc>
        <w:tc>
          <w:tcPr>
            <w:tcW w:w="487" w:type="pct"/>
            <w:tcBorders>
              <w:tl2br w:val="nil"/>
              <w:tr2bl w:val="nil"/>
            </w:tcBorders>
            <w:vAlign w:val="center"/>
          </w:tcPr>
          <w:p w14:paraId="2112108C">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w:t>
            </w:r>
          </w:p>
        </w:tc>
        <w:tc>
          <w:tcPr>
            <w:tcW w:w="1020" w:type="pct"/>
            <w:tcBorders>
              <w:tl2br w:val="nil"/>
              <w:tr2bl w:val="nil"/>
            </w:tcBorders>
            <w:vAlign w:val="center"/>
          </w:tcPr>
          <w:p w14:paraId="36EACD5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等效连续A声级</w:t>
            </w:r>
          </w:p>
        </w:tc>
        <w:tc>
          <w:tcPr>
            <w:tcW w:w="539" w:type="pct"/>
            <w:tcBorders>
              <w:tl2br w:val="nil"/>
              <w:tr2bl w:val="nil"/>
            </w:tcBorders>
            <w:vAlign w:val="center"/>
          </w:tcPr>
          <w:p w14:paraId="373D3CD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每季度一次</w:t>
            </w:r>
          </w:p>
        </w:tc>
        <w:tc>
          <w:tcPr>
            <w:tcW w:w="1245" w:type="pct"/>
            <w:tcBorders>
              <w:tl2br w:val="nil"/>
              <w:tr2bl w:val="nil"/>
            </w:tcBorders>
            <w:vAlign w:val="center"/>
          </w:tcPr>
          <w:p w14:paraId="1AC5F2A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《工业企业厂界环境噪声排放标准》（GB12348-2008）中1类标准</w:t>
            </w:r>
          </w:p>
        </w:tc>
      </w:tr>
      <w:tr w14:paraId="77487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0031F820">
            <w:pPr>
              <w:pStyle w:val="46"/>
              <w:bidi w:val="0"/>
              <w:jc w:val="center"/>
              <w:rPr>
                <w:rFonts w:hint="default" w:ascii="Times New Roman" w:hAnsi="Times New Roman" w:cs="Times New Roman"/>
                <w:color w:val="auto"/>
                <w:highlight w:val="none"/>
                <w:lang w:val="zh-CN"/>
              </w:rPr>
            </w:pPr>
          </w:p>
        </w:tc>
        <w:tc>
          <w:tcPr>
            <w:tcW w:w="666" w:type="pct"/>
            <w:vMerge w:val="restart"/>
            <w:tcBorders>
              <w:tl2br w:val="nil"/>
              <w:tr2bl w:val="nil"/>
            </w:tcBorders>
            <w:vAlign w:val="center"/>
          </w:tcPr>
          <w:p w14:paraId="43CE86E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环境质量影响监测</w:t>
            </w:r>
          </w:p>
        </w:tc>
        <w:tc>
          <w:tcPr>
            <w:tcW w:w="528" w:type="pct"/>
            <w:tcBorders>
              <w:tl2br w:val="nil"/>
              <w:tr2bl w:val="nil"/>
            </w:tcBorders>
            <w:vAlign w:val="center"/>
          </w:tcPr>
          <w:p w14:paraId="55AA210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地下水环境质量监测</w:t>
            </w:r>
          </w:p>
        </w:tc>
        <w:tc>
          <w:tcPr>
            <w:tcW w:w="487" w:type="pct"/>
            <w:tcBorders>
              <w:tl2br w:val="nil"/>
              <w:tr2bl w:val="nil"/>
            </w:tcBorders>
            <w:vAlign w:val="center"/>
          </w:tcPr>
          <w:p w14:paraId="767D4EE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口地下水监控井</w:t>
            </w:r>
          </w:p>
        </w:tc>
        <w:tc>
          <w:tcPr>
            <w:tcW w:w="1020" w:type="pct"/>
            <w:tcBorders>
              <w:tl2br w:val="nil"/>
              <w:tr2bl w:val="nil"/>
            </w:tcBorders>
            <w:vAlign w:val="center"/>
          </w:tcPr>
          <w:p w14:paraId="47307BA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浑浊度、pH、溶解性总固体、氯化物、硝酸盐（以N计）、亚硝酸盐（以N计）、COD、氨氮、镉、汞、砷、铅、铬、铜、镍、锌</w:t>
            </w:r>
          </w:p>
        </w:tc>
        <w:tc>
          <w:tcPr>
            <w:tcW w:w="539" w:type="pct"/>
            <w:tcBorders>
              <w:tl2br w:val="nil"/>
              <w:tr2bl w:val="nil"/>
            </w:tcBorders>
            <w:vAlign w:val="center"/>
          </w:tcPr>
          <w:p w14:paraId="2384724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每年1次，直到地下水水质连续2年不超出地下水本底水平</w:t>
            </w:r>
          </w:p>
        </w:tc>
        <w:tc>
          <w:tcPr>
            <w:tcW w:w="1245" w:type="pct"/>
            <w:tcBorders>
              <w:tl2br w:val="nil"/>
              <w:tr2bl w:val="nil"/>
            </w:tcBorders>
            <w:vAlign w:val="center"/>
          </w:tcPr>
          <w:p w14:paraId="09762AD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按照《地下水环境监测技术规范》（HJ/T164-2020）要求</w:t>
            </w:r>
          </w:p>
        </w:tc>
      </w:tr>
      <w:tr w14:paraId="7D00C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06202253">
            <w:pPr>
              <w:pStyle w:val="46"/>
              <w:bidi w:val="0"/>
              <w:jc w:val="center"/>
              <w:rPr>
                <w:rFonts w:hint="default" w:ascii="Times New Roman" w:hAnsi="Times New Roman" w:cs="Times New Roman"/>
                <w:color w:val="auto"/>
                <w:highlight w:val="none"/>
                <w:lang w:val="zh-CN"/>
              </w:rPr>
            </w:pPr>
          </w:p>
        </w:tc>
        <w:tc>
          <w:tcPr>
            <w:tcW w:w="666" w:type="pct"/>
            <w:vMerge w:val="continue"/>
            <w:tcBorders>
              <w:tl2br w:val="nil"/>
              <w:tr2bl w:val="nil"/>
            </w:tcBorders>
            <w:vAlign w:val="center"/>
          </w:tcPr>
          <w:p w14:paraId="1B5B7016">
            <w:pPr>
              <w:pStyle w:val="46"/>
              <w:bidi w:val="0"/>
              <w:jc w:val="center"/>
              <w:rPr>
                <w:rFonts w:hint="default" w:ascii="Times New Roman" w:hAnsi="Times New Roman" w:cs="Times New Roman"/>
                <w:color w:val="auto"/>
                <w:highlight w:val="none"/>
                <w:lang w:val="zh-CN"/>
              </w:rPr>
            </w:pPr>
          </w:p>
        </w:tc>
        <w:tc>
          <w:tcPr>
            <w:tcW w:w="528" w:type="pct"/>
            <w:tcBorders>
              <w:tl2br w:val="nil"/>
              <w:tr2bl w:val="nil"/>
            </w:tcBorders>
            <w:vAlign w:val="center"/>
          </w:tcPr>
          <w:p w14:paraId="7F20B75A">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土壤环境质量监测</w:t>
            </w:r>
          </w:p>
        </w:tc>
        <w:tc>
          <w:tcPr>
            <w:tcW w:w="487" w:type="pct"/>
            <w:tcBorders>
              <w:tl2br w:val="nil"/>
              <w:tr2bl w:val="nil"/>
            </w:tcBorders>
            <w:vAlign w:val="center"/>
          </w:tcPr>
          <w:p w14:paraId="21A3711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场区东侧</w:t>
            </w:r>
          </w:p>
        </w:tc>
        <w:tc>
          <w:tcPr>
            <w:tcW w:w="1020" w:type="pct"/>
            <w:tcBorders>
              <w:tl2br w:val="nil"/>
              <w:tr2bl w:val="nil"/>
            </w:tcBorders>
            <w:vAlign w:val="center"/>
          </w:tcPr>
          <w:p w14:paraId="6CCDCB7D">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pH、砷、镉、铬、铜、铅、汞、镍、锌</w:t>
            </w:r>
          </w:p>
        </w:tc>
        <w:tc>
          <w:tcPr>
            <w:tcW w:w="539" w:type="pct"/>
            <w:tcBorders>
              <w:tl2br w:val="nil"/>
              <w:tr2bl w:val="nil"/>
            </w:tcBorders>
            <w:vAlign w:val="center"/>
          </w:tcPr>
          <w:p w14:paraId="07FE6D5F">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年一次</w:t>
            </w:r>
          </w:p>
        </w:tc>
        <w:tc>
          <w:tcPr>
            <w:tcW w:w="1245" w:type="pct"/>
            <w:tcBorders>
              <w:tl2br w:val="nil"/>
              <w:tr2bl w:val="nil"/>
            </w:tcBorders>
            <w:vAlign w:val="center"/>
          </w:tcPr>
          <w:p w14:paraId="074ADF5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监测表层土壤</w:t>
            </w:r>
          </w:p>
        </w:tc>
      </w:tr>
      <w:tr w14:paraId="7A5CB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restart"/>
            <w:tcBorders>
              <w:tl2br w:val="nil"/>
              <w:tr2bl w:val="nil"/>
            </w:tcBorders>
            <w:vAlign w:val="center"/>
          </w:tcPr>
          <w:p w14:paraId="182E2137">
            <w:pPr>
              <w:pStyle w:val="46"/>
              <w:bidi w:val="0"/>
              <w:jc w:val="center"/>
              <w:rPr>
                <w:rFonts w:hint="default" w:ascii="Times New Roman" w:hAnsi="Times New Roman" w:eastAsia="宋体" w:cs="Times New Roman"/>
                <w:color w:val="auto"/>
                <w:highlight w:val="none"/>
                <w:lang w:val="en-US" w:eastAsia="zh-CN"/>
              </w:rPr>
            </w:pPr>
            <w:bookmarkStart w:id="378" w:name="_Toc23757"/>
            <w:r>
              <w:rPr>
                <w:rFonts w:hint="default" w:ascii="Times New Roman" w:hAnsi="Times New Roman" w:cs="Times New Roman"/>
                <w:color w:val="auto"/>
                <w:highlight w:val="none"/>
                <w:lang w:val="en-US" w:eastAsia="zh-CN"/>
              </w:rPr>
              <w:t>生态恢复期监测</w:t>
            </w:r>
          </w:p>
        </w:tc>
        <w:tc>
          <w:tcPr>
            <w:tcW w:w="666" w:type="pct"/>
            <w:vMerge w:val="restart"/>
            <w:tcBorders>
              <w:tl2br w:val="nil"/>
              <w:tr2bl w:val="nil"/>
            </w:tcBorders>
            <w:vAlign w:val="center"/>
          </w:tcPr>
          <w:p w14:paraId="2177CF5E">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28" w:type="pct"/>
            <w:tcBorders>
              <w:tl2br w:val="nil"/>
              <w:tr2bl w:val="nil"/>
            </w:tcBorders>
            <w:vAlign w:val="center"/>
          </w:tcPr>
          <w:p w14:paraId="4A743CC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土壤</w:t>
            </w:r>
          </w:p>
        </w:tc>
        <w:tc>
          <w:tcPr>
            <w:tcW w:w="487" w:type="pct"/>
            <w:tcBorders>
              <w:tl2br w:val="nil"/>
              <w:tr2bl w:val="nil"/>
            </w:tcBorders>
            <w:vAlign w:val="center"/>
          </w:tcPr>
          <w:p w14:paraId="67DAB08D">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020" w:type="pct"/>
            <w:tcBorders>
              <w:tl2br w:val="nil"/>
              <w:tr2bl w:val="nil"/>
            </w:tcBorders>
            <w:vAlign w:val="center"/>
          </w:tcPr>
          <w:p w14:paraId="66CDA72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eastAsia="zh-CN"/>
              </w:rPr>
              <w:t>地形坡度、有效土层厚度、土壤有效水分、土壤容重、酸碱度（pH 值）、有机质含量、有效磷含量、全氮含量、土壤侵蚀模数等</w:t>
            </w:r>
          </w:p>
        </w:tc>
        <w:tc>
          <w:tcPr>
            <w:tcW w:w="539" w:type="pct"/>
            <w:tcBorders>
              <w:tl2br w:val="nil"/>
              <w:tr2bl w:val="nil"/>
            </w:tcBorders>
            <w:vAlign w:val="center"/>
          </w:tcPr>
          <w:p w14:paraId="08AAC8D3">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1次/年</w:t>
            </w:r>
          </w:p>
        </w:tc>
        <w:tc>
          <w:tcPr>
            <w:tcW w:w="1245" w:type="pct"/>
            <w:tcBorders>
              <w:tl2br w:val="nil"/>
              <w:tr2bl w:val="nil"/>
            </w:tcBorders>
            <w:vAlign w:val="center"/>
          </w:tcPr>
          <w:p w14:paraId="7E7C9D01">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连续监测3年</w:t>
            </w:r>
          </w:p>
        </w:tc>
      </w:tr>
      <w:tr w14:paraId="59ABB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6C889CFC">
            <w:pPr>
              <w:pStyle w:val="46"/>
              <w:bidi w:val="0"/>
              <w:jc w:val="center"/>
              <w:rPr>
                <w:rFonts w:hint="default" w:ascii="Times New Roman" w:hAnsi="Times New Roman" w:cs="Times New Roman"/>
                <w:color w:val="auto"/>
                <w:highlight w:val="none"/>
                <w:lang w:val="en-US" w:eastAsia="zh-CN"/>
              </w:rPr>
            </w:pPr>
          </w:p>
        </w:tc>
        <w:tc>
          <w:tcPr>
            <w:tcW w:w="666" w:type="pct"/>
            <w:vMerge w:val="continue"/>
            <w:tcBorders>
              <w:tl2br w:val="nil"/>
              <w:tr2bl w:val="nil"/>
            </w:tcBorders>
            <w:vAlign w:val="center"/>
          </w:tcPr>
          <w:p w14:paraId="25534EA3">
            <w:pPr>
              <w:pStyle w:val="46"/>
              <w:bidi w:val="0"/>
              <w:jc w:val="center"/>
              <w:rPr>
                <w:rFonts w:hint="default" w:ascii="Times New Roman" w:hAnsi="Times New Roman" w:cs="Times New Roman"/>
                <w:color w:val="auto"/>
                <w:highlight w:val="none"/>
                <w:lang w:val="zh-CN"/>
              </w:rPr>
            </w:pPr>
          </w:p>
        </w:tc>
        <w:tc>
          <w:tcPr>
            <w:tcW w:w="528" w:type="pct"/>
            <w:tcBorders>
              <w:tl2br w:val="nil"/>
              <w:tr2bl w:val="nil"/>
            </w:tcBorders>
            <w:vAlign w:val="center"/>
          </w:tcPr>
          <w:p w14:paraId="4574FBE0">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植被生长</w:t>
            </w:r>
          </w:p>
        </w:tc>
        <w:tc>
          <w:tcPr>
            <w:tcW w:w="487" w:type="pct"/>
            <w:tcBorders>
              <w:tl2br w:val="nil"/>
              <w:tr2bl w:val="nil"/>
            </w:tcBorders>
            <w:vAlign w:val="center"/>
          </w:tcPr>
          <w:p w14:paraId="28A513B4">
            <w:pPr>
              <w:pStyle w:val="46"/>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020" w:type="pct"/>
            <w:tcBorders>
              <w:tl2br w:val="nil"/>
              <w:tr2bl w:val="nil"/>
            </w:tcBorders>
            <w:vAlign w:val="center"/>
          </w:tcPr>
          <w:p w14:paraId="287DE86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eastAsia="zh-CN"/>
              </w:rPr>
              <w:t>生长势、高度、种植密度、成活率、郁闭度、生长量等</w:t>
            </w:r>
          </w:p>
        </w:tc>
        <w:tc>
          <w:tcPr>
            <w:tcW w:w="539" w:type="pct"/>
            <w:tcBorders>
              <w:tl2br w:val="nil"/>
              <w:tr2bl w:val="nil"/>
            </w:tcBorders>
            <w:vAlign w:val="center"/>
          </w:tcPr>
          <w:p w14:paraId="3D819C32">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1次/年</w:t>
            </w:r>
          </w:p>
        </w:tc>
        <w:tc>
          <w:tcPr>
            <w:tcW w:w="1245" w:type="pct"/>
            <w:tcBorders>
              <w:tl2br w:val="nil"/>
              <w:tr2bl w:val="nil"/>
            </w:tcBorders>
            <w:vAlign w:val="center"/>
          </w:tcPr>
          <w:p w14:paraId="6AFD6D88">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连续监测3年</w:t>
            </w:r>
          </w:p>
        </w:tc>
      </w:tr>
    </w:tbl>
    <w:p w14:paraId="29A93B16">
      <w:pPr>
        <w:pStyle w:val="4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8.2.3信息公开</w:t>
      </w:r>
      <w:bookmarkEnd w:id="378"/>
    </w:p>
    <w:p w14:paraId="37390D3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企事业单位应按照强制公开和自愿公开相结合的原则，及时、如实地公开其环境信息。企业事业单位应当建立健全本单位环境信息公开制度，设定机构负责本单位环境信息公开日常工作。企业事业单位环境信息涉及国家秘密、商业秘密或者个人隐私的，依法可以不公开。法律法规另有规定的，从其规定。</w:t>
      </w:r>
    </w:p>
    <w:p w14:paraId="1F850497">
      <w:pPr>
        <w:pStyle w:val="41"/>
        <w:bidi w:val="0"/>
        <w:rPr>
          <w:rFonts w:hint="default" w:ascii="Times New Roman" w:hAnsi="Times New Roman" w:cs="Times New Roman"/>
          <w:color w:val="auto"/>
          <w:highlight w:val="none"/>
        </w:rPr>
      </w:pPr>
      <w:bookmarkStart w:id="379" w:name="_Toc16305"/>
      <w:r>
        <w:rPr>
          <w:rFonts w:hint="default" w:ascii="Times New Roman" w:hAnsi="Times New Roman" w:cs="Times New Roman"/>
          <w:color w:val="auto"/>
          <w:highlight w:val="none"/>
        </w:rPr>
        <w:t>8.2.4设立排放口（源）标识</w:t>
      </w:r>
      <w:bookmarkEnd w:id="376"/>
      <w:bookmarkEnd w:id="379"/>
    </w:p>
    <w:p w14:paraId="70B89F85">
      <w:pPr>
        <w:pStyle w:val="27"/>
        <w:bidi w:val="0"/>
        <w:rPr>
          <w:rFonts w:hint="default" w:ascii="Times New Roman" w:hAnsi="Times New Roman" w:cs="Times New Roman"/>
          <w:color w:val="auto"/>
          <w:highlight w:val="none"/>
        </w:rPr>
      </w:pPr>
      <w:bookmarkStart w:id="380" w:name="_Toc11758578"/>
      <w:r>
        <w:rPr>
          <w:rFonts w:hint="default" w:ascii="Times New Roman" w:hAnsi="Times New Roman" w:cs="Times New Roman"/>
          <w:color w:val="auto"/>
          <w:highlight w:val="none"/>
        </w:rPr>
        <w:t>本项目的各排污口按照环境管理要求，必须进行规范化建设，在本项目的污水处理站排放口、大气排放源、噪声、固废排放源设立规范的环境保护图形标志，按照《环境保护图形标志―排放口（源）》（GB15562.1-1995）执行，以利于环境保护行政主管部门对各排放口的监督管理。标志牌制作由国家环境保护总局统一监制，标志牌应设置在与之功能相应的醒目处。</w:t>
      </w:r>
    </w:p>
    <w:p w14:paraId="4078F68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废气排放口、固废、噪声排放源图形符号分为提示图形符号和警告图形符号两种，图形符号与说明见下表。</w:t>
      </w:r>
    </w:p>
    <w:p w14:paraId="7BFA3486">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表8-2-2污染物排放口环境保护图形标志一览表</w:t>
      </w:r>
    </w:p>
    <w:tbl>
      <w:tblPr>
        <w:tblStyle w:val="24"/>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5"/>
        <w:gridCol w:w="2314"/>
        <w:gridCol w:w="2136"/>
        <w:gridCol w:w="1699"/>
        <w:gridCol w:w="1614"/>
      </w:tblGrid>
      <w:tr w14:paraId="546658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0F3F2B7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序号</w:t>
            </w:r>
          </w:p>
        </w:tc>
        <w:tc>
          <w:tcPr>
            <w:tcW w:w="1358" w:type="pct"/>
            <w:tcBorders>
              <w:tl2br w:val="nil"/>
              <w:tr2bl w:val="nil"/>
            </w:tcBorders>
            <w:vAlign w:val="center"/>
          </w:tcPr>
          <w:p w14:paraId="7231406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提示图形符号</w:t>
            </w:r>
          </w:p>
        </w:tc>
        <w:tc>
          <w:tcPr>
            <w:tcW w:w="1246" w:type="pct"/>
            <w:tcBorders>
              <w:tl2br w:val="nil"/>
              <w:tr2bl w:val="nil"/>
            </w:tcBorders>
            <w:vAlign w:val="center"/>
          </w:tcPr>
          <w:p w14:paraId="79A8E43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警告图形符号</w:t>
            </w:r>
          </w:p>
        </w:tc>
        <w:tc>
          <w:tcPr>
            <w:tcW w:w="997" w:type="pct"/>
            <w:tcBorders>
              <w:tl2br w:val="nil"/>
              <w:tr2bl w:val="nil"/>
            </w:tcBorders>
            <w:vAlign w:val="center"/>
          </w:tcPr>
          <w:p w14:paraId="07748A1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名称</w:t>
            </w:r>
          </w:p>
        </w:tc>
        <w:tc>
          <w:tcPr>
            <w:tcW w:w="947" w:type="pct"/>
            <w:tcBorders>
              <w:tl2br w:val="nil"/>
              <w:tr2bl w:val="nil"/>
            </w:tcBorders>
            <w:vAlign w:val="center"/>
          </w:tcPr>
          <w:p w14:paraId="5B8CC2B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功能</w:t>
            </w:r>
          </w:p>
        </w:tc>
      </w:tr>
      <w:tr w14:paraId="29C053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77B8634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1358" w:type="pct"/>
            <w:tcBorders>
              <w:tl2br w:val="nil"/>
              <w:tr2bl w:val="nil"/>
            </w:tcBorders>
            <w:vAlign w:val="center"/>
          </w:tcPr>
          <w:p w14:paraId="48A1A5F5">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1000125" cy="1009650"/>
                  <wp:effectExtent l="0" t="0" r="9525" b="0"/>
                  <wp:docPr id="166463223" name="图片 6" descr="QQ截图201803020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3223" name="图片 6" descr="QQ截图201803020916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000125" cy="1009650"/>
                          </a:xfrm>
                          <a:prstGeom prst="rect">
                            <a:avLst/>
                          </a:prstGeom>
                          <a:noFill/>
                          <a:ln>
                            <a:noFill/>
                          </a:ln>
                        </pic:spPr>
                      </pic:pic>
                    </a:graphicData>
                  </a:graphic>
                </wp:inline>
              </w:drawing>
            </w:r>
          </w:p>
        </w:tc>
        <w:tc>
          <w:tcPr>
            <w:tcW w:w="1246" w:type="pct"/>
            <w:tcBorders>
              <w:tl2br w:val="nil"/>
              <w:tr2bl w:val="nil"/>
            </w:tcBorders>
            <w:vAlign w:val="center"/>
          </w:tcPr>
          <w:p w14:paraId="183E51B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1209675" cy="1076325"/>
                  <wp:effectExtent l="0" t="0" r="9525" b="9525"/>
                  <wp:docPr id="1699839979" name="图片 5" descr="QQ截图2018030209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9979" name="图片 5" descr="QQ截图201803020916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209675" cy="1076325"/>
                          </a:xfrm>
                          <a:prstGeom prst="rect">
                            <a:avLst/>
                          </a:prstGeom>
                          <a:noFill/>
                          <a:ln>
                            <a:noFill/>
                          </a:ln>
                        </pic:spPr>
                      </pic:pic>
                    </a:graphicData>
                  </a:graphic>
                </wp:inline>
              </w:drawing>
            </w:r>
          </w:p>
        </w:tc>
        <w:tc>
          <w:tcPr>
            <w:tcW w:w="997" w:type="pct"/>
            <w:tcBorders>
              <w:tl2br w:val="nil"/>
              <w:tr2bl w:val="nil"/>
            </w:tcBorders>
            <w:vAlign w:val="center"/>
          </w:tcPr>
          <w:p w14:paraId="694F42B3">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废气排放口</w:t>
            </w:r>
          </w:p>
        </w:tc>
        <w:tc>
          <w:tcPr>
            <w:tcW w:w="947" w:type="pct"/>
            <w:tcBorders>
              <w:tl2br w:val="nil"/>
              <w:tr2bl w:val="nil"/>
            </w:tcBorders>
            <w:vAlign w:val="center"/>
          </w:tcPr>
          <w:p w14:paraId="769A164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表示废气向大气环境排放</w:t>
            </w:r>
          </w:p>
        </w:tc>
      </w:tr>
      <w:tr w14:paraId="155E0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2A14C3A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1358" w:type="pct"/>
            <w:tcBorders>
              <w:tl2br w:val="nil"/>
              <w:tr2bl w:val="nil"/>
            </w:tcBorders>
            <w:vAlign w:val="center"/>
          </w:tcPr>
          <w:p w14:paraId="7552B839">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1038225" cy="1038225"/>
                  <wp:effectExtent l="0" t="0" r="9525" b="9525"/>
                  <wp:docPr id="1303357735" name="图片 4" descr="QQ截图2018030209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57735" name="图片 4" descr="QQ截图201803020916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038225" cy="1038225"/>
                          </a:xfrm>
                          <a:prstGeom prst="rect">
                            <a:avLst/>
                          </a:prstGeom>
                          <a:noFill/>
                          <a:ln>
                            <a:noFill/>
                          </a:ln>
                        </pic:spPr>
                      </pic:pic>
                    </a:graphicData>
                  </a:graphic>
                </wp:inline>
              </w:drawing>
            </w:r>
          </w:p>
        </w:tc>
        <w:tc>
          <w:tcPr>
            <w:tcW w:w="1246" w:type="pct"/>
            <w:tcBorders>
              <w:tl2br w:val="nil"/>
              <w:tr2bl w:val="nil"/>
            </w:tcBorders>
            <w:vAlign w:val="center"/>
          </w:tcPr>
          <w:p w14:paraId="059A6A7E">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1209675" cy="1076325"/>
                  <wp:effectExtent l="0" t="0" r="9525" b="9525"/>
                  <wp:docPr id="1531480118" name="图片 3" descr="QQ截图2018030209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80118" name="图片 3" descr="QQ截图201803020917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209675" cy="1076325"/>
                          </a:xfrm>
                          <a:prstGeom prst="rect">
                            <a:avLst/>
                          </a:prstGeom>
                          <a:noFill/>
                          <a:ln>
                            <a:noFill/>
                          </a:ln>
                        </pic:spPr>
                      </pic:pic>
                    </a:graphicData>
                  </a:graphic>
                </wp:inline>
              </w:drawing>
            </w:r>
          </w:p>
        </w:tc>
        <w:tc>
          <w:tcPr>
            <w:tcW w:w="997" w:type="pct"/>
            <w:tcBorders>
              <w:tl2br w:val="nil"/>
              <w:tr2bl w:val="nil"/>
            </w:tcBorders>
            <w:vAlign w:val="center"/>
          </w:tcPr>
          <w:p w14:paraId="3B0AF771">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噪声排放源</w:t>
            </w:r>
          </w:p>
        </w:tc>
        <w:tc>
          <w:tcPr>
            <w:tcW w:w="947" w:type="pct"/>
            <w:tcBorders>
              <w:tl2br w:val="nil"/>
              <w:tr2bl w:val="nil"/>
            </w:tcBorders>
            <w:vAlign w:val="center"/>
          </w:tcPr>
          <w:p w14:paraId="6FAAC41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表示噪声向外环境排放</w:t>
            </w:r>
          </w:p>
        </w:tc>
      </w:tr>
      <w:tr w14:paraId="7AAC62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36B8E81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1358" w:type="pct"/>
            <w:tcBorders>
              <w:tl2br w:val="nil"/>
              <w:tr2bl w:val="nil"/>
            </w:tcBorders>
            <w:vAlign w:val="center"/>
          </w:tcPr>
          <w:p w14:paraId="7D14AAF4">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1076325" cy="971550"/>
                  <wp:effectExtent l="0" t="0" r="9525" b="0"/>
                  <wp:docPr id="1410457452" name="图片 2" descr="5004926_2007540837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57452" name="图片 2" descr="5004926_200754083745_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076325" cy="971550"/>
                          </a:xfrm>
                          <a:prstGeom prst="rect">
                            <a:avLst/>
                          </a:prstGeom>
                          <a:noFill/>
                          <a:ln>
                            <a:noFill/>
                          </a:ln>
                        </pic:spPr>
                      </pic:pic>
                    </a:graphicData>
                  </a:graphic>
                </wp:inline>
              </w:drawing>
            </w:r>
          </w:p>
        </w:tc>
        <w:tc>
          <w:tcPr>
            <w:tcW w:w="1246" w:type="pct"/>
            <w:tcBorders>
              <w:tl2br w:val="nil"/>
              <w:tr2bl w:val="nil"/>
            </w:tcBorders>
            <w:vAlign w:val="center"/>
          </w:tcPr>
          <w:p w14:paraId="2BAFAFE7">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drawing>
                <wp:inline distT="0" distB="0" distL="0" distR="0">
                  <wp:extent cx="990600" cy="885825"/>
                  <wp:effectExtent l="0" t="0" r="0" b="9525"/>
                  <wp:docPr id="1134200567" name="图片 1" descr="wps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00567" name="图片 1" descr="wps175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990600" cy="885825"/>
                          </a:xfrm>
                          <a:prstGeom prst="rect">
                            <a:avLst/>
                          </a:prstGeom>
                          <a:noFill/>
                          <a:ln>
                            <a:noFill/>
                          </a:ln>
                        </pic:spPr>
                      </pic:pic>
                    </a:graphicData>
                  </a:graphic>
                </wp:inline>
              </w:drawing>
            </w:r>
          </w:p>
        </w:tc>
        <w:tc>
          <w:tcPr>
            <w:tcW w:w="997" w:type="pct"/>
            <w:tcBorders>
              <w:tl2br w:val="nil"/>
              <w:tr2bl w:val="nil"/>
            </w:tcBorders>
            <w:vAlign w:val="center"/>
          </w:tcPr>
          <w:p w14:paraId="2CD6EAD6">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固体废物堆放场</w:t>
            </w:r>
          </w:p>
        </w:tc>
        <w:tc>
          <w:tcPr>
            <w:tcW w:w="947" w:type="pct"/>
            <w:tcBorders>
              <w:tl2br w:val="nil"/>
              <w:tr2bl w:val="nil"/>
            </w:tcBorders>
            <w:vAlign w:val="center"/>
          </w:tcPr>
          <w:p w14:paraId="042EF8FB">
            <w:pPr>
              <w:pStyle w:val="46"/>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表示此处为固体堆放区</w:t>
            </w:r>
          </w:p>
        </w:tc>
      </w:tr>
      <w:bookmarkEnd w:id="380"/>
    </w:tbl>
    <w:p w14:paraId="36C33078">
      <w:pPr>
        <w:pStyle w:val="43"/>
        <w:bidi w:val="0"/>
        <w:rPr>
          <w:rFonts w:hint="default" w:ascii="Times New Roman" w:hAnsi="Times New Roman" w:cs="Times New Roman"/>
          <w:color w:val="auto"/>
          <w:highlight w:val="none"/>
        </w:rPr>
      </w:pPr>
      <w:bookmarkStart w:id="381" w:name="_Toc11758579"/>
      <w:bookmarkStart w:id="382" w:name="_Toc330"/>
      <w:bookmarkStart w:id="383" w:name="_Toc152926841"/>
      <w:bookmarkStart w:id="384" w:name="_Toc119316823"/>
      <w:bookmarkStart w:id="385" w:name="_Toc20477"/>
      <w:r>
        <w:rPr>
          <w:rFonts w:hint="default" w:ascii="Times New Roman" w:hAnsi="Times New Roman" w:cs="Times New Roman"/>
          <w:color w:val="auto"/>
          <w:highlight w:val="none"/>
        </w:rPr>
        <w:t>8.3环境保护竣工验收</w:t>
      </w:r>
      <w:bookmarkEnd w:id="381"/>
      <w:bookmarkEnd w:id="382"/>
      <w:bookmarkEnd w:id="383"/>
      <w:bookmarkEnd w:id="384"/>
      <w:bookmarkEnd w:id="385"/>
    </w:p>
    <w:p w14:paraId="7A05BFA7">
      <w:pPr>
        <w:spacing w:line="360" w:lineRule="auto"/>
        <w:ind w:firstLine="480" w:firstLineChars="20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eastAsia="宋体" w:cs="Times New Roman"/>
          <w:color w:val="auto"/>
          <w:kern w:val="21"/>
          <w:highlight w:val="none"/>
          <w:u w:val="none"/>
          <w:lang w:eastAsia="zh-CN"/>
        </w:rPr>
        <w:t>项目建成后建设单位应根据中华人民共和国国务院令第682号（2017年10月1日）《国务院关于修改</w:t>
      </w:r>
      <w:r>
        <w:rPr>
          <w:rFonts w:hint="default" w:ascii="Times New Roman" w:hAnsi="Times New Roman" w:eastAsia="宋体" w:cs="Times New Roman"/>
          <w:color w:val="auto"/>
          <w:kern w:val="21"/>
          <w:highlight w:val="none"/>
          <w:u w:val="none"/>
          <w:lang w:val="en-US" w:eastAsia="zh-CN"/>
        </w:rPr>
        <w:t>&lt;</w:t>
      </w:r>
      <w:r>
        <w:rPr>
          <w:rFonts w:hint="default" w:ascii="Times New Roman" w:hAnsi="Times New Roman" w:eastAsia="宋体" w:cs="Times New Roman"/>
          <w:color w:val="auto"/>
          <w:kern w:val="21"/>
          <w:highlight w:val="none"/>
          <w:u w:val="none"/>
          <w:lang w:eastAsia="zh-CN"/>
        </w:rPr>
        <w:t>建设项目环境保护管理条例</w:t>
      </w:r>
      <w:r>
        <w:rPr>
          <w:rFonts w:hint="default" w:ascii="Times New Roman" w:hAnsi="Times New Roman" w:eastAsia="宋体" w:cs="Times New Roman"/>
          <w:color w:val="auto"/>
          <w:kern w:val="21"/>
          <w:highlight w:val="none"/>
          <w:u w:val="none"/>
          <w:lang w:val="en-US" w:eastAsia="zh-CN"/>
        </w:rPr>
        <w:t>&gt;</w:t>
      </w:r>
      <w:r>
        <w:rPr>
          <w:rFonts w:hint="default" w:ascii="Times New Roman" w:hAnsi="Times New Roman" w:eastAsia="宋体" w:cs="Times New Roman"/>
          <w:color w:val="auto"/>
          <w:kern w:val="21"/>
          <w:highlight w:val="none"/>
          <w:u w:val="none"/>
          <w:lang w:eastAsia="zh-CN"/>
        </w:rPr>
        <w:t>的决定》、《关于发布&lt;建设项目竣工环境保护验收暂行办法&gt;的公告》（国环规环评</w:t>
      </w:r>
      <w:r>
        <w:rPr>
          <w:rFonts w:hint="default" w:ascii="Times New Roman" w:hAnsi="Times New Roman" w:eastAsia="宋体" w:cs="Times New Roman"/>
          <w:color w:val="auto"/>
          <w:kern w:val="21"/>
          <w:highlight w:val="none"/>
          <w:u w:val="none"/>
          <w:lang w:val="en-US" w:eastAsia="zh-CN"/>
        </w:rPr>
        <w:t>[</w:t>
      </w:r>
      <w:r>
        <w:rPr>
          <w:rFonts w:hint="default" w:ascii="Times New Roman" w:hAnsi="Times New Roman" w:eastAsia="宋体" w:cs="Times New Roman"/>
          <w:color w:val="auto"/>
          <w:kern w:val="21"/>
          <w:highlight w:val="none"/>
          <w:u w:val="none"/>
          <w:lang w:eastAsia="zh-CN"/>
        </w:rPr>
        <w:t>2017</w:t>
      </w:r>
      <w:r>
        <w:rPr>
          <w:rFonts w:hint="default" w:ascii="Times New Roman" w:hAnsi="Times New Roman" w:eastAsia="宋体" w:cs="Times New Roman"/>
          <w:color w:val="auto"/>
          <w:kern w:val="21"/>
          <w:highlight w:val="none"/>
          <w:u w:val="none"/>
          <w:lang w:val="en-US" w:eastAsia="zh-CN"/>
        </w:rPr>
        <w:t>]</w:t>
      </w:r>
      <w:r>
        <w:rPr>
          <w:rFonts w:hint="default" w:ascii="Times New Roman" w:hAnsi="Times New Roman" w:eastAsia="宋体" w:cs="Times New Roman"/>
          <w:color w:val="auto"/>
          <w:kern w:val="21"/>
          <w:highlight w:val="none"/>
          <w:u w:val="none"/>
          <w:lang w:eastAsia="zh-CN"/>
        </w:rPr>
        <w:t>4号）、《关于印发&lt;黑龙江省历史遗留矿山生态修复验收管理办法（试行）&gt;的通知》（黑自然资发</w:t>
      </w:r>
      <w:r>
        <w:rPr>
          <w:rFonts w:hint="default" w:ascii="Times New Roman" w:hAnsi="Times New Roman" w:eastAsia="宋体" w:cs="Times New Roman"/>
          <w:color w:val="auto"/>
          <w:kern w:val="21"/>
          <w:highlight w:val="none"/>
          <w:u w:val="none"/>
          <w:lang w:val="en-US" w:eastAsia="zh-CN"/>
        </w:rPr>
        <w:t>[</w:t>
      </w:r>
      <w:r>
        <w:rPr>
          <w:rFonts w:hint="default" w:ascii="Times New Roman" w:hAnsi="Times New Roman" w:eastAsia="宋体" w:cs="Times New Roman"/>
          <w:color w:val="auto"/>
          <w:kern w:val="21"/>
          <w:highlight w:val="none"/>
          <w:u w:val="none"/>
          <w:lang w:eastAsia="zh-CN"/>
        </w:rPr>
        <w:t>2023</w:t>
      </w:r>
      <w:r>
        <w:rPr>
          <w:rFonts w:hint="default" w:ascii="Times New Roman" w:hAnsi="Times New Roman" w:eastAsia="宋体" w:cs="Times New Roman"/>
          <w:color w:val="auto"/>
          <w:kern w:val="21"/>
          <w:highlight w:val="none"/>
          <w:u w:val="none"/>
          <w:lang w:val="en-US" w:eastAsia="zh-CN"/>
        </w:rPr>
        <w:t>]</w:t>
      </w:r>
      <w:r>
        <w:rPr>
          <w:rFonts w:hint="default" w:ascii="Times New Roman" w:hAnsi="Times New Roman" w:eastAsia="宋体" w:cs="Times New Roman"/>
          <w:color w:val="auto"/>
          <w:kern w:val="21"/>
          <w:highlight w:val="none"/>
          <w:u w:val="none"/>
          <w:lang w:eastAsia="zh-CN"/>
        </w:rPr>
        <w:t>34号）规定，进行建设项目竣工环境保护验收。</w:t>
      </w:r>
      <w:r>
        <w:rPr>
          <w:rFonts w:hint="default" w:ascii="Times New Roman" w:hAnsi="Times New Roman" w:eastAsia="宋体" w:cs="Times New Roman"/>
          <w:color w:val="auto"/>
          <w:kern w:val="21"/>
          <w:highlight w:val="none"/>
          <w:u w:val="none"/>
          <w:lang w:val="en-US" w:eastAsia="zh-CN"/>
        </w:rPr>
        <w:t>验收节点为全部恢复完成后。</w:t>
      </w:r>
      <w:r>
        <w:rPr>
          <w:rFonts w:hint="default" w:ascii="Times New Roman" w:hAnsi="Times New Roman" w:eastAsia="宋体" w:cs="Times New Roman"/>
          <w:color w:val="auto"/>
          <w:kern w:val="21"/>
          <w:highlight w:val="none"/>
          <w:u w:val="none"/>
          <w:lang w:eastAsia="zh-CN"/>
        </w:rPr>
        <w:t>其竣工环境保护验收主要内容见下表。</w:t>
      </w:r>
    </w:p>
    <w:p w14:paraId="10C942E6">
      <w:pPr>
        <w:pStyle w:val="2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表8-3-1建设项目竣工环境保护验收一览表</w:t>
      </w:r>
    </w:p>
    <w:tbl>
      <w:tblPr>
        <w:tblStyle w:val="24"/>
        <w:tblW w:w="138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222"/>
        <w:gridCol w:w="1559"/>
        <w:gridCol w:w="6482"/>
        <w:gridCol w:w="3576"/>
        <w:gridCol w:w="59"/>
      </w:tblGrid>
      <w:tr w14:paraId="5F4A1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905" w:type="dxa"/>
            <w:tcMar>
              <w:left w:w="0" w:type="dxa"/>
              <w:right w:w="0" w:type="dxa"/>
            </w:tcMar>
            <w:vAlign w:val="center"/>
          </w:tcPr>
          <w:p w14:paraId="390049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时序</w:t>
            </w:r>
          </w:p>
        </w:tc>
        <w:tc>
          <w:tcPr>
            <w:tcW w:w="1222" w:type="dxa"/>
            <w:vAlign w:val="center"/>
          </w:tcPr>
          <w:p w14:paraId="745E60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1559" w:type="dxa"/>
            <w:vAlign w:val="center"/>
          </w:tcPr>
          <w:p w14:paraId="3EF24A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6482" w:type="dxa"/>
            <w:vAlign w:val="center"/>
          </w:tcPr>
          <w:p w14:paraId="02B1D5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3635" w:type="dxa"/>
            <w:gridSpan w:val="2"/>
            <w:vAlign w:val="center"/>
          </w:tcPr>
          <w:p w14:paraId="57862D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验收标准</w:t>
            </w:r>
          </w:p>
        </w:tc>
      </w:tr>
      <w:tr w14:paraId="009B5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restart"/>
            <w:tcMar>
              <w:left w:w="0" w:type="dxa"/>
              <w:right w:w="0" w:type="dxa"/>
            </w:tcMar>
            <w:vAlign w:val="center"/>
          </w:tcPr>
          <w:p w14:paraId="4EACEF7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w:t>
            </w:r>
          </w:p>
        </w:tc>
        <w:tc>
          <w:tcPr>
            <w:tcW w:w="1222" w:type="dxa"/>
            <w:vAlign w:val="center"/>
          </w:tcPr>
          <w:p w14:paraId="548AB5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1559" w:type="dxa"/>
            <w:vAlign w:val="center"/>
          </w:tcPr>
          <w:p w14:paraId="60ED63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COD、氨氮、pH、SS、BOD5</w:t>
            </w:r>
          </w:p>
        </w:tc>
        <w:tc>
          <w:tcPr>
            <w:tcW w:w="6482" w:type="dxa"/>
            <w:vAlign w:val="center"/>
          </w:tcPr>
          <w:p w14:paraId="55C25F6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排入</w:t>
            </w:r>
            <w:r>
              <w:rPr>
                <w:rFonts w:hint="default" w:ascii="Times New Roman" w:hAnsi="Times New Roman" w:cs="Times New Roman"/>
                <w:color w:val="auto"/>
                <w:highlight w:val="none"/>
                <w:lang w:val="en-US" w:eastAsia="zh-CN"/>
              </w:rPr>
              <w:t>碎石场的</w:t>
            </w:r>
            <w:r>
              <w:rPr>
                <w:rFonts w:hint="default" w:ascii="Times New Roman" w:hAnsi="Times New Roman" w:cs="Times New Roman"/>
                <w:color w:val="auto"/>
                <w:highlight w:val="none"/>
              </w:rPr>
              <w:t>防渗旱厕，定期清掏，外运堆肥，不外排</w:t>
            </w:r>
          </w:p>
        </w:tc>
        <w:tc>
          <w:tcPr>
            <w:tcW w:w="3635" w:type="dxa"/>
            <w:gridSpan w:val="2"/>
            <w:vAlign w:val="center"/>
          </w:tcPr>
          <w:p w14:paraId="254C628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不外排</w:t>
            </w:r>
          </w:p>
        </w:tc>
      </w:tr>
      <w:tr w14:paraId="7F51A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continue"/>
            <w:tcMar>
              <w:left w:w="0" w:type="dxa"/>
              <w:right w:w="0" w:type="dxa"/>
            </w:tcMar>
            <w:vAlign w:val="center"/>
          </w:tcPr>
          <w:p w14:paraId="18F26C08">
            <w:pPr>
              <w:pStyle w:val="46"/>
              <w:bidi w:val="0"/>
              <w:rPr>
                <w:rFonts w:hint="default" w:ascii="Times New Roman" w:hAnsi="Times New Roman" w:cs="Times New Roman"/>
                <w:color w:val="auto"/>
                <w:highlight w:val="none"/>
                <w:lang w:val="en-US" w:eastAsia="zh-CN"/>
              </w:rPr>
            </w:pPr>
          </w:p>
        </w:tc>
        <w:tc>
          <w:tcPr>
            <w:tcW w:w="1222" w:type="dxa"/>
            <w:vAlign w:val="center"/>
          </w:tcPr>
          <w:p w14:paraId="7F04E84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淋溶水</w:t>
            </w:r>
          </w:p>
        </w:tc>
        <w:tc>
          <w:tcPr>
            <w:tcW w:w="1559" w:type="dxa"/>
            <w:vAlign w:val="center"/>
          </w:tcPr>
          <w:p w14:paraId="0198457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482" w:type="dxa"/>
            <w:vAlign w:val="center"/>
          </w:tcPr>
          <w:p w14:paraId="096C66D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项目场底清理后场底基础铺设30cm厚的改性压实粘土压实作为基础层，并定期由勘测单位对其检测，其防渗性能满足渗透系数为1.0×10-5cm/s且厚度为0.75m的天然基础层后方可回填。</w:t>
            </w:r>
          </w:p>
          <w:p w14:paraId="6783AB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本项目设置一座200m3的防渗淋溶水收集池，用于施工期极端天气强降雨时期产生的淋溶水收集。淋溶水收集后用于降尘。</w:t>
            </w:r>
          </w:p>
        </w:tc>
        <w:tc>
          <w:tcPr>
            <w:tcW w:w="3635" w:type="dxa"/>
            <w:gridSpan w:val="2"/>
            <w:vAlign w:val="center"/>
          </w:tcPr>
          <w:p w14:paraId="118CF93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w:t>
            </w:r>
          </w:p>
        </w:tc>
      </w:tr>
      <w:tr w14:paraId="7AA89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continue"/>
            <w:tcMar>
              <w:left w:w="0" w:type="dxa"/>
              <w:right w:w="0" w:type="dxa"/>
            </w:tcMar>
            <w:vAlign w:val="center"/>
          </w:tcPr>
          <w:p w14:paraId="13BC00D3">
            <w:pPr>
              <w:pStyle w:val="46"/>
              <w:bidi w:val="0"/>
              <w:rPr>
                <w:rFonts w:hint="default" w:ascii="Times New Roman" w:hAnsi="Times New Roman" w:cs="Times New Roman"/>
                <w:color w:val="auto"/>
                <w:highlight w:val="none"/>
              </w:rPr>
            </w:pPr>
          </w:p>
        </w:tc>
        <w:tc>
          <w:tcPr>
            <w:tcW w:w="1222" w:type="dxa"/>
            <w:vAlign w:val="center"/>
          </w:tcPr>
          <w:p w14:paraId="7BF9BC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作业扬尘、堆场、运输扬尘</w:t>
            </w:r>
          </w:p>
        </w:tc>
        <w:tc>
          <w:tcPr>
            <w:tcW w:w="1559" w:type="dxa"/>
            <w:vAlign w:val="center"/>
          </w:tcPr>
          <w:p w14:paraId="2B3804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6482" w:type="dxa"/>
            <w:vAlign w:val="center"/>
          </w:tcPr>
          <w:p w14:paraId="63FA19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回填</w:t>
            </w:r>
            <w:r>
              <w:rPr>
                <w:rFonts w:hint="default" w:ascii="Times New Roman" w:hAnsi="Times New Roman" w:cs="Times New Roman"/>
                <w:color w:val="auto"/>
                <w:highlight w:val="none"/>
              </w:rPr>
              <w:t>区：运到回填场的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分区分块摊铺并及时碾压通过洒水车进行洒水抑尘；②控制自卸汽车卸料高度，在卸料过程中通过洒水车进行洒水抑尘；非作业面扬尘：非作业面以及已碾实的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表面采用密目网或苫布覆盖。道路运输：①车辆运输过程中严格限制超载、超速；②自卸汽车密闭运输，减速慢行；③进场道路定期清扫及路面定期洒水抑尘。</w:t>
            </w:r>
          </w:p>
        </w:tc>
        <w:tc>
          <w:tcPr>
            <w:tcW w:w="3635" w:type="dxa"/>
            <w:gridSpan w:val="2"/>
            <w:vAlign w:val="center"/>
          </w:tcPr>
          <w:p w14:paraId="55C437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《大气污染物综合排放标准》（GB16297-1996）表2中无组织排放监控浓度限值</w:t>
            </w:r>
          </w:p>
        </w:tc>
      </w:tr>
      <w:tr w14:paraId="26CEA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54AD14AE">
            <w:pPr>
              <w:pStyle w:val="46"/>
              <w:bidi w:val="0"/>
              <w:rPr>
                <w:rFonts w:hint="default" w:ascii="Times New Roman" w:hAnsi="Times New Roman" w:cs="Times New Roman"/>
                <w:color w:val="auto"/>
                <w:highlight w:val="none"/>
              </w:rPr>
            </w:pPr>
          </w:p>
        </w:tc>
        <w:tc>
          <w:tcPr>
            <w:tcW w:w="1222" w:type="dxa"/>
            <w:vMerge w:val="restart"/>
            <w:vAlign w:val="center"/>
          </w:tcPr>
          <w:p w14:paraId="574F21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1559" w:type="dxa"/>
            <w:vAlign w:val="center"/>
          </w:tcPr>
          <w:p w14:paraId="4E1D345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设备噪声</w:t>
            </w:r>
          </w:p>
        </w:tc>
        <w:tc>
          <w:tcPr>
            <w:tcW w:w="6482" w:type="dxa"/>
            <w:vAlign w:val="center"/>
          </w:tcPr>
          <w:p w14:paraId="3CA610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作业面四周设置围挡、采用低噪声设备，加强维修和保养，减少设备噪声影响</w:t>
            </w:r>
          </w:p>
        </w:tc>
        <w:tc>
          <w:tcPr>
            <w:tcW w:w="3576" w:type="dxa"/>
            <w:vAlign w:val="center"/>
          </w:tcPr>
          <w:p w14:paraId="540426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厂界执行《工业企业厂界环境噪声排放标准》(GB12348-2008）表1中1类标准</w:t>
            </w:r>
          </w:p>
        </w:tc>
      </w:tr>
      <w:tr w14:paraId="5D606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7DEFE101">
            <w:pPr>
              <w:pStyle w:val="46"/>
              <w:bidi w:val="0"/>
              <w:rPr>
                <w:rFonts w:hint="default" w:ascii="Times New Roman" w:hAnsi="Times New Roman" w:cs="Times New Roman"/>
                <w:color w:val="auto"/>
                <w:highlight w:val="none"/>
              </w:rPr>
            </w:pPr>
          </w:p>
        </w:tc>
        <w:tc>
          <w:tcPr>
            <w:tcW w:w="1222" w:type="dxa"/>
            <w:vMerge w:val="continue"/>
            <w:vAlign w:val="center"/>
          </w:tcPr>
          <w:p w14:paraId="6C4595F2">
            <w:pPr>
              <w:pStyle w:val="46"/>
              <w:bidi w:val="0"/>
              <w:rPr>
                <w:rFonts w:hint="default" w:ascii="Times New Roman" w:hAnsi="Times New Roman" w:cs="Times New Roman"/>
                <w:color w:val="auto"/>
                <w:highlight w:val="none"/>
              </w:rPr>
            </w:pPr>
          </w:p>
        </w:tc>
        <w:tc>
          <w:tcPr>
            <w:tcW w:w="1559" w:type="dxa"/>
            <w:vAlign w:val="center"/>
          </w:tcPr>
          <w:p w14:paraId="0637AA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交通噪声</w:t>
            </w:r>
          </w:p>
        </w:tc>
        <w:tc>
          <w:tcPr>
            <w:tcW w:w="6482" w:type="dxa"/>
            <w:vAlign w:val="center"/>
          </w:tcPr>
          <w:p w14:paraId="39CB0E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机动车辆必须加强维修和保养，保持技术性能良好，运输车辆经过沿线村庄时将车速控制在20km/h以下、禁止鸣笛，夜间禁止运输，减少交通噪声影响</w:t>
            </w:r>
          </w:p>
        </w:tc>
        <w:tc>
          <w:tcPr>
            <w:tcW w:w="3576" w:type="dxa"/>
            <w:vAlign w:val="center"/>
          </w:tcPr>
          <w:p w14:paraId="0600D6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运输道路两侧敏感点处噪声满足《声环境质量标准》（GB3096-2008）中1类、2类标准要求</w:t>
            </w:r>
          </w:p>
        </w:tc>
      </w:tr>
      <w:tr w14:paraId="26698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707CAA0B">
            <w:pPr>
              <w:pStyle w:val="46"/>
              <w:bidi w:val="0"/>
              <w:rPr>
                <w:rFonts w:hint="default" w:ascii="Times New Roman" w:hAnsi="Times New Roman" w:cs="Times New Roman"/>
                <w:color w:val="auto"/>
                <w:highlight w:val="none"/>
              </w:rPr>
            </w:pPr>
          </w:p>
        </w:tc>
        <w:tc>
          <w:tcPr>
            <w:tcW w:w="1222" w:type="dxa"/>
            <w:vAlign w:val="center"/>
          </w:tcPr>
          <w:p w14:paraId="7BAD55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559" w:type="dxa"/>
            <w:vAlign w:val="center"/>
          </w:tcPr>
          <w:p w14:paraId="7D04045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w:t>
            </w:r>
          </w:p>
        </w:tc>
        <w:tc>
          <w:tcPr>
            <w:tcW w:w="6482" w:type="dxa"/>
            <w:vAlign w:val="center"/>
          </w:tcPr>
          <w:p w14:paraId="23F0DC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建筑材料下脚料、包装袋等建筑废弃物，外售废品回收部门；场地清理废物包含杂草、草木根茎、杂物等，集中收集后交由市政部门统一处理。生活垃圾集中收集，交由市政部门统一处理。</w:t>
            </w:r>
          </w:p>
        </w:tc>
        <w:tc>
          <w:tcPr>
            <w:tcW w:w="3576" w:type="dxa"/>
            <w:vAlign w:val="center"/>
          </w:tcPr>
          <w:p w14:paraId="0F1775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100%处置</w:t>
            </w:r>
          </w:p>
        </w:tc>
      </w:tr>
      <w:tr w14:paraId="55CAE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09752C9E">
            <w:pPr>
              <w:pStyle w:val="46"/>
              <w:bidi w:val="0"/>
              <w:rPr>
                <w:rFonts w:hint="default" w:ascii="Times New Roman" w:hAnsi="Times New Roman" w:cs="Times New Roman"/>
                <w:color w:val="auto"/>
                <w:highlight w:val="none"/>
              </w:rPr>
            </w:pPr>
          </w:p>
        </w:tc>
        <w:tc>
          <w:tcPr>
            <w:tcW w:w="1222" w:type="dxa"/>
            <w:vAlign w:val="center"/>
          </w:tcPr>
          <w:p w14:paraId="19CF4F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1559" w:type="dxa"/>
            <w:vAlign w:val="center"/>
          </w:tcPr>
          <w:p w14:paraId="0BC8C2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w:t>
            </w:r>
          </w:p>
        </w:tc>
        <w:tc>
          <w:tcPr>
            <w:tcW w:w="6482" w:type="dxa"/>
            <w:vAlign w:val="center"/>
          </w:tcPr>
          <w:p w14:paraId="73A0B704">
            <w:pPr>
              <w:pStyle w:val="46"/>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回填完成后对回填复垦区进行复垦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复垦为林地和耕地。</w:t>
            </w:r>
          </w:p>
        </w:tc>
        <w:tc>
          <w:tcPr>
            <w:tcW w:w="3576" w:type="dxa"/>
            <w:vAlign w:val="center"/>
          </w:tcPr>
          <w:p w14:paraId="243F63A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实施过程应满足《土地复垦质量控制标准》（TD/T1036-2013）规定的相关土地复垦质量控制要求。</w:t>
            </w:r>
          </w:p>
        </w:tc>
      </w:tr>
      <w:tr w14:paraId="4790F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3686" w:type="dxa"/>
            <w:gridSpan w:val="3"/>
            <w:tcMar>
              <w:left w:w="0" w:type="dxa"/>
              <w:right w:w="0" w:type="dxa"/>
            </w:tcMar>
            <w:vAlign w:val="center"/>
          </w:tcPr>
          <w:p w14:paraId="381F68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环境管理与环境监测</w:t>
            </w:r>
          </w:p>
        </w:tc>
        <w:tc>
          <w:tcPr>
            <w:tcW w:w="6482" w:type="dxa"/>
            <w:shd w:val="clear" w:color="auto" w:fill="auto"/>
            <w:vAlign w:val="center"/>
          </w:tcPr>
          <w:p w14:paraId="6A4B516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设有环境保护管理机构、配备专职环保管理人员；定期开展监测工作（环境质量监测、污染源监测）</w:t>
            </w:r>
          </w:p>
        </w:tc>
        <w:tc>
          <w:tcPr>
            <w:tcW w:w="3576" w:type="dxa"/>
            <w:shd w:val="clear" w:color="auto" w:fill="auto"/>
            <w:vAlign w:val="center"/>
          </w:tcPr>
          <w:p w14:paraId="6CBC2A5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设有环境保护管理与监测机构、配备名专职环保管理人员；有完善的环境管理和环境监测工作制度</w:t>
            </w:r>
          </w:p>
        </w:tc>
      </w:tr>
      <w:tr w14:paraId="145F4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3686" w:type="dxa"/>
            <w:gridSpan w:val="3"/>
            <w:tcMar>
              <w:left w:w="0" w:type="dxa"/>
              <w:right w:w="0" w:type="dxa"/>
            </w:tcMar>
            <w:vAlign w:val="center"/>
          </w:tcPr>
          <w:p w14:paraId="460ADE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信息公开</w:t>
            </w:r>
          </w:p>
        </w:tc>
        <w:tc>
          <w:tcPr>
            <w:tcW w:w="6482" w:type="dxa"/>
            <w:shd w:val="clear" w:color="auto" w:fill="auto"/>
            <w:vAlign w:val="center"/>
          </w:tcPr>
          <w:p w14:paraId="4BE427E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建立完备的环境信息平台，定期向社会公布企业环境信息，接受公众监督</w:t>
            </w:r>
          </w:p>
        </w:tc>
        <w:tc>
          <w:tcPr>
            <w:tcW w:w="3576" w:type="dxa"/>
            <w:shd w:val="clear" w:color="auto" w:fill="auto"/>
            <w:vAlign w:val="center"/>
          </w:tcPr>
          <w:p w14:paraId="14C1CA2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r>
    </w:tbl>
    <w:p w14:paraId="41DAD00B">
      <w:pPr>
        <w:pStyle w:val="27"/>
        <w:bidi w:val="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14:paraId="1BD1FC1B">
      <w:pPr>
        <w:pStyle w:val="43"/>
        <w:bidi w:val="0"/>
        <w:rPr>
          <w:rFonts w:hint="default" w:ascii="Times New Roman" w:hAnsi="Times New Roman" w:cs="Times New Roman"/>
          <w:color w:val="auto"/>
          <w:highlight w:val="none"/>
        </w:rPr>
      </w:pPr>
      <w:bookmarkStart w:id="386" w:name="_Toc22886"/>
      <w:bookmarkStart w:id="387" w:name="_Toc119316824"/>
      <w:bookmarkStart w:id="388" w:name="_Toc15991728"/>
      <w:bookmarkStart w:id="389" w:name="_Toc22353"/>
      <w:bookmarkStart w:id="390" w:name="_Toc152926842"/>
      <w:bookmarkStart w:id="391" w:name="_Toc454962811"/>
      <w:bookmarkStart w:id="392" w:name="_Toc477954592"/>
      <w:r>
        <w:rPr>
          <w:rFonts w:hint="default" w:ascii="Times New Roman" w:hAnsi="Times New Roman" w:cs="Times New Roman"/>
          <w:color w:val="auto"/>
          <w:highlight w:val="none"/>
        </w:rPr>
        <w:t>8.4总量控制</w:t>
      </w:r>
      <w:bookmarkEnd w:id="386"/>
      <w:bookmarkEnd w:id="387"/>
      <w:bookmarkEnd w:id="388"/>
      <w:bookmarkEnd w:id="389"/>
      <w:bookmarkEnd w:id="390"/>
    </w:p>
    <w:p w14:paraId="015EFE81">
      <w:pPr>
        <w:pStyle w:val="41"/>
        <w:bidi w:val="0"/>
        <w:rPr>
          <w:rFonts w:hint="default" w:ascii="Times New Roman" w:hAnsi="Times New Roman" w:cs="Times New Roman"/>
          <w:color w:val="auto"/>
          <w:highlight w:val="none"/>
        </w:rPr>
      </w:pPr>
      <w:bookmarkStart w:id="393" w:name="_Toc15991729"/>
      <w:bookmarkStart w:id="394" w:name="_Toc10061"/>
      <w:r>
        <w:rPr>
          <w:rFonts w:hint="default" w:ascii="Times New Roman" w:hAnsi="Times New Roman" w:cs="Times New Roman"/>
          <w:color w:val="auto"/>
          <w:highlight w:val="none"/>
        </w:rPr>
        <w:t>8.4.1总量控制的意义和原则</w:t>
      </w:r>
      <w:bookmarkEnd w:id="393"/>
      <w:bookmarkEnd w:id="394"/>
    </w:p>
    <w:p w14:paraId="765A5D6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实施总量控制将促进资源、能源的含量利用和优化配置，加速产业结构的调整，实现经济增长方式的根本转变；实施总量控制可以较好地协调经济发展与环境保护之间的关系，推动可持续发展战略的实行。</w:t>
      </w:r>
    </w:p>
    <w:p w14:paraId="2B7E25E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本工程属于</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回填复垦项目，总量控制应以鸡西市总量控制规划为目标，将本工程投产后排放的污染物总量纳入其总量控制规划中，通过区域调整平衡，实现鸡西市污染物排放总量控制的目标。</w:t>
      </w:r>
    </w:p>
    <w:p w14:paraId="353830D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考虑本项目工程排污特征，本工程废气主要污染物为</w:t>
      </w:r>
      <w:r>
        <w:rPr>
          <w:rFonts w:hint="default" w:ascii="Times New Roman" w:hAnsi="Times New Roman" w:cs="Times New Roman"/>
          <w:color w:val="auto"/>
          <w:highlight w:val="none"/>
          <w:lang w:val="en-US" w:eastAsia="zh-CN"/>
        </w:rPr>
        <w:t>施工期扬尘</w:t>
      </w:r>
      <w:r>
        <w:rPr>
          <w:rFonts w:hint="default" w:ascii="Times New Roman" w:hAnsi="Times New Roman" w:cs="Times New Roman"/>
          <w:color w:val="auto"/>
          <w:highlight w:val="none"/>
        </w:rPr>
        <w:t>，产生量主要取决于管理措施和气象条件，属于非固定源，不计入总量控制指标。</w:t>
      </w:r>
    </w:p>
    <w:p w14:paraId="3BE8158D">
      <w:pPr>
        <w:pStyle w:val="27"/>
        <w:bidi w:val="0"/>
        <w:rPr>
          <w:rFonts w:hint="default" w:ascii="Times New Roman" w:hAnsi="Times New Roman" w:eastAsia="宋体" w:cs="Times New Roman"/>
          <w:b/>
          <w:color w:val="auto"/>
          <w:szCs w:val="22"/>
          <w:highlight w:val="none"/>
          <w:lang w:eastAsia="zh-CN"/>
        </w:rPr>
      </w:pPr>
      <w:r>
        <w:rPr>
          <w:rFonts w:hint="default" w:ascii="Times New Roman" w:hAnsi="Times New Roman" w:eastAsia="宋体" w:cs="Times New Roman"/>
          <w:color w:val="auto"/>
          <w:spacing w:val="2"/>
          <w:sz w:val="24"/>
          <w:szCs w:val="24"/>
          <w:highlight w:val="none"/>
        </w:rPr>
        <w:t>本项目</w:t>
      </w:r>
      <w:r>
        <w:rPr>
          <w:rFonts w:hint="default" w:ascii="Times New Roman" w:hAnsi="Times New Roman" w:cs="Times New Roman"/>
          <w:color w:val="auto"/>
          <w:spacing w:val="2"/>
          <w:sz w:val="24"/>
          <w:szCs w:val="24"/>
          <w:highlight w:val="none"/>
          <w:lang w:val="en-US" w:eastAsia="zh-CN"/>
        </w:rPr>
        <w:t>施工阶段</w:t>
      </w:r>
      <w:r>
        <w:rPr>
          <w:rFonts w:hint="default" w:ascii="Times New Roman" w:hAnsi="Times New Roman" w:eastAsia="宋体" w:cs="Times New Roman"/>
          <w:color w:val="auto"/>
          <w:spacing w:val="1"/>
          <w:sz w:val="24"/>
          <w:szCs w:val="24"/>
          <w:highlight w:val="none"/>
        </w:rPr>
        <w:t>生产用</w:t>
      </w:r>
      <w:r>
        <w:rPr>
          <w:rFonts w:hint="default" w:ascii="Times New Roman" w:hAnsi="Times New Roman" w:eastAsia="宋体" w:cs="Times New Roman"/>
          <w:color w:val="auto"/>
          <w:spacing w:val="4"/>
          <w:sz w:val="24"/>
          <w:szCs w:val="24"/>
          <w:highlight w:val="none"/>
        </w:rPr>
        <w:t>水包括道路洒水和回填工作面抑尘洒水</w:t>
      </w:r>
      <w:r>
        <w:rPr>
          <w:rFonts w:hint="default" w:ascii="Times New Roman" w:hAnsi="Times New Roman" w:eastAsia="宋体" w:cs="Times New Roman"/>
          <w:color w:val="auto"/>
          <w:spacing w:val="-1"/>
          <w:sz w:val="24"/>
          <w:szCs w:val="24"/>
          <w:highlight w:val="none"/>
        </w:rPr>
        <w:t>，无生产废水产生</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highlight w:val="none"/>
          <w:lang w:val="en-US" w:eastAsia="zh-CN"/>
        </w:rPr>
        <w:t>生态恢复阶段</w:t>
      </w:r>
      <w:r>
        <w:rPr>
          <w:rFonts w:hint="default" w:ascii="Times New Roman" w:hAnsi="Times New Roman" w:cs="Times New Roman"/>
          <w:color w:val="auto"/>
          <w:highlight w:val="none"/>
        </w:rPr>
        <w:t>主要为养护，不产生废水。</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阶段人员</w:t>
      </w:r>
      <w:r>
        <w:rPr>
          <w:rFonts w:hint="default" w:ascii="Times New Roman" w:hAnsi="Times New Roman" w:cs="Times New Roman"/>
          <w:color w:val="auto"/>
          <w:highlight w:val="none"/>
          <w:lang w:val="en-US" w:eastAsia="zh-CN"/>
        </w:rPr>
        <w:t>定期巡查</w:t>
      </w:r>
      <w:r>
        <w:rPr>
          <w:rFonts w:hint="default" w:ascii="Times New Roman" w:hAnsi="Times New Roman" w:cs="Times New Roman"/>
          <w:color w:val="auto"/>
          <w:highlight w:val="none"/>
        </w:rPr>
        <w:t>，不新增生活污水</w:t>
      </w:r>
      <w:r>
        <w:rPr>
          <w:rFonts w:hint="default" w:ascii="Times New Roman" w:hAnsi="Times New Roman" w:cs="Times New Roman"/>
          <w:color w:val="auto"/>
          <w:highlight w:val="none"/>
          <w:lang w:eastAsia="zh-CN"/>
        </w:rPr>
        <w:t>。</w:t>
      </w:r>
    </w:p>
    <w:p w14:paraId="3A0CDF5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bookmarkEnd w:id="391"/>
    <w:bookmarkEnd w:id="392"/>
    <w:p w14:paraId="7383AF92">
      <w:pPr>
        <w:pStyle w:val="44"/>
        <w:rPr>
          <w:rFonts w:hint="default" w:ascii="Times New Roman" w:hAnsi="Times New Roman" w:cs="Times New Roman"/>
          <w:color w:val="auto"/>
          <w:highlight w:val="none"/>
        </w:rPr>
      </w:pPr>
      <w:bookmarkStart w:id="395" w:name="_Toc22635"/>
      <w:r>
        <w:rPr>
          <w:rFonts w:hint="default" w:ascii="Times New Roman" w:hAnsi="Times New Roman" w:cs="Times New Roman"/>
          <w:color w:val="auto"/>
          <w:highlight w:val="none"/>
        </w:rPr>
        <w:t>9环境影响评价结论</w:t>
      </w:r>
      <w:bookmarkEnd w:id="295"/>
      <w:bookmarkEnd w:id="296"/>
      <w:bookmarkEnd w:id="297"/>
      <w:bookmarkEnd w:id="298"/>
      <w:bookmarkEnd w:id="299"/>
      <w:bookmarkEnd w:id="395"/>
    </w:p>
    <w:p w14:paraId="1DF3766B">
      <w:pPr>
        <w:pStyle w:val="43"/>
        <w:rPr>
          <w:rFonts w:hint="default" w:ascii="Times New Roman" w:hAnsi="Times New Roman" w:cs="Times New Roman"/>
          <w:snapToGrid w:val="0"/>
          <w:color w:val="auto"/>
          <w:highlight w:val="none"/>
        </w:rPr>
      </w:pPr>
      <w:bookmarkStart w:id="396" w:name="_Toc152926844"/>
      <w:bookmarkStart w:id="397" w:name="_Toc477368706"/>
      <w:bookmarkStart w:id="398" w:name="_Toc15991734"/>
      <w:bookmarkStart w:id="399" w:name="_Toc119316826"/>
      <w:bookmarkStart w:id="400" w:name="_Toc457030108"/>
      <w:bookmarkStart w:id="401" w:name="_Toc2182"/>
      <w:bookmarkStart w:id="402" w:name="_Toc25930"/>
      <w:r>
        <w:rPr>
          <w:rFonts w:hint="default" w:ascii="Times New Roman" w:hAnsi="Times New Roman" w:cs="Times New Roman"/>
          <w:snapToGrid w:val="0"/>
          <w:color w:val="auto"/>
          <w:highlight w:val="none"/>
        </w:rPr>
        <w:t>9.1评价结论</w:t>
      </w:r>
      <w:bookmarkEnd w:id="396"/>
      <w:bookmarkEnd w:id="397"/>
      <w:bookmarkEnd w:id="398"/>
      <w:bookmarkEnd w:id="399"/>
      <w:bookmarkEnd w:id="400"/>
      <w:bookmarkEnd w:id="401"/>
      <w:bookmarkEnd w:id="402"/>
    </w:p>
    <w:p w14:paraId="2012B386">
      <w:pPr>
        <w:pStyle w:val="41"/>
        <w:rPr>
          <w:rFonts w:hint="default" w:ascii="Times New Roman" w:hAnsi="Times New Roman" w:eastAsia="宋体" w:cs="Times New Roman"/>
          <w:b/>
          <w:color w:val="auto"/>
          <w:szCs w:val="24"/>
          <w:highlight w:val="none"/>
        </w:rPr>
      </w:pPr>
      <w:bookmarkStart w:id="403" w:name="_Toc14197"/>
      <w:bookmarkStart w:id="404" w:name="_Toc15991735"/>
      <w:r>
        <w:rPr>
          <w:rFonts w:hint="default" w:ascii="Times New Roman" w:hAnsi="Times New Roman" w:eastAsia="宋体" w:cs="Times New Roman"/>
          <w:color w:val="auto"/>
          <w:szCs w:val="24"/>
          <w:highlight w:val="none"/>
        </w:rPr>
        <w:t>9.1.1建设概况</w:t>
      </w:r>
      <w:bookmarkEnd w:id="403"/>
      <w:bookmarkEnd w:id="404"/>
    </w:p>
    <w:p w14:paraId="45716356">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lang w:val="en-US" w:eastAsia="zh-CN"/>
        </w:rPr>
      </w:pPr>
      <w:bookmarkStart w:id="405" w:name="_Toc18867"/>
      <w:bookmarkStart w:id="406" w:name="_Toc15991736"/>
      <w:r>
        <w:rPr>
          <w:rFonts w:hint="default" w:ascii="Times New Roman" w:hAnsi="Times New Roman" w:cs="Times New Roman"/>
          <w:color w:val="auto"/>
          <w:highlight w:val="none"/>
        </w:rPr>
        <w:t>项目名称：鸡西市</w:t>
      </w:r>
      <w:r>
        <w:rPr>
          <w:rFonts w:hint="default" w:ascii="Times New Roman" w:hAnsi="Times New Roman" w:cs="Times New Roman"/>
          <w:color w:val="auto"/>
          <w:highlight w:val="none"/>
          <w:lang w:val="en-US" w:eastAsia="zh-CN"/>
        </w:rPr>
        <w:t>滴道南甸子碎石场矿山复垦项目</w:t>
      </w:r>
    </w:p>
    <w:p w14:paraId="6F4697EB">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项目建设单位：鸡西市</w:t>
      </w:r>
      <w:r>
        <w:rPr>
          <w:rFonts w:hint="default" w:ascii="Times New Roman" w:hAnsi="Times New Roman" w:cs="Times New Roman"/>
          <w:color w:val="auto"/>
          <w:highlight w:val="none"/>
          <w:lang w:val="en-US" w:eastAsia="zh-CN"/>
        </w:rPr>
        <w:t>滴道南甸子碎石场</w:t>
      </w:r>
    </w:p>
    <w:p w14:paraId="5DF2A00D">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项目性质：新建</w:t>
      </w:r>
    </w:p>
    <w:p w14:paraId="2C60AEE2">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建设地点：</w:t>
      </w:r>
      <w:r>
        <w:rPr>
          <w:rFonts w:hint="default" w:ascii="Times New Roman" w:hAnsi="Times New Roman" w:cs="Times New Roman"/>
          <w:color w:val="auto"/>
          <w:sz w:val="24"/>
          <w:szCs w:val="24"/>
          <w:highlight w:val="none"/>
        </w:rPr>
        <w:t>鸡西市滴道区西8km处</w:t>
      </w:r>
    </w:p>
    <w:p w14:paraId="618E3617">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工程投资：</w:t>
      </w:r>
      <w:r>
        <w:rPr>
          <w:rFonts w:hint="default" w:ascii="Times New Roman" w:hAnsi="Times New Roman" w:cs="Times New Roman"/>
          <w:snapToGrid w:val="0"/>
          <w:color w:val="auto"/>
          <w:highlight w:val="none"/>
          <w:lang w:val="en-US" w:eastAsia="zh-CN"/>
        </w:rPr>
        <w:t>52.29</w:t>
      </w:r>
      <w:r>
        <w:rPr>
          <w:rFonts w:hint="default" w:ascii="Times New Roman" w:hAnsi="Times New Roman" w:cs="Times New Roman"/>
          <w:snapToGrid w:val="0"/>
          <w:color w:val="auto"/>
          <w:highlight w:val="none"/>
        </w:rPr>
        <w:t>万元</w:t>
      </w:r>
    </w:p>
    <w:p w14:paraId="1D1603AA">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占地面积：</w:t>
      </w:r>
      <w:r>
        <w:rPr>
          <w:rFonts w:hint="default" w:ascii="Times New Roman" w:hAnsi="Times New Roman" w:cs="Times New Roman"/>
          <w:snapToGrid w:val="0"/>
          <w:color w:val="auto"/>
          <w:highlight w:val="none"/>
          <w:lang w:val="en-US" w:eastAsia="zh-CN"/>
        </w:rPr>
        <w:t>本项目复垦</w:t>
      </w:r>
      <w:r>
        <w:rPr>
          <w:rFonts w:hint="default" w:ascii="Times New Roman" w:hAnsi="Times New Roman" w:cs="Times New Roman"/>
          <w:snapToGrid w:val="0"/>
          <w:color w:val="auto"/>
          <w:highlight w:val="none"/>
        </w:rPr>
        <w:t>面积为</w:t>
      </w:r>
      <w:r>
        <w:rPr>
          <w:rFonts w:hint="default" w:ascii="Times New Roman" w:hAnsi="Times New Roman" w:cs="Times New Roman"/>
          <w:snapToGrid w:val="0"/>
          <w:color w:val="auto"/>
          <w:highlight w:val="none"/>
          <w:lang w:val="en-US" w:eastAsia="zh-CN"/>
        </w:rPr>
        <w:t>8.5303</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p>
    <w:p w14:paraId="431476EA">
      <w:pPr>
        <w:pStyle w:val="27"/>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建设内容：主要包括场地平整工程、回填工程</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植被恢复工程。</w:t>
      </w:r>
    </w:p>
    <w:p w14:paraId="0E9D1B3F">
      <w:pPr>
        <w:pStyle w:val="27"/>
        <w:keepNext w:val="0"/>
        <w:pageBreakBefore w:val="0"/>
        <w:kinsoku/>
        <w:wordWrap/>
        <w:overflowPunct/>
        <w:topLinePunct w:val="0"/>
        <w:autoSpaceDE/>
        <w:autoSpaceDN/>
        <w:bidi w:val="0"/>
        <w:adjustRightInd w:val="0"/>
        <w:snapToGrid w:val="0"/>
        <w:spacing w:line="360" w:lineRule="auto"/>
        <w:ind w:firstLine="480"/>
        <w:textAlignment w:val="auto"/>
        <w:rPr>
          <w:rStyle w:val="28"/>
          <w:rFonts w:hint="default" w:ascii="Times New Roman" w:hAnsi="Times New Roman" w:cs="Times New Roman"/>
          <w:color w:val="auto"/>
          <w:highlight w:val="none"/>
        </w:rPr>
      </w:pPr>
      <w:r>
        <w:rPr>
          <w:rFonts w:hint="default" w:ascii="Times New Roman" w:hAnsi="Times New Roman" w:cs="Times New Roman"/>
          <w:snapToGrid w:val="0"/>
          <w:color w:val="auto"/>
          <w:highlight w:val="none"/>
          <w:lang w:val="en-US" w:eastAsia="zh-CN"/>
        </w:rPr>
        <w:t>施工期</w:t>
      </w:r>
      <w:r>
        <w:rPr>
          <w:rFonts w:hint="default" w:ascii="Times New Roman" w:hAnsi="Times New Roman"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约5</w:t>
      </w:r>
      <w:r>
        <w:rPr>
          <w:rFonts w:hint="default" w:ascii="Times New Roman" w:hAnsi="Times New Roman" w:cs="Times New Roman"/>
          <w:snapToGrid w:val="0"/>
          <w:color w:val="auto"/>
          <w:highlight w:val="none"/>
        </w:rPr>
        <w:t>人</w:t>
      </w:r>
      <w:r>
        <w:rPr>
          <w:rFonts w:hint="default" w:ascii="Times New Roman" w:hAnsi="Times New Roman" w:cs="Times New Roman"/>
          <w:bCs/>
          <w:color w:val="auto"/>
          <w:highlight w:val="none"/>
        </w:rPr>
        <w:t>，施工现场</w:t>
      </w:r>
      <w:r>
        <w:rPr>
          <w:rFonts w:hint="default" w:ascii="Times New Roman" w:hAnsi="Times New Roman" w:cs="Times New Roman"/>
          <w:color w:val="auto"/>
          <w:highlight w:val="none"/>
        </w:rPr>
        <w:t>不设生活区。</w:t>
      </w:r>
      <w:r>
        <w:rPr>
          <w:rFonts w:hint="default" w:ascii="Times New Roman" w:hAnsi="Times New Roman" w:cs="Times New Roman"/>
          <w:bCs/>
          <w:color w:val="auto"/>
          <w:highlight w:val="none"/>
        </w:rPr>
        <w:t>年工作</w:t>
      </w:r>
      <w:r>
        <w:rPr>
          <w:rFonts w:hint="default" w:ascii="Times New Roman" w:hAnsi="Times New Roman" w:cs="Times New Roman"/>
          <w:bCs/>
          <w:color w:val="auto"/>
          <w:highlight w:val="none"/>
          <w:lang w:val="en-US" w:eastAsia="zh-CN"/>
        </w:rPr>
        <w:t>330天</w:t>
      </w: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val="en-US" w:eastAsia="zh-CN"/>
        </w:rPr>
        <w:t>一</w:t>
      </w:r>
      <w:r>
        <w:rPr>
          <w:rFonts w:hint="default" w:ascii="Times New Roman" w:hAnsi="Times New Roman" w:cs="Times New Roman"/>
          <w:bCs/>
          <w:color w:val="auto"/>
          <w:highlight w:val="none"/>
        </w:rPr>
        <w:t>班制，</w:t>
      </w:r>
      <w:r>
        <w:rPr>
          <w:rStyle w:val="28"/>
          <w:rFonts w:hint="default" w:ascii="Times New Roman" w:hAnsi="Times New Roman" w:cs="Times New Roman"/>
          <w:color w:val="auto"/>
          <w:highlight w:val="none"/>
        </w:rPr>
        <w:t>每班8小时。</w:t>
      </w:r>
    </w:p>
    <w:p w14:paraId="2AE5EF0A">
      <w:pPr>
        <w:pStyle w:val="27"/>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建设周期：</w:t>
      </w:r>
      <w:r>
        <w:rPr>
          <w:rFonts w:hint="default" w:ascii="Times New Roman" w:hAnsi="Times New Roman" w:cs="Times New Roman"/>
          <w:color w:val="auto"/>
          <w:highlight w:val="none"/>
        </w:rPr>
        <w:t>项目建设期</w:t>
      </w:r>
      <w:r>
        <w:rPr>
          <w:rFonts w:hint="default" w:ascii="Times New Roman" w:hAnsi="Times New Roman" w:cs="Times New Roman"/>
          <w:color w:val="auto"/>
          <w:highlight w:val="none"/>
          <w:lang w:val="en-US" w:eastAsia="zh-CN"/>
        </w:rPr>
        <w:t>48</w:t>
      </w:r>
      <w:r>
        <w:rPr>
          <w:rFonts w:hint="default" w:ascii="Times New Roman" w:hAnsi="Times New Roman" w:cs="Times New Roman"/>
          <w:color w:val="auto"/>
          <w:highlight w:val="none"/>
        </w:rPr>
        <w:t>个月</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月至202</w:t>
      </w:r>
      <w:r>
        <w:rPr>
          <w:rFonts w:hint="default" w:ascii="Times New Roman" w:hAnsi="Times New Roman" w:cs="Times New Roman"/>
          <w:snapToGrid w:val="0"/>
          <w:color w:val="auto"/>
          <w:highlight w:val="none"/>
          <w:lang w:val="en-US" w:eastAsia="zh-CN"/>
        </w:rPr>
        <w:t>9</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月。</w:t>
      </w:r>
    </w:p>
    <w:p w14:paraId="6403E667">
      <w:pPr>
        <w:pStyle w:val="41"/>
        <w:rPr>
          <w:rFonts w:hint="default" w:ascii="Times New Roman" w:hAnsi="Times New Roman" w:cs="Times New Roman"/>
          <w:b/>
          <w:color w:val="auto"/>
          <w:highlight w:val="none"/>
        </w:rPr>
      </w:pPr>
      <w:r>
        <w:rPr>
          <w:rFonts w:hint="default" w:ascii="Times New Roman" w:hAnsi="Times New Roman" w:cs="Times New Roman"/>
          <w:color w:val="auto"/>
          <w:highlight w:val="none"/>
        </w:rPr>
        <w:t>9.1.2项目符合性结论</w:t>
      </w:r>
      <w:bookmarkEnd w:id="405"/>
      <w:bookmarkEnd w:id="406"/>
    </w:p>
    <w:p w14:paraId="04AAE7D2">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9.1.2.1产业政策符合性结论</w:t>
      </w:r>
    </w:p>
    <w:p w14:paraId="070ABD6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产业结构调整指导目录（2024年本）》中鼓励类“四十二、环境保护与资源节约综合利用”中2、生态环境修复和资源利用中的矿山生态环境恢复工程”和10、工业“三废”循环利用：“三废”综合利用与治理技术、装备和工程，均属于产业政策中“鼓励类”项目，符合国家产业政策。</w:t>
      </w:r>
    </w:p>
    <w:p w14:paraId="37EAB388">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9.1.2.2选址合理性结论</w:t>
      </w:r>
    </w:p>
    <w:p w14:paraId="6E677F93">
      <w:pPr>
        <w:pStyle w:val="27"/>
        <w:ind w:firstLine="480"/>
        <w:rPr>
          <w:rFonts w:hint="default" w:ascii="Times New Roman" w:hAnsi="Times New Roman" w:cs="Times New Roman"/>
          <w:color w:val="auto"/>
          <w:highlight w:val="none"/>
        </w:rPr>
      </w:pPr>
      <w:bookmarkStart w:id="407" w:name="_Toc3978"/>
      <w:bookmarkStart w:id="408" w:name="_Toc15991737"/>
      <w:r>
        <w:rPr>
          <w:rFonts w:hint="default" w:ascii="Times New Roman" w:hAnsi="Times New Roman" w:cs="Times New Roman"/>
          <w:color w:val="auto"/>
          <w:highlight w:val="none"/>
        </w:rPr>
        <w:t>本项目是利用大唐鸡西第二热电有限公司产生的部分粉煤灰作为回填材料进行废弃采坑回填修复治理项目，回填完成后覆土恢复成林地</w:t>
      </w:r>
      <w:r>
        <w:rPr>
          <w:rFonts w:hint="default" w:ascii="Times New Roman" w:hAnsi="Times New Roman" w:cs="Times New Roman"/>
          <w:snapToGrid w:val="0"/>
          <w:color w:val="auto"/>
          <w:highlight w:val="none"/>
        </w:rPr>
        <w:t>，</w:t>
      </w:r>
      <w:r>
        <w:rPr>
          <w:rFonts w:hint="default" w:ascii="Times New Roman" w:hAnsi="Times New Roman" w:cs="Times New Roman"/>
          <w:color w:val="auto"/>
          <w:highlight w:val="none"/>
        </w:rPr>
        <w:t>不但能改善场地环境、恢复土地利用价值、区域土地利用功能、创造新的生态景观，而且对项目区本身的安全和稳定性也具有重要意义，可起到水土保持、防风固沙的效果，可消除遗留采坑的水土流失、坍塌隐患。因此，选址合理。</w:t>
      </w:r>
    </w:p>
    <w:p w14:paraId="26C918BC">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本项目评价范围内无自然保护区、风景名胜区、森林公园、地质公园、重要湿地、饮用水源保护区等环境敏感区，不占用生态保护红线。因此，选址合理。</w:t>
      </w:r>
    </w:p>
    <w:p w14:paraId="1E314B7D">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根据项目周边自然环境的踏查，项目选址周边最近敏感点为</w:t>
      </w:r>
      <w:r>
        <w:rPr>
          <w:rFonts w:hint="default" w:ascii="Times New Roman" w:hAnsi="Times New Roman" w:cs="Times New Roman"/>
          <w:color w:val="auto"/>
          <w:highlight w:val="none"/>
          <w:lang w:val="en-US" w:eastAsia="zh-CN"/>
        </w:rPr>
        <w:t>东南侧255</w:t>
      </w:r>
      <w:r>
        <w:rPr>
          <w:rFonts w:hint="default" w:ascii="Times New Roman" w:hAnsi="Times New Roman" w:cs="Times New Roman"/>
          <w:color w:val="auto"/>
          <w:highlight w:val="none"/>
        </w:rPr>
        <w:t>m处</w:t>
      </w:r>
      <w:r>
        <w:rPr>
          <w:rFonts w:hint="default" w:ascii="Times New Roman" w:hAnsi="Times New Roman" w:cs="Times New Roman"/>
          <w:color w:val="auto"/>
          <w:highlight w:val="none"/>
          <w:lang w:val="en-US" w:eastAsia="zh-CN"/>
        </w:rPr>
        <w:t>南甸子六队</w:t>
      </w:r>
      <w:r>
        <w:rPr>
          <w:rFonts w:hint="default" w:ascii="Times New Roman" w:hAnsi="Times New Roman" w:cs="Times New Roman"/>
          <w:color w:val="auto"/>
          <w:highlight w:val="none"/>
        </w:rPr>
        <w:t>，位于常年主导风向侧风向。经预测计算，本项目厂界外大气污染物短期贡献浓度无超标点，因此本项目不需要设置大气环境防护距离，对敏感点的影响很小，因此从大气环境影响的角度分析，选址合理。</w:t>
      </w:r>
    </w:p>
    <w:p w14:paraId="1E838622">
      <w:pPr>
        <w:pStyle w:val="41"/>
        <w:rPr>
          <w:rFonts w:hint="default" w:ascii="Times New Roman" w:hAnsi="Times New Roman" w:cs="Times New Roman"/>
          <w:b/>
          <w:color w:val="auto"/>
          <w:highlight w:val="none"/>
        </w:rPr>
      </w:pPr>
      <w:r>
        <w:rPr>
          <w:rFonts w:hint="default" w:ascii="Times New Roman" w:hAnsi="Times New Roman" w:cs="Times New Roman"/>
          <w:color w:val="auto"/>
          <w:highlight w:val="none"/>
        </w:rPr>
        <w:t>9.1.3环境质量现状评价结论</w:t>
      </w:r>
      <w:bookmarkEnd w:id="407"/>
      <w:bookmarkEnd w:id="408"/>
    </w:p>
    <w:p w14:paraId="36BD776E">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（1）大气环境质量现状评价结论</w:t>
      </w:r>
    </w:p>
    <w:p w14:paraId="3FD826D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根据</w:t>
      </w:r>
      <w:r>
        <w:rPr>
          <w:rFonts w:hint="default" w:ascii="Times New Roman" w:hAnsi="Times New Roman" w:cs="Times New Roman"/>
          <w:color w:val="auto"/>
          <w:highlight w:val="none"/>
          <w:lang w:val="en-US" w:eastAsia="zh-CN"/>
        </w:rPr>
        <w:t>《2024年黑龙江省生态环境质量状况》</w:t>
      </w:r>
      <w:r>
        <w:rPr>
          <w:rFonts w:hint="default" w:ascii="Times New Roman" w:hAnsi="Times New Roman" w:cs="Times New Roman"/>
          <w:color w:val="auto"/>
          <w:highlight w:val="none"/>
          <w:lang w:bidi="ar"/>
        </w:rPr>
        <w:t>，鸡西市202</w:t>
      </w:r>
      <w:r>
        <w:rPr>
          <w:rFonts w:hint="eastAsia" w:cs="Times New Roman"/>
          <w:color w:val="auto"/>
          <w:highlight w:val="none"/>
          <w:lang w:val="en-US" w:eastAsia="zh-CN" w:bidi="ar"/>
        </w:rPr>
        <w:t>4</w:t>
      </w:r>
      <w:r>
        <w:rPr>
          <w:rFonts w:hint="default" w:ascii="Times New Roman" w:hAnsi="Times New Roman" w:cs="Times New Roman"/>
          <w:color w:val="auto"/>
          <w:highlight w:val="none"/>
          <w:lang w:bidi="ar"/>
        </w:rPr>
        <w:t>年PM</w:t>
      </w:r>
      <w:r>
        <w:rPr>
          <w:rFonts w:hint="default" w:ascii="Times New Roman" w:hAnsi="Times New Roman" w:cs="Times New Roman"/>
          <w:color w:val="auto"/>
          <w:highlight w:val="none"/>
          <w:vertAlign w:val="subscript"/>
          <w:lang w:bidi="ar"/>
        </w:rPr>
        <w:t>2.5</w:t>
      </w:r>
      <w:r>
        <w:rPr>
          <w:rFonts w:hint="default" w:ascii="Times New Roman" w:hAnsi="Times New Roman" w:cs="Times New Roman"/>
          <w:color w:val="auto"/>
          <w:highlight w:val="none"/>
          <w:lang w:bidi="ar"/>
        </w:rPr>
        <w:t>、PM</w:t>
      </w:r>
      <w:r>
        <w:rPr>
          <w:rFonts w:hint="default" w:ascii="Times New Roman" w:hAnsi="Times New Roman" w:cs="Times New Roman"/>
          <w:color w:val="auto"/>
          <w:highlight w:val="none"/>
          <w:vertAlign w:val="subscript"/>
          <w:lang w:bidi="ar"/>
        </w:rPr>
        <w:t>10</w:t>
      </w:r>
      <w:r>
        <w:rPr>
          <w:rFonts w:hint="default" w:ascii="Times New Roman" w:hAnsi="Times New Roman" w:cs="Times New Roman"/>
          <w:color w:val="auto"/>
          <w:highlight w:val="none"/>
          <w:lang w:bidi="ar"/>
        </w:rPr>
        <w:t>、SO</w:t>
      </w:r>
      <w:r>
        <w:rPr>
          <w:rFonts w:hint="default" w:ascii="Times New Roman" w:hAnsi="Times New Roman" w:cs="Times New Roman"/>
          <w:color w:val="auto"/>
          <w:highlight w:val="none"/>
          <w:vertAlign w:val="subscript"/>
          <w:lang w:bidi="ar"/>
        </w:rPr>
        <w:t>2</w:t>
      </w:r>
      <w:r>
        <w:rPr>
          <w:rFonts w:hint="default" w:ascii="Times New Roman" w:hAnsi="Times New Roman" w:cs="Times New Roman"/>
          <w:color w:val="auto"/>
          <w:highlight w:val="none"/>
          <w:lang w:bidi="ar"/>
        </w:rPr>
        <w:t>、NO</w:t>
      </w:r>
      <w:r>
        <w:rPr>
          <w:rFonts w:hint="default" w:ascii="Times New Roman" w:hAnsi="Times New Roman" w:cs="Times New Roman"/>
          <w:color w:val="auto"/>
          <w:highlight w:val="none"/>
          <w:vertAlign w:val="subscript"/>
          <w:lang w:bidi="ar"/>
        </w:rPr>
        <w:t>2</w:t>
      </w:r>
      <w:r>
        <w:rPr>
          <w:rFonts w:hint="default" w:ascii="Times New Roman" w:hAnsi="Times New Roman" w:cs="Times New Roman"/>
          <w:color w:val="auto"/>
          <w:highlight w:val="none"/>
          <w:lang w:bidi="ar"/>
        </w:rPr>
        <w:t>、CO-95per和O</w:t>
      </w:r>
      <w:r>
        <w:rPr>
          <w:rFonts w:hint="default" w:ascii="Times New Roman" w:hAnsi="Times New Roman" w:cs="Times New Roman"/>
          <w:color w:val="auto"/>
          <w:highlight w:val="none"/>
          <w:vertAlign w:val="subscript"/>
          <w:lang w:bidi="ar"/>
        </w:rPr>
        <w:t>3</w:t>
      </w:r>
      <w:r>
        <w:rPr>
          <w:rFonts w:hint="default" w:ascii="Times New Roman" w:hAnsi="Times New Roman" w:cs="Times New Roman"/>
          <w:color w:val="auto"/>
          <w:highlight w:val="none"/>
          <w:lang w:bidi="ar"/>
        </w:rPr>
        <w:t>-8h-90per年均浓度分别为2</w:t>
      </w:r>
      <w:r>
        <w:rPr>
          <w:rFonts w:hint="eastAsia" w:cs="Times New Roman"/>
          <w:color w:val="auto"/>
          <w:highlight w:val="none"/>
          <w:lang w:val="en-US" w:eastAsia="zh-CN" w:bidi="ar"/>
        </w:rPr>
        <w:t>7</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eastAsia" w:cs="Times New Roman"/>
          <w:color w:val="auto"/>
          <w:highlight w:val="none"/>
          <w:lang w:val="en-US" w:eastAsia="zh-CN" w:bidi="ar"/>
        </w:rPr>
        <w:t>46</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、8</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eastAsia" w:cs="Times New Roman"/>
          <w:color w:val="auto"/>
          <w:highlight w:val="none"/>
          <w:lang w:val="en-US" w:eastAsia="zh-CN" w:bidi="ar"/>
        </w:rPr>
        <w:t>17</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default" w:ascii="Times New Roman" w:hAnsi="Times New Roman" w:cs="Times New Roman"/>
          <w:color w:val="auto"/>
          <w:highlight w:val="none"/>
          <w:lang w:val="en-US" w:eastAsia="zh-CN" w:bidi="ar"/>
        </w:rPr>
        <w:t>1.0</w:t>
      </w:r>
      <w:r>
        <w:rPr>
          <w:rFonts w:hint="default" w:ascii="Times New Roman" w:hAnsi="Times New Roman" w:eastAsia="黑体" w:cs="Times New Roman"/>
          <w:snapToGrid w:val="0"/>
          <w:color w:val="auto"/>
          <w:highlight w:val="none"/>
        </w:rPr>
        <w:t>m</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和9</w:t>
      </w:r>
      <w:r>
        <w:rPr>
          <w:rFonts w:hint="eastAsia" w:cs="Times New Roman"/>
          <w:color w:val="auto"/>
          <w:highlight w:val="none"/>
          <w:lang w:val="en-US" w:eastAsia="zh-CN" w:bidi="ar"/>
        </w:rPr>
        <w:t>0</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，各污染物平均浓度均优于《环境空气质量标准》（GB3095-2012）及修改单中二级标准限值。因此，鸡西市属于达标区。</w:t>
      </w:r>
    </w:p>
    <w:p w14:paraId="73E97BD3">
      <w:pPr>
        <w:pStyle w:val="27"/>
        <w:ind w:firstLine="480"/>
        <w:rPr>
          <w:rFonts w:hint="default" w:ascii="Times New Roman" w:hAnsi="Times New Roman" w:cs="Times New Roman" w:eastAsiaTheme="minorEastAsia"/>
          <w:color w:val="auto"/>
          <w:highlight w:val="none"/>
        </w:rPr>
      </w:pPr>
      <w:r>
        <w:rPr>
          <w:rFonts w:hint="default" w:ascii="Times New Roman" w:hAnsi="Times New Roman" w:cs="Times New Roman"/>
          <w:color w:val="auto"/>
          <w:szCs w:val="22"/>
          <w:highlight w:val="none"/>
        </w:rPr>
        <w:t>根据托</w:t>
      </w:r>
      <w:r>
        <w:rPr>
          <w:rFonts w:hint="default" w:ascii="Times New Roman" w:hAnsi="Times New Roman" w:cs="Times New Roman"/>
          <w:color w:val="auto"/>
          <w:szCs w:val="22"/>
          <w:highlight w:val="none"/>
          <w:lang w:eastAsia="zh-CN"/>
        </w:rPr>
        <w:t>黑龙江汉风环境检测技术有限公司</w:t>
      </w:r>
      <w:r>
        <w:rPr>
          <w:rFonts w:hint="default" w:ascii="Times New Roman" w:hAnsi="Times New Roman" w:cs="Times New Roman"/>
          <w:color w:val="auto"/>
          <w:szCs w:val="22"/>
          <w:highlight w:val="none"/>
        </w:rPr>
        <w:t>于</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日</w:t>
      </w:r>
      <w:r>
        <w:rPr>
          <w:rFonts w:hint="default" w:ascii="Times New Roman" w:hAnsi="Times New Roman" w:cs="Times New Roman"/>
          <w:color w:val="auto"/>
          <w:szCs w:val="22"/>
          <w:highlight w:val="none"/>
        </w:rPr>
        <w:t>对本项目下风向处的TSP进行现状监测，结果满足《环境空气质量标准》（GB3095-2012）中二级标准。</w:t>
      </w:r>
    </w:p>
    <w:p w14:paraId="5F40364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（2）地表水环境质量现状评价结论</w:t>
      </w:r>
    </w:p>
    <w:p w14:paraId="0B7FEFD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附近地表水体为牤牛河，属于穆棱河水系。根据《全国重要江河湖泊水功能区划（2011—2030年）》规定，本项目区域穆棱河断面水质执行《地表水环境质量标准》（GB3838-2002）中Ⅲ类标准，本项目附近水体牤牛河（穆棱河一级支流）参照Ⅲ类功能水体，因此本工程地表水环境质量执行《地表水环境质量标准》（GB3838-2002）中Ⅲ类水体标准。</w:t>
      </w:r>
    </w:p>
    <w:p w14:paraId="3C99C17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根据黑龙江省生态环境厅《202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年黑龙江省生态环境质量状况》，鸡西市地表水国家考核断面共8个，Ⅰ - Ⅲ类水质比例为62.5%，无劣V类水质断面。与上年同期相比，Ⅰ - Ⅲ类水质比例上升12.5个百分点，均无劣 V 类水质断面。</w:t>
      </w:r>
    </w:p>
    <w:p w14:paraId="61C40F38">
      <w:pPr>
        <w:pStyle w:val="27"/>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小兴凯湖的水质状况为轻度污染，兴凯湖的水质状况为中度污染。鸡西市饮用水水源地水量达标率为100%。</w:t>
      </w:r>
    </w:p>
    <w:p w14:paraId="458D1144">
      <w:pPr>
        <w:pStyle w:val="27"/>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（3）地下水环境质量现状评价结论</w:t>
      </w:r>
    </w:p>
    <w:p w14:paraId="6E40F2B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由以上地下水标准指数分析可知，除铁、锰外，各监测点位的监测因子指标均满足《地下水质量标准》（GB/T14848-2017）中的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类标准要求。铁、锰超标的原因是黑龙江原生地质条件所致。</w:t>
      </w:r>
    </w:p>
    <w:p w14:paraId="4C1DFA4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（4）声环境质量现状评价结论</w:t>
      </w:r>
    </w:p>
    <w:p w14:paraId="15663D6C">
      <w:pPr>
        <w:pStyle w:val="27"/>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通过将环境噪声现状监测结果与标准比较，</w:t>
      </w:r>
      <w:r>
        <w:rPr>
          <w:rFonts w:hint="default" w:ascii="Times New Roman" w:hAnsi="Times New Roman" w:cs="Times New Roman"/>
          <w:color w:val="auto"/>
          <w:highlight w:val="none"/>
        </w:rPr>
        <w:t>厂界监测点均</w:t>
      </w:r>
      <w:r>
        <w:rPr>
          <w:rFonts w:hint="default" w:ascii="Times New Roman" w:hAnsi="Times New Roman" w:cs="Times New Roman"/>
          <w:color w:val="auto"/>
          <w:highlight w:val="none"/>
          <w:lang w:val="zh-CN"/>
        </w:rPr>
        <w:t>满足《声环境质量标准》（GB3096-2008）中的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zh-CN"/>
        </w:rPr>
        <w:t>类标准，敏感点满足《声环境质量标准》（GB3096-2008）中的1、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rPr>
        <w:t>类标准。</w:t>
      </w:r>
    </w:p>
    <w:p w14:paraId="3C9B21F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（5）土壤现状评价结论</w:t>
      </w:r>
    </w:p>
    <w:p w14:paraId="7AFA142C">
      <w:pPr>
        <w:pStyle w:val="27"/>
        <w:bidi w:val="0"/>
        <w:rPr>
          <w:rFonts w:hint="default" w:ascii="Times New Roman" w:hAnsi="Times New Roman" w:cs="Times New Roman"/>
          <w:color w:val="auto"/>
          <w:highlight w:val="none"/>
        </w:rPr>
      </w:pPr>
      <w:bookmarkStart w:id="409" w:name="_Toc31556"/>
      <w:bookmarkStart w:id="410" w:name="_Toc15991738"/>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占地</w:t>
      </w:r>
      <w:r>
        <w:rPr>
          <w:rFonts w:hint="default" w:ascii="Times New Roman" w:hAnsi="Times New Roman" w:cs="Times New Roman"/>
          <w:color w:val="auto"/>
          <w:highlight w:val="none"/>
        </w:rPr>
        <w:t>范围内的</w:t>
      </w:r>
      <w:r>
        <w:rPr>
          <w:rFonts w:hint="default" w:ascii="Times New Roman" w:hAnsi="Times New Roman" w:cs="Times New Roman"/>
          <w:color w:val="auto"/>
          <w:highlight w:val="none"/>
          <w:lang w:val="en-US" w:eastAsia="zh-CN"/>
        </w:rPr>
        <w:t>S1、S2</w:t>
      </w:r>
      <w:r>
        <w:rPr>
          <w:rFonts w:hint="default" w:ascii="Times New Roman" w:hAnsi="Times New Roman" w:cs="Times New Roman"/>
          <w:color w:val="auto"/>
          <w:highlight w:val="none"/>
        </w:rPr>
        <w:t>执行《土壤环境质量 建设用地土壤污染风险管控标准（试行）》（GB36600-2018）表1建设用地土壤污染风险筛选值和管制值（基本项目）中的第二类用地标准，</w:t>
      </w:r>
      <w:r>
        <w:rPr>
          <w:rFonts w:hint="default" w:ascii="Times New Roman" w:hAnsi="Times New Roman" w:cs="Times New Roman"/>
          <w:color w:val="auto"/>
          <w:highlight w:val="none"/>
          <w:lang w:val="en-US" w:eastAsia="zh-CN"/>
        </w:rPr>
        <w:t>S3、S4、及占地范围</w:t>
      </w:r>
      <w:r>
        <w:rPr>
          <w:rFonts w:hint="default" w:ascii="Times New Roman" w:hAnsi="Times New Roman" w:cs="Times New Roman"/>
          <w:color w:val="auto"/>
          <w:highlight w:val="none"/>
        </w:rPr>
        <w:t>外的</w:t>
      </w:r>
      <w:r>
        <w:rPr>
          <w:rFonts w:hint="default" w:ascii="Times New Roman" w:hAnsi="Times New Roman" w:cs="Times New Roman"/>
          <w:color w:val="auto"/>
          <w:highlight w:val="none"/>
          <w:lang w:val="en-US" w:eastAsia="zh-CN"/>
        </w:rPr>
        <w:t>S5、S6</w:t>
      </w:r>
      <w:r>
        <w:rPr>
          <w:rFonts w:hint="default" w:ascii="Times New Roman" w:hAnsi="Times New Roman" w:cs="Times New Roman"/>
          <w:color w:val="auto"/>
          <w:highlight w:val="none"/>
        </w:rPr>
        <w:t>土壤环境执行《土壤环境质量 农用地土壤污染风险管控标准（试行）》（GB15618-2018）表1农用地土壤污染风险筛选值（基本项目）。</w:t>
      </w:r>
    </w:p>
    <w:p w14:paraId="3300C0D7">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9.1.4污染防治措施可行性结论</w:t>
      </w:r>
      <w:bookmarkEnd w:id="409"/>
      <w:bookmarkEnd w:id="410"/>
    </w:p>
    <w:p w14:paraId="3EF2C6DB">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9.1.4.1施工期</w:t>
      </w:r>
    </w:p>
    <w:p w14:paraId="02C395BB">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w:t>
      </w:r>
    </w:p>
    <w:p w14:paraId="2453D611">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气为施工扬尘、燃油废气。施工场地、道路采取洒水和清扫措施抑尘，土方采用苫布苫盖，运输车加盖篷布；定期对车辆设备进行维护保养，禁止以柴油为燃料的施工机械超负荷工作，减小燃油废气影响。</w:t>
      </w:r>
    </w:p>
    <w:p w14:paraId="078C4C87">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运输车辆采取加盖篷布、密封仓等措施，运输道路及时洒水降尘，</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到场后按照指定点卸车，且做到随卸随填，控制自卸汽车卸料高度；根据项目地区实际天气情况制定合理的洒水制度，并严格执行；分区分单元作业，，每日作业后对表面及时采用苫布覆盖，非作业面以及已碾实的</w:t>
      </w:r>
      <w:r>
        <w:rPr>
          <w:rFonts w:hint="default" w:ascii="Times New Roman" w:hAnsi="Times New Roman" w:cs="Times New Roman"/>
          <w:color w:val="auto"/>
          <w:highlight w:val="none"/>
          <w:lang w:eastAsia="zh-CN"/>
        </w:rPr>
        <w:t>粉煤灰</w:t>
      </w:r>
      <w:r>
        <w:rPr>
          <w:rFonts w:hint="default" w:ascii="Times New Roman" w:hAnsi="Times New Roman" w:cs="Times New Roman"/>
          <w:color w:val="auto"/>
          <w:highlight w:val="none"/>
        </w:rPr>
        <w:t>表面采用苫布覆盖；对大风等特殊气象条件，停止作业，并加大洒水强度。在采取上述措施后，厂界颗粒物浓度可达到《大气污染物综合排放标准》（GB16297-1996）中的表2无组织排放监控浓度限值。</w:t>
      </w:r>
    </w:p>
    <w:p w14:paraId="3F480752">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2、废水</w:t>
      </w:r>
    </w:p>
    <w:p w14:paraId="13821C9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用水主要为</w:t>
      </w:r>
      <w:r>
        <w:rPr>
          <w:rFonts w:hint="default" w:ascii="Times New Roman" w:hAnsi="Times New Roman" w:cs="Times New Roman"/>
          <w:color w:val="auto"/>
          <w:highlight w:val="none"/>
        </w:rPr>
        <w:t>道路洒水和回填工作面抑尘洒水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现场不设机械和车辆冲洗装置，不设置生活区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废水主要</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施工废水</w:t>
      </w:r>
      <w:r>
        <w:rPr>
          <w:rFonts w:hint="default" w:ascii="Times New Roman" w:hAnsi="Times New Roman" w:cs="Times New Roman"/>
          <w:color w:val="auto"/>
          <w:highlight w:val="none"/>
          <w:lang w:eastAsia="zh-CN"/>
        </w:rPr>
        <w:t>，</w:t>
      </w:r>
    </w:p>
    <w:p w14:paraId="743A818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在施工场地内设置</w:t>
      </w:r>
      <w:r>
        <w:rPr>
          <w:rFonts w:hint="default" w:ascii="Times New Roman" w:hAnsi="Times New Roman" w:cs="Times New Roman"/>
          <w:color w:val="auto"/>
          <w:highlight w:val="none"/>
          <w:lang w:val="en-US" w:eastAsia="zh-CN"/>
        </w:rPr>
        <w:t>淋溶水收集池</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收集强降雨产生的淋溶水，</w:t>
      </w:r>
      <w:r>
        <w:rPr>
          <w:rFonts w:hint="default" w:ascii="Times New Roman" w:hAnsi="Times New Roman" w:cs="Times New Roman"/>
          <w:color w:val="auto"/>
          <w:highlight w:val="none"/>
        </w:rPr>
        <w:t>回用洒水降尘。</w:t>
      </w:r>
    </w:p>
    <w:p w14:paraId="5667CF9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综上，本项目施工期产生废水经相应措施处理后均不外排，不会对周围水环 境造成影响。</w:t>
      </w:r>
    </w:p>
    <w:p w14:paraId="4325D430">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3、噪声</w:t>
      </w:r>
    </w:p>
    <w:p w14:paraId="1D4A0E74">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施工机械噪声、运输噪声。合理安排施工时间（晚间22:00-6:00）严禁高噪声设备施工，尽量避免高噪声设备同时运行。优先选用低噪声设备，做好施工机械的维护和保养，减小施工机械噪声影响。加强运输车辆管理，严禁超速超载，减小运输噪声影响。</w:t>
      </w:r>
    </w:p>
    <w:p w14:paraId="3D1949E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4、固废</w:t>
      </w:r>
    </w:p>
    <w:p w14:paraId="4DFFD427">
      <w:pPr>
        <w:pStyle w:val="27"/>
        <w:bidi w:val="0"/>
        <w:rPr>
          <w:rFonts w:hint="default" w:ascii="Times New Roman" w:hAnsi="Times New Roman" w:cs="Times New Roman"/>
          <w:color w:val="auto"/>
          <w:highlight w:val="none"/>
        </w:rPr>
      </w:pPr>
      <w:bookmarkStart w:id="411" w:name="_Toc15991739"/>
      <w:r>
        <w:rPr>
          <w:rFonts w:hint="default" w:ascii="Times New Roman" w:hAnsi="Times New Roman" w:cs="Times New Roman"/>
          <w:color w:val="auto"/>
          <w:highlight w:val="none"/>
        </w:rPr>
        <w:t>固体废物主要为排水沟开挖产生的土方、建筑废弃物、清基杂物施工中的固废均为一般固体废物。</w:t>
      </w:r>
    </w:p>
    <w:p w14:paraId="5E91495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场地清理废物。建筑材料下脚料、包装袋等建筑废弃物，外售废品回收部门；场地清理废物包含杂草、草木根茎、杂物等，集中收集后交由市政部门统一处理。生活垃圾集中收集，交由市政部门统一处理。本项目</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产生的固体废物均可以得到安全、妥善地处理处置，对周围环境影响较小。</w:t>
      </w:r>
    </w:p>
    <w:p w14:paraId="0BCC8DC3">
      <w:pPr>
        <w:pStyle w:val="2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5、生态</w:t>
      </w:r>
    </w:p>
    <w:p w14:paraId="54CC7D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color w:val="auto"/>
          <w:kern w:val="21"/>
          <w:sz w:val="24"/>
          <w:szCs w:val="24"/>
          <w:highlight w:val="none"/>
          <w:u w:val="none"/>
          <w:lang w:val="en-US" w:eastAsia="zh-CN"/>
        </w:rPr>
      </w:pPr>
      <w:r>
        <w:rPr>
          <w:rFonts w:hint="default" w:ascii="Times New Roman" w:hAnsi="Times New Roman" w:eastAsia="宋体" w:cs="Times New Roman"/>
          <w:b w:val="0"/>
          <w:color w:val="auto"/>
          <w:kern w:val="21"/>
          <w:sz w:val="24"/>
          <w:szCs w:val="24"/>
          <w:highlight w:val="none"/>
          <w:u w:val="none"/>
          <w:lang w:val="en-US" w:eastAsia="zh-CN"/>
        </w:rPr>
        <w:t>项目施工期设备运行噪声可能会驱散附近动物</w:t>
      </w:r>
      <w:r>
        <w:rPr>
          <w:rFonts w:hint="default" w:ascii="Times New Roman" w:hAnsi="Times New Roman" w:eastAsia="宋体" w:cs="Times New Roman"/>
          <w:color w:val="auto"/>
          <w:kern w:val="21"/>
          <w:sz w:val="24"/>
          <w:szCs w:val="22"/>
          <w:highlight w:val="none"/>
          <w:u w:val="none"/>
          <w:lang w:val="en-US" w:eastAsia="zh-CN"/>
        </w:rPr>
        <w:t>产生间接生态影响</w:t>
      </w:r>
      <w:r>
        <w:rPr>
          <w:rFonts w:hint="default" w:ascii="Times New Roman" w:hAnsi="Times New Roman" w:eastAsia="宋体" w:cs="Times New Roman"/>
          <w:b w:val="0"/>
          <w:color w:val="auto"/>
          <w:kern w:val="21"/>
          <w:sz w:val="24"/>
          <w:szCs w:val="24"/>
          <w:highlight w:val="none"/>
          <w:u w:val="none"/>
          <w:lang w:val="en-US" w:eastAsia="zh-CN"/>
        </w:rPr>
        <w:t>。主要影响对象为动物分布范围、种群数量、种群结构、行为等。</w:t>
      </w:r>
      <w:r>
        <w:rPr>
          <w:rFonts w:hint="default" w:ascii="Times New Roman" w:hAnsi="Times New Roman" w:eastAsia="宋体" w:cs="Times New Roman"/>
          <w:color w:val="auto"/>
          <w:kern w:val="21"/>
          <w:sz w:val="24"/>
          <w:szCs w:val="22"/>
          <w:highlight w:val="none"/>
          <w:u w:val="none"/>
          <w:lang w:val="en-US" w:eastAsia="zh-CN"/>
        </w:rPr>
        <w:t>影响性质为长期不可逆，影响程度较弱。</w:t>
      </w:r>
      <w:r>
        <w:rPr>
          <w:rFonts w:hint="default" w:ascii="Times New Roman" w:hAnsi="Times New Roman" w:eastAsia="宋体" w:cs="Times New Roman"/>
          <w:b w:val="0"/>
          <w:color w:val="auto"/>
          <w:kern w:val="21"/>
          <w:sz w:val="24"/>
          <w:szCs w:val="24"/>
          <w:highlight w:val="none"/>
          <w:u w:val="none"/>
          <w:lang w:val="en-US" w:eastAsia="zh-CN"/>
        </w:rPr>
        <w:t>施工期设备运行产生的噪声对周边生活的动物产生一定影响，主要是驱赶的影响，迫使其迁移他处。大多数动物对噪声较为敏感，噪声将使其远离项目，缩小其生境范围；鸟类对噪声最为敏感，且分布广，相对来说对鸟类影响程度最大。但这种噪声持续时间较长，鸟类对长期而无害的噪声会有一定适应性，对其影响较小。</w:t>
      </w:r>
    </w:p>
    <w:p w14:paraId="111EB666">
      <w:pPr>
        <w:pStyle w:val="1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21"/>
          <w:sz w:val="24"/>
          <w:szCs w:val="22"/>
          <w:highlight w:val="none"/>
          <w:u w:val="none"/>
          <w:lang w:val="en-US" w:eastAsia="zh-CN"/>
        </w:rPr>
      </w:pPr>
      <w:r>
        <w:rPr>
          <w:rFonts w:hint="default" w:ascii="Times New Roman" w:hAnsi="Times New Roman" w:eastAsia="宋体" w:cs="Times New Roman"/>
          <w:b w:val="0"/>
          <w:color w:val="auto"/>
          <w:kern w:val="21"/>
          <w:sz w:val="24"/>
          <w:szCs w:val="24"/>
          <w:highlight w:val="none"/>
          <w:u w:val="none"/>
          <w:lang w:val="en-US" w:eastAsia="zh-CN"/>
        </w:rPr>
        <w:t>综上所述，项目施工期对区域生态环境的影响可以接受，从环境保护的角度分析，项目的建设是可行的</w:t>
      </w:r>
      <w:r>
        <w:rPr>
          <w:rFonts w:hint="default" w:ascii="Times New Roman" w:hAnsi="Times New Roman" w:eastAsia="宋体" w:cs="Times New Roman"/>
          <w:color w:val="auto"/>
          <w:spacing w:val="0"/>
          <w:kern w:val="21"/>
          <w:sz w:val="24"/>
          <w:szCs w:val="22"/>
          <w:highlight w:val="none"/>
          <w:u w:val="none"/>
        </w:rPr>
        <w:t>。</w:t>
      </w:r>
    </w:p>
    <w:p w14:paraId="7C3501E2">
      <w:pPr>
        <w:pStyle w:val="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9.1.4.2生态恢复期</w:t>
      </w:r>
    </w:p>
    <w:p w14:paraId="30BFC705">
      <w:pPr>
        <w:pStyle w:val="27"/>
        <w:bidi w:val="0"/>
        <w:rPr>
          <w:rFonts w:hint="default" w:ascii="Times New Roman" w:hAnsi="Times New Roman" w:cs="Times New Roman"/>
          <w:color w:val="auto"/>
          <w:highlight w:val="none"/>
        </w:rPr>
      </w:pPr>
      <w:bookmarkStart w:id="412" w:name="_Toc10118"/>
      <w:r>
        <w:rPr>
          <w:rFonts w:hint="default" w:ascii="Times New Roman" w:hAnsi="Times New Roman" w:cs="Times New Roman"/>
          <w:color w:val="auto"/>
          <w:highlight w:val="none"/>
        </w:rPr>
        <w:t>生态恢复期为回填复垦结束后</w:t>
      </w:r>
      <w:r>
        <w:rPr>
          <w:rFonts w:hint="default" w:ascii="Times New Roman" w:hAnsi="Times New Roman" w:cs="Times New Roman"/>
          <w:color w:val="auto"/>
          <w:highlight w:val="none"/>
          <w:lang w:eastAsia="zh-CN"/>
        </w:rPr>
        <w:t>林地</w:t>
      </w:r>
      <w:r>
        <w:rPr>
          <w:rFonts w:hint="default" w:ascii="Times New Roman" w:hAnsi="Times New Roman" w:cs="Times New Roman"/>
          <w:color w:val="auto"/>
          <w:highlight w:val="none"/>
        </w:rPr>
        <w:t>的自然恢复期，</w:t>
      </w:r>
      <w:r>
        <w:rPr>
          <w:rFonts w:hint="default" w:ascii="Times New Roman" w:hAnsi="Times New Roman" w:cs="Times New Roman"/>
          <w:color w:val="auto"/>
          <w:highlight w:val="none"/>
          <w:lang w:val="en-US" w:eastAsia="zh-CN"/>
        </w:rPr>
        <w:t>定期巡护，保证林地、耕地生长状况</w:t>
      </w:r>
      <w:r>
        <w:rPr>
          <w:rFonts w:hint="default" w:ascii="Times New Roman" w:hAnsi="Times New Roman" w:cs="Times New Roman"/>
          <w:color w:val="auto"/>
          <w:highlight w:val="none"/>
        </w:rPr>
        <w:t>。</w:t>
      </w:r>
    </w:p>
    <w:p w14:paraId="5628F42F">
      <w:pPr>
        <w:pStyle w:val="41"/>
        <w:rPr>
          <w:rFonts w:hint="default" w:ascii="Times New Roman" w:hAnsi="Times New Roman" w:cs="Times New Roman"/>
          <w:b/>
          <w:color w:val="auto"/>
          <w:highlight w:val="none"/>
        </w:rPr>
      </w:pPr>
      <w:r>
        <w:rPr>
          <w:rFonts w:hint="default" w:ascii="Times New Roman" w:hAnsi="Times New Roman" w:cs="Times New Roman"/>
          <w:color w:val="auto"/>
          <w:highlight w:val="none"/>
        </w:rPr>
        <w:t>9.1.5经济损益分析结论</w:t>
      </w:r>
      <w:bookmarkEnd w:id="411"/>
      <w:bookmarkEnd w:id="412"/>
    </w:p>
    <w:p w14:paraId="7C2CA59C">
      <w:pPr>
        <w:pStyle w:val="27"/>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本项目的建设具有良好的社会效益和经济效益，不会对当地环境产生明显不利影响，因此该项目的实施做到了社会效益、经济效益和环境效益的同步发展。</w:t>
      </w:r>
    </w:p>
    <w:p w14:paraId="57DA3926">
      <w:pPr>
        <w:pStyle w:val="41"/>
        <w:rPr>
          <w:rFonts w:hint="default" w:ascii="Times New Roman" w:hAnsi="Times New Roman" w:cs="Times New Roman"/>
          <w:b/>
          <w:color w:val="auto"/>
          <w:highlight w:val="none"/>
        </w:rPr>
      </w:pPr>
      <w:bookmarkStart w:id="413" w:name="_Toc15991740"/>
      <w:bookmarkStart w:id="414" w:name="_Toc486255152"/>
      <w:bookmarkStart w:id="415" w:name="_Toc7905"/>
      <w:r>
        <w:rPr>
          <w:rFonts w:hint="default" w:ascii="Times New Roman" w:hAnsi="Times New Roman" w:cs="Times New Roman"/>
          <w:color w:val="auto"/>
          <w:highlight w:val="none"/>
        </w:rPr>
        <w:t>9.1.6环境管理与监测结论</w:t>
      </w:r>
      <w:bookmarkEnd w:id="413"/>
      <w:bookmarkEnd w:id="414"/>
      <w:bookmarkEnd w:id="415"/>
    </w:p>
    <w:p w14:paraId="69CF3ACC">
      <w:pPr>
        <w:pStyle w:val="27"/>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项目回填复垦期通过加强建设和运行的环境管理与监控，建立健全安全生产管理制度，制订科学严谨的操作规程，通过职工操作技能培训，提高危险辨识、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4E0F95B3">
      <w:pPr>
        <w:pStyle w:val="41"/>
        <w:rPr>
          <w:rFonts w:hint="default" w:ascii="Times New Roman" w:hAnsi="Times New Roman" w:cs="Times New Roman"/>
          <w:color w:val="auto"/>
          <w:highlight w:val="none"/>
        </w:rPr>
      </w:pPr>
      <w:bookmarkStart w:id="416" w:name="_Toc15991741"/>
      <w:bookmarkStart w:id="417" w:name="_Toc486255150"/>
      <w:bookmarkStart w:id="418" w:name="_Toc9503"/>
      <w:r>
        <w:rPr>
          <w:rFonts w:hint="default" w:ascii="Times New Roman" w:hAnsi="Times New Roman" w:cs="Times New Roman"/>
          <w:color w:val="auto"/>
          <w:highlight w:val="none"/>
        </w:rPr>
        <w:t>9.1.7公众意见采纳情况</w:t>
      </w:r>
      <w:bookmarkEnd w:id="416"/>
      <w:bookmarkEnd w:id="417"/>
      <w:bookmarkEnd w:id="418"/>
    </w:p>
    <w:p w14:paraId="45F5A70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建设单位于202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26</w:t>
      </w:r>
      <w:r>
        <w:rPr>
          <w:rFonts w:hint="default" w:ascii="Times New Roman" w:hAnsi="Times New Roman" w:cs="Times New Roman"/>
          <w:color w:val="auto"/>
          <w:highlight w:val="none"/>
        </w:rPr>
        <w:t>日在</w:t>
      </w:r>
      <w:r>
        <w:rPr>
          <w:rFonts w:hint="default" w:ascii="Times New Roman" w:hAnsi="Times New Roman" w:cs="Times New Roman"/>
          <w:color w:val="auto"/>
          <w:highlight w:val="none"/>
          <w:lang w:val="en-US" w:eastAsia="zh-CN"/>
        </w:rPr>
        <w:t>鸡西市滴道区人民政府</w:t>
      </w:r>
      <w:r>
        <w:rPr>
          <w:rFonts w:hint="default" w:ascii="Times New Roman" w:hAnsi="Times New Roman" w:cs="Times New Roman"/>
          <w:color w:val="auto"/>
          <w:highlight w:val="none"/>
        </w:rPr>
        <w:t>网站（</w:t>
      </w:r>
      <w:r>
        <w:rPr>
          <w:rFonts w:hint="default" w:ascii="Times New Roman" w:hAnsi="Times New Roman" w:cs="Times New Roman"/>
          <w:color w:val="auto"/>
          <w:highlight w:val="none"/>
          <w:lang w:eastAsia="zh-CN"/>
        </w:rPr>
        <w:t>http://www.didaoqu.gov.cn/</w:t>
      </w:r>
      <w:r>
        <w:rPr>
          <w:rFonts w:hint="default" w:ascii="Times New Roman" w:hAnsi="Times New Roman" w:cs="Times New Roman"/>
          <w:color w:val="auto"/>
          <w:highlight w:val="none"/>
        </w:rPr>
        <w:t>）对</w:t>
      </w: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项目进行了第一次公示；202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日编制完成了征求意见稿后，</w:t>
      </w:r>
      <w:r>
        <w:rPr>
          <w:rFonts w:hint="default" w:ascii="Times New Roman" w:hAnsi="Times New Roman" w:cs="Times New Roman"/>
          <w:color w:val="auto"/>
          <w:highlight w:val="none"/>
          <w:lang w:val="en-US" w:eastAsia="zh-CN"/>
        </w:rPr>
        <w:t>在鸡西市滴道区人民政府网站（http://www.didaoqu.gov.cn/）</w:t>
      </w:r>
      <w:r>
        <w:rPr>
          <w:rFonts w:hint="default" w:ascii="Times New Roman" w:hAnsi="Times New Roman" w:cs="Times New Roman"/>
          <w:color w:val="auto"/>
          <w:highlight w:val="none"/>
        </w:rPr>
        <w:t>对环境影响报告书的征求意见稿进行了公示，在此期间，分别于202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日和</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26</w:t>
      </w:r>
      <w:r>
        <w:rPr>
          <w:rFonts w:hint="default" w:ascii="Times New Roman" w:hAnsi="Times New Roman" w:cs="Times New Roman"/>
          <w:color w:val="auto"/>
          <w:highlight w:val="none"/>
        </w:rPr>
        <w:t>日在黑龙江日报上报纸公示了2次，且在附近张贴了布告栏公示。于202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日在</w:t>
      </w:r>
      <w:r>
        <w:rPr>
          <w:rFonts w:hint="default" w:ascii="Times New Roman" w:hAnsi="Times New Roman" w:cs="Times New Roman"/>
          <w:color w:val="auto"/>
          <w:highlight w:val="none"/>
          <w:lang w:val="en-US" w:eastAsia="zh-CN"/>
        </w:rPr>
        <w:t>鸡西市滴道区人民政府</w:t>
      </w:r>
      <w:r>
        <w:rPr>
          <w:rFonts w:hint="default" w:ascii="Times New Roman" w:hAnsi="Times New Roman" w:cs="Times New Roman"/>
          <w:color w:val="auto"/>
          <w:highlight w:val="none"/>
        </w:rPr>
        <w:t>网站（</w:t>
      </w:r>
      <w:r>
        <w:rPr>
          <w:rFonts w:hint="default" w:ascii="Times New Roman" w:hAnsi="Times New Roman" w:cs="Times New Roman"/>
          <w:color w:val="auto"/>
          <w:highlight w:val="none"/>
          <w:lang w:eastAsia="zh-CN"/>
        </w:rPr>
        <w:t>http://www.didaoqu.gov.cn/</w:t>
      </w:r>
      <w:r>
        <w:rPr>
          <w:rFonts w:hint="default" w:ascii="Times New Roman" w:hAnsi="Times New Roman" w:cs="Times New Roman"/>
          <w:color w:val="auto"/>
          <w:highlight w:val="none"/>
        </w:rPr>
        <w:t>）进行了报批前公示。项目信息公告公示期间，均未收到公众以电话、信件或电子邮件等任何形式发回的反馈意见。</w:t>
      </w:r>
    </w:p>
    <w:p w14:paraId="5478F702">
      <w:pPr>
        <w:pStyle w:val="41"/>
        <w:rPr>
          <w:rFonts w:hint="default" w:ascii="Times New Roman" w:hAnsi="Times New Roman" w:cs="Times New Roman"/>
          <w:b/>
          <w:color w:val="auto"/>
          <w:highlight w:val="none"/>
        </w:rPr>
      </w:pPr>
      <w:bookmarkStart w:id="419" w:name="_Toc285188950"/>
      <w:bookmarkStart w:id="420" w:name="_Toc15991742"/>
      <w:bookmarkStart w:id="421" w:name="_Toc27497"/>
      <w:bookmarkStart w:id="422" w:name="_Toc342462538"/>
      <w:r>
        <w:rPr>
          <w:rFonts w:hint="default" w:ascii="Times New Roman" w:hAnsi="Times New Roman" w:cs="Times New Roman"/>
          <w:color w:val="auto"/>
          <w:highlight w:val="none"/>
        </w:rPr>
        <w:t>9.1.8总结论</w:t>
      </w:r>
      <w:bookmarkEnd w:id="419"/>
      <w:bookmarkEnd w:id="420"/>
      <w:bookmarkEnd w:id="421"/>
      <w:bookmarkEnd w:id="422"/>
    </w:p>
    <w:p w14:paraId="4BB1970E">
      <w:pPr>
        <w:pStyle w:val="27"/>
        <w:bidi w:val="0"/>
        <w:rPr>
          <w:rFonts w:hint="default" w:ascii="Times New Roman" w:hAnsi="Times New Roman" w:cs="Times New Roman"/>
          <w:color w:val="auto"/>
          <w:highlight w:val="none"/>
        </w:rPr>
      </w:pPr>
      <w:bookmarkStart w:id="423" w:name="_Toc15991743"/>
      <w:bookmarkStart w:id="424" w:name="_Toc477368707"/>
      <w:bookmarkStart w:id="425" w:name="_Toc119316827"/>
      <w:r>
        <w:rPr>
          <w:rFonts w:hint="default" w:ascii="Times New Roman" w:hAnsi="Times New Roman" w:cs="Times New Roman"/>
          <w:color w:val="auto"/>
          <w:highlight w:val="none"/>
        </w:rPr>
        <w:t>本项目符合国家产业政策要求，在坚持“三同时”原则、采取相应的环保措施并严格执行各种污染物排放标准的情况下，可实现污染物稳定达标排放，通过加强环境管理和环境监测，杜绝事故发生，本项目建设可被周围环境所接受。</w:t>
      </w:r>
    </w:p>
    <w:p w14:paraId="76FCDC4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因此，从环境保护角度分析，本项目具有可行性。</w:t>
      </w:r>
    </w:p>
    <w:p w14:paraId="5D9CB5F0">
      <w:pPr>
        <w:pStyle w:val="43"/>
        <w:rPr>
          <w:rFonts w:hint="default" w:ascii="Times New Roman" w:hAnsi="Times New Roman" w:cs="Times New Roman"/>
          <w:snapToGrid w:val="0"/>
          <w:color w:val="auto"/>
          <w:highlight w:val="none"/>
        </w:rPr>
      </w:pPr>
      <w:bookmarkStart w:id="426" w:name="_Toc29615"/>
      <w:bookmarkStart w:id="427" w:name="_Toc19930"/>
      <w:bookmarkStart w:id="428" w:name="_Toc152926845"/>
      <w:r>
        <w:rPr>
          <w:rFonts w:hint="default" w:ascii="Times New Roman" w:hAnsi="Times New Roman" w:cs="Times New Roman"/>
          <w:snapToGrid w:val="0"/>
          <w:color w:val="auto"/>
          <w:highlight w:val="none"/>
        </w:rPr>
        <w:t>9.2建议</w:t>
      </w:r>
      <w:bookmarkEnd w:id="423"/>
      <w:bookmarkEnd w:id="424"/>
      <w:bookmarkEnd w:id="425"/>
      <w:bookmarkEnd w:id="426"/>
      <w:bookmarkEnd w:id="427"/>
      <w:bookmarkEnd w:id="428"/>
    </w:p>
    <w:p w14:paraId="5FFCA01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关心并积极听取可能受项目环境影响的附近居民的反映，定期向项目管理者和当地环保部门汇报项目环境保护工作的情况。遵守有关环境法律、法规，树立良好的企业形象，实现经济效益与社会效益、环境效益相统一。</w:t>
      </w:r>
    </w:p>
    <w:p w14:paraId="4774644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w:t>
      </w: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rPr>
        <w:t>程中严格按照设计要求进行，加强设备运行维护，保证环保设备性能保持在最佳状态，效果最好。</w:t>
      </w:r>
    </w:p>
    <w:p w14:paraId="7B67DAFB">
      <w:pPr>
        <w:pStyle w:val="27"/>
        <w:bidi w:val="0"/>
        <w:rPr>
          <w:rFonts w:hint="default" w:ascii="Times New Roman" w:hAnsi="Times New Roman" w:cs="Times New Roman"/>
          <w:color w:val="auto"/>
          <w:highlight w:val="none"/>
        </w:rPr>
      </w:pPr>
    </w:p>
    <w:p w14:paraId="61E4307C">
      <w:pPr>
        <w:pStyle w:val="27"/>
        <w:bidi w:val="0"/>
        <w:rPr>
          <w:rFonts w:hint="default" w:ascii="Times New Roman" w:hAnsi="Times New Roman" w:cs="Times New Roman"/>
          <w:color w:val="auto"/>
          <w:highlight w:val="none"/>
        </w:rPr>
      </w:pPr>
    </w:p>
    <w:p w14:paraId="55645B8A">
      <w:pPr>
        <w:pStyle w:val="27"/>
        <w:bidi w:val="0"/>
        <w:rPr>
          <w:rFonts w:hint="default" w:ascii="Times New Roman" w:hAnsi="Times New Roman" w:cs="Times New Roman"/>
          <w:color w:val="auto"/>
          <w:highlight w:val="none"/>
        </w:rPr>
      </w:pPr>
    </w:p>
    <w:p w14:paraId="05B80466">
      <w:pPr>
        <w:pStyle w:val="27"/>
        <w:bidi w:val="0"/>
        <w:rPr>
          <w:rFonts w:hint="default" w:ascii="Times New Roman" w:hAnsi="Times New Roman" w:cs="Times New Roman"/>
          <w:color w:val="auto"/>
          <w:highlight w:val="none"/>
        </w:rPr>
      </w:pPr>
    </w:p>
    <w:p w14:paraId="4FF76FE1">
      <w:pPr>
        <w:pStyle w:val="27"/>
        <w:bidi w:val="0"/>
        <w:rPr>
          <w:rFonts w:hint="default" w:ascii="Times New Roman" w:hAnsi="Times New Roman" w:cs="Times New Roman"/>
          <w:color w:val="auto"/>
          <w:highlight w:val="none"/>
        </w:rPr>
      </w:pPr>
    </w:p>
    <w:p w14:paraId="34917455">
      <w:pPr>
        <w:pStyle w:val="27"/>
        <w:bidi w:val="0"/>
        <w:rPr>
          <w:rFonts w:hint="default" w:ascii="Times New Roman" w:hAnsi="Times New Roman" w:cs="Times New Roman"/>
          <w:color w:val="auto"/>
          <w:highlight w:val="none"/>
        </w:rPr>
      </w:pPr>
    </w:p>
    <w:p w14:paraId="1E22BA70">
      <w:pPr>
        <w:pStyle w:val="27"/>
        <w:bidi w:val="0"/>
        <w:rPr>
          <w:rFonts w:hint="default" w:ascii="Times New Roman" w:hAnsi="Times New Roman" w:cs="Times New Roman"/>
          <w:color w:val="auto"/>
          <w:highlight w:val="none"/>
        </w:rPr>
      </w:pPr>
    </w:p>
    <w:p w14:paraId="7AC38E64">
      <w:pPr>
        <w:pStyle w:val="27"/>
        <w:bidi w:val="0"/>
        <w:rPr>
          <w:rFonts w:hint="default" w:ascii="Times New Roman" w:hAnsi="Times New Roman" w:cs="Times New Roman"/>
          <w:color w:val="auto"/>
          <w:highlight w:val="none"/>
        </w:rPr>
      </w:pPr>
    </w:p>
    <w:p w14:paraId="55150CAC">
      <w:pPr>
        <w:pStyle w:val="27"/>
        <w:bidi w:val="0"/>
        <w:rPr>
          <w:rFonts w:hint="default" w:ascii="Times New Roman" w:hAnsi="Times New Roman" w:cs="Times New Roman"/>
          <w:color w:val="auto"/>
          <w:highlight w:val="none"/>
        </w:rPr>
      </w:pPr>
    </w:p>
    <w:p w14:paraId="22A43898">
      <w:pPr>
        <w:pStyle w:val="27"/>
        <w:bidi w:val="0"/>
        <w:rPr>
          <w:rFonts w:hint="default" w:ascii="Times New Roman" w:hAnsi="Times New Roman" w:cs="Times New Roman"/>
          <w:color w:val="auto"/>
          <w:highlight w:val="none"/>
        </w:rPr>
      </w:pPr>
    </w:p>
    <w:p w14:paraId="372D48C6">
      <w:pPr>
        <w:pStyle w:val="27"/>
        <w:bidi w:val="0"/>
        <w:rPr>
          <w:rFonts w:hint="default" w:ascii="Times New Roman" w:hAnsi="Times New Roman" w:cs="Times New Roman"/>
          <w:color w:val="auto"/>
          <w:highlight w:val="none"/>
        </w:rPr>
      </w:pPr>
    </w:p>
    <w:p w14:paraId="5932A452">
      <w:pPr>
        <w:pStyle w:val="27"/>
        <w:bidi w:val="0"/>
        <w:rPr>
          <w:rFonts w:hint="default" w:ascii="Times New Roman" w:hAnsi="Times New Roman" w:cs="Times New Roman"/>
          <w:color w:val="auto"/>
          <w:highlight w:val="none"/>
        </w:rPr>
      </w:pPr>
    </w:p>
    <w:p w14:paraId="3C496452">
      <w:pPr>
        <w:pStyle w:val="27"/>
        <w:bidi w:val="0"/>
        <w:rPr>
          <w:rFonts w:hint="default" w:ascii="Times New Roman" w:hAnsi="Times New Roman" w:cs="Times New Roman"/>
          <w:color w:val="auto"/>
          <w:highlight w:val="none"/>
        </w:rPr>
      </w:pPr>
    </w:p>
    <w:p w14:paraId="37FBB826">
      <w:pPr>
        <w:pStyle w:val="27"/>
        <w:bidi w:val="0"/>
        <w:rPr>
          <w:rFonts w:hint="default" w:ascii="Times New Roman" w:hAnsi="Times New Roman" w:cs="Times New Roman"/>
          <w:color w:val="auto"/>
          <w:highlight w:val="none"/>
        </w:rPr>
      </w:pPr>
    </w:p>
    <w:p w14:paraId="4A1C24D0">
      <w:pPr>
        <w:pStyle w:val="27"/>
        <w:bidi w:val="0"/>
        <w:rPr>
          <w:rFonts w:hint="default" w:ascii="Times New Roman" w:hAnsi="Times New Roman" w:cs="Times New Roman"/>
          <w:color w:val="auto"/>
          <w:highlight w:val="none"/>
        </w:rPr>
      </w:pPr>
    </w:p>
    <w:p w14:paraId="5A6767D2">
      <w:pPr>
        <w:pStyle w:val="27"/>
        <w:bidi w:val="0"/>
        <w:rPr>
          <w:rFonts w:hint="default" w:ascii="Times New Roman" w:hAnsi="Times New Roman" w:cs="Times New Roman"/>
          <w:color w:val="auto"/>
          <w:highlight w:val="none"/>
        </w:rPr>
      </w:pPr>
    </w:p>
    <w:p w14:paraId="20FB9AAD">
      <w:pPr>
        <w:pStyle w:val="27"/>
        <w:bidi w:val="0"/>
        <w:rPr>
          <w:rFonts w:hint="default" w:ascii="Times New Roman" w:hAnsi="Times New Roman" w:cs="Times New Roman"/>
          <w:color w:val="auto"/>
          <w:highlight w:val="none"/>
        </w:rPr>
      </w:pPr>
    </w:p>
    <w:p w14:paraId="51A8B460">
      <w:pPr>
        <w:pStyle w:val="27"/>
        <w:bidi w:val="0"/>
        <w:rPr>
          <w:rFonts w:hint="default" w:ascii="Times New Roman" w:hAnsi="Times New Roman" w:cs="Times New Roman"/>
          <w:color w:val="auto"/>
          <w:highlight w:val="none"/>
        </w:rPr>
      </w:pPr>
    </w:p>
    <w:p w14:paraId="5986A5E0">
      <w:pPr>
        <w:pStyle w:val="27"/>
        <w:bidi w:val="0"/>
        <w:rPr>
          <w:rFonts w:hint="default" w:ascii="Times New Roman" w:hAnsi="Times New Roman" w:cs="Times New Roman"/>
          <w:color w:val="auto"/>
          <w:highlight w:val="none"/>
        </w:rPr>
      </w:pPr>
    </w:p>
    <w:p w14:paraId="335A60DC">
      <w:pPr>
        <w:pStyle w:val="27"/>
        <w:bidi w:val="0"/>
        <w:rPr>
          <w:rFonts w:hint="default" w:ascii="Times New Roman" w:hAnsi="Times New Roman" w:cs="Times New Roman"/>
          <w:color w:val="auto"/>
          <w:highlight w:val="none"/>
        </w:rPr>
      </w:pPr>
    </w:p>
    <w:p w14:paraId="6B4A249E">
      <w:pPr>
        <w:pStyle w:val="27"/>
        <w:bidi w:val="0"/>
        <w:rPr>
          <w:rFonts w:hint="default" w:ascii="Times New Roman" w:hAnsi="Times New Roman" w:cs="Times New Roman"/>
          <w:color w:val="auto"/>
          <w:highlight w:val="none"/>
        </w:rPr>
      </w:pPr>
    </w:p>
    <w:p w14:paraId="182E15F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 w:val="0"/>
          <w:bCs/>
          <w:color w:val="auto"/>
          <w:sz w:val="24"/>
          <w:szCs w:val="24"/>
          <w:highlight w:val="none"/>
          <w:lang w:val="en-US" w:eastAsia="zh-CN"/>
        </w:rPr>
      </w:pPr>
      <w:bookmarkStart w:id="429" w:name="_Toc26519"/>
      <w:r>
        <w:rPr>
          <w:rFonts w:hint="default" w:ascii="Times New Roman" w:hAnsi="Times New Roman" w:eastAsia="黑体" w:cs="Times New Roman"/>
          <w:b w:val="0"/>
          <w:bCs/>
          <w:color w:val="auto"/>
          <w:sz w:val="24"/>
          <w:szCs w:val="24"/>
          <w:highlight w:val="none"/>
          <w:lang w:val="en-US" w:eastAsia="zh-CN"/>
        </w:rPr>
        <w:t>附表1 大气环境影响评价自查表</w:t>
      </w:r>
      <w:bookmarkEnd w:id="429"/>
    </w:p>
    <w:tbl>
      <w:tblPr>
        <w:tblStyle w:val="25"/>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737"/>
        <w:gridCol w:w="1037"/>
        <w:gridCol w:w="561"/>
        <w:gridCol w:w="375"/>
        <w:gridCol w:w="609"/>
        <w:gridCol w:w="112"/>
        <w:gridCol w:w="504"/>
        <w:gridCol w:w="378"/>
        <w:gridCol w:w="141"/>
        <w:gridCol w:w="454"/>
        <w:gridCol w:w="246"/>
        <w:gridCol w:w="107"/>
        <w:gridCol w:w="272"/>
        <w:gridCol w:w="167"/>
        <w:gridCol w:w="201"/>
        <w:gridCol w:w="226"/>
        <w:gridCol w:w="937"/>
      </w:tblGrid>
      <w:tr w14:paraId="5AB9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72" w:type="dxa"/>
            <w:gridSpan w:val="2"/>
            <w:noWrap w:val="0"/>
            <w:vAlign w:val="center"/>
          </w:tcPr>
          <w:p w14:paraId="77D96D7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6327" w:type="dxa"/>
            <w:gridSpan w:val="16"/>
            <w:noWrap w:val="0"/>
            <w:vAlign w:val="center"/>
          </w:tcPr>
          <w:p w14:paraId="4AE89A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自查项目</w:t>
            </w:r>
          </w:p>
        </w:tc>
      </w:tr>
      <w:tr w14:paraId="5706E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1CF405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评价等级与范围</w:t>
            </w:r>
          </w:p>
        </w:tc>
        <w:tc>
          <w:tcPr>
            <w:tcW w:w="1737" w:type="dxa"/>
            <w:noWrap w:val="0"/>
            <w:vAlign w:val="center"/>
          </w:tcPr>
          <w:p w14:paraId="19B597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w:t>
            </w:r>
          </w:p>
        </w:tc>
        <w:tc>
          <w:tcPr>
            <w:tcW w:w="1973" w:type="dxa"/>
            <w:gridSpan w:val="3"/>
            <w:noWrap w:val="0"/>
            <w:vAlign w:val="center"/>
          </w:tcPr>
          <w:p w14:paraId="3C8E560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w:t>
            </w:r>
          </w:p>
        </w:tc>
        <w:tc>
          <w:tcPr>
            <w:tcW w:w="2198" w:type="dxa"/>
            <w:gridSpan w:val="6"/>
            <w:noWrap w:val="0"/>
            <w:vAlign w:val="center"/>
          </w:tcPr>
          <w:p w14:paraId="4CC9CFB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二级</w:t>
            </w:r>
            <w:r>
              <w:rPr>
                <w:rFonts w:hint="default" w:ascii="Times New Roman" w:hAnsi="Times New Roman" w:cs="Times New Roman"/>
                <w:color w:val="auto"/>
                <w:highlight w:val="none"/>
                <w:lang w:eastAsia="zh-CN"/>
              </w:rPr>
              <w:t>☑</w:t>
            </w:r>
          </w:p>
        </w:tc>
        <w:tc>
          <w:tcPr>
            <w:tcW w:w="2156" w:type="dxa"/>
            <w:gridSpan w:val="7"/>
            <w:noWrap w:val="0"/>
            <w:vAlign w:val="center"/>
          </w:tcPr>
          <w:p w14:paraId="4D5EE70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三级</w:t>
            </w:r>
            <w:r>
              <w:rPr>
                <w:rFonts w:hint="default" w:ascii="Times New Roman" w:hAnsi="Times New Roman" w:cs="Times New Roman"/>
                <w:color w:val="auto"/>
                <w:highlight w:val="none"/>
                <w:lang w:eastAsia="zh-CN"/>
              </w:rPr>
              <w:t>□</w:t>
            </w:r>
          </w:p>
        </w:tc>
      </w:tr>
      <w:tr w14:paraId="3D76E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46F2837C">
            <w:pPr>
              <w:pStyle w:val="46"/>
              <w:bidi w:val="0"/>
              <w:rPr>
                <w:rFonts w:hint="default" w:ascii="Times New Roman" w:hAnsi="Times New Roman" w:cs="Times New Roman"/>
                <w:color w:val="auto"/>
                <w:highlight w:val="none"/>
              </w:rPr>
            </w:pPr>
          </w:p>
        </w:tc>
        <w:tc>
          <w:tcPr>
            <w:tcW w:w="1737" w:type="dxa"/>
            <w:noWrap w:val="0"/>
            <w:vAlign w:val="center"/>
          </w:tcPr>
          <w:p w14:paraId="707733B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w:t>
            </w:r>
          </w:p>
        </w:tc>
        <w:tc>
          <w:tcPr>
            <w:tcW w:w="1973" w:type="dxa"/>
            <w:gridSpan w:val="3"/>
            <w:noWrap w:val="0"/>
            <w:vAlign w:val="center"/>
          </w:tcPr>
          <w:p w14:paraId="600000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边长=50km□</w:t>
            </w:r>
          </w:p>
        </w:tc>
        <w:tc>
          <w:tcPr>
            <w:tcW w:w="2198" w:type="dxa"/>
            <w:gridSpan w:val="6"/>
            <w:noWrap w:val="0"/>
            <w:vAlign w:val="center"/>
          </w:tcPr>
          <w:p w14:paraId="752DA9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边长5～50km□</w:t>
            </w:r>
          </w:p>
        </w:tc>
        <w:tc>
          <w:tcPr>
            <w:tcW w:w="2156" w:type="dxa"/>
            <w:gridSpan w:val="7"/>
            <w:noWrap w:val="0"/>
            <w:vAlign w:val="center"/>
          </w:tcPr>
          <w:p w14:paraId="4A15FB5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边长=5km</w:t>
            </w:r>
            <w:r>
              <w:rPr>
                <w:rFonts w:hint="default" w:ascii="Times New Roman" w:hAnsi="Times New Roman" w:cs="Times New Roman"/>
                <w:color w:val="auto"/>
                <w:highlight w:val="none"/>
                <w:lang w:eastAsia="zh-CN"/>
              </w:rPr>
              <w:t>☑</w:t>
            </w:r>
          </w:p>
        </w:tc>
      </w:tr>
      <w:tr w14:paraId="4A82B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675E85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1737" w:type="dxa"/>
            <w:noWrap w:val="0"/>
            <w:vAlign w:val="center"/>
          </w:tcPr>
          <w:p w14:paraId="3B95681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SO2+NOX</w:t>
            </w:r>
          </w:p>
        </w:tc>
        <w:tc>
          <w:tcPr>
            <w:tcW w:w="1973" w:type="dxa"/>
            <w:gridSpan w:val="3"/>
            <w:noWrap w:val="0"/>
            <w:vAlign w:val="center"/>
          </w:tcPr>
          <w:p w14:paraId="6F88D6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≥2000t/a□</w:t>
            </w:r>
          </w:p>
        </w:tc>
        <w:tc>
          <w:tcPr>
            <w:tcW w:w="2198" w:type="dxa"/>
            <w:gridSpan w:val="6"/>
            <w:noWrap w:val="0"/>
            <w:vAlign w:val="center"/>
          </w:tcPr>
          <w:p w14:paraId="6998A9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500～200t/a□</w:t>
            </w:r>
          </w:p>
        </w:tc>
        <w:tc>
          <w:tcPr>
            <w:tcW w:w="2156" w:type="dxa"/>
            <w:gridSpan w:val="7"/>
            <w:noWrap w:val="0"/>
            <w:vAlign w:val="center"/>
          </w:tcPr>
          <w:p w14:paraId="6FC0832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＜500t/a</w:t>
            </w:r>
            <w:r>
              <w:rPr>
                <w:rFonts w:hint="default" w:ascii="Times New Roman" w:hAnsi="Times New Roman" w:cs="Times New Roman"/>
                <w:color w:val="auto"/>
                <w:highlight w:val="none"/>
                <w:lang w:eastAsia="zh-CN"/>
              </w:rPr>
              <w:t>☑</w:t>
            </w:r>
          </w:p>
        </w:tc>
      </w:tr>
      <w:tr w14:paraId="6EE16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4DCE85D9">
            <w:pPr>
              <w:pStyle w:val="46"/>
              <w:bidi w:val="0"/>
              <w:rPr>
                <w:rFonts w:hint="default" w:ascii="Times New Roman" w:hAnsi="Times New Roman" w:cs="Times New Roman"/>
                <w:color w:val="auto"/>
                <w:highlight w:val="none"/>
              </w:rPr>
            </w:pPr>
          </w:p>
        </w:tc>
        <w:tc>
          <w:tcPr>
            <w:tcW w:w="1737" w:type="dxa"/>
            <w:noWrap w:val="0"/>
            <w:vAlign w:val="center"/>
          </w:tcPr>
          <w:p w14:paraId="07C113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3576" w:type="dxa"/>
            <w:gridSpan w:val="7"/>
            <w:noWrap w:val="0"/>
            <w:vAlign w:val="center"/>
          </w:tcPr>
          <w:p w14:paraId="7C41E5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基本污染物（ </w:t>
            </w:r>
            <w:r>
              <w:rPr>
                <w:rFonts w:hint="default" w:ascii="Times New Roman" w:hAnsi="Times New Roman" w:cs="Times New Roman"/>
                <w:color w:val="auto"/>
                <w:highlight w:val="none"/>
                <w:lang w:val="en-US" w:eastAsia="zh-CN"/>
              </w:rPr>
              <w:t xml:space="preserve">PM2.5、PM10、SO2、NO2、CO、O3  </w:t>
            </w:r>
            <w:r>
              <w:rPr>
                <w:rFonts w:hint="default" w:ascii="Times New Roman" w:hAnsi="Times New Roman" w:cs="Times New Roman"/>
                <w:color w:val="auto"/>
                <w:highlight w:val="none"/>
              </w:rPr>
              <w:t xml:space="preserve"> ）</w:t>
            </w:r>
          </w:p>
          <w:p w14:paraId="02766A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其他污染物（TSP）</w:t>
            </w:r>
          </w:p>
        </w:tc>
        <w:tc>
          <w:tcPr>
            <w:tcW w:w="2751" w:type="dxa"/>
            <w:gridSpan w:val="9"/>
            <w:noWrap w:val="0"/>
            <w:vAlign w:val="center"/>
          </w:tcPr>
          <w:p w14:paraId="2FB0C8C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包括二次PM2.5</w:t>
            </w:r>
            <w:r>
              <w:rPr>
                <w:rFonts w:hint="default" w:ascii="Times New Roman" w:hAnsi="Times New Roman" w:cs="Times New Roman"/>
                <w:color w:val="auto"/>
                <w:highlight w:val="none"/>
                <w:lang w:eastAsia="zh-CN"/>
              </w:rPr>
              <w:t>□</w:t>
            </w:r>
          </w:p>
          <w:p w14:paraId="113462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不包括二次PM2.5</w:t>
            </w:r>
            <w:r>
              <w:rPr>
                <w:rFonts w:hint="default" w:ascii="Times New Roman" w:hAnsi="Times New Roman" w:cs="Times New Roman"/>
                <w:color w:val="auto"/>
                <w:highlight w:val="none"/>
                <w:lang w:eastAsia="zh-CN"/>
              </w:rPr>
              <w:t>☑</w:t>
            </w:r>
          </w:p>
        </w:tc>
      </w:tr>
      <w:tr w14:paraId="2ACD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noWrap w:val="0"/>
            <w:vAlign w:val="center"/>
          </w:tcPr>
          <w:p w14:paraId="6A8A61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1737" w:type="dxa"/>
            <w:noWrap w:val="0"/>
            <w:vAlign w:val="center"/>
          </w:tcPr>
          <w:p w14:paraId="58C4C6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1973" w:type="dxa"/>
            <w:gridSpan w:val="3"/>
            <w:noWrap w:val="0"/>
            <w:vAlign w:val="center"/>
          </w:tcPr>
          <w:p w14:paraId="4D481C9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国家标准</w:t>
            </w:r>
            <w:r>
              <w:rPr>
                <w:rFonts w:hint="default" w:ascii="Times New Roman" w:hAnsi="Times New Roman" w:cs="Times New Roman"/>
                <w:color w:val="auto"/>
                <w:highlight w:val="none"/>
                <w:lang w:eastAsia="zh-CN"/>
              </w:rPr>
              <w:t>☑</w:t>
            </w:r>
          </w:p>
        </w:tc>
        <w:tc>
          <w:tcPr>
            <w:tcW w:w="1603" w:type="dxa"/>
            <w:gridSpan w:val="4"/>
            <w:noWrap w:val="0"/>
            <w:vAlign w:val="center"/>
          </w:tcPr>
          <w:p w14:paraId="01F588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地方标准□</w:t>
            </w:r>
          </w:p>
        </w:tc>
        <w:tc>
          <w:tcPr>
            <w:tcW w:w="1387" w:type="dxa"/>
            <w:gridSpan w:val="6"/>
            <w:noWrap w:val="0"/>
            <w:vAlign w:val="center"/>
          </w:tcPr>
          <w:p w14:paraId="4EEA17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附录D□</w:t>
            </w:r>
          </w:p>
        </w:tc>
        <w:tc>
          <w:tcPr>
            <w:tcW w:w="1364" w:type="dxa"/>
            <w:gridSpan w:val="3"/>
            <w:noWrap w:val="0"/>
            <w:vAlign w:val="center"/>
          </w:tcPr>
          <w:p w14:paraId="1EB9B84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其他标准□</w:t>
            </w:r>
          </w:p>
        </w:tc>
      </w:tr>
      <w:tr w14:paraId="395C6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26D591A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1737" w:type="dxa"/>
            <w:noWrap w:val="0"/>
            <w:vAlign w:val="center"/>
          </w:tcPr>
          <w:p w14:paraId="153EED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环境功能区</w:t>
            </w:r>
          </w:p>
        </w:tc>
        <w:tc>
          <w:tcPr>
            <w:tcW w:w="1973" w:type="dxa"/>
            <w:gridSpan w:val="3"/>
            <w:noWrap w:val="0"/>
            <w:vAlign w:val="center"/>
          </w:tcPr>
          <w:p w14:paraId="4921B7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一类区□</w:t>
            </w:r>
          </w:p>
        </w:tc>
        <w:tc>
          <w:tcPr>
            <w:tcW w:w="2198" w:type="dxa"/>
            <w:gridSpan w:val="6"/>
            <w:noWrap w:val="0"/>
            <w:vAlign w:val="center"/>
          </w:tcPr>
          <w:p w14:paraId="65C966C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二类区</w:t>
            </w:r>
            <w:r>
              <w:rPr>
                <w:rFonts w:hint="default" w:ascii="Times New Roman" w:hAnsi="Times New Roman" w:cs="Times New Roman"/>
                <w:color w:val="auto"/>
                <w:highlight w:val="none"/>
                <w:lang w:eastAsia="zh-CN"/>
              </w:rPr>
              <w:t>☑</w:t>
            </w:r>
          </w:p>
        </w:tc>
        <w:tc>
          <w:tcPr>
            <w:tcW w:w="2156" w:type="dxa"/>
            <w:gridSpan w:val="7"/>
            <w:noWrap w:val="0"/>
            <w:vAlign w:val="center"/>
          </w:tcPr>
          <w:p w14:paraId="37FA408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一类区和二类区□</w:t>
            </w:r>
          </w:p>
        </w:tc>
      </w:tr>
      <w:tr w14:paraId="0AA52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5A7769CD">
            <w:pPr>
              <w:pStyle w:val="46"/>
              <w:bidi w:val="0"/>
              <w:rPr>
                <w:rFonts w:hint="default" w:ascii="Times New Roman" w:hAnsi="Times New Roman" w:cs="Times New Roman"/>
                <w:color w:val="auto"/>
                <w:highlight w:val="none"/>
              </w:rPr>
            </w:pPr>
          </w:p>
        </w:tc>
        <w:tc>
          <w:tcPr>
            <w:tcW w:w="1737" w:type="dxa"/>
            <w:noWrap w:val="0"/>
            <w:vAlign w:val="center"/>
          </w:tcPr>
          <w:p w14:paraId="2247B3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评价基准年</w:t>
            </w:r>
          </w:p>
        </w:tc>
        <w:tc>
          <w:tcPr>
            <w:tcW w:w="6327" w:type="dxa"/>
            <w:gridSpan w:val="16"/>
            <w:noWrap w:val="0"/>
            <w:vAlign w:val="center"/>
          </w:tcPr>
          <w:p w14:paraId="6EAC47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20</w:t>
            </w:r>
            <w:r>
              <w:rPr>
                <w:rFonts w:hint="default" w:ascii="Times New Roman" w:hAnsi="Times New Roman" w:cs="Times New Roman"/>
                <w:color w:val="auto"/>
                <w:highlight w:val="none"/>
                <w:lang w:val="en-US" w:eastAsia="zh-CN"/>
              </w:rPr>
              <w:t>23</w:t>
            </w:r>
            <w:r>
              <w:rPr>
                <w:rFonts w:hint="default" w:ascii="Times New Roman" w:hAnsi="Times New Roman" w:cs="Times New Roman"/>
                <w:color w:val="auto"/>
                <w:highlight w:val="none"/>
              </w:rPr>
              <w:t xml:space="preserve">   ）年</w:t>
            </w:r>
          </w:p>
        </w:tc>
      </w:tr>
      <w:tr w14:paraId="094F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30129694">
            <w:pPr>
              <w:pStyle w:val="46"/>
              <w:bidi w:val="0"/>
              <w:rPr>
                <w:rFonts w:hint="default" w:ascii="Times New Roman" w:hAnsi="Times New Roman" w:cs="Times New Roman"/>
                <w:color w:val="auto"/>
                <w:highlight w:val="none"/>
              </w:rPr>
            </w:pPr>
          </w:p>
        </w:tc>
        <w:tc>
          <w:tcPr>
            <w:tcW w:w="1737" w:type="dxa"/>
            <w:noWrap w:val="0"/>
            <w:vAlign w:val="center"/>
          </w:tcPr>
          <w:p w14:paraId="2D2549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环境空气质量</w:t>
            </w:r>
          </w:p>
          <w:p w14:paraId="1D267E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现状调查数据来源</w:t>
            </w:r>
          </w:p>
        </w:tc>
        <w:tc>
          <w:tcPr>
            <w:tcW w:w="1973" w:type="dxa"/>
            <w:gridSpan w:val="3"/>
            <w:noWrap w:val="0"/>
            <w:vAlign w:val="center"/>
          </w:tcPr>
          <w:p w14:paraId="4EF361F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长期例行监测数据</w:t>
            </w:r>
            <w:r>
              <w:rPr>
                <w:rFonts w:hint="default" w:ascii="Times New Roman" w:hAnsi="Times New Roman" w:cs="Times New Roman"/>
                <w:color w:val="auto"/>
                <w:highlight w:val="none"/>
                <w:lang w:eastAsia="zh-CN"/>
              </w:rPr>
              <w:t>☑</w:t>
            </w:r>
          </w:p>
        </w:tc>
        <w:tc>
          <w:tcPr>
            <w:tcW w:w="2551" w:type="dxa"/>
            <w:gridSpan w:val="8"/>
            <w:noWrap w:val="0"/>
            <w:vAlign w:val="center"/>
          </w:tcPr>
          <w:p w14:paraId="243E1B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主管部门发布的数据□</w:t>
            </w:r>
          </w:p>
        </w:tc>
        <w:tc>
          <w:tcPr>
            <w:tcW w:w="1803" w:type="dxa"/>
            <w:gridSpan w:val="5"/>
            <w:noWrap w:val="0"/>
            <w:vAlign w:val="center"/>
          </w:tcPr>
          <w:p w14:paraId="3E997B0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现状补充监测</w:t>
            </w:r>
            <w:r>
              <w:rPr>
                <w:rFonts w:hint="default" w:ascii="Times New Roman" w:hAnsi="Times New Roman" w:cs="Times New Roman"/>
                <w:color w:val="auto"/>
                <w:highlight w:val="none"/>
                <w:lang w:eastAsia="zh-CN"/>
              </w:rPr>
              <w:t>☑</w:t>
            </w:r>
          </w:p>
        </w:tc>
      </w:tr>
      <w:tr w14:paraId="3FC09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48F32127">
            <w:pPr>
              <w:pStyle w:val="46"/>
              <w:bidi w:val="0"/>
              <w:rPr>
                <w:rFonts w:hint="default" w:ascii="Times New Roman" w:hAnsi="Times New Roman" w:cs="Times New Roman"/>
                <w:color w:val="auto"/>
                <w:highlight w:val="none"/>
              </w:rPr>
            </w:pPr>
          </w:p>
        </w:tc>
        <w:tc>
          <w:tcPr>
            <w:tcW w:w="1737" w:type="dxa"/>
            <w:noWrap w:val="0"/>
            <w:vAlign w:val="center"/>
          </w:tcPr>
          <w:p w14:paraId="0366CE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3576" w:type="dxa"/>
            <w:gridSpan w:val="7"/>
            <w:noWrap w:val="0"/>
            <w:vAlign w:val="center"/>
          </w:tcPr>
          <w:p w14:paraId="1DEF033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达标区</w:t>
            </w:r>
            <w:r>
              <w:rPr>
                <w:rFonts w:hint="default" w:ascii="Times New Roman" w:hAnsi="Times New Roman" w:cs="Times New Roman"/>
                <w:color w:val="auto"/>
                <w:highlight w:val="none"/>
                <w:lang w:eastAsia="zh-CN"/>
              </w:rPr>
              <w:t>☑</w:t>
            </w:r>
          </w:p>
        </w:tc>
        <w:tc>
          <w:tcPr>
            <w:tcW w:w="2751" w:type="dxa"/>
            <w:gridSpan w:val="9"/>
            <w:noWrap w:val="0"/>
            <w:vAlign w:val="center"/>
          </w:tcPr>
          <w:p w14:paraId="6B7FD1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不达标区□</w:t>
            </w:r>
          </w:p>
        </w:tc>
      </w:tr>
      <w:tr w14:paraId="21CF6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noWrap w:val="0"/>
            <w:vAlign w:val="center"/>
          </w:tcPr>
          <w:p w14:paraId="63E93E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p w14:paraId="3B92A5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w:t>
            </w:r>
          </w:p>
        </w:tc>
        <w:tc>
          <w:tcPr>
            <w:tcW w:w="1737" w:type="dxa"/>
            <w:noWrap w:val="0"/>
            <w:vAlign w:val="center"/>
          </w:tcPr>
          <w:p w14:paraId="17DA90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调查内容</w:t>
            </w:r>
          </w:p>
        </w:tc>
        <w:tc>
          <w:tcPr>
            <w:tcW w:w="1973" w:type="dxa"/>
            <w:gridSpan w:val="3"/>
            <w:noWrap w:val="0"/>
            <w:vAlign w:val="center"/>
          </w:tcPr>
          <w:p w14:paraId="6E878C8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本项目正常排放源</w:t>
            </w:r>
            <w:r>
              <w:rPr>
                <w:rFonts w:hint="default" w:ascii="Times New Roman" w:hAnsi="Times New Roman" w:cs="Times New Roman"/>
                <w:color w:val="auto"/>
                <w:highlight w:val="none"/>
                <w:lang w:eastAsia="zh-CN"/>
              </w:rPr>
              <w:t>☑</w:t>
            </w:r>
          </w:p>
          <w:p w14:paraId="39EE9D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本项目非正常排放源□</w:t>
            </w:r>
          </w:p>
          <w:p w14:paraId="729D14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现有污染源□</w:t>
            </w:r>
          </w:p>
        </w:tc>
        <w:tc>
          <w:tcPr>
            <w:tcW w:w="1603" w:type="dxa"/>
            <w:gridSpan w:val="4"/>
            <w:noWrap w:val="0"/>
            <w:vAlign w:val="center"/>
          </w:tcPr>
          <w:p w14:paraId="10EC69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拟替代的污染源□</w:t>
            </w:r>
          </w:p>
        </w:tc>
        <w:tc>
          <w:tcPr>
            <w:tcW w:w="1387" w:type="dxa"/>
            <w:gridSpan w:val="6"/>
            <w:noWrap w:val="0"/>
            <w:vAlign w:val="center"/>
          </w:tcPr>
          <w:p w14:paraId="57C8544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其他在建、拟建项目污染源□</w:t>
            </w:r>
          </w:p>
        </w:tc>
        <w:tc>
          <w:tcPr>
            <w:tcW w:w="1364" w:type="dxa"/>
            <w:gridSpan w:val="3"/>
            <w:noWrap w:val="0"/>
            <w:vAlign w:val="center"/>
          </w:tcPr>
          <w:p w14:paraId="1FFB1E7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区域污染源□</w:t>
            </w:r>
          </w:p>
        </w:tc>
      </w:tr>
      <w:tr w14:paraId="77DEA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0F2599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大气环境影响预测与评价</w:t>
            </w:r>
          </w:p>
        </w:tc>
        <w:tc>
          <w:tcPr>
            <w:tcW w:w="1737" w:type="dxa"/>
            <w:noWrap w:val="0"/>
            <w:vAlign w:val="center"/>
          </w:tcPr>
          <w:p w14:paraId="1A4660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预测模型</w:t>
            </w:r>
          </w:p>
        </w:tc>
        <w:tc>
          <w:tcPr>
            <w:tcW w:w="1037" w:type="dxa"/>
            <w:noWrap w:val="0"/>
            <w:vAlign w:val="center"/>
          </w:tcPr>
          <w:p w14:paraId="121D022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AERMOD</w:t>
            </w:r>
            <w:r>
              <w:rPr>
                <w:rFonts w:hint="default" w:ascii="Times New Roman" w:hAnsi="Times New Roman" w:cs="Times New Roman"/>
                <w:color w:val="auto"/>
                <w:highlight w:val="none"/>
                <w:lang w:eastAsia="zh-CN"/>
              </w:rPr>
              <w:t>☑</w:t>
            </w:r>
          </w:p>
        </w:tc>
        <w:tc>
          <w:tcPr>
            <w:tcW w:w="936" w:type="dxa"/>
            <w:gridSpan w:val="2"/>
            <w:noWrap w:val="0"/>
            <w:vAlign w:val="center"/>
          </w:tcPr>
          <w:p w14:paraId="7DD35A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ADMS□</w:t>
            </w:r>
          </w:p>
        </w:tc>
        <w:tc>
          <w:tcPr>
            <w:tcW w:w="721" w:type="dxa"/>
            <w:gridSpan w:val="2"/>
            <w:noWrap w:val="0"/>
            <w:vAlign w:val="center"/>
          </w:tcPr>
          <w:p w14:paraId="38E61A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AUSTAL2000□</w:t>
            </w:r>
          </w:p>
        </w:tc>
        <w:tc>
          <w:tcPr>
            <w:tcW w:w="882" w:type="dxa"/>
            <w:gridSpan w:val="2"/>
            <w:noWrap w:val="0"/>
            <w:vAlign w:val="center"/>
          </w:tcPr>
          <w:p w14:paraId="6E5B03A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EDMS/AEDT□</w:t>
            </w:r>
          </w:p>
        </w:tc>
        <w:tc>
          <w:tcPr>
            <w:tcW w:w="841" w:type="dxa"/>
            <w:gridSpan w:val="3"/>
            <w:noWrap w:val="0"/>
            <w:vAlign w:val="center"/>
          </w:tcPr>
          <w:p w14:paraId="096D78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CALPUFF□</w:t>
            </w:r>
          </w:p>
        </w:tc>
        <w:tc>
          <w:tcPr>
            <w:tcW w:w="973" w:type="dxa"/>
            <w:gridSpan w:val="5"/>
            <w:noWrap w:val="0"/>
            <w:vAlign w:val="center"/>
          </w:tcPr>
          <w:p w14:paraId="3797CB5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网络模型□</w:t>
            </w:r>
          </w:p>
        </w:tc>
        <w:tc>
          <w:tcPr>
            <w:tcW w:w="937" w:type="dxa"/>
            <w:noWrap w:val="0"/>
            <w:vAlign w:val="center"/>
          </w:tcPr>
          <w:p w14:paraId="3F04E71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p w14:paraId="08BADA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023B2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691033F9">
            <w:pPr>
              <w:pStyle w:val="46"/>
              <w:bidi w:val="0"/>
              <w:rPr>
                <w:rFonts w:hint="default" w:ascii="Times New Roman" w:hAnsi="Times New Roman" w:cs="Times New Roman"/>
                <w:color w:val="auto"/>
                <w:highlight w:val="none"/>
              </w:rPr>
            </w:pPr>
          </w:p>
        </w:tc>
        <w:tc>
          <w:tcPr>
            <w:tcW w:w="1737" w:type="dxa"/>
            <w:noWrap w:val="0"/>
            <w:vAlign w:val="center"/>
          </w:tcPr>
          <w:p w14:paraId="53A2E3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预测范围</w:t>
            </w:r>
          </w:p>
        </w:tc>
        <w:tc>
          <w:tcPr>
            <w:tcW w:w="1973" w:type="dxa"/>
            <w:gridSpan w:val="3"/>
            <w:noWrap w:val="0"/>
            <w:vAlign w:val="center"/>
          </w:tcPr>
          <w:p w14:paraId="6F72CF2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边长≥50km□</w:t>
            </w:r>
          </w:p>
        </w:tc>
        <w:tc>
          <w:tcPr>
            <w:tcW w:w="2198" w:type="dxa"/>
            <w:gridSpan w:val="6"/>
            <w:noWrap w:val="0"/>
            <w:vAlign w:val="center"/>
          </w:tcPr>
          <w:p w14:paraId="7E2899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边长5～50km</w:t>
            </w:r>
            <w:r>
              <w:rPr>
                <w:rFonts w:hint="default" w:ascii="Times New Roman" w:hAnsi="Times New Roman" w:cs="Times New Roman"/>
                <w:color w:val="auto"/>
                <w:highlight w:val="none"/>
              </w:rPr>
              <w:sym w:font="Wingdings 2" w:char="00A3"/>
            </w:r>
          </w:p>
        </w:tc>
        <w:tc>
          <w:tcPr>
            <w:tcW w:w="2156" w:type="dxa"/>
            <w:gridSpan w:val="7"/>
            <w:noWrap w:val="0"/>
            <w:vAlign w:val="center"/>
          </w:tcPr>
          <w:p w14:paraId="71FE6A2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边长=5km</w:t>
            </w:r>
            <w:r>
              <w:rPr>
                <w:rFonts w:hint="default" w:ascii="Times New Roman" w:hAnsi="Times New Roman" w:cs="Times New Roman"/>
                <w:color w:val="auto"/>
                <w:highlight w:val="none"/>
                <w:lang w:eastAsia="zh-CN"/>
              </w:rPr>
              <w:t>☑</w:t>
            </w:r>
          </w:p>
        </w:tc>
      </w:tr>
      <w:tr w14:paraId="4B2B0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71185995">
            <w:pPr>
              <w:pStyle w:val="46"/>
              <w:bidi w:val="0"/>
              <w:rPr>
                <w:rFonts w:hint="default" w:ascii="Times New Roman" w:hAnsi="Times New Roman" w:cs="Times New Roman"/>
                <w:color w:val="auto"/>
                <w:highlight w:val="none"/>
              </w:rPr>
            </w:pPr>
          </w:p>
        </w:tc>
        <w:tc>
          <w:tcPr>
            <w:tcW w:w="1737" w:type="dxa"/>
            <w:noWrap w:val="0"/>
            <w:vAlign w:val="center"/>
          </w:tcPr>
          <w:p w14:paraId="6D9AA7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3717" w:type="dxa"/>
            <w:gridSpan w:val="8"/>
            <w:noWrap w:val="0"/>
            <w:vAlign w:val="center"/>
          </w:tcPr>
          <w:p w14:paraId="18365EA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w:t>
            </w:r>
          </w:p>
        </w:tc>
        <w:tc>
          <w:tcPr>
            <w:tcW w:w="2610" w:type="dxa"/>
            <w:gridSpan w:val="8"/>
            <w:noWrap w:val="0"/>
            <w:vAlign w:val="center"/>
          </w:tcPr>
          <w:p w14:paraId="67C3C7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包括二次PM2.5□</w:t>
            </w:r>
          </w:p>
          <w:p w14:paraId="4784236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不包括二次PM2.5□</w:t>
            </w:r>
          </w:p>
        </w:tc>
      </w:tr>
      <w:tr w14:paraId="16000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42973A82">
            <w:pPr>
              <w:pStyle w:val="46"/>
              <w:bidi w:val="0"/>
              <w:rPr>
                <w:rFonts w:hint="default" w:ascii="Times New Roman" w:hAnsi="Times New Roman" w:cs="Times New Roman"/>
                <w:color w:val="auto"/>
                <w:highlight w:val="none"/>
              </w:rPr>
            </w:pPr>
          </w:p>
        </w:tc>
        <w:tc>
          <w:tcPr>
            <w:tcW w:w="1737" w:type="dxa"/>
            <w:noWrap w:val="0"/>
            <w:vAlign w:val="center"/>
          </w:tcPr>
          <w:p w14:paraId="308583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正常排放短期浓度</w:t>
            </w:r>
          </w:p>
          <w:p w14:paraId="4DD33B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3717" w:type="dxa"/>
            <w:gridSpan w:val="8"/>
            <w:noWrap w:val="0"/>
            <w:vAlign w:val="center"/>
          </w:tcPr>
          <w:p w14:paraId="6B70BA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C本项目最大占标率≤100%</w:t>
            </w:r>
            <w:r>
              <w:rPr>
                <w:rFonts w:hint="default" w:ascii="Times New Roman" w:hAnsi="Times New Roman" w:cs="Times New Roman"/>
                <w:color w:val="auto"/>
                <w:highlight w:val="none"/>
              </w:rPr>
              <w:sym w:font="Wingdings 2" w:char="00A3"/>
            </w:r>
          </w:p>
        </w:tc>
        <w:tc>
          <w:tcPr>
            <w:tcW w:w="2610" w:type="dxa"/>
            <w:gridSpan w:val="8"/>
            <w:noWrap w:val="0"/>
            <w:vAlign w:val="center"/>
          </w:tcPr>
          <w:p w14:paraId="26EA796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C本项目最大占标率＞100%□</w:t>
            </w:r>
          </w:p>
        </w:tc>
      </w:tr>
      <w:tr w14:paraId="4AB2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7A94EDEA">
            <w:pPr>
              <w:pStyle w:val="46"/>
              <w:bidi w:val="0"/>
              <w:rPr>
                <w:rFonts w:hint="default" w:ascii="Times New Roman" w:hAnsi="Times New Roman" w:cs="Times New Roman"/>
                <w:color w:val="auto"/>
                <w:highlight w:val="none"/>
              </w:rPr>
            </w:pPr>
          </w:p>
        </w:tc>
        <w:tc>
          <w:tcPr>
            <w:tcW w:w="1737" w:type="dxa"/>
            <w:vMerge w:val="restart"/>
            <w:noWrap w:val="0"/>
            <w:vAlign w:val="center"/>
          </w:tcPr>
          <w:p w14:paraId="5C8112F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正常排放年均浓度</w:t>
            </w:r>
          </w:p>
          <w:p w14:paraId="4EB185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1037" w:type="dxa"/>
            <w:noWrap w:val="0"/>
            <w:vAlign w:val="center"/>
          </w:tcPr>
          <w:p w14:paraId="3F1E768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一类区</w:t>
            </w:r>
          </w:p>
        </w:tc>
        <w:tc>
          <w:tcPr>
            <w:tcW w:w="2680" w:type="dxa"/>
            <w:gridSpan w:val="7"/>
            <w:noWrap w:val="0"/>
            <w:vAlign w:val="center"/>
          </w:tcPr>
          <w:p w14:paraId="233E721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w:t>
            </w:r>
          </w:p>
        </w:tc>
        <w:tc>
          <w:tcPr>
            <w:tcW w:w="2610" w:type="dxa"/>
            <w:gridSpan w:val="8"/>
            <w:noWrap w:val="0"/>
            <w:vAlign w:val="center"/>
          </w:tcPr>
          <w:p w14:paraId="0EA71F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w:t>
            </w:r>
          </w:p>
        </w:tc>
      </w:tr>
      <w:tr w14:paraId="550F9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3C3C4B7F">
            <w:pPr>
              <w:pStyle w:val="46"/>
              <w:bidi w:val="0"/>
              <w:rPr>
                <w:rFonts w:hint="default" w:ascii="Times New Roman" w:hAnsi="Times New Roman" w:cs="Times New Roman"/>
                <w:color w:val="auto"/>
                <w:highlight w:val="none"/>
              </w:rPr>
            </w:pPr>
          </w:p>
        </w:tc>
        <w:tc>
          <w:tcPr>
            <w:tcW w:w="1737" w:type="dxa"/>
            <w:vMerge w:val="continue"/>
            <w:noWrap w:val="0"/>
            <w:vAlign w:val="center"/>
          </w:tcPr>
          <w:p w14:paraId="7E093D6D">
            <w:pPr>
              <w:pStyle w:val="46"/>
              <w:bidi w:val="0"/>
              <w:rPr>
                <w:rFonts w:hint="default" w:ascii="Times New Roman" w:hAnsi="Times New Roman" w:cs="Times New Roman"/>
                <w:color w:val="auto"/>
                <w:highlight w:val="none"/>
              </w:rPr>
            </w:pPr>
          </w:p>
        </w:tc>
        <w:tc>
          <w:tcPr>
            <w:tcW w:w="1037" w:type="dxa"/>
            <w:noWrap w:val="0"/>
            <w:vAlign w:val="center"/>
          </w:tcPr>
          <w:p w14:paraId="4C7381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二类区</w:t>
            </w:r>
          </w:p>
        </w:tc>
        <w:tc>
          <w:tcPr>
            <w:tcW w:w="2680" w:type="dxa"/>
            <w:gridSpan w:val="7"/>
            <w:noWrap w:val="0"/>
            <w:vAlign w:val="center"/>
          </w:tcPr>
          <w:p w14:paraId="2397B6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C本项目最大占标率≤30%□</w:t>
            </w:r>
          </w:p>
        </w:tc>
        <w:tc>
          <w:tcPr>
            <w:tcW w:w="2610" w:type="dxa"/>
            <w:gridSpan w:val="8"/>
            <w:noWrap w:val="0"/>
            <w:vAlign w:val="center"/>
          </w:tcPr>
          <w:p w14:paraId="7B2A75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C本项目最大占标率＞30%□</w:t>
            </w:r>
          </w:p>
        </w:tc>
      </w:tr>
      <w:tr w14:paraId="61A57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3766FEAA">
            <w:pPr>
              <w:pStyle w:val="46"/>
              <w:bidi w:val="0"/>
              <w:rPr>
                <w:rFonts w:hint="default" w:ascii="Times New Roman" w:hAnsi="Times New Roman" w:cs="Times New Roman"/>
                <w:color w:val="auto"/>
                <w:highlight w:val="none"/>
              </w:rPr>
            </w:pPr>
          </w:p>
        </w:tc>
        <w:tc>
          <w:tcPr>
            <w:tcW w:w="1737" w:type="dxa"/>
            <w:noWrap w:val="0"/>
            <w:vAlign w:val="center"/>
          </w:tcPr>
          <w:p w14:paraId="2749F6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非正常排放1h浓度贡献值</w:t>
            </w:r>
          </w:p>
        </w:tc>
        <w:tc>
          <w:tcPr>
            <w:tcW w:w="1973" w:type="dxa"/>
            <w:gridSpan w:val="3"/>
            <w:noWrap w:val="0"/>
            <w:vAlign w:val="center"/>
          </w:tcPr>
          <w:p w14:paraId="226D10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非正常持续时长（  ）h</w:t>
            </w:r>
          </w:p>
        </w:tc>
        <w:tc>
          <w:tcPr>
            <w:tcW w:w="2198" w:type="dxa"/>
            <w:gridSpan w:val="6"/>
            <w:noWrap w:val="0"/>
            <w:vAlign w:val="center"/>
          </w:tcPr>
          <w:p w14:paraId="6B735C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C本项目最大占标率≤100%□</w:t>
            </w:r>
          </w:p>
        </w:tc>
        <w:tc>
          <w:tcPr>
            <w:tcW w:w="2156" w:type="dxa"/>
            <w:gridSpan w:val="7"/>
            <w:noWrap w:val="0"/>
            <w:vAlign w:val="center"/>
          </w:tcPr>
          <w:p w14:paraId="462C5CF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C本项目最大占标率＞100%□</w:t>
            </w:r>
          </w:p>
        </w:tc>
      </w:tr>
      <w:tr w14:paraId="59B74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58BFD412">
            <w:pPr>
              <w:pStyle w:val="46"/>
              <w:bidi w:val="0"/>
              <w:rPr>
                <w:rFonts w:hint="default" w:ascii="Times New Roman" w:hAnsi="Times New Roman" w:cs="Times New Roman"/>
                <w:color w:val="auto"/>
                <w:highlight w:val="none"/>
              </w:rPr>
            </w:pPr>
          </w:p>
        </w:tc>
        <w:tc>
          <w:tcPr>
            <w:tcW w:w="1737" w:type="dxa"/>
            <w:noWrap w:val="0"/>
            <w:vAlign w:val="center"/>
          </w:tcPr>
          <w:p w14:paraId="06CB67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保证率日平均浓度和年平均浓度叠加值</w:t>
            </w:r>
          </w:p>
        </w:tc>
        <w:tc>
          <w:tcPr>
            <w:tcW w:w="3198" w:type="dxa"/>
            <w:gridSpan w:val="6"/>
            <w:noWrap w:val="0"/>
            <w:vAlign w:val="center"/>
          </w:tcPr>
          <w:p w14:paraId="14666D5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C叠加达标□</w:t>
            </w:r>
          </w:p>
        </w:tc>
        <w:tc>
          <w:tcPr>
            <w:tcW w:w="3129" w:type="dxa"/>
            <w:gridSpan w:val="10"/>
            <w:noWrap w:val="0"/>
            <w:vAlign w:val="center"/>
          </w:tcPr>
          <w:p w14:paraId="496927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C叠加不达标□</w:t>
            </w:r>
          </w:p>
        </w:tc>
      </w:tr>
      <w:tr w14:paraId="47FCA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15C1A5A8">
            <w:pPr>
              <w:pStyle w:val="46"/>
              <w:bidi w:val="0"/>
              <w:rPr>
                <w:rFonts w:hint="default" w:ascii="Times New Roman" w:hAnsi="Times New Roman" w:cs="Times New Roman"/>
                <w:color w:val="auto"/>
                <w:highlight w:val="none"/>
              </w:rPr>
            </w:pPr>
          </w:p>
        </w:tc>
        <w:tc>
          <w:tcPr>
            <w:tcW w:w="1737" w:type="dxa"/>
            <w:noWrap w:val="0"/>
            <w:vAlign w:val="center"/>
          </w:tcPr>
          <w:p w14:paraId="2949BA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区域环境质量的整体变化情况</w:t>
            </w:r>
          </w:p>
        </w:tc>
        <w:tc>
          <w:tcPr>
            <w:tcW w:w="3198" w:type="dxa"/>
            <w:gridSpan w:val="6"/>
            <w:noWrap w:val="0"/>
            <w:vAlign w:val="center"/>
          </w:tcPr>
          <w:p w14:paraId="3E2AA28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k≤-20%□</w:t>
            </w:r>
          </w:p>
        </w:tc>
        <w:tc>
          <w:tcPr>
            <w:tcW w:w="3129" w:type="dxa"/>
            <w:gridSpan w:val="10"/>
            <w:noWrap w:val="0"/>
            <w:vAlign w:val="center"/>
          </w:tcPr>
          <w:p w14:paraId="7B08551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k＞-20%□</w:t>
            </w:r>
          </w:p>
        </w:tc>
      </w:tr>
      <w:tr w14:paraId="1D8BF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159F32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环境监测计划</w:t>
            </w:r>
          </w:p>
        </w:tc>
        <w:tc>
          <w:tcPr>
            <w:tcW w:w="1737" w:type="dxa"/>
            <w:noWrap w:val="0"/>
            <w:vAlign w:val="center"/>
          </w:tcPr>
          <w:p w14:paraId="6667C5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污染源监测</w:t>
            </w:r>
          </w:p>
        </w:tc>
        <w:tc>
          <w:tcPr>
            <w:tcW w:w="2582" w:type="dxa"/>
            <w:gridSpan w:val="4"/>
            <w:noWrap w:val="0"/>
            <w:vAlign w:val="center"/>
          </w:tcPr>
          <w:p w14:paraId="3AD0530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监测因子：（TSP）</w:t>
            </w:r>
          </w:p>
        </w:tc>
        <w:tc>
          <w:tcPr>
            <w:tcW w:w="2582" w:type="dxa"/>
            <w:gridSpan w:val="10"/>
            <w:noWrap w:val="0"/>
            <w:vAlign w:val="center"/>
          </w:tcPr>
          <w:p w14:paraId="6673FD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有组织废气监测□</w:t>
            </w:r>
          </w:p>
          <w:p w14:paraId="46E5AE3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无组织废气监测区</w:t>
            </w:r>
            <w:r>
              <w:rPr>
                <w:rFonts w:hint="default" w:ascii="Times New Roman" w:hAnsi="Times New Roman" w:cs="Times New Roman"/>
                <w:color w:val="auto"/>
                <w:highlight w:val="none"/>
                <w:lang w:eastAsia="zh-CN"/>
              </w:rPr>
              <w:t>☑</w:t>
            </w:r>
          </w:p>
        </w:tc>
        <w:tc>
          <w:tcPr>
            <w:tcW w:w="1163" w:type="dxa"/>
            <w:gridSpan w:val="2"/>
            <w:noWrap w:val="0"/>
            <w:vAlign w:val="center"/>
          </w:tcPr>
          <w:p w14:paraId="58B4637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无检测□</w:t>
            </w:r>
          </w:p>
        </w:tc>
      </w:tr>
      <w:tr w14:paraId="0237A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20D8F344">
            <w:pPr>
              <w:pStyle w:val="46"/>
              <w:bidi w:val="0"/>
              <w:rPr>
                <w:rFonts w:hint="default" w:ascii="Times New Roman" w:hAnsi="Times New Roman" w:cs="Times New Roman"/>
                <w:color w:val="auto"/>
                <w:highlight w:val="none"/>
              </w:rPr>
            </w:pPr>
          </w:p>
        </w:tc>
        <w:tc>
          <w:tcPr>
            <w:tcW w:w="1737" w:type="dxa"/>
            <w:noWrap w:val="0"/>
            <w:vAlign w:val="center"/>
          </w:tcPr>
          <w:p w14:paraId="7676C8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环境质量监测</w:t>
            </w:r>
          </w:p>
        </w:tc>
        <w:tc>
          <w:tcPr>
            <w:tcW w:w="2582" w:type="dxa"/>
            <w:gridSpan w:val="4"/>
            <w:noWrap w:val="0"/>
            <w:vAlign w:val="center"/>
          </w:tcPr>
          <w:p w14:paraId="1CE38A8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        ）</w:t>
            </w:r>
          </w:p>
        </w:tc>
        <w:tc>
          <w:tcPr>
            <w:tcW w:w="2582" w:type="dxa"/>
            <w:gridSpan w:val="10"/>
            <w:noWrap w:val="0"/>
            <w:vAlign w:val="center"/>
          </w:tcPr>
          <w:p w14:paraId="16BA64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监测点位数（     ）</w:t>
            </w:r>
          </w:p>
        </w:tc>
        <w:tc>
          <w:tcPr>
            <w:tcW w:w="1163" w:type="dxa"/>
            <w:gridSpan w:val="2"/>
            <w:noWrap w:val="0"/>
            <w:vAlign w:val="center"/>
          </w:tcPr>
          <w:p w14:paraId="3EE630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无检测</w:t>
            </w:r>
            <w:r>
              <w:rPr>
                <w:rFonts w:hint="default" w:ascii="Times New Roman" w:hAnsi="Times New Roman" w:cs="Times New Roman"/>
                <w:color w:val="auto"/>
                <w:highlight w:val="none"/>
              </w:rPr>
              <w:sym w:font="Wingdings 2" w:char="0052"/>
            </w:r>
          </w:p>
        </w:tc>
      </w:tr>
      <w:tr w14:paraId="53829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restart"/>
            <w:noWrap w:val="0"/>
            <w:vAlign w:val="center"/>
          </w:tcPr>
          <w:p w14:paraId="3C711A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1737" w:type="dxa"/>
            <w:noWrap w:val="0"/>
            <w:vAlign w:val="center"/>
          </w:tcPr>
          <w:p w14:paraId="4D2E7D4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w:t>
            </w:r>
          </w:p>
        </w:tc>
        <w:tc>
          <w:tcPr>
            <w:tcW w:w="6327" w:type="dxa"/>
            <w:gridSpan w:val="16"/>
            <w:noWrap w:val="0"/>
            <w:vAlign w:val="center"/>
          </w:tcPr>
          <w:p w14:paraId="3298F5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       不可以接受□</w:t>
            </w:r>
          </w:p>
        </w:tc>
      </w:tr>
      <w:tr w14:paraId="5C4C5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2ED6CCA8">
            <w:pPr>
              <w:pStyle w:val="46"/>
              <w:bidi w:val="0"/>
              <w:rPr>
                <w:rFonts w:hint="default" w:ascii="Times New Roman" w:hAnsi="Times New Roman" w:cs="Times New Roman"/>
                <w:color w:val="auto"/>
                <w:highlight w:val="none"/>
              </w:rPr>
            </w:pPr>
          </w:p>
        </w:tc>
        <w:tc>
          <w:tcPr>
            <w:tcW w:w="1737" w:type="dxa"/>
            <w:noWrap w:val="0"/>
            <w:vAlign w:val="center"/>
          </w:tcPr>
          <w:p w14:paraId="426526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大气环境防护距离</w:t>
            </w:r>
          </w:p>
        </w:tc>
        <w:tc>
          <w:tcPr>
            <w:tcW w:w="6327" w:type="dxa"/>
            <w:gridSpan w:val="16"/>
            <w:noWrap w:val="0"/>
            <w:vAlign w:val="center"/>
          </w:tcPr>
          <w:p w14:paraId="6CCB1F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距（     ）厂界最远（      ）m</w:t>
            </w:r>
          </w:p>
        </w:tc>
      </w:tr>
      <w:tr w14:paraId="7575B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5" w:type="dxa"/>
            <w:vMerge w:val="continue"/>
            <w:noWrap w:val="0"/>
            <w:vAlign w:val="center"/>
          </w:tcPr>
          <w:p w14:paraId="208A8B78">
            <w:pPr>
              <w:pStyle w:val="46"/>
              <w:bidi w:val="0"/>
              <w:rPr>
                <w:rFonts w:hint="default" w:ascii="Times New Roman" w:hAnsi="Times New Roman" w:cs="Times New Roman"/>
                <w:color w:val="auto"/>
                <w:highlight w:val="none"/>
              </w:rPr>
            </w:pPr>
          </w:p>
        </w:tc>
        <w:tc>
          <w:tcPr>
            <w:tcW w:w="1737" w:type="dxa"/>
            <w:noWrap w:val="0"/>
            <w:vAlign w:val="center"/>
          </w:tcPr>
          <w:p w14:paraId="66A43A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污染源年排放量</w:t>
            </w:r>
          </w:p>
        </w:tc>
        <w:tc>
          <w:tcPr>
            <w:tcW w:w="1598" w:type="dxa"/>
            <w:gridSpan w:val="2"/>
            <w:noWrap w:val="0"/>
            <w:vAlign w:val="center"/>
          </w:tcPr>
          <w:p w14:paraId="2880AB6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SO2:（   ）t/a</w:t>
            </w:r>
          </w:p>
        </w:tc>
        <w:tc>
          <w:tcPr>
            <w:tcW w:w="1600" w:type="dxa"/>
            <w:gridSpan w:val="4"/>
            <w:noWrap w:val="0"/>
            <w:vAlign w:val="center"/>
          </w:tcPr>
          <w:p w14:paraId="716B3A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NOX:（   ）t/a</w:t>
            </w:r>
          </w:p>
        </w:tc>
        <w:tc>
          <w:tcPr>
            <w:tcW w:w="1598" w:type="dxa"/>
            <w:gridSpan w:val="6"/>
            <w:noWrap w:val="0"/>
            <w:vAlign w:val="center"/>
          </w:tcPr>
          <w:p w14:paraId="686A6C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r>
              <w:rPr>
                <w:rFonts w:hint="default" w:ascii="Times New Roman" w:hAnsi="Times New Roman" w:cs="Times New Roman"/>
                <w:color w:val="auto"/>
                <w:highlight w:val="none"/>
                <w:lang w:val="en-US" w:eastAsia="zh-CN"/>
              </w:rPr>
              <w:t>1.465</w:t>
            </w:r>
            <w:r>
              <w:rPr>
                <w:rFonts w:hint="default" w:ascii="Times New Roman" w:hAnsi="Times New Roman" w:cs="Times New Roman"/>
                <w:color w:val="auto"/>
                <w:highlight w:val="none"/>
              </w:rPr>
              <w:t>）t/a</w:t>
            </w:r>
          </w:p>
        </w:tc>
        <w:tc>
          <w:tcPr>
            <w:tcW w:w="1531" w:type="dxa"/>
            <w:gridSpan w:val="4"/>
            <w:noWrap w:val="0"/>
            <w:vAlign w:val="center"/>
          </w:tcPr>
          <w:p w14:paraId="67BA89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VOCS:（    ）t/a</w:t>
            </w:r>
          </w:p>
        </w:tc>
      </w:tr>
      <w:tr w14:paraId="1B751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99" w:type="dxa"/>
            <w:gridSpan w:val="18"/>
            <w:noWrap w:val="0"/>
            <w:vAlign w:val="center"/>
          </w:tcPr>
          <w:p w14:paraId="3BEE4A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注：“□”为勾选项，填“√”；“（   ）”为内容填写项</w:t>
            </w:r>
          </w:p>
        </w:tc>
      </w:tr>
    </w:tbl>
    <w:p w14:paraId="4FE01A72">
      <w:pPr>
        <w:rPr>
          <w:rFonts w:hint="default" w:ascii="Times New Roman" w:hAnsi="Times New Roman" w:cs="Times New Roman"/>
          <w:color w:val="auto"/>
          <w:highlight w:val="none"/>
        </w:rPr>
        <w:sectPr>
          <w:headerReference r:id="rId11" w:type="default"/>
          <w:footerReference r:id="rId12" w:type="default"/>
          <w:pgSz w:w="11906" w:h="16838"/>
          <w:pgMar w:top="1440" w:right="1803" w:bottom="1440" w:left="1803" w:header="794" w:footer="907" w:gutter="0"/>
          <w:pgBorders>
            <w:top w:val="none" w:sz="0" w:space="0"/>
            <w:left w:val="none" w:sz="0" w:space="0"/>
            <w:bottom w:val="none" w:sz="0" w:space="0"/>
            <w:right w:val="none" w:sz="0" w:space="0"/>
          </w:pgBorders>
          <w:cols w:space="0" w:num="1"/>
          <w:docGrid w:type="linesAndChars" w:linePitch="332" w:charSpace="0"/>
        </w:sectPr>
      </w:pPr>
    </w:p>
    <w:p w14:paraId="61BD06F8">
      <w:pPr>
        <w:rPr>
          <w:rFonts w:hint="default" w:ascii="Times New Roman" w:hAnsi="Times New Roman" w:cs="Times New Roman"/>
          <w:color w:val="auto"/>
          <w:highlight w:val="none"/>
        </w:rPr>
      </w:pPr>
    </w:p>
    <w:p w14:paraId="170C1CC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 w:val="0"/>
          <w:bCs/>
          <w:color w:val="auto"/>
          <w:sz w:val="24"/>
          <w:szCs w:val="24"/>
          <w:highlight w:val="none"/>
          <w:lang w:val="en-US" w:eastAsia="zh-CN"/>
        </w:rPr>
      </w:pPr>
      <w:bookmarkStart w:id="430" w:name="_Toc23878"/>
      <w:r>
        <w:rPr>
          <w:rFonts w:hint="default" w:ascii="Times New Roman" w:hAnsi="Times New Roman" w:eastAsia="黑体" w:cs="Times New Roman"/>
          <w:b w:val="0"/>
          <w:bCs/>
          <w:color w:val="auto"/>
          <w:sz w:val="24"/>
          <w:szCs w:val="24"/>
          <w:highlight w:val="none"/>
          <w:lang w:val="en-US" w:eastAsia="zh-CN"/>
        </w:rPr>
        <w:t>附表2  地表水环境影响评价自查表</w:t>
      </w:r>
      <w:bookmarkEnd w:id="430"/>
    </w:p>
    <w:tbl>
      <w:tblPr>
        <w:tblStyle w:val="24"/>
        <w:tblW w:w="92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234"/>
        <w:gridCol w:w="1226"/>
        <w:gridCol w:w="725"/>
        <w:gridCol w:w="53"/>
        <w:gridCol w:w="746"/>
        <w:gridCol w:w="1225"/>
        <w:gridCol w:w="36"/>
        <w:gridCol w:w="368"/>
        <w:gridCol w:w="601"/>
        <w:gridCol w:w="364"/>
        <w:gridCol w:w="1916"/>
      </w:tblGrid>
      <w:tr w14:paraId="6BBF0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gridSpan w:val="2"/>
            <w:noWrap w:val="0"/>
            <w:vAlign w:val="center"/>
          </w:tcPr>
          <w:p w14:paraId="147DFC0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7260" w:type="dxa"/>
            <w:gridSpan w:val="10"/>
            <w:noWrap w:val="0"/>
            <w:vAlign w:val="center"/>
          </w:tcPr>
          <w:p w14:paraId="3099E1F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自查项目</w:t>
            </w:r>
          </w:p>
        </w:tc>
      </w:tr>
      <w:tr w14:paraId="7172B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restart"/>
            <w:noWrap w:val="0"/>
            <w:vAlign w:val="center"/>
          </w:tcPr>
          <w:p w14:paraId="3A9AFE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w:t>
            </w:r>
          </w:p>
          <w:p w14:paraId="1A36BE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响</w:t>
            </w:r>
          </w:p>
          <w:p w14:paraId="739B6A6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识</w:t>
            </w:r>
          </w:p>
          <w:p w14:paraId="496FEF8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别</w:t>
            </w:r>
          </w:p>
        </w:tc>
        <w:tc>
          <w:tcPr>
            <w:tcW w:w="1234" w:type="dxa"/>
            <w:noWrap w:val="0"/>
            <w:vAlign w:val="center"/>
          </w:tcPr>
          <w:p w14:paraId="797B3A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影响类型</w:t>
            </w:r>
          </w:p>
        </w:tc>
        <w:tc>
          <w:tcPr>
            <w:tcW w:w="7260" w:type="dxa"/>
            <w:gridSpan w:val="10"/>
            <w:noWrap w:val="0"/>
            <w:vAlign w:val="center"/>
          </w:tcPr>
          <w:p w14:paraId="4FA648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水污染影响型 </w:t>
            </w:r>
            <w:r>
              <w:rPr>
                <w:rFonts w:hint="default" w:ascii="Times New Roman" w:hAnsi="Times New Roman" w:cs="Times New Roman"/>
                <w:color w:val="auto"/>
                <w:highlight w:val="none"/>
              </w:rPr>
              <w:sym w:font="Wingdings" w:char="F0FE"/>
            </w:r>
            <w:r>
              <w:rPr>
                <w:rFonts w:hint="default" w:ascii="Times New Roman" w:hAnsi="Times New Roman" w:cs="Times New Roman"/>
                <w:color w:val="auto"/>
                <w:highlight w:val="none"/>
              </w:rPr>
              <w:t>；水文要素影响型 □</w:t>
            </w:r>
          </w:p>
        </w:tc>
      </w:tr>
      <w:tr w14:paraId="3CEA2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3DB6AB7">
            <w:pPr>
              <w:pStyle w:val="46"/>
              <w:bidi w:val="0"/>
              <w:rPr>
                <w:rFonts w:hint="default" w:ascii="Times New Roman" w:hAnsi="Times New Roman" w:cs="Times New Roman"/>
                <w:color w:val="auto"/>
                <w:highlight w:val="none"/>
              </w:rPr>
            </w:pPr>
          </w:p>
        </w:tc>
        <w:tc>
          <w:tcPr>
            <w:tcW w:w="1234" w:type="dxa"/>
            <w:noWrap w:val="0"/>
            <w:vAlign w:val="center"/>
          </w:tcPr>
          <w:p w14:paraId="1A01CB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水环境保护目标</w:t>
            </w:r>
          </w:p>
        </w:tc>
        <w:tc>
          <w:tcPr>
            <w:tcW w:w="7260" w:type="dxa"/>
            <w:gridSpan w:val="10"/>
            <w:noWrap w:val="0"/>
            <w:vAlign w:val="center"/>
          </w:tcPr>
          <w:p w14:paraId="7EBE4D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饮用水水源保护区 □；饮用水取水口 □；涉水的自然保护区 □；重要湿地 □；</w:t>
            </w:r>
          </w:p>
          <w:p w14:paraId="406C98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重点保护与珍稀水生生物的栖息地 □；重要水生生物的自然产卵场及索饵场、越冬场和洄游通道、天然渔场等渔业水体 □；涉水的风景名胜区 □；其他 </w:t>
            </w:r>
            <w:r>
              <w:rPr>
                <w:rFonts w:hint="default" w:ascii="Times New Roman" w:hAnsi="Times New Roman" w:cs="Times New Roman"/>
                <w:color w:val="auto"/>
                <w:highlight w:val="none"/>
              </w:rPr>
              <w:sym w:font="Wingdings" w:char="F0FE"/>
            </w:r>
          </w:p>
        </w:tc>
      </w:tr>
      <w:tr w14:paraId="5E47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06822EDD">
            <w:pPr>
              <w:pStyle w:val="46"/>
              <w:bidi w:val="0"/>
              <w:rPr>
                <w:rFonts w:hint="default" w:ascii="Times New Roman" w:hAnsi="Times New Roman" w:cs="Times New Roman"/>
                <w:color w:val="auto"/>
                <w:highlight w:val="none"/>
              </w:rPr>
            </w:pPr>
          </w:p>
        </w:tc>
        <w:tc>
          <w:tcPr>
            <w:tcW w:w="1234" w:type="dxa"/>
            <w:vMerge w:val="restart"/>
            <w:noWrap w:val="0"/>
            <w:vAlign w:val="center"/>
          </w:tcPr>
          <w:p w14:paraId="59D5A2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影响途径</w:t>
            </w:r>
          </w:p>
        </w:tc>
        <w:tc>
          <w:tcPr>
            <w:tcW w:w="3975" w:type="dxa"/>
            <w:gridSpan w:val="5"/>
            <w:noWrap w:val="0"/>
            <w:vAlign w:val="center"/>
          </w:tcPr>
          <w:p w14:paraId="70D643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水污染影响型</w:t>
            </w:r>
          </w:p>
        </w:tc>
        <w:tc>
          <w:tcPr>
            <w:tcW w:w="3285" w:type="dxa"/>
            <w:gridSpan w:val="5"/>
            <w:noWrap w:val="0"/>
            <w:vAlign w:val="center"/>
          </w:tcPr>
          <w:p w14:paraId="064971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水文要素影响型</w:t>
            </w:r>
          </w:p>
        </w:tc>
      </w:tr>
      <w:tr w14:paraId="5CD71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07A53D0">
            <w:pPr>
              <w:pStyle w:val="46"/>
              <w:bidi w:val="0"/>
              <w:rPr>
                <w:rFonts w:hint="default" w:ascii="Times New Roman" w:hAnsi="Times New Roman" w:cs="Times New Roman"/>
                <w:color w:val="auto"/>
                <w:highlight w:val="none"/>
              </w:rPr>
            </w:pPr>
          </w:p>
        </w:tc>
        <w:tc>
          <w:tcPr>
            <w:tcW w:w="1234" w:type="dxa"/>
            <w:vMerge w:val="continue"/>
            <w:noWrap w:val="0"/>
            <w:vAlign w:val="center"/>
          </w:tcPr>
          <w:p w14:paraId="720DE961">
            <w:pPr>
              <w:pStyle w:val="46"/>
              <w:bidi w:val="0"/>
              <w:rPr>
                <w:rFonts w:hint="default" w:ascii="Times New Roman" w:hAnsi="Times New Roman" w:cs="Times New Roman"/>
                <w:color w:val="auto"/>
                <w:highlight w:val="none"/>
              </w:rPr>
            </w:pPr>
          </w:p>
        </w:tc>
        <w:tc>
          <w:tcPr>
            <w:tcW w:w="3975" w:type="dxa"/>
            <w:gridSpan w:val="5"/>
            <w:noWrap w:val="0"/>
            <w:vAlign w:val="center"/>
          </w:tcPr>
          <w:p w14:paraId="2BDE1E1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直接排放 □；间接排放 </w:t>
            </w: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 xml:space="preserve">；其他 </w:t>
            </w:r>
            <w:r>
              <w:rPr>
                <w:rFonts w:hint="default" w:ascii="Times New Roman" w:hAnsi="Times New Roman" w:cs="Times New Roman"/>
                <w:color w:val="auto"/>
                <w:highlight w:val="none"/>
                <w:lang w:eastAsia="zh-CN"/>
              </w:rPr>
              <w:t>☑</w:t>
            </w:r>
          </w:p>
        </w:tc>
        <w:tc>
          <w:tcPr>
            <w:tcW w:w="3285" w:type="dxa"/>
            <w:gridSpan w:val="5"/>
            <w:noWrap w:val="0"/>
            <w:vAlign w:val="center"/>
          </w:tcPr>
          <w:p w14:paraId="66411A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水温 □；径流 □；水域面积 □</w:t>
            </w:r>
          </w:p>
        </w:tc>
      </w:tr>
      <w:tr w14:paraId="31BF0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0FE62342">
            <w:pPr>
              <w:pStyle w:val="46"/>
              <w:bidi w:val="0"/>
              <w:rPr>
                <w:rFonts w:hint="default" w:ascii="Times New Roman" w:hAnsi="Times New Roman" w:cs="Times New Roman"/>
                <w:color w:val="auto"/>
                <w:highlight w:val="none"/>
              </w:rPr>
            </w:pPr>
          </w:p>
        </w:tc>
        <w:tc>
          <w:tcPr>
            <w:tcW w:w="1234" w:type="dxa"/>
            <w:noWrap w:val="0"/>
            <w:vAlign w:val="center"/>
          </w:tcPr>
          <w:p w14:paraId="3094248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影响因子</w:t>
            </w:r>
          </w:p>
        </w:tc>
        <w:tc>
          <w:tcPr>
            <w:tcW w:w="3975" w:type="dxa"/>
            <w:gridSpan w:val="5"/>
            <w:noWrap w:val="0"/>
            <w:vAlign w:val="center"/>
          </w:tcPr>
          <w:p w14:paraId="5DACBC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持久性污染物 □；有毒有害污染物 □；非持久性污染物 </w:t>
            </w: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w:t>
            </w:r>
          </w:p>
          <w:p w14:paraId="552C5B9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pH值 □；热污染□；富营养化□；其他□</w:t>
            </w:r>
          </w:p>
        </w:tc>
        <w:tc>
          <w:tcPr>
            <w:tcW w:w="3285" w:type="dxa"/>
            <w:gridSpan w:val="5"/>
            <w:noWrap w:val="0"/>
            <w:vAlign w:val="center"/>
          </w:tcPr>
          <w:p w14:paraId="35E224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水温 □；水位（水深） □；流速 □；流量 □；其他 □</w:t>
            </w:r>
          </w:p>
        </w:tc>
      </w:tr>
      <w:tr w14:paraId="39C25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gridSpan w:val="2"/>
            <w:vMerge w:val="restart"/>
            <w:noWrap w:val="0"/>
            <w:vAlign w:val="center"/>
          </w:tcPr>
          <w:p w14:paraId="49ECDB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w:t>
            </w:r>
          </w:p>
        </w:tc>
        <w:tc>
          <w:tcPr>
            <w:tcW w:w="3975" w:type="dxa"/>
            <w:gridSpan w:val="5"/>
            <w:noWrap w:val="0"/>
            <w:vAlign w:val="center"/>
          </w:tcPr>
          <w:p w14:paraId="208B5F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水污染影响型</w:t>
            </w:r>
          </w:p>
        </w:tc>
        <w:tc>
          <w:tcPr>
            <w:tcW w:w="3285" w:type="dxa"/>
            <w:gridSpan w:val="5"/>
            <w:noWrap w:val="0"/>
            <w:vAlign w:val="center"/>
          </w:tcPr>
          <w:p w14:paraId="7BEA1D2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水文要素影响型</w:t>
            </w:r>
          </w:p>
        </w:tc>
      </w:tr>
      <w:tr w14:paraId="0AF4B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gridSpan w:val="2"/>
            <w:vMerge w:val="continue"/>
            <w:noWrap w:val="0"/>
            <w:vAlign w:val="center"/>
          </w:tcPr>
          <w:p w14:paraId="5BA5DBB1">
            <w:pPr>
              <w:pStyle w:val="46"/>
              <w:bidi w:val="0"/>
              <w:rPr>
                <w:rFonts w:hint="default" w:ascii="Times New Roman" w:hAnsi="Times New Roman" w:cs="Times New Roman"/>
                <w:color w:val="auto"/>
                <w:highlight w:val="none"/>
              </w:rPr>
            </w:pPr>
          </w:p>
        </w:tc>
        <w:tc>
          <w:tcPr>
            <w:tcW w:w="3975" w:type="dxa"/>
            <w:gridSpan w:val="5"/>
            <w:noWrap w:val="0"/>
            <w:vAlign w:val="center"/>
          </w:tcPr>
          <w:p w14:paraId="09D2A71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一级 □；二级 □；三级A □；三级B </w:t>
            </w:r>
            <w:r>
              <w:rPr>
                <w:rFonts w:hint="default" w:ascii="Times New Roman" w:hAnsi="Times New Roman" w:cs="Times New Roman"/>
                <w:color w:val="auto"/>
                <w:highlight w:val="none"/>
              </w:rPr>
              <w:sym w:font="Wingdings" w:char="F0FE"/>
            </w:r>
          </w:p>
        </w:tc>
        <w:tc>
          <w:tcPr>
            <w:tcW w:w="3285" w:type="dxa"/>
            <w:gridSpan w:val="5"/>
            <w:noWrap w:val="0"/>
            <w:vAlign w:val="center"/>
          </w:tcPr>
          <w:p w14:paraId="6EC599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 □；二级 □；三级 □</w:t>
            </w:r>
          </w:p>
        </w:tc>
      </w:tr>
      <w:tr w14:paraId="2E06B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restart"/>
            <w:noWrap w:val="0"/>
            <w:vAlign w:val="center"/>
          </w:tcPr>
          <w:p w14:paraId="3C1A123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w:t>
            </w:r>
          </w:p>
          <w:p w14:paraId="1D7750A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状</w:t>
            </w:r>
          </w:p>
          <w:p w14:paraId="4705D1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w:t>
            </w:r>
          </w:p>
          <w:p w14:paraId="5B59DA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查</w:t>
            </w:r>
          </w:p>
        </w:tc>
        <w:tc>
          <w:tcPr>
            <w:tcW w:w="1234" w:type="dxa"/>
            <w:vMerge w:val="restart"/>
            <w:noWrap w:val="0"/>
            <w:vAlign w:val="center"/>
          </w:tcPr>
          <w:p w14:paraId="6C2A293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区域污染源</w:t>
            </w:r>
          </w:p>
        </w:tc>
        <w:tc>
          <w:tcPr>
            <w:tcW w:w="3975" w:type="dxa"/>
            <w:gridSpan w:val="5"/>
            <w:noWrap w:val="0"/>
            <w:vAlign w:val="center"/>
          </w:tcPr>
          <w:p w14:paraId="02612A2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调查项目</w:t>
            </w:r>
          </w:p>
        </w:tc>
        <w:tc>
          <w:tcPr>
            <w:tcW w:w="3285" w:type="dxa"/>
            <w:gridSpan w:val="5"/>
            <w:noWrap w:val="0"/>
            <w:vAlign w:val="center"/>
          </w:tcPr>
          <w:p w14:paraId="7AA3264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数据来源</w:t>
            </w:r>
          </w:p>
        </w:tc>
      </w:tr>
      <w:tr w14:paraId="15E79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0892935">
            <w:pPr>
              <w:pStyle w:val="46"/>
              <w:bidi w:val="0"/>
              <w:rPr>
                <w:rFonts w:hint="default" w:ascii="Times New Roman" w:hAnsi="Times New Roman" w:cs="Times New Roman"/>
                <w:color w:val="auto"/>
                <w:highlight w:val="none"/>
              </w:rPr>
            </w:pPr>
          </w:p>
        </w:tc>
        <w:tc>
          <w:tcPr>
            <w:tcW w:w="1234" w:type="dxa"/>
            <w:vMerge w:val="continue"/>
            <w:noWrap w:val="0"/>
            <w:vAlign w:val="center"/>
          </w:tcPr>
          <w:p w14:paraId="2BBE350A">
            <w:pPr>
              <w:pStyle w:val="46"/>
              <w:bidi w:val="0"/>
              <w:rPr>
                <w:rFonts w:hint="default" w:ascii="Times New Roman" w:hAnsi="Times New Roman" w:cs="Times New Roman"/>
                <w:color w:val="auto"/>
                <w:highlight w:val="none"/>
              </w:rPr>
            </w:pPr>
          </w:p>
        </w:tc>
        <w:tc>
          <w:tcPr>
            <w:tcW w:w="2004" w:type="dxa"/>
            <w:gridSpan w:val="3"/>
            <w:noWrap w:val="0"/>
            <w:vAlign w:val="center"/>
          </w:tcPr>
          <w:p w14:paraId="6562DA7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已建□；在建□；拟建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w:t>
            </w:r>
            <w:r>
              <w:rPr>
                <w:rFonts w:hint="default" w:ascii="Times New Roman" w:hAnsi="Times New Roman" w:cs="Times New Roman"/>
                <w:color w:val="auto"/>
                <w:highlight w:val="none"/>
                <w:lang w:eastAsia="zh-CN"/>
              </w:rPr>
              <w:t>☑</w:t>
            </w:r>
          </w:p>
        </w:tc>
        <w:tc>
          <w:tcPr>
            <w:tcW w:w="1971" w:type="dxa"/>
            <w:gridSpan w:val="2"/>
            <w:noWrap w:val="0"/>
            <w:vAlign w:val="center"/>
          </w:tcPr>
          <w:p w14:paraId="53465B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拟替代的污染源□</w:t>
            </w:r>
          </w:p>
        </w:tc>
        <w:tc>
          <w:tcPr>
            <w:tcW w:w="3285" w:type="dxa"/>
            <w:gridSpan w:val="5"/>
            <w:noWrap w:val="0"/>
            <w:vAlign w:val="center"/>
          </w:tcPr>
          <w:p w14:paraId="4D45EF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排污许可证 □；环评 □；环保验收 □；既有实测 □；现场监测 □；入河排放口数据 □；其他 □</w:t>
            </w:r>
          </w:p>
        </w:tc>
      </w:tr>
      <w:tr w14:paraId="43367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2A4A4E2">
            <w:pPr>
              <w:pStyle w:val="46"/>
              <w:bidi w:val="0"/>
              <w:rPr>
                <w:rFonts w:hint="default" w:ascii="Times New Roman" w:hAnsi="Times New Roman" w:cs="Times New Roman"/>
                <w:color w:val="auto"/>
                <w:highlight w:val="none"/>
              </w:rPr>
            </w:pPr>
          </w:p>
        </w:tc>
        <w:tc>
          <w:tcPr>
            <w:tcW w:w="1234" w:type="dxa"/>
            <w:vMerge w:val="restart"/>
            <w:noWrap w:val="0"/>
            <w:vAlign w:val="center"/>
          </w:tcPr>
          <w:p w14:paraId="13731EE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受影响水体水环境质量</w:t>
            </w:r>
          </w:p>
        </w:tc>
        <w:tc>
          <w:tcPr>
            <w:tcW w:w="3975" w:type="dxa"/>
            <w:gridSpan w:val="5"/>
            <w:noWrap w:val="0"/>
            <w:vAlign w:val="center"/>
          </w:tcPr>
          <w:p w14:paraId="58831C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调查时期</w:t>
            </w:r>
          </w:p>
        </w:tc>
        <w:tc>
          <w:tcPr>
            <w:tcW w:w="3285" w:type="dxa"/>
            <w:gridSpan w:val="5"/>
            <w:noWrap w:val="0"/>
            <w:vAlign w:val="center"/>
          </w:tcPr>
          <w:p w14:paraId="7B0685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数据来源</w:t>
            </w:r>
          </w:p>
        </w:tc>
      </w:tr>
      <w:tr w14:paraId="1775D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4716422">
            <w:pPr>
              <w:pStyle w:val="46"/>
              <w:bidi w:val="0"/>
              <w:rPr>
                <w:rFonts w:hint="default" w:ascii="Times New Roman" w:hAnsi="Times New Roman" w:cs="Times New Roman"/>
                <w:color w:val="auto"/>
                <w:highlight w:val="none"/>
              </w:rPr>
            </w:pPr>
          </w:p>
        </w:tc>
        <w:tc>
          <w:tcPr>
            <w:tcW w:w="1234" w:type="dxa"/>
            <w:vMerge w:val="continue"/>
            <w:noWrap w:val="0"/>
            <w:vAlign w:val="center"/>
          </w:tcPr>
          <w:p w14:paraId="5020706D">
            <w:pPr>
              <w:pStyle w:val="46"/>
              <w:bidi w:val="0"/>
              <w:rPr>
                <w:rFonts w:hint="default" w:ascii="Times New Roman" w:hAnsi="Times New Roman" w:cs="Times New Roman"/>
                <w:color w:val="auto"/>
                <w:highlight w:val="none"/>
              </w:rPr>
            </w:pPr>
          </w:p>
        </w:tc>
        <w:tc>
          <w:tcPr>
            <w:tcW w:w="3975" w:type="dxa"/>
            <w:gridSpan w:val="5"/>
            <w:noWrap w:val="0"/>
            <w:vAlign w:val="center"/>
          </w:tcPr>
          <w:p w14:paraId="17CCCB4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丰水期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；平水期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；枯水期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；冰封期 </w:t>
            </w:r>
            <w:r>
              <w:rPr>
                <w:rFonts w:hint="default" w:ascii="Times New Roman" w:hAnsi="Times New Roman" w:cs="Times New Roman"/>
                <w:color w:val="auto"/>
                <w:highlight w:val="none"/>
                <w:lang w:eastAsia="zh-CN"/>
              </w:rPr>
              <w:t>□</w:t>
            </w:r>
          </w:p>
          <w:p w14:paraId="3A8E827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春季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；夏季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；秋季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；冬季 </w:t>
            </w:r>
            <w:r>
              <w:rPr>
                <w:rFonts w:hint="default" w:ascii="Times New Roman" w:hAnsi="Times New Roman" w:cs="Times New Roman"/>
                <w:color w:val="auto"/>
                <w:highlight w:val="none"/>
                <w:lang w:eastAsia="zh-CN"/>
              </w:rPr>
              <w:t>□</w:t>
            </w:r>
          </w:p>
        </w:tc>
        <w:tc>
          <w:tcPr>
            <w:tcW w:w="3285" w:type="dxa"/>
            <w:gridSpan w:val="5"/>
            <w:noWrap w:val="0"/>
            <w:vAlign w:val="center"/>
          </w:tcPr>
          <w:p w14:paraId="2F484C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生态环境保护主管部门 </w:t>
            </w: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 xml:space="preserve">；补充监测 </w:t>
            </w: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；其他 □</w:t>
            </w:r>
          </w:p>
        </w:tc>
      </w:tr>
      <w:tr w14:paraId="522A6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000E1140">
            <w:pPr>
              <w:pStyle w:val="46"/>
              <w:bidi w:val="0"/>
              <w:rPr>
                <w:rFonts w:hint="default" w:ascii="Times New Roman" w:hAnsi="Times New Roman" w:cs="Times New Roman"/>
                <w:color w:val="auto"/>
                <w:highlight w:val="none"/>
              </w:rPr>
            </w:pPr>
          </w:p>
        </w:tc>
        <w:tc>
          <w:tcPr>
            <w:tcW w:w="1234" w:type="dxa"/>
            <w:noWrap w:val="0"/>
            <w:vAlign w:val="center"/>
          </w:tcPr>
          <w:p w14:paraId="598DB6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区域水资源开发利用状况</w:t>
            </w:r>
          </w:p>
        </w:tc>
        <w:tc>
          <w:tcPr>
            <w:tcW w:w="7260" w:type="dxa"/>
            <w:gridSpan w:val="10"/>
            <w:noWrap w:val="0"/>
            <w:vAlign w:val="center"/>
          </w:tcPr>
          <w:p w14:paraId="4F971A0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未开发 □；开发量40%以下 □；开发量40%以上 □</w:t>
            </w:r>
          </w:p>
        </w:tc>
      </w:tr>
      <w:tr w14:paraId="0AC6A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53ED98F6">
            <w:pPr>
              <w:pStyle w:val="46"/>
              <w:bidi w:val="0"/>
              <w:rPr>
                <w:rFonts w:hint="default" w:ascii="Times New Roman" w:hAnsi="Times New Roman" w:cs="Times New Roman"/>
                <w:color w:val="auto"/>
                <w:highlight w:val="none"/>
              </w:rPr>
            </w:pPr>
          </w:p>
        </w:tc>
        <w:tc>
          <w:tcPr>
            <w:tcW w:w="1234" w:type="dxa"/>
            <w:vMerge w:val="restart"/>
            <w:noWrap w:val="0"/>
            <w:vAlign w:val="center"/>
          </w:tcPr>
          <w:p w14:paraId="08336E6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水文情势调查</w:t>
            </w:r>
          </w:p>
        </w:tc>
        <w:tc>
          <w:tcPr>
            <w:tcW w:w="3975" w:type="dxa"/>
            <w:gridSpan w:val="5"/>
            <w:noWrap w:val="0"/>
            <w:vAlign w:val="center"/>
          </w:tcPr>
          <w:p w14:paraId="5CBD3E7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调查时期</w:t>
            </w:r>
          </w:p>
        </w:tc>
        <w:tc>
          <w:tcPr>
            <w:tcW w:w="3285" w:type="dxa"/>
            <w:gridSpan w:val="5"/>
            <w:noWrap w:val="0"/>
            <w:vAlign w:val="center"/>
          </w:tcPr>
          <w:p w14:paraId="610513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数据来源</w:t>
            </w:r>
          </w:p>
        </w:tc>
      </w:tr>
      <w:tr w14:paraId="18FE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4C41047">
            <w:pPr>
              <w:pStyle w:val="46"/>
              <w:bidi w:val="0"/>
              <w:rPr>
                <w:rFonts w:hint="default" w:ascii="Times New Roman" w:hAnsi="Times New Roman" w:cs="Times New Roman"/>
                <w:color w:val="auto"/>
                <w:highlight w:val="none"/>
              </w:rPr>
            </w:pPr>
          </w:p>
        </w:tc>
        <w:tc>
          <w:tcPr>
            <w:tcW w:w="1234" w:type="dxa"/>
            <w:vMerge w:val="continue"/>
            <w:noWrap w:val="0"/>
            <w:vAlign w:val="center"/>
          </w:tcPr>
          <w:p w14:paraId="23AC2FB4">
            <w:pPr>
              <w:pStyle w:val="46"/>
              <w:bidi w:val="0"/>
              <w:rPr>
                <w:rFonts w:hint="default" w:ascii="Times New Roman" w:hAnsi="Times New Roman" w:cs="Times New Roman"/>
                <w:color w:val="auto"/>
                <w:highlight w:val="none"/>
              </w:rPr>
            </w:pPr>
          </w:p>
        </w:tc>
        <w:tc>
          <w:tcPr>
            <w:tcW w:w="3975" w:type="dxa"/>
            <w:gridSpan w:val="5"/>
            <w:noWrap w:val="0"/>
            <w:vAlign w:val="center"/>
          </w:tcPr>
          <w:p w14:paraId="6DDAD5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丰水期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；平水期 □；枯水期□；冰封期 □</w:t>
            </w:r>
          </w:p>
          <w:p w14:paraId="11950D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春季 □；夏季 □；秋季 □；冬季 □</w:t>
            </w:r>
          </w:p>
        </w:tc>
        <w:tc>
          <w:tcPr>
            <w:tcW w:w="3285" w:type="dxa"/>
            <w:gridSpan w:val="5"/>
            <w:noWrap w:val="0"/>
            <w:vAlign w:val="center"/>
          </w:tcPr>
          <w:p w14:paraId="25C15D5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水行政主管部门 </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；补充监测 □；其他 □</w:t>
            </w:r>
          </w:p>
        </w:tc>
      </w:tr>
      <w:tr w14:paraId="3745E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713BB0BC">
            <w:pPr>
              <w:pStyle w:val="46"/>
              <w:bidi w:val="0"/>
              <w:rPr>
                <w:rFonts w:hint="default" w:ascii="Times New Roman" w:hAnsi="Times New Roman" w:cs="Times New Roman"/>
                <w:color w:val="auto"/>
                <w:highlight w:val="none"/>
              </w:rPr>
            </w:pPr>
          </w:p>
        </w:tc>
        <w:tc>
          <w:tcPr>
            <w:tcW w:w="1234" w:type="dxa"/>
            <w:vMerge w:val="restart"/>
            <w:noWrap w:val="0"/>
            <w:vAlign w:val="center"/>
          </w:tcPr>
          <w:p w14:paraId="0D1320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补充监测</w:t>
            </w:r>
          </w:p>
        </w:tc>
        <w:tc>
          <w:tcPr>
            <w:tcW w:w="3975" w:type="dxa"/>
            <w:gridSpan w:val="5"/>
            <w:noWrap w:val="0"/>
            <w:vAlign w:val="center"/>
          </w:tcPr>
          <w:p w14:paraId="539A427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监测时期</w:t>
            </w:r>
          </w:p>
        </w:tc>
        <w:tc>
          <w:tcPr>
            <w:tcW w:w="1005" w:type="dxa"/>
            <w:gridSpan w:val="3"/>
            <w:noWrap w:val="0"/>
            <w:vAlign w:val="center"/>
          </w:tcPr>
          <w:p w14:paraId="54EE46F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2280" w:type="dxa"/>
            <w:gridSpan w:val="2"/>
            <w:noWrap w:val="0"/>
            <w:vAlign w:val="center"/>
          </w:tcPr>
          <w:p w14:paraId="7F802DC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监测断面或点位</w:t>
            </w:r>
          </w:p>
        </w:tc>
      </w:tr>
      <w:tr w14:paraId="5C00D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1C6DE0C4">
            <w:pPr>
              <w:pStyle w:val="46"/>
              <w:bidi w:val="0"/>
              <w:rPr>
                <w:rFonts w:hint="default" w:ascii="Times New Roman" w:hAnsi="Times New Roman" w:cs="Times New Roman"/>
                <w:color w:val="auto"/>
                <w:highlight w:val="none"/>
              </w:rPr>
            </w:pPr>
          </w:p>
        </w:tc>
        <w:tc>
          <w:tcPr>
            <w:tcW w:w="1234" w:type="dxa"/>
            <w:vMerge w:val="continue"/>
            <w:noWrap w:val="0"/>
            <w:vAlign w:val="center"/>
          </w:tcPr>
          <w:p w14:paraId="5021296D">
            <w:pPr>
              <w:pStyle w:val="46"/>
              <w:bidi w:val="0"/>
              <w:rPr>
                <w:rFonts w:hint="default" w:ascii="Times New Roman" w:hAnsi="Times New Roman" w:cs="Times New Roman"/>
                <w:color w:val="auto"/>
                <w:highlight w:val="none"/>
              </w:rPr>
            </w:pPr>
          </w:p>
        </w:tc>
        <w:tc>
          <w:tcPr>
            <w:tcW w:w="3975" w:type="dxa"/>
            <w:gridSpan w:val="5"/>
            <w:noWrap w:val="0"/>
            <w:vAlign w:val="center"/>
          </w:tcPr>
          <w:p w14:paraId="2FE7C46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丰水期 □；平水期 □；枯水期 □；冰封期 □</w:t>
            </w:r>
          </w:p>
          <w:p w14:paraId="53919F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春季 □；夏季 □；秋季 □；冬季 □</w:t>
            </w:r>
          </w:p>
        </w:tc>
        <w:tc>
          <w:tcPr>
            <w:tcW w:w="1005" w:type="dxa"/>
            <w:gridSpan w:val="3"/>
            <w:noWrap w:val="0"/>
            <w:vAlign w:val="center"/>
          </w:tcPr>
          <w:p w14:paraId="77A9AA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2280" w:type="dxa"/>
            <w:gridSpan w:val="2"/>
            <w:noWrap w:val="0"/>
            <w:vAlign w:val="center"/>
          </w:tcPr>
          <w:p w14:paraId="159178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监测断面或点位个数</w:t>
            </w:r>
          </w:p>
          <w:p w14:paraId="33CD8D1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）个</w:t>
            </w:r>
          </w:p>
        </w:tc>
      </w:tr>
      <w:tr w14:paraId="6FFFF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restart"/>
            <w:noWrap w:val="0"/>
            <w:vAlign w:val="center"/>
          </w:tcPr>
          <w:p w14:paraId="624F4D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w:t>
            </w:r>
          </w:p>
          <w:p w14:paraId="0F1A53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状</w:t>
            </w:r>
          </w:p>
          <w:p w14:paraId="6B54499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w:t>
            </w:r>
          </w:p>
          <w:p w14:paraId="29341DE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价</w:t>
            </w:r>
          </w:p>
        </w:tc>
        <w:tc>
          <w:tcPr>
            <w:tcW w:w="1234" w:type="dxa"/>
            <w:noWrap w:val="0"/>
            <w:vAlign w:val="center"/>
          </w:tcPr>
          <w:p w14:paraId="32D5239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w:t>
            </w:r>
          </w:p>
        </w:tc>
        <w:tc>
          <w:tcPr>
            <w:tcW w:w="7260" w:type="dxa"/>
            <w:gridSpan w:val="10"/>
            <w:noWrap w:val="0"/>
            <w:vAlign w:val="center"/>
          </w:tcPr>
          <w:p w14:paraId="3EB013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河流：长度（）km；湖库、河口及近岸海域：面积（ ）km2</w:t>
            </w:r>
          </w:p>
        </w:tc>
      </w:tr>
      <w:tr w14:paraId="3467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3CE1A066">
            <w:pPr>
              <w:pStyle w:val="46"/>
              <w:bidi w:val="0"/>
              <w:rPr>
                <w:rFonts w:hint="default" w:ascii="Times New Roman" w:hAnsi="Times New Roman" w:cs="Times New Roman"/>
                <w:color w:val="auto"/>
                <w:highlight w:val="none"/>
              </w:rPr>
            </w:pPr>
          </w:p>
        </w:tc>
        <w:tc>
          <w:tcPr>
            <w:tcW w:w="1234" w:type="dxa"/>
            <w:noWrap w:val="0"/>
            <w:vAlign w:val="center"/>
          </w:tcPr>
          <w:p w14:paraId="049C430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7260" w:type="dxa"/>
            <w:gridSpan w:val="10"/>
            <w:noWrap w:val="0"/>
            <w:vAlign w:val="center"/>
          </w:tcPr>
          <w:p w14:paraId="068F446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pH、COD、BOD5、氨氮、</w:t>
            </w:r>
            <w:r>
              <w:rPr>
                <w:rFonts w:hint="default" w:ascii="Times New Roman" w:hAnsi="Times New Roman" w:cs="Times New Roman"/>
                <w:color w:val="auto"/>
                <w:highlight w:val="none"/>
                <w:lang w:val="en-US" w:eastAsia="zh-CN"/>
              </w:rPr>
              <w:t>溶解氧和高锰酸盐指数</w:t>
            </w:r>
            <w:r>
              <w:rPr>
                <w:rFonts w:hint="default" w:ascii="Times New Roman" w:hAnsi="Times New Roman" w:cs="Times New Roman"/>
                <w:color w:val="auto"/>
                <w:highlight w:val="none"/>
              </w:rPr>
              <w:t>）</w:t>
            </w:r>
          </w:p>
        </w:tc>
      </w:tr>
      <w:tr w14:paraId="4D625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9FFEF15">
            <w:pPr>
              <w:pStyle w:val="46"/>
              <w:bidi w:val="0"/>
              <w:rPr>
                <w:rFonts w:hint="default" w:ascii="Times New Roman" w:hAnsi="Times New Roman" w:cs="Times New Roman"/>
                <w:color w:val="auto"/>
                <w:highlight w:val="none"/>
              </w:rPr>
            </w:pPr>
          </w:p>
        </w:tc>
        <w:tc>
          <w:tcPr>
            <w:tcW w:w="1234" w:type="dxa"/>
            <w:noWrap w:val="0"/>
            <w:vAlign w:val="center"/>
          </w:tcPr>
          <w:p w14:paraId="700788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7260" w:type="dxa"/>
            <w:gridSpan w:val="10"/>
            <w:noWrap w:val="0"/>
            <w:vAlign w:val="center"/>
          </w:tcPr>
          <w:p w14:paraId="4AC13A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河流、湖库、河口：Ⅰ类 □；Ⅱ类 □；Ⅲ类 □；Ⅳ类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；Ⅴ类 □</w:t>
            </w:r>
          </w:p>
          <w:p w14:paraId="0751F2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近岸海域：第一类 □；第二类 □；第三类 □；第四类 □</w:t>
            </w:r>
          </w:p>
          <w:p w14:paraId="49DC17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规划年评价标准（ ）</w:t>
            </w:r>
          </w:p>
        </w:tc>
      </w:tr>
      <w:tr w14:paraId="0C130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73BC6688">
            <w:pPr>
              <w:pStyle w:val="46"/>
              <w:bidi w:val="0"/>
              <w:rPr>
                <w:rFonts w:hint="default" w:ascii="Times New Roman" w:hAnsi="Times New Roman" w:cs="Times New Roman"/>
                <w:color w:val="auto"/>
                <w:highlight w:val="none"/>
              </w:rPr>
            </w:pPr>
          </w:p>
        </w:tc>
        <w:tc>
          <w:tcPr>
            <w:tcW w:w="1234" w:type="dxa"/>
            <w:noWrap w:val="0"/>
            <w:vAlign w:val="center"/>
          </w:tcPr>
          <w:p w14:paraId="559079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评价时期</w:t>
            </w:r>
          </w:p>
        </w:tc>
        <w:tc>
          <w:tcPr>
            <w:tcW w:w="7260" w:type="dxa"/>
            <w:gridSpan w:val="10"/>
            <w:noWrap w:val="0"/>
            <w:vAlign w:val="center"/>
          </w:tcPr>
          <w:p w14:paraId="542AD4B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丰水期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；平水期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；枯水期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；冰封期 </w:t>
            </w:r>
            <w:r>
              <w:rPr>
                <w:rFonts w:hint="default" w:ascii="Times New Roman" w:hAnsi="Times New Roman" w:cs="Times New Roman"/>
                <w:color w:val="auto"/>
                <w:highlight w:val="none"/>
                <w:lang w:eastAsia="zh-CN"/>
              </w:rPr>
              <w:t>□</w:t>
            </w:r>
          </w:p>
          <w:p w14:paraId="5D51F0B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春季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；夏季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；秋季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；冬季 </w:t>
            </w:r>
            <w:r>
              <w:rPr>
                <w:rFonts w:hint="default" w:ascii="Times New Roman" w:hAnsi="Times New Roman" w:cs="Times New Roman"/>
                <w:color w:val="auto"/>
                <w:highlight w:val="none"/>
                <w:lang w:eastAsia="zh-CN"/>
              </w:rPr>
              <w:t>□</w:t>
            </w:r>
          </w:p>
        </w:tc>
      </w:tr>
      <w:tr w14:paraId="0888F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410BDCDC">
            <w:pPr>
              <w:pStyle w:val="46"/>
              <w:bidi w:val="0"/>
              <w:rPr>
                <w:rFonts w:hint="default" w:ascii="Times New Roman" w:hAnsi="Times New Roman" w:cs="Times New Roman"/>
                <w:color w:val="auto"/>
                <w:highlight w:val="none"/>
              </w:rPr>
            </w:pPr>
          </w:p>
        </w:tc>
        <w:tc>
          <w:tcPr>
            <w:tcW w:w="1234" w:type="dxa"/>
            <w:noWrap w:val="0"/>
            <w:vAlign w:val="center"/>
          </w:tcPr>
          <w:p w14:paraId="478BC3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3975" w:type="dxa"/>
            <w:gridSpan w:val="5"/>
            <w:noWrap w:val="0"/>
            <w:vAlign w:val="center"/>
          </w:tcPr>
          <w:p w14:paraId="433281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水环境功能区或水功能区、近岸海域环境功能区水质达标状况 □：达标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；不达标 </w:t>
            </w:r>
            <w:r>
              <w:rPr>
                <w:rFonts w:hint="default" w:ascii="Times New Roman" w:hAnsi="Times New Roman" w:cs="Times New Roman"/>
                <w:color w:val="auto"/>
                <w:highlight w:val="none"/>
              </w:rPr>
              <w:sym w:font="Wingdings 2" w:char="0052"/>
            </w:r>
          </w:p>
          <w:p w14:paraId="775B0F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水环境控制单元或断面水质达标状况 □：达标 □；不达标 □</w:t>
            </w:r>
          </w:p>
          <w:p w14:paraId="0A6995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水环境保护目标质量状况□：达标□；不达标□</w:t>
            </w:r>
          </w:p>
          <w:p w14:paraId="1447CE2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对照断面、控制断面等代表性断面的水质状况 □：达标 □；不达标 □</w:t>
            </w:r>
          </w:p>
          <w:p w14:paraId="4DCC80D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底泥污染评价 □</w:t>
            </w:r>
          </w:p>
          <w:p w14:paraId="070C9C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水资源与开发利用程度及其水文情势评价□</w:t>
            </w:r>
          </w:p>
          <w:p w14:paraId="28C976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水环境质量回顾评价 □</w:t>
            </w:r>
          </w:p>
          <w:p w14:paraId="57F2669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流域（区域）水资源（包括水能资源）与开发利用总体状况、生态流量管理要求与现状满足程度、建设项目占</w:t>
            </w:r>
          </w:p>
          <w:p w14:paraId="7796444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用水域空间的水流状况与河湖演变状况 </w:t>
            </w:r>
            <w:r>
              <w:rPr>
                <w:rFonts w:hint="default" w:ascii="Times New Roman" w:hAnsi="Times New Roman" w:cs="Times New Roman"/>
                <w:color w:val="auto"/>
                <w:highlight w:val="none"/>
                <w:lang w:eastAsia="zh-CN"/>
              </w:rPr>
              <w:t>□</w:t>
            </w:r>
          </w:p>
        </w:tc>
        <w:tc>
          <w:tcPr>
            <w:tcW w:w="3285" w:type="dxa"/>
            <w:gridSpan w:val="5"/>
            <w:noWrap w:val="0"/>
            <w:vAlign w:val="center"/>
          </w:tcPr>
          <w:p w14:paraId="079936B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达标区 </w:t>
            </w:r>
            <w:r>
              <w:rPr>
                <w:rFonts w:hint="default" w:ascii="Times New Roman" w:hAnsi="Times New Roman" w:cs="Times New Roman"/>
                <w:color w:val="auto"/>
                <w:highlight w:val="none"/>
                <w:lang w:eastAsia="zh-CN"/>
              </w:rPr>
              <w:t>☑</w:t>
            </w:r>
          </w:p>
          <w:p w14:paraId="4C2319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不达标区 </w:t>
            </w:r>
            <w:r>
              <w:rPr>
                <w:rFonts w:hint="default" w:ascii="Times New Roman" w:hAnsi="Times New Roman" w:cs="Times New Roman"/>
                <w:color w:val="auto"/>
                <w:highlight w:val="none"/>
              </w:rPr>
              <w:sym w:font="Wingdings 2" w:char="00A3"/>
            </w:r>
          </w:p>
        </w:tc>
      </w:tr>
      <w:tr w14:paraId="7B4B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restart"/>
            <w:noWrap w:val="0"/>
            <w:vAlign w:val="center"/>
          </w:tcPr>
          <w:p w14:paraId="385BEFD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w:t>
            </w:r>
          </w:p>
          <w:p w14:paraId="51395D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响</w:t>
            </w:r>
          </w:p>
          <w:p w14:paraId="451C00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w:t>
            </w:r>
          </w:p>
          <w:p w14:paraId="4FC221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测</w:t>
            </w:r>
          </w:p>
        </w:tc>
        <w:tc>
          <w:tcPr>
            <w:tcW w:w="1234" w:type="dxa"/>
            <w:noWrap w:val="0"/>
            <w:vAlign w:val="center"/>
          </w:tcPr>
          <w:p w14:paraId="4F627EE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预测范围</w:t>
            </w:r>
          </w:p>
        </w:tc>
        <w:tc>
          <w:tcPr>
            <w:tcW w:w="7260" w:type="dxa"/>
            <w:gridSpan w:val="10"/>
            <w:noWrap w:val="0"/>
            <w:vAlign w:val="center"/>
          </w:tcPr>
          <w:p w14:paraId="414464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河流：长度（ ）km；湖库、河口及近岸海域：面积（ ）km2</w:t>
            </w:r>
          </w:p>
        </w:tc>
      </w:tr>
      <w:tr w14:paraId="5BDB3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0F48A52">
            <w:pPr>
              <w:pStyle w:val="46"/>
              <w:bidi w:val="0"/>
              <w:rPr>
                <w:rFonts w:hint="default" w:ascii="Times New Roman" w:hAnsi="Times New Roman" w:cs="Times New Roman"/>
                <w:color w:val="auto"/>
                <w:highlight w:val="none"/>
              </w:rPr>
            </w:pPr>
          </w:p>
        </w:tc>
        <w:tc>
          <w:tcPr>
            <w:tcW w:w="1234" w:type="dxa"/>
            <w:noWrap w:val="0"/>
            <w:vAlign w:val="center"/>
          </w:tcPr>
          <w:p w14:paraId="4375B1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7260" w:type="dxa"/>
            <w:gridSpan w:val="10"/>
            <w:noWrap w:val="0"/>
            <w:vAlign w:val="center"/>
          </w:tcPr>
          <w:p w14:paraId="3D6C39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r>
      <w:tr w14:paraId="4EDF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343E072D">
            <w:pPr>
              <w:pStyle w:val="46"/>
              <w:bidi w:val="0"/>
              <w:rPr>
                <w:rFonts w:hint="default" w:ascii="Times New Roman" w:hAnsi="Times New Roman" w:cs="Times New Roman"/>
                <w:color w:val="auto"/>
                <w:highlight w:val="none"/>
              </w:rPr>
            </w:pPr>
          </w:p>
        </w:tc>
        <w:tc>
          <w:tcPr>
            <w:tcW w:w="1234" w:type="dxa"/>
            <w:noWrap w:val="0"/>
            <w:vAlign w:val="center"/>
          </w:tcPr>
          <w:p w14:paraId="2FE0445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预测时期</w:t>
            </w:r>
          </w:p>
        </w:tc>
        <w:tc>
          <w:tcPr>
            <w:tcW w:w="7260" w:type="dxa"/>
            <w:gridSpan w:val="10"/>
            <w:noWrap w:val="0"/>
            <w:vAlign w:val="center"/>
          </w:tcPr>
          <w:p w14:paraId="0601473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丰水期 □；平水期 □；枯水期 □；冰封期 □</w:t>
            </w:r>
          </w:p>
          <w:p w14:paraId="59180F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春季 □；夏季 □；秋季 □；冬季 □</w:t>
            </w:r>
          </w:p>
          <w:p w14:paraId="7EB167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设计水文条件 □</w:t>
            </w:r>
          </w:p>
        </w:tc>
      </w:tr>
      <w:tr w14:paraId="4172D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0A765687">
            <w:pPr>
              <w:pStyle w:val="46"/>
              <w:bidi w:val="0"/>
              <w:rPr>
                <w:rFonts w:hint="default" w:ascii="Times New Roman" w:hAnsi="Times New Roman" w:cs="Times New Roman"/>
                <w:color w:val="auto"/>
                <w:highlight w:val="none"/>
              </w:rPr>
            </w:pPr>
          </w:p>
        </w:tc>
        <w:tc>
          <w:tcPr>
            <w:tcW w:w="1234" w:type="dxa"/>
            <w:noWrap w:val="0"/>
            <w:vAlign w:val="center"/>
          </w:tcPr>
          <w:p w14:paraId="6E18BE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预测情景</w:t>
            </w:r>
          </w:p>
        </w:tc>
        <w:tc>
          <w:tcPr>
            <w:tcW w:w="7260" w:type="dxa"/>
            <w:gridSpan w:val="10"/>
            <w:noWrap w:val="0"/>
            <w:vAlign w:val="center"/>
          </w:tcPr>
          <w:p w14:paraId="3EF5F8A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建设期 □；生产运行期 □；服务期满后 □</w:t>
            </w:r>
          </w:p>
          <w:p w14:paraId="23F8611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正常工况 □；非正常工况 □</w:t>
            </w:r>
          </w:p>
          <w:p w14:paraId="438F92B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污染控制和减缓措施方案 □</w:t>
            </w:r>
          </w:p>
          <w:p w14:paraId="6BF2B1A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区（流）域环境质量改善目标要求情景 □</w:t>
            </w:r>
          </w:p>
        </w:tc>
      </w:tr>
      <w:tr w14:paraId="1FFAD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01D7865B">
            <w:pPr>
              <w:pStyle w:val="46"/>
              <w:bidi w:val="0"/>
              <w:rPr>
                <w:rFonts w:hint="default" w:ascii="Times New Roman" w:hAnsi="Times New Roman" w:cs="Times New Roman"/>
                <w:color w:val="auto"/>
                <w:highlight w:val="none"/>
              </w:rPr>
            </w:pPr>
          </w:p>
        </w:tc>
        <w:tc>
          <w:tcPr>
            <w:tcW w:w="1234" w:type="dxa"/>
            <w:noWrap w:val="0"/>
            <w:vAlign w:val="center"/>
          </w:tcPr>
          <w:p w14:paraId="136BC6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预测方法</w:t>
            </w:r>
          </w:p>
        </w:tc>
        <w:tc>
          <w:tcPr>
            <w:tcW w:w="7260" w:type="dxa"/>
            <w:gridSpan w:val="10"/>
            <w:noWrap w:val="0"/>
            <w:vAlign w:val="center"/>
          </w:tcPr>
          <w:p w14:paraId="0FFE16C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数值解 □：解析解 □；其他 □</w:t>
            </w:r>
          </w:p>
          <w:p w14:paraId="6825F4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导则推荐模式 □：其他 □</w:t>
            </w:r>
          </w:p>
        </w:tc>
      </w:tr>
      <w:tr w14:paraId="7697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714" w:type="dxa"/>
            <w:vMerge w:val="restart"/>
            <w:noWrap w:val="0"/>
            <w:vAlign w:val="center"/>
          </w:tcPr>
          <w:p w14:paraId="42B8C9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w:t>
            </w:r>
          </w:p>
          <w:p w14:paraId="19C68A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响</w:t>
            </w:r>
          </w:p>
          <w:p w14:paraId="32847B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w:t>
            </w:r>
          </w:p>
          <w:p w14:paraId="413347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价</w:t>
            </w:r>
          </w:p>
        </w:tc>
        <w:tc>
          <w:tcPr>
            <w:tcW w:w="1234" w:type="dxa"/>
            <w:noWrap w:val="0"/>
            <w:vAlign w:val="center"/>
          </w:tcPr>
          <w:p w14:paraId="5A7B45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水污染控制和水环境影响减缓措施有效性评价</w:t>
            </w:r>
          </w:p>
        </w:tc>
        <w:tc>
          <w:tcPr>
            <w:tcW w:w="7260" w:type="dxa"/>
            <w:gridSpan w:val="10"/>
            <w:noWrap w:val="0"/>
            <w:vAlign w:val="center"/>
          </w:tcPr>
          <w:p w14:paraId="17DCFF5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区（流）域水环境质量改善目标 □；替代削减源 □</w:t>
            </w:r>
          </w:p>
        </w:tc>
      </w:tr>
      <w:tr w14:paraId="14424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7E6DBF1A">
            <w:pPr>
              <w:pStyle w:val="46"/>
              <w:bidi w:val="0"/>
              <w:rPr>
                <w:rFonts w:hint="default" w:ascii="Times New Roman" w:hAnsi="Times New Roman" w:cs="Times New Roman"/>
                <w:color w:val="auto"/>
                <w:highlight w:val="none"/>
              </w:rPr>
            </w:pPr>
          </w:p>
        </w:tc>
        <w:tc>
          <w:tcPr>
            <w:tcW w:w="1234" w:type="dxa"/>
            <w:noWrap w:val="0"/>
            <w:vAlign w:val="center"/>
          </w:tcPr>
          <w:p w14:paraId="7666EB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水环境影响评价</w:t>
            </w:r>
          </w:p>
        </w:tc>
        <w:tc>
          <w:tcPr>
            <w:tcW w:w="7260" w:type="dxa"/>
            <w:gridSpan w:val="10"/>
            <w:noWrap w:val="0"/>
            <w:vAlign w:val="center"/>
          </w:tcPr>
          <w:p w14:paraId="0965C1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排放口混合区外满足水环境管理要求 □</w:t>
            </w:r>
          </w:p>
          <w:p w14:paraId="34EA822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 xml:space="preserve">水环境功能区或水功能区、近岸海域环境功能区水质达标 </w:t>
            </w:r>
            <w:r>
              <w:rPr>
                <w:rFonts w:hint="default" w:ascii="Times New Roman" w:hAnsi="Times New Roman" w:cs="Times New Roman"/>
                <w:color w:val="auto"/>
                <w:highlight w:val="none"/>
                <w:lang w:eastAsia="zh-CN"/>
              </w:rPr>
              <w:t>□</w:t>
            </w:r>
          </w:p>
          <w:p w14:paraId="63F8A8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满足水环境保护目标水域水环境质量要求 □</w:t>
            </w:r>
          </w:p>
          <w:p w14:paraId="2FAEA7C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水环境控制单元或断面水质达标 □</w:t>
            </w:r>
          </w:p>
          <w:p w14:paraId="02A89C0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满足重点水污染物排放总量控制指标要求，重点行业建设项目，主要污染物排放满足等量或减量替代要求 □</w:t>
            </w:r>
          </w:p>
          <w:p w14:paraId="0EDF0F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满足区（流）域水环境质量改善目标要求 □</w:t>
            </w:r>
          </w:p>
          <w:p w14:paraId="05C7E78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水文要素影响型建设项目同时应包括水文情势变化评价、主要水文特征值影响评价、生态流量符合性评价 □</w:t>
            </w:r>
          </w:p>
          <w:p w14:paraId="0FA32B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对于新设或调整入河（湖库、近岸海域）排放口的建设项目，应包括排放口设置的环境合理性评价 □</w:t>
            </w:r>
          </w:p>
          <w:p w14:paraId="07A3626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满足生态保护红线、水环境质量底线、资源利用上线和环境准入清单管理要求 □</w:t>
            </w:r>
          </w:p>
        </w:tc>
      </w:tr>
      <w:tr w14:paraId="4F9F4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671D1C0">
            <w:pPr>
              <w:pStyle w:val="46"/>
              <w:bidi w:val="0"/>
              <w:rPr>
                <w:rFonts w:hint="default" w:ascii="Times New Roman" w:hAnsi="Times New Roman" w:cs="Times New Roman"/>
                <w:color w:val="auto"/>
                <w:highlight w:val="none"/>
              </w:rPr>
            </w:pPr>
          </w:p>
        </w:tc>
        <w:tc>
          <w:tcPr>
            <w:tcW w:w="1234" w:type="dxa"/>
            <w:vMerge w:val="restart"/>
            <w:noWrap w:val="0"/>
            <w:vAlign w:val="center"/>
          </w:tcPr>
          <w:p w14:paraId="7B643ED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污染源排放量核算</w:t>
            </w:r>
          </w:p>
        </w:tc>
        <w:tc>
          <w:tcPr>
            <w:tcW w:w="1951" w:type="dxa"/>
            <w:gridSpan w:val="2"/>
            <w:noWrap w:val="0"/>
            <w:vAlign w:val="center"/>
          </w:tcPr>
          <w:p w14:paraId="7DFCE8B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污染物名称</w:t>
            </w:r>
          </w:p>
        </w:tc>
        <w:tc>
          <w:tcPr>
            <w:tcW w:w="2428" w:type="dxa"/>
            <w:gridSpan w:val="5"/>
            <w:noWrap w:val="0"/>
            <w:vAlign w:val="center"/>
          </w:tcPr>
          <w:p w14:paraId="77CD109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排放量/（t/a）</w:t>
            </w:r>
          </w:p>
        </w:tc>
        <w:tc>
          <w:tcPr>
            <w:tcW w:w="2881" w:type="dxa"/>
            <w:gridSpan w:val="3"/>
            <w:noWrap w:val="0"/>
            <w:vAlign w:val="center"/>
          </w:tcPr>
          <w:p w14:paraId="04A5C1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排放浓度/（mg/L）</w:t>
            </w:r>
          </w:p>
        </w:tc>
      </w:tr>
      <w:tr w14:paraId="0FDFB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336AF9BD">
            <w:pPr>
              <w:pStyle w:val="46"/>
              <w:bidi w:val="0"/>
              <w:rPr>
                <w:rFonts w:hint="default" w:ascii="Times New Roman" w:hAnsi="Times New Roman" w:cs="Times New Roman"/>
                <w:color w:val="auto"/>
                <w:highlight w:val="none"/>
              </w:rPr>
            </w:pPr>
          </w:p>
        </w:tc>
        <w:tc>
          <w:tcPr>
            <w:tcW w:w="1234" w:type="dxa"/>
            <w:vMerge w:val="continue"/>
            <w:noWrap w:val="0"/>
            <w:vAlign w:val="center"/>
          </w:tcPr>
          <w:p w14:paraId="73138397">
            <w:pPr>
              <w:pStyle w:val="46"/>
              <w:bidi w:val="0"/>
              <w:rPr>
                <w:rFonts w:hint="default" w:ascii="Times New Roman" w:hAnsi="Times New Roman" w:cs="Times New Roman"/>
                <w:color w:val="auto"/>
                <w:highlight w:val="none"/>
              </w:rPr>
            </w:pPr>
          </w:p>
        </w:tc>
        <w:tc>
          <w:tcPr>
            <w:tcW w:w="1951" w:type="dxa"/>
            <w:gridSpan w:val="2"/>
            <w:noWrap w:val="0"/>
            <w:vAlign w:val="center"/>
          </w:tcPr>
          <w:p w14:paraId="5DA2FA5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2428" w:type="dxa"/>
            <w:gridSpan w:val="5"/>
            <w:noWrap w:val="0"/>
            <w:vAlign w:val="center"/>
          </w:tcPr>
          <w:p w14:paraId="1A40C19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2881" w:type="dxa"/>
            <w:gridSpan w:val="3"/>
            <w:noWrap w:val="0"/>
            <w:vAlign w:val="center"/>
          </w:tcPr>
          <w:p w14:paraId="1EE1169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r>
      <w:tr w14:paraId="5E0D9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3B4DE743">
            <w:pPr>
              <w:pStyle w:val="46"/>
              <w:bidi w:val="0"/>
              <w:rPr>
                <w:rFonts w:hint="default" w:ascii="Times New Roman" w:hAnsi="Times New Roman" w:cs="Times New Roman"/>
                <w:color w:val="auto"/>
                <w:highlight w:val="none"/>
              </w:rPr>
            </w:pPr>
          </w:p>
        </w:tc>
        <w:tc>
          <w:tcPr>
            <w:tcW w:w="1234" w:type="dxa"/>
            <w:vMerge w:val="restart"/>
            <w:noWrap w:val="0"/>
            <w:vAlign w:val="center"/>
          </w:tcPr>
          <w:p w14:paraId="55B6070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替代源排放情况</w:t>
            </w:r>
          </w:p>
        </w:tc>
        <w:tc>
          <w:tcPr>
            <w:tcW w:w="1226" w:type="dxa"/>
            <w:noWrap w:val="0"/>
            <w:vAlign w:val="center"/>
          </w:tcPr>
          <w:p w14:paraId="188760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污染源名称 </w:t>
            </w:r>
          </w:p>
        </w:tc>
        <w:tc>
          <w:tcPr>
            <w:tcW w:w="1524" w:type="dxa"/>
            <w:gridSpan w:val="3"/>
            <w:noWrap w:val="0"/>
            <w:vAlign w:val="center"/>
          </w:tcPr>
          <w:p w14:paraId="4CFA38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排污许可证编号</w:t>
            </w:r>
          </w:p>
        </w:tc>
        <w:tc>
          <w:tcPr>
            <w:tcW w:w="1261" w:type="dxa"/>
            <w:gridSpan w:val="2"/>
            <w:noWrap w:val="0"/>
            <w:vAlign w:val="center"/>
          </w:tcPr>
          <w:p w14:paraId="7980CC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污染物名称</w:t>
            </w:r>
          </w:p>
        </w:tc>
        <w:tc>
          <w:tcPr>
            <w:tcW w:w="1333" w:type="dxa"/>
            <w:gridSpan w:val="3"/>
            <w:noWrap w:val="0"/>
            <w:vAlign w:val="center"/>
          </w:tcPr>
          <w:p w14:paraId="3856518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排放量/（t/a）</w:t>
            </w:r>
          </w:p>
        </w:tc>
        <w:tc>
          <w:tcPr>
            <w:tcW w:w="1916" w:type="dxa"/>
            <w:noWrap w:val="0"/>
            <w:vAlign w:val="center"/>
          </w:tcPr>
          <w:p w14:paraId="652484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排放浓度/（mg/L）</w:t>
            </w:r>
          </w:p>
        </w:tc>
      </w:tr>
      <w:tr w14:paraId="16C0B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vMerge w:val="continue"/>
            <w:noWrap w:val="0"/>
            <w:vAlign w:val="center"/>
          </w:tcPr>
          <w:p w14:paraId="5E8CE5B2">
            <w:pPr>
              <w:pStyle w:val="46"/>
              <w:bidi w:val="0"/>
              <w:rPr>
                <w:rFonts w:hint="default" w:ascii="Times New Roman" w:hAnsi="Times New Roman" w:cs="Times New Roman"/>
                <w:color w:val="auto"/>
                <w:highlight w:val="none"/>
              </w:rPr>
            </w:pPr>
          </w:p>
        </w:tc>
        <w:tc>
          <w:tcPr>
            <w:tcW w:w="1234" w:type="dxa"/>
            <w:vMerge w:val="continue"/>
            <w:noWrap w:val="0"/>
            <w:vAlign w:val="center"/>
          </w:tcPr>
          <w:p w14:paraId="14F6AD2A">
            <w:pPr>
              <w:pStyle w:val="46"/>
              <w:bidi w:val="0"/>
              <w:rPr>
                <w:rFonts w:hint="default" w:ascii="Times New Roman" w:hAnsi="Times New Roman" w:cs="Times New Roman"/>
                <w:color w:val="auto"/>
                <w:highlight w:val="none"/>
              </w:rPr>
            </w:pPr>
          </w:p>
        </w:tc>
        <w:tc>
          <w:tcPr>
            <w:tcW w:w="1226" w:type="dxa"/>
            <w:noWrap w:val="0"/>
            <w:vAlign w:val="center"/>
          </w:tcPr>
          <w:p w14:paraId="5A099E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1524" w:type="dxa"/>
            <w:gridSpan w:val="3"/>
            <w:noWrap w:val="0"/>
            <w:vAlign w:val="center"/>
          </w:tcPr>
          <w:p w14:paraId="0C4AA10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1261" w:type="dxa"/>
            <w:gridSpan w:val="2"/>
            <w:noWrap w:val="0"/>
            <w:vAlign w:val="center"/>
          </w:tcPr>
          <w:p w14:paraId="736D32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1333" w:type="dxa"/>
            <w:gridSpan w:val="3"/>
            <w:noWrap w:val="0"/>
            <w:vAlign w:val="center"/>
          </w:tcPr>
          <w:p w14:paraId="4E746E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1916" w:type="dxa"/>
            <w:noWrap w:val="0"/>
            <w:vAlign w:val="center"/>
          </w:tcPr>
          <w:p w14:paraId="48F6D0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r>
      <w:tr w14:paraId="1B4D1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714" w:type="dxa"/>
            <w:vMerge w:val="continue"/>
            <w:noWrap w:val="0"/>
            <w:vAlign w:val="center"/>
          </w:tcPr>
          <w:p w14:paraId="1CD153AB">
            <w:pPr>
              <w:pStyle w:val="46"/>
              <w:bidi w:val="0"/>
              <w:rPr>
                <w:rFonts w:hint="default" w:ascii="Times New Roman" w:hAnsi="Times New Roman" w:cs="Times New Roman"/>
                <w:color w:val="auto"/>
                <w:highlight w:val="none"/>
              </w:rPr>
            </w:pPr>
          </w:p>
        </w:tc>
        <w:tc>
          <w:tcPr>
            <w:tcW w:w="1234" w:type="dxa"/>
            <w:noWrap w:val="0"/>
            <w:vAlign w:val="center"/>
          </w:tcPr>
          <w:p w14:paraId="0B135F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生态流量确定</w:t>
            </w:r>
          </w:p>
        </w:tc>
        <w:tc>
          <w:tcPr>
            <w:tcW w:w="7260" w:type="dxa"/>
            <w:gridSpan w:val="10"/>
            <w:noWrap w:val="0"/>
            <w:vAlign w:val="center"/>
          </w:tcPr>
          <w:p w14:paraId="74C4B6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生态流量：一般水期（ ）m 3/s；鱼类繁殖期（ ）m 3/s；其他（ ）m3/s</w:t>
            </w:r>
          </w:p>
          <w:p w14:paraId="08CC34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生态水位：一般水期（ ）m；鱼类繁殖期（ ）m；其他（ ）m</w:t>
            </w:r>
          </w:p>
        </w:tc>
      </w:tr>
      <w:tr w14:paraId="61ECB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14" w:type="dxa"/>
            <w:vMerge w:val="restart"/>
            <w:noWrap w:val="0"/>
            <w:vAlign w:val="center"/>
          </w:tcPr>
          <w:p w14:paraId="4BA8682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防</w:t>
            </w:r>
          </w:p>
          <w:p w14:paraId="3AB2376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w:t>
            </w:r>
          </w:p>
          <w:p w14:paraId="6A9968B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措</w:t>
            </w:r>
          </w:p>
          <w:p w14:paraId="43761B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w:t>
            </w:r>
          </w:p>
        </w:tc>
        <w:tc>
          <w:tcPr>
            <w:tcW w:w="1234" w:type="dxa"/>
            <w:noWrap w:val="0"/>
            <w:vAlign w:val="center"/>
          </w:tcPr>
          <w:p w14:paraId="4652798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环保措施</w:t>
            </w:r>
          </w:p>
        </w:tc>
        <w:tc>
          <w:tcPr>
            <w:tcW w:w="7260" w:type="dxa"/>
            <w:gridSpan w:val="10"/>
            <w:noWrap w:val="0"/>
            <w:vAlign w:val="center"/>
          </w:tcPr>
          <w:p w14:paraId="664B5D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污水处理设施 □；水文减缓设施 □；生态流量保障设施 □；区域削减 □；依托其他工程措施 □；其他 □</w:t>
            </w:r>
          </w:p>
        </w:tc>
      </w:tr>
      <w:tr w14:paraId="084C8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A1B424A">
            <w:pPr>
              <w:pStyle w:val="46"/>
              <w:bidi w:val="0"/>
              <w:rPr>
                <w:rFonts w:hint="default" w:ascii="Times New Roman" w:hAnsi="Times New Roman" w:cs="Times New Roman"/>
                <w:color w:val="auto"/>
                <w:highlight w:val="none"/>
              </w:rPr>
            </w:pPr>
          </w:p>
        </w:tc>
        <w:tc>
          <w:tcPr>
            <w:tcW w:w="1234" w:type="dxa"/>
            <w:vMerge w:val="restart"/>
            <w:noWrap w:val="0"/>
            <w:vAlign w:val="center"/>
          </w:tcPr>
          <w:p w14:paraId="6936913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监测计划</w:t>
            </w:r>
          </w:p>
        </w:tc>
        <w:tc>
          <w:tcPr>
            <w:tcW w:w="1951" w:type="dxa"/>
            <w:gridSpan w:val="2"/>
            <w:noWrap w:val="0"/>
            <w:vAlign w:val="center"/>
          </w:tcPr>
          <w:p w14:paraId="33828193">
            <w:pPr>
              <w:pStyle w:val="46"/>
              <w:bidi w:val="0"/>
              <w:rPr>
                <w:rFonts w:hint="default" w:ascii="Times New Roman" w:hAnsi="Times New Roman" w:cs="Times New Roman"/>
                <w:color w:val="auto"/>
                <w:highlight w:val="none"/>
              </w:rPr>
            </w:pPr>
          </w:p>
        </w:tc>
        <w:tc>
          <w:tcPr>
            <w:tcW w:w="2428" w:type="dxa"/>
            <w:gridSpan w:val="5"/>
            <w:noWrap w:val="0"/>
            <w:vAlign w:val="center"/>
          </w:tcPr>
          <w:p w14:paraId="7011E2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w:t>
            </w:r>
          </w:p>
        </w:tc>
        <w:tc>
          <w:tcPr>
            <w:tcW w:w="2881" w:type="dxa"/>
            <w:gridSpan w:val="3"/>
            <w:noWrap w:val="0"/>
            <w:vAlign w:val="center"/>
          </w:tcPr>
          <w:p w14:paraId="011A85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r>
      <w:tr w14:paraId="63D95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773F1692">
            <w:pPr>
              <w:pStyle w:val="46"/>
              <w:bidi w:val="0"/>
              <w:rPr>
                <w:rFonts w:hint="default" w:ascii="Times New Roman" w:hAnsi="Times New Roman" w:cs="Times New Roman"/>
                <w:color w:val="auto"/>
                <w:highlight w:val="none"/>
              </w:rPr>
            </w:pPr>
          </w:p>
        </w:tc>
        <w:tc>
          <w:tcPr>
            <w:tcW w:w="1234" w:type="dxa"/>
            <w:vMerge w:val="continue"/>
            <w:noWrap w:val="0"/>
            <w:vAlign w:val="center"/>
          </w:tcPr>
          <w:p w14:paraId="1A9CF48D">
            <w:pPr>
              <w:pStyle w:val="46"/>
              <w:bidi w:val="0"/>
              <w:rPr>
                <w:rFonts w:hint="default" w:ascii="Times New Roman" w:hAnsi="Times New Roman" w:cs="Times New Roman"/>
                <w:color w:val="auto"/>
                <w:highlight w:val="none"/>
              </w:rPr>
            </w:pPr>
          </w:p>
        </w:tc>
        <w:tc>
          <w:tcPr>
            <w:tcW w:w="1951" w:type="dxa"/>
            <w:gridSpan w:val="2"/>
            <w:noWrap w:val="0"/>
            <w:vAlign w:val="center"/>
          </w:tcPr>
          <w:p w14:paraId="39A87B5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监测方式</w:t>
            </w:r>
          </w:p>
        </w:tc>
        <w:tc>
          <w:tcPr>
            <w:tcW w:w="2428" w:type="dxa"/>
            <w:gridSpan w:val="5"/>
            <w:noWrap w:val="0"/>
            <w:vAlign w:val="center"/>
          </w:tcPr>
          <w:p w14:paraId="57EDA0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手动 □；自动 □；无监测 □</w:t>
            </w:r>
          </w:p>
        </w:tc>
        <w:tc>
          <w:tcPr>
            <w:tcW w:w="2881" w:type="dxa"/>
            <w:gridSpan w:val="3"/>
            <w:noWrap w:val="0"/>
            <w:vAlign w:val="center"/>
          </w:tcPr>
          <w:p w14:paraId="6AA7CF5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手动 □；自动 □；无监测 □</w:t>
            </w:r>
          </w:p>
        </w:tc>
      </w:tr>
      <w:tr w14:paraId="1065A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32FA8924">
            <w:pPr>
              <w:pStyle w:val="46"/>
              <w:bidi w:val="0"/>
              <w:rPr>
                <w:rFonts w:hint="default" w:ascii="Times New Roman" w:hAnsi="Times New Roman" w:cs="Times New Roman"/>
                <w:color w:val="auto"/>
                <w:highlight w:val="none"/>
              </w:rPr>
            </w:pPr>
          </w:p>
        </w:tc>
        <w:tc>
          <w:tcPr>
            <w:tcW w:w="1234" w:type="dxa"/>
            <w:vMerge w:val="continue"/>
            <w:noWrap w:val="0"/>
            <w:vAlign w:val="center"/>
          </w:tcPr>
          <w:p w14:paraId="1AA93964">
            <w:pPr>
              <w:pStyle w:val="46"/>
              <w:bidi w:val="0"/>
              <w:rPr>
                <w:rFonts w:hint="default" w:ascii="Times New Roman" w:hAnsi="Times New Roman" w:cs="Times New Roman"/>
                <w:color w:val="auto"/>
                <w:highlight w:val="none"/>
              </w:rPr>
            </w:pPr>
          </w:p>
        </w:tc>
        <w:tc>
          <w:tcPr>
            <w:tcW w:w="1951" w:type="dxa"/>
            <w:gridSpan w:val="2"/>
            <w:noWrap w:val="0"/>
            <w:vAlign w:val="center"/>
          </w:tcPr>
          <w:p w14:paraId="0931E98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2428" w:type="dxa"/>
            <w:gridSpan w:val="5"/>
            <w:noWrap w:val="0"/>
            <w:vAlign w:val="center"/>
          </w:tcPr>
          <w:p w14:paraId="139C157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2881" w:type="dxa"/>
            <w:gridSpan w:val="3"/>
            <w:noWrap w:val="0"/>
            <w:vAlign w:val="center"/>
          </w:tcPr>
          <w:p w14:paraId="0BED6F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r>
      <w:tr w14:paraId="2E2B6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64F26373">
            <w:pPr>
              <w:pStyle w:val="46"/>
              <w:bidi w:val="0"/>
              <w:rPr>
                <w:rFonts w:hint="default" w:ascii="Times New Roman" w:hAnsi="Times New Roman" w:cs="Times New Roman"/>
                <w:color w:val="auto"/>
                <w:highlight w:val="none"/>
              </w:rPr>
            </w:pPr>
          </w:p>
        </w:tc>
        <w:tc>
          <w:tcPr>
            <w:tcW w:w="1234" w:type="dxa"/>
            <w:vMerge w:val="continue"/>
            <w:noWrap w:val="0"/>
            <w:vAlign w:val="center"/>
          </w:tcPr>
          <w:p w14:paraId="4F02D55B">
            <w:pPr>
              <w:pStyle w:val="46"/>
              <w:bidi w:val="0"/>
              <w:rPr>
                <w:rFonts w:hint="default" w:ascii="Times New Roman" w:hAnsi="Times New Roman" w:cs="Times New Roman"/>
                <w:color w:val="auto"/>
                <w:highlight w:val="none"/>
              </w:rPr>
            </w:pPr>
          </w:p>
        </w:tc>
        <w:tc>
          <w:tcPr>
            <w:tcW w:w="1951" w:type="dxa"/>
            <w:gridSpan w:val="2"/>
            <w:noWrap w:val="0"/>
            <w:vAlign w:val="center"/>
          </w:tcPr>
          <w:p w14:paraId="4663BB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2428" w:type="dxa"/>
            <w:gridSpan w:val="5"/>
            <w:noWrap w:val="0"/>
            <w:vAlign w:val="center"/>
          </w:tcPr>
          <w:p w14:paraId="62FEC99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c>
          <w:tcPr>
            <w:tcW w:w="2881" w:type="dxa"/>
            <w:gridSpan w:val="3"/>
            <w:noWrap w:val="0"/>
            <w:vAlign w:val="center"/>
          </w:tcPr>
          <w:p w14:paraId="0CC63D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w:t>
            </w:r>
          </w:p>
        </w:tc>
      </w:tr>
      <w:tr w14:paraId="0FB14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dxa"/>
            <w:vMerge w:val="continue"/>
            <w:noWrap w:val="0"/>
            <w:vAlign w:val="center"/>
          </w:tcPr>
          <w:p w14:paraId="7055413F">
            <w:pPr>
              <w:pStyle w:val="46"/>
              <w:bidi w:val="0"/>
              <w:rPr>
                <w:rFonts w:hint="default" w:ascii="Times New Roman" w:hAnsi="Times New Roman" w:cs="Times New Roman"/>
                <w:color w:val="auto"/>
                <w:highlight w:val="none"/>
              </w:rPr>
            </w:pPr>
          </w:p>
        </w:tc>
        <w:tc>
          <w:tcPr>
            <w:tcW w:w="1234" w:type="dxa"/>
            <w:noWrap w:val="0"/>
            <w:vAlign w:val="center"/>
          </w:tcPr>
          <w:p w14:paraId="021D9B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污染物排放清单</w:t>
            </w:r>
          </w:p>
        </w:tc>
        <w:tc>
          <w:tcPr>
            <w:tcW w:w="7260" w:type="dxa"/>
            <w:gridSpan w:val="10"/>
            <w:noWrap w:val="0"/>
            <w:vAlign w:val="center"/>
          </w:tcPr>
          <w:p w14:paraId="1829A7F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6140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gridSpan w:val="2"/>
            <w:noWrap w:val="0"/>
            <w:vAlign w:val="center"/>
          </w:tcPr>
          <w:p w14:paraId="21B0AB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7260" w:type="dxa"/>
            <w:gridSpan w:val="10"/>
            <w:noWrap w:val="0"/>
            <w:vAlign w:val="center"/>
          </w:tcPr>
          <w:p w14:paraId="40DBCEB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可以接受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;不可以接受 □</w:t>
            </w:r>
          </w:p>
        </w:tc>
      </w:tr>
      <w:tr w14:paraId="74CB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08" w:type="dxa"/>
            <w:gridSpan w:val="12"/>
            <w:noWrap w:val="0"/>
            <w:vAlign w:val="center"/>
          </w:tcPr>
          <w:p w14:paraId="2C87228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注：“□”为勾选项，可√；“（ ）”为内容填写项；“备注”为其他补充内容。</w:t>
            </w:r>
          </w:p>
        </w:tc>
      </w:tr>
    </w:tbl>
    <w:p w14:paraId="4848DEAB">
      <w:pPr>
        <w:rPr>
          <w:rFonts w:hint="default" w:ascii="Times New Roman" w:hAnsi="Times New Roman" w:cs="Times New Roman"/>
          <w:color w:val="auto"/>
          <w:highlight w:val="none"/>
        </w:rPr>
      </w:pPr>
    </w:p>
    <w:p w14:paraId="3DD57DA9">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6CF5622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color w:val="auto"/>
          <w:kern w:val="2"/>
          <w:sz w:val="24"/>
          <w:szCs w:val="24"/>
          <w:highlight w:val="none"/>
          <w:lang w:val="en-US" w:eastAsia="zh-CN" w:bidi="ar-SA"/>
        </w:rPr>
      </w:pPr>
      <w:bookmarkStart w:id="431" w:name="_Toc15347"/>
      <w:r>
        <w:rPr>
          <w:rFonts w:hint="eastAsia" w:ascii="Times New Roman" w:hAnsi="Times New Roman" w:eastAsia="黑体" w:cs="Times New Roman"/>
          <w:color w:val="auto"/>
          <w:kern w:val="2"/>
          <w:sz w:val="24"/>
          <w:szCs w:val="24"/>
          <w:highlight w:val="none"/>
          <w:lang w:val="en-US" w:eastAsia="zh-CN" w:bidi="ar-SA"/>
        </w:rPr>
        <w:t xml:space="preserve">附表3 </w:t>
      </w:r>
      <w:r>
        <w:rPr>
          <w:rFonts w:hint="default" w:ascii="Times New Roman" w:hAnsi="Times New Roman" w:eastAsia="黑体" w:cs="Times New Roman"/>
          <w:color w:val="auto"/>
          <w:kern w:val="2"/>
          <w:sz w:val="24"/>
          <w:szCs w:val="24"/>
          <w:highlight w:val="none"/>
          <w:lang w:val="en-US" w:eastAsia="zh-CN" w:bidi="ar-SA"/>
        </w:rPr>
        <w:t xml:space="preserve"> 生态影响评价自查表</w:t>
      </w:r>
      <w:bookmarkEnd w:id="431"/>
    </w:p>
    <w:tbl>
      <w:tblPr>
        <w:tblStyle w:val="25"/>
        <w:tblW w:w="88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531"/>
        <w:gridCol w:w="6122"/>
      </w:tblGrid>
      <w:tr w14:paraId="285696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777" w:type="dxa"/>
            <w:gridSpan w:val="2"/>
            <w:tcBorders>
              <w:tl2br w:val="nil"/>
              <w:tr2bl w:val="nil"/>
            </w:tcBorders>
            <w:vAlign w:val="center"/>
          </w:tcPr>
          <w:p w14:paraId="54AB2D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6122" w:type="dxa"/>
            <w:tcBorders>
              <w:tl2br w:val="nil"/>
              <w:tr2bl w:val="nil"/>
            </w:tcBorders>
          </w:tcPr>
          <w:p w14:paraId="23472DE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自查项目</w:t>
            </w:r>
          </w:p>
        </w:tc>
      </w:tr>
      <w:tr w14:paraId="4722E8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2" w:hRule="atLeast"/>
          <w:jc w:val="center"/>
        </w:trPr>
        <w:tc>
          <w:tcPr>
            <w:tcW w:w="1246" w:type="dxa"/>
            <w:vMerge w:val="restart"/>
            <w:tcBorders>
              <w:tl2br w:val="nil"/>
              <w:tr2bl w:val="nil"/>
            </w:tcBorders>
            <w:vAlign w:val="center"/>
          </w:tcPr>
          <w:p w14:paraId="407F2E5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生态影响识别</w:t>
            </w:r>
          </w:p>
        </w:tc>
        <w:tc>
          <w:tcPr>
            <w:tcW w:w="1531" w:type="dxa"/>
            <w:tcBorders>
              <w:tl2br w:val="nil"/>
              <w:tr2bl w:val="nil"/>
            </w:tcBorders>
            <w:vAlign w:val="center"/>
          </w:tcPr>
          <w:p w14:paraId="06892D4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生态保护目标</w:t>
            </w:r>
          </w:p>
        </w:tc>
        <w:tc>
          <w:tcPr>
            <w:tcW w:w="6122" w:type="dxa"/>
            <w:tcBorders>
              <w:tl2br w:val="nil"/>
              <w:tr2bl w:val="nil"/>
            </w:tcBorders>
          </w:tcPr>
          <w:p w14:paraId="21E5A5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重要物种□；国家公园□；自然保护区□；自然公园□；世界自然遗产□；生态保护红线□；重要生境□；其他具有重要生态功能、对保护生物多样性具有重要意义的区域□；其他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33D7D0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vMerge w:val="continue"/>
            <w:tcBorders>
              <w:tl2br w:val="nil"/>
              <w:tr2bl w:val="nil"/>
            </w:tcBorders>
            <w:vAlign w:val="center"/>
          </w:tcPr>
          <w:p w14:paraId="70FA14E6">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48BED8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影响方式</w:t>
            </w:r>
          </w:p>
        </w:tc>
        <w:tc>
          <w:tcPr>
            <w:tcW w:w="6122" w:type="dxa"/>
            <w:tcBorders>
              <w:tl2br w:val="nil"/>
              <w:tr2bl w:val="nil"/>
            </w:tcBorders>
          </w:tcPr>
          <w:p w14:paraId="48176E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工程占用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；施工活动干扰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；改变环境条件□；其他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7F63A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4" w:hRule="atLeast"/>
          <w:jc w:val="center"/>
        </w:trPr>
        <w:tc>
          <w:tcPr>
            <w:tcW w:w="1246" w:type="dxa"/>
            <w:vMerge w:val="continue"/>
            <w:tcBorders>
              <w:tl2br w:val="nil"/>
              <w:tr2bl w:val="nil"/>
            </w:tcBorders>
            <w:vAlign w:val="center"/>
          </w:tcPr>
          <w:p w14:paraId="6229654E">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6E24711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6122" w:type="dxa"/>
            <w:tcBorders>
              <w:tl2br w:val="nil"/>
              <w:tr2bl w:val="nil"/>
            </w:tcBorders>
          </w:tcPr>
          <w:p w14:paraId="7879D4E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物种□（                       ）</w:t>
            </w:r>
          </w:p>
          <w:p w14:paraId="6052E6E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生境□（                       ）</w:t>
            </w:r>
          </w:p>
          <w:p w14:paraId="6D74726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生物群落□（                   ）</w:t>
            </w:r>
          </w:p>
          <w:p w14:paraId="5CAAAA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生态系统□（                   ）</w:t>
            </w:r>
          </w:p>
          <w:p w14:paraId="77EFF0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生物多样性□（                 ）</w:t>
            </w:r>
          </w:p>
          <w:p w14:paraId="79E5480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生态敏感区□（                 ）</w:t>
            </w:r>
          </w:p>
          <w:p w14:paraId="2606F5A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自然景观□（                   ）</w:t>
            </w:r>
          </w:p>
          <w:p w14:paraId="1D8E12C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自然遗迹□（                   ）</w:t>
            </w:r>
          </w:p>
          <w:p w14:paraId="2A7BE11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lang w:eastAsia="zh-CN"/>
              </w:rPr>
              <w:instrText xml:space="preserve">,√</w:instrText>
            </w:r>
            <w:r>
              <w:rPr>
                <w:rFonts w:hint="default" w:ascii="Times New Roman" w:hAnsi="Times New Roman" w:cs="Times New Roman"/>
                <w:color w:val="auto"/>
                <w:highlight w:val="none"/>
              </w:rPr>
              <w:instrText xml:space="preserve">)</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（主要动植物             ）</w:t>
            </w:r>
          </w:p>
        </w:tc>
      </w:tr>
      <w:tr w14:paraId="38CAB3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2777" w:type="dxa"/>
            <w:gridSpan w:val="2"/>
            <w:tcBorders>
              <w:tl2br w:val="nil"/>
              <w:tr2bl w:val="nil"/>
            </w:tcBorders>
            <w:vAlign w:val="center"/>
          </w:tcPr>
          <w:p w14:paraId="4E45CB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w:t>
            </w:r>
          </w:p>
        </w:tc>
        <w:tc>
          <w:tcPr>
            <w:tcW w:w="6122" w:type="dxa"/>
            <w:tcBorders>
              <w:tl2br w:val="nil"/>
              <w:tr2bl w:val="nil"/>
            </w:tcBorders>
          </w:tcPr>
          <w:p w14:paraId="0B1F57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  二级□  三级□  生态影响简单分析</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0303EE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2777" w:type="dxa"/>
            <w:gridSpan w:val="2"/>
            <w:tcBorders>
              <w:tl2br w:val="nil"/>
              <w:tr2bl w:val="nil"/>
            </w:tcBorders>
            <w:vAlign w:val="center"/>
          </w:tcPr>
          <w:p w14:paraId="48D1C72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w:t>
            </w:r>
          </w:p>
        </w:tc>
        <w:tc>
          <w:tcPr>
            <w:tcW w:w="6122" w:type="dxa"/>
            <w:tcBorders>
              <w:tl2br w:val="nil"/>
              <w:tr2bl w:val="nil"/>
            </w:tcBorders>
          </w:tcPr>
          <w:p w14:paraId="24A42B4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陆域面积：（ ）km2；水域面积：（ ）km2</w:t>
            </w:r>
          </w:p>
        </w:tc>
      </w:tr>
      <w:tr w14:paraId="563A92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246" w:type="dxa"/>
            <w:vMerge w:val="restart"/>
            <w:tcBorders>
              <w:tl2br w:val="nil"/>
              <w:tr2bl w:val="nil"/>
            </w:tcBorders>
            <w:vAlign w:val="center"/>
          </w:tcPr>
          <w:p w14:paraId="78DA4EE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生态现状调查与评价</w:t>
            </w:r>
          </w:p>
        </w:tc>
        <w:tc>
          <w:tcPr>
            <w:tcW w:w="1531" w:type="dxa"/>
            <w:tcBorders>
              <w:tl2br w:val="nil"/>
              <w:tr2bl w:val="nil"/>
            </w:tcBorders>
            <w:vAlign w:val="center"/>
          </w:tcPr>
          <w:p w14:paraId="3813BC0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调查方法</w:t>
            </w:r>
          </w:p>
        </w:tc>
        <w:tc>
          <w:tcPr>
            <w:tcW w:w="6122" w:type="dxa"/>
            <w:tcBorders>
              <w:tl2br w:val="nil"/>
              <w:tr2bl w:val="nil"/>
            </w:tcBorders>
          </w:tcPr>
          <w:p w14:paraId="67B7446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资料收集</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；遥感调查□；调查样方、样线□；调查点位、断面□；专家和公众咨询法□；其他□</w:t>
            </w:r>
          </w:p>
        </w:tc>
      </w:tr>
      <w:tr w14:paraId="5CB6A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246" w:type="dxa"/>
            <w:vMerge w:val="continue"/>
            <w:tcBorders>
              <w:tl2br w:val="nil"/>
              <w:tr2bl w:val="nil"/>
            </w:tcBorders>
            <w:vAlign w:val="center"/>
          </w:tcPr>
          <w:p w14:paraId="67BC397B">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3136347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调查时间</w:t>
            </w:r>
          </w:p>
        </w:tc>
        <w:tc>
          <w:tcPr>
            <w:tcW w:w="6122" w:type="dxa"/>
            <w:tcBorders>
              <w:tl2br w:val="nil"/>
              <w:tr2bl w:val="nil"/>
            </w:tcBorders>
          </w:tcPr>
          <w:p w14:paraId="7D3849A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春季□；夏季□；秋季□；冬季□</w:t>
            </w:r>
          </w:p>
          <w:p w14:paraId="5FA8B24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丰水期□；枯水期□；平水期□</w:t>
            </w:r>
          </w:p>
        </w:tc>
      </w:tr>
      <w:tr w14:paraId="68249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246" w:type="dxa"/>
            <w:vMerge w:val="continue"/>
            <w:tcBorders>
              <w:tl2br w:val="nil"/>
              <w:tr2bl w:val="nil"/>
            </w:tcBorders>
            <w:vAlign w:val="center"/>
          </w:tcPr>
          <w:p w14:paraId="56F6BD37">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40A53CF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所在区域的生态问题</w:t>
            </w:r>
          </w:p>
        </w:tc>
        <w:tc>
          <w:tcPr>
            <w:tcW w:w="6122" w:type="dxa"/>
            <w:tcBorders>
              <w:tl2br w:val="nil"/>
              <w:tr2bl w:val="nil"/>
            </w:tcBorders>
          </w:tcPr>
          <w:p w14:paraId="3A25EE6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水土流失□；沙漠化□；石漠化□；盐渍化□；生物入侵□；污染危害</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349D2D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246" w:type="dxa"/>
            <w:vMerge w:val="continue"/>
            <w:tcBorders>
              <w:tl2br w:val="nil"/>
              <w:tr2bl w:val="nil"/>
            </w:tcBorders>
            <w:vAlign w:val="center"/>
          </w:tcPr>
          <w:p w14:paraId="04FCD47C">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0014AF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评价内容</w:t>
            </w:r>
          </w:p>
        </w:tc>
        <w:tc>
          <w:tcPr>
            <w:tcW w:w="6122" w:type="dxa"/>
            <w:tcBorders>
              <w:tl2br w:val="nil"/>
              <w:tr2bl w:val="nil"/>
            </w:tcBorders>
          </w:tcPr>
          <w:p w14:paraId="2C319D6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植被/植物群落□；土地利用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；生态系统□；生物多样性□；重要物种□；生态敏感区□；其他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09171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vMerge w:val="restart"/>
            <w:tcBorders>
              <w:tl2br w:val="nil"/>
              <w:tr2bl w:val="nil"/>
            </w:tcBorders>
            <w:vAlign w:val="center"/>
          </w:tcPr>
          <w:p w14:paraId="62DC3FD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生态影响预测与评价</w:t>
            </w:r>
          </w:p>
        </w:tc>
        <w:tc>
          <w:tcPr>
            <w:tcW w:w="1531" w:type="dxa"/>
            <w:tcBorders>
              <w:tl2br w:val="nil"/>
              <w:tr2bl w:val="nil"/>
            </w:tcBorders>
            <w:vAlign w:val="center"/>
          </w:tcPr>
          <w:p w14:paraId="4985602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评价方法</w:t>
            </w:r>
          </w:p>
        </w:tc>
        <w:tc>
          <w:tcPr>
            <w:tcW w:w="6122" w:type="dxa"/>
            <w:tcBorders>
              <w:tl2br w:val="nil"/>
              <w:tr2bl w:val="nil"/>
            </w:tcBorders>
          </w:tcPr>
          <w:p w14:paraId="644BA4F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定性</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；定性和定量□</w:t>
            </w:r>
          </w:p>
        </w:tc>
      </w:tr>
      <w:tr w14:paraId="44254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246" w:type="dxa"/>
            <w:vMerge w:val="continue"/>
            <w:tcBorders>
              <w:tl2br w:val="nil"/>
              <w:tr2bl w:val="nil"/>
            </w:tcBorders>
            <w:vAlign w:val="center"/>
          </w:tcPr>
          <w:p w14:paraId="35C5DC7F">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0B60453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评价内容</w:t>
            </w:r>
          </w:p>
        </w:tc>
        <w:tc>
          <w:tcPr>
            <w:tcW w:w="6122" w:type="dxa"/>
            <w:tcBorders>
              <w:tl2br w:val="nil"/>
              <w:tr2bl w:val="nil"/>
            </w:tcBorders>
          </w:tcPr>
          <w:p w14:paraId="716D30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植被/植物群落□；土地利用□；生态系统□；生物多样性□；重要物种□；生态敏感区□；生物入侵风险□；其他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009CA6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vMerge w:val="restart"/>
            <w:tcBorders>
              <w:tl2br w:val="nil"/>
              <w:tr2bl w:val="nil"/>
            </w:tcBorders>
            <w:vAlign w:val="center"/>
          </w:tcPr>
          <w:p w14:paraId="1D6820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生态保护对策措施</w:t>
            </w:r>
          </w:p>
        </w:tc>
        <w:tc>
          <w:tcPr>
            <w:tcW w:w="1531" w:type="dxa"/>
            <w:tcBorders>
              <w:tl2br w:val="nil"/>
              <w:tr2bl w:val="nil"/>
            </w:tcBorders>
            <w:vAlign w:val="center"/>
          </w:tcPr>
          <w:p w14:paraId="4B7D549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对策措施</w:t>
            </w:r>
          </w:p>
        </w:tc>
        <w:tc>
          <w:tcPr>
            <w:tcW w:w="6122" w:type="dxa"/>
            <w:tcBorders>
              <w:tl2br w:val="nil"/>
              <w:tr2bl w:val="nil"/>
            </w:tcBorders>
          </w:tcPr>
          <w:p w14:paraId="3646D85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避让□；减缓</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；生态修复□；生态补偿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；科研□；其他□</w:t>
            </w:r>
          </w:p>
        </w:tc>
      </w:tr>
      <w:tr w14:paraId="160583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vMerge w:val="continue"/>
            <w:tcBorders>
              <w:tl2br w:val="nil"/>
              <w:tr2bl w:val="nil"/>
            </w:tcBorders>
            <w:vAlign w:val="center"/>
          </w:tcPr>
          <w:p w14:paraId="41A4BB6D">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0B4DDD0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生态监测计划</w:t>
            </w:r>
          </w:p>
        </w:tc>
        <w:tc>
          <w:tcPr>
            <w:tcW w:w="6122" w:type="dxa"/>
            <w:tcBorders>
              <w:tl2br w:val="nil"/>
              <w:tr2bl w:val="nil"/>
            </w:tcBorders>
          </w:tcPr>
          <w:p w14:paraId="1F37104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全生命周期□；长期跟踪</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；常规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；无</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6BE4B1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vMerge w:val="continue"/>
            <w:tcBorders>
              <w:tl2br w:val="nil"/>
              <w:tr2bl w:val="nil"/>
            </w:tcBorders>
            <w:vAlign w:val="center"/>
          </w:tcPr>
          <w:p w14:paraId="67501979">
            <w:pPr>
              <w:pStyle w:val="46"/>
              <w:bidi w:val="0"/>
              <w:rPr>
                <w:rFonts w:hint="default" w:ascii="Times New Roman" w:hAnsi="Times New Roman" w:cs="Times New Roman"/>
                <w:color w:val="auto"/>
                <w:highlight w:val="none"/>
              </w:rPr>
            </w:pPr>
          </w:p>
        </w:tc>
        <w:tc>
          <w:tcPr>
            <w:tcW w:w="1531" w:type="dxa"/>
            <w:tcBorders>
              <w:tl2br w:val="nil"/>
              <w:tr2bl w:val="nil"/>
            </w:tcBorders>
            <w:vAlign w:val="center"/>
          </w:tcPr>
          <w:p w14:paraId="7C56F3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w:t>
            </w:r>
          </w:p>
        </w:tc>
        <w:tc>
          <w:tcPr>
            <w:tcW w:w="6122" w:type="dxa"/>
            <w:tcBorders>
              <w:tl2br w:val="nil"/>
              <w:tr2bl w:val="nil"/>
            </w:tcBorders>
          </w:tcPr>
          <w:p w14:paraId="6E812AB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环境监理□；环境影响后评价□；其他</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5B3B9A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46" w:type="dxa"/>
            <w:tcBorders>
              <w:tl2br w:val="nil"/>
              <w:tr2bl w:val="nil"/>
            </w:tcBorders>
            <w:vAlign w:val="center"/>
          </w:tcPr>
          <w:p w14:paraId="622F344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1531" w:type="dxa"/>
            <w:tcBorders>
              <w:tl2br w:val="nil"/>
              <w:tr2bl w:val="nil"/>
            </w:tcBorders>
            <w:vAlign w:val="center"/>
          </w:tcPr>
          <w:p w14:paraId="60CA732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生态影响</w:t>
            </w:r>
          </w:p>
        </w:tc>
        <w:tc>
          <w:tcPr>
            <w:tcW w:w="6122" w:type="dxa"/>
            <w:tcBorders>
              <w:tl2br w:val="nil"/>
              <w:tr2bl w:val="nil"/>
            </w:tcBorders>
          </w:tcPr>
          <w:p w14:paraId="01D7463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可行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；不可行□</w:t>
            </w:r>
          </w:p>
        </w:tc>
      </w:tr>
      <w:tr w14:paraId="41755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8899" w:type="dxa"/>
            <w:gridSpan w:val="3"/>
            <w:tcBorders>
              <w:tl2br w:val="nil"/>
              <w:tr2bl w:val="nil"/>
            </w:tcBorders>
          </w:tcPr>
          <w:p w14:paraId="5CFFE26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注：“□”，填“√”；“（  ）”为内容填写项</w:t>
            </w:r>
          </w:p>
        </w:tc>
      </w:tr>
    </w:tbl>
    <w:p w14:paraId="45F1FCD6">
      <w:pPr>
        <w:rPr>
          <w:rFonts w:hint="default" w:ascii="Times New Roman" w:hAnsi="Times New Roman" w:cs="Times New Roman"/>
          <w:color w:val="auto"/>
          <w:sz w:val="24"/>
          <w:szCs w:val="24"/>
          <w:highlight w:val="none"/>
        </w:rPr>
      </w:pPr>
    </w:p>
    <w:p w14:paraId="67F04524">
      <w:pPr>
        <w:rPr>
          <w:rFonts w:hint="default" w:ascii="Times New Roman" w:hAnsi="Times New Roman" w:cs="Times New Roman"/>
          <w:color w:val="auto"/>
          <w:highlight w:val="none"/>
        </w:rPr>
      </w:pPr>
    </w:p>
    <w:p w14:paraId="53DE840A">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0CBA2D6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color w:val="auto"/>
          <w:kern w:val="2"/>
          <w:sz w:val="24"/>
          <w:szCs w:val="24"/>
          <w:highlight w:val="none"/>
          <w:lang w:val="en-US" w:eastAsia="zh-CN" w:bidi="ar-SA"/>
        </w:rPr>
      </w:pPr>
      <w:bookmarkStart w:id="432" w:name="_Toc1902"/>
      <w:r>
        <w:rPr>
          <w:rFonts w:hint="eastAsia" w:ascii="Times New Roman" w:hAnsi="Times New Roman" w:eastAsia="黑体" w:cs="Times New Roman"/>
          <w:color w:val="auto"/>
          <w:kern w:val="2"/>
          <w:sz w:val="24"/>
          <w:szCs w:val="24"/>
          <w:highlight w:val="none"/>
          <w:lang w:val="en-US" w:eastAsia="zh-CN" w:bidi="ar-SA"/>
        </w:rPr>
        <w:t xml:space="preserve">附表4  </w:t>
      </w:r>
      <w:r>
        <w:rPr>
          <w:rFonts w:hint="default" w:ascii="Times New Roman" w:hAnsi="Times New Roman" w:eastAsia="黑体" w:cs="Times New Roman"/>
          <w:color w:val="auto"/>
          <w:kern w:val="2"/>
          <w:sz w:val="24"/>
          <w:szCs w:val="24"/>
          <w:highlight w:val="none"/>
          <w:lang w:val="en-US" w:eastAsia="zh-CN" w:bidi="ar-SA"/>
        </w:rPr>
        <w:t xml:space="preserve"> 声环境影响评价自查表</w:t>
      </w:r>
      <w:bookmarkEnd w:id="432"/>
    </w:p>
    <w:tbl>
      <w:tblPr>
        <w:tblStyle w:val="25"/>
        <w:tblW w:w="91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1726"/>
        <w:gridCol w:w="982"/>
        <w:gridCol w:w="417"/>
        <w:gridCol w:w="565"/>
        <w:gridCol w:w="444"/>
        <w:gridCol w:w="582"/>
        <w:gridCol w:w="1026"/>
        <w:gridCol w:w="507"/>
        <w:gridCol w:w="579"/>
        <w:gridCol w:w="1229"/>
      </w:tblGrid>
      <w:tr w14:paraId="7C108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808" w:type="dxa"/>
            <w:gridSpan w:val="2"/>
            <w:tcBorders>
              <w:tl2br w:val="nil"/>
              <w:tr2bl w:val="nil"/>
            </w:tcBorders>
            <w:vAlign w:val="center"/>
          </w:tcPr>
          <w:p w14:paraId="64812A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6331" w:type="dxa"/>
            <w:gridSpan w:val="9"/>
            <w:tcBorders>
              <w:tl2br w:val="nil"/>
              <w:tr2bl w:val="nil"/>
            </w:tcBorders>
          </w:tcPr>
          <w:p w14:paraId="75B9388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自查项目</w:t>
            </w:r>
          </w:p>
        </w:tc>
      </w:tr>
      <w:tr w14:paraId="21202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restart"/>
            <w:tcBorders>
              <w:tl2br w:val="nil"/>
              <w:tr2bl w:val="nil"/>
            </w:tcBorders>
            <w:vAlign w:val="center"/>
          </w:tcPr>
          <w:p w14:paraId="63E7837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评价等级与范围</w:t>
            </w:r>
          </w:p>
        </w:tc>
        <w:tc>
          <w:tcPr>
            <w:tcW w:w="1726" w:type="dxa"/>
            <w:tcBorders>
              <w:tl2br w:val="nil"/>
              <w:tr2bl w:val="nil"/>
            </w:tcBorders>
            <w:vAlign w:val="center"/>
          </w:tcPr>
          <w:p w14:paraId="21DFF1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w:t>
            </w:r>
          </w:p>
        </w:tc>
        <w:tc>
          <w:tcPr>
            <w:tcW w:w="6331" w:type="dxa"/>
            <w:gridSpan w:val="9"/>
            <w:tcBorders>
              <w:tl2br w:val="nil"/>
              <w:tr2bl w:val="nil"/>
            </w:tcBorders>
          </w:tcPr>
          <w:p w14:paraId="2562640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           二级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         三级</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1E7711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5C771D3D">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3370682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w:t>
            </w:r>
          </w:p>
        </w:tc>
        <w:tc>
          <w:tcPr>
            <w:tcW w:w="6331" w:type="dxa"/>
            <w:gridSpan w:val="9"/>
            <w:tcBorders>
              <w:tl2br w:val="nil"/>
              <w:tr2bl w:val="nil"/>
            </w:tcBorders>
          </w:tcPr>
          <w:p w14:paraId="6B3628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 m</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大于200 m□           小于200 m□</w:t>
            </w:r>
          </w:p>
        </w:tc>
      </w:tr>
      <w:tr w14:paraId="24A66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tcBorders>
              <w:tl2br w:val="nil"/>
              <w:tr2bl w:val="nil"/>
            </w:tcBorders>
            <w:vAlign w:val="center"/>
          </w:tcPr>
          <w:p w14:paraId="38DA6B0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1726" w:type="dxa"/>
            <w:tcBorders>
              <w:tl2br w:val="nil"/>
              <w:tr2bl w:val="nil"/>
            </w:tcBorders>
            <w:vAlign w:val="center"/>
          </w:tcPr>
          <w:p w14:paraId="2116E7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c>
          <w:tcPr>
            <w:tcW w:w="6331" w:type="dxa"/>
            <w:gridSpan w:val="9"/>
            <w:tcBorders>
              <w:tl2br w:val="nil"/>
              <w:tr2bl w:val="nil"/>
            </w:tcBorders>
          </w:tcPr>
          <w:p w14:paraId="706106B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等效连续A声级</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最大A声级□  计权等效连续感觉噪声级□</w:t>
            </w:r>
          </w:p>
        </w:tc>
      </w:tr>
      <w:tr w14:paraId="5F215A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tcBorders>
              <w:tl2br w:val="nil"/>
              <w:tr2bl w:val="nil"/>
            </w:tcBorders>
            <w:vAlign w:val="center"/>
          </w:tcPr>
          <w:p w14:paraId="56E685E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1726" w:type="dxa"/>
            <w:tcBorders>
              <w:tl2br w:val="nil"/>
              <w:tr2bl w:val="nil"/>
            </w:tcBorders>
            <w:vAlign w:val="center"/>
          </w:tcPr>
          <w:p w14:paraId="1AF4457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tc>
        <w:tc>
          <w:tcPr>
            <w:tcW w:w="6331" w:type="dxa"/>
            <w:gridSpan w:val="9"/>
            <w:tcBorders>
              <w:tl2br w:val="nil"/>
              <w:tr2bl w:val="nil"/>
            </w:tcBorders>
          </w:tcPr>
          <w:p w14:paraId="26A2E51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国家标准</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地方标准□     国外标准□</w:t>
            </w:r>
          </w:p>
        </w:tc>
      </w:tr>
      <w:tr w14:paraId="45C4FE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082" w:type="dxa"/>
            <w:vMerge w:val="restart"/>
            <w:tcBorders>
              <w:tl2br w:val="nil"/>
              <w:tr2bl w:val="nil"/>
            </w:tcBorders>
            <w:vAlign w:val="center"/>
          </w:tcPr>
          <w:p w14:paraId="2A806E0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1726" w:type="dxa"/>
            <w:tcBorders>
              <w:tl2br w:val="nil"/>
              <w:tr2bl w:val="nil"/>
            </w:tcBorders>
            <w:vAlign w:val="center"/>
          </w:tcPr>
          <w:p w14:paraId="5B33232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环境功能区</w:t>
            </w:r>
          </w:p>
        </w:tc>
        <w:tc>
          <w:tcPr>
            <w:tcW w:w="982" w:type="dxa"/>
            <w:tcBorders>
              <w:tl2br w:val="nil"/>
              <w:tr2bl w:val="nil"/>
            </w:tcBorders>
          </w:tcPr>
          <w:p w14:paraId="78502C4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0类区□</w:t>
            </w:r>
          </w:p>
        </w:tc>
        <w:tc>
          <w:tcPr>
            <w:tcW w:w="982" w:type="dxa"/>
            <w:gridSpan w:val="2"/>
            <w:tcBorders>
              <w:tl2br w:val="nil"/>
              <w:tr2bl w:val="nil"/>
            </w:tcBorders>
          </w:tcPr>
          <w:p w14:paraId="68A970F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1类区</w:t>
            </w:r>
            <w:r>
              <w:rPr>
                <w:rFonts w:hint="default" w:ascii="Times New Roman" w:hAnsi="Times New Roman" w:cs="Times New Roman"/>
                <w:color w:val="auto"/>
                <w:highlight w:val="none"/>
                <w:lang w:eastAsia="zh-CN"/>
              </w:rPr>
              <w:t>☑</w:t>
            </w:r>
          </w:p>
        </w:tc>
        <w:tc>
          <w:tcPr>
            <w:tcW w:w="1026" w:type="dxa"/>
            <w:gridSpan w:val="2"/>
            <w:tcBorders>
              <w:tl2br w:val="nil"/>
              <w:tr2bl w:val="nil"/>
            </w:tcBorders>
          </w:tcPr>
          <w:p w14:paraId="24CC2FA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2类区</w:t>
            </w:r>
            <w:r>
              <w:rPr>
                <w:rFonts w:hint="default" w:ascii="Times New Roman" w:hAnsi="Times New Roman" w:cs="Times New Roman"/>
                <w:color w:val="auto"/>
                <w:highlight w:val="none"/>
                <w:lang w:eastAsia="zh-CN"/>
              </w:rPr>
              <w:t>☑</w:t>
            </w:r>
          </w:p>
        </w:tc>
        <w:tc>
          <w:tcPr>
            <w:tcW w:w="1026" w:type="dxa"/>
            <w:tcBorders>
              <w:tl2br w:val="nil"/>
              <w:tr2bl w:val="nil"/>
            </w:tcBorders>
          </w:tcPr>
          <w:p w14:paraId="4ED9CF1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3类区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c>
          <w:tcPr>
            <w:tcW w:w="1086" w:type="dxa"/>
            <w:gridSpan w:val="2"/>
            <w:tcBorders>
              <w:tl2br w:val="nil"/>
              <w:tr2bl w:val="nil"/>
            </w:tcBorders>
          </w:tcPr>
          <w:p w14:paraId="0110192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4a类区□</w:t>
            </w:r>
          </w:p>
        </w:tc>
        <w:tc>
          <w:tcPr>
            <w:tcW w:w="1229" w:type="dxa"/>
            <w:tcBorders>
              <w:tl2br w:val="nil"/>
              <w:tr2bl w:val="nil"/>
            </w:tcBorders>
          </w:tcPr>
          <w:p w14:paraId="28347B6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4b类区□</w:t>
            </w:r>
          </w:p>
        </w:tc>
      </w:tr>
      <w:tr w14:paraId="70A46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7852071E">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20D9186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评价年度</w:t>
            </w:r>
          </w:p>
        </w:tc>
        <w:tc>
          <w:tcPr>
            <w:tcW w:w="1399" w:type="dxa"/>
            <w:gridSpan w:val="2"/>
            <w:tcBorders>
              <w:tl2br w:val="nil"/>
              <w:tr2bl w:val="nil"/>
            </w:tcBorders>
          </w:tcPr>
          <w:p w14:paraId="078EA4CB">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初期</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c>
          <w:tcPr>
            <w:tcW w:w="1591" w:type="dxa"/>
            <w:gridSpan w:val="3"/>
            <w:tcBorders>
              <w:tl2br w:val="nil"/>
              <w:tr2bl w:val="nil"/>
            </w:tcBorders>
          </w:tcPr>
          <w:p w14:paraId="53DA87D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近期□</w:t>
            </w:r>
          </w:p>
        </w:tc>
        <w:tc>
          <w:tcPr>
            <w:tcW w:w="1533" w:type="dxa"/>
            <w:gridSpan w:val="2"/>
            <w:tcBorders>
              <w:tl2br w:val="nil"/>
              <w:tr2bl w:val="nil"/>
            </w:tcBorders>
          </w:tcPr>
          <w:p w14:paraId="5F1F41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中期□</w:t>
            </w:r>
          </w:p>
        </w:tc>
        <w:tc>
          <w:tcPr>
            <w:tcW w:w="1808" w:type="dxa"/>
            <w:gridSpan w:val="2"/>
            <w:tcBorders>
              <w:tl2br w:val="nil"/>
              <w:tr2bl w:val="nil"/>
            </w:tcBorders>
          </w:tcPr>
          <w:p w14:paraId="2A7AB5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远期□</w:t>
            </w:r>
          </w:p>
        </w:tc>
      </w:tr>
      <w:tr w14:paraId="4F7B50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7AC1259A">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03749D7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现状调查方法</w:t>
            </w:r>
          </w:p>
        </w:tc>
        <w:tc>
          <w:tcPr>
            <w:tcW w:w="6331" w:type="dxa"/>
            <w:gridSpan w:val="9"/>
            <w:tcBorders>
              <w:tl2br w:val="nil"/>
              <w:tr2bl w:val="nil"/>
            </w:tcBorders>
          </w:tcPr>
          <w:p w14:paraId="66A284D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现场实测法</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现场实测加模型计算法□   收集资料□</w:t>
            </w:r>
          </w:p>
        </w:tc>
      </w:tr>
      <w:tr w14:paraId="34A7F0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65762097">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6073FA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1399" w:type="dxa"/>
            <w:gridSpan w:val="2"/>
            <w:tcBorders>
              <w:tl2br w:val="nil"/>
              <w:tr2bl w:val="nil"/>
            </w:tcBorders>
          </w:tcPr>
          <w:p w14:paraId="6812A8F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达标百分比</w:t>
            </w:r>
          </w:p>
        </w:tc>
        <w:tc>
          <w:tcPr>
            <w:tcW w:w="4932" w:type="dxa"/>
            <w:gridSpan w:val="7"/>
            <w:tcBorders>
              <w:tl2br w:val="nil"/>
              <w:tr2bl w:val="nil"/>
            </w:tcBorders>
          </w:tcPr>
          <w:p w14:paraId="0594405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14:paraId="41EAC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082" w:type="dxa"/>
            <w:tcBorders>
              <w:tl2br w:val="nil"/>
              <w:tr2bl w:val="nil"/>
            </w:tcBorders>
            <w:vAlign w:val="center"/>
          </w:tcPr>
          <w:p w14:paraId="0608257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噪声源调查</w:t>
            </w:r>
          </w:p>
        </w:tc>
        <w:tc>
          <w:tcPr>
            <w:tcW w:w="1726" w:type="dxa"/>
            <w:tcBorders>
              <w:tl2br w:val="nil"/>
              <w:tr2bl w:val="nil"/>
            </w:tcBorders>
            <w:vAlign w:val="center"/>
          </w:tcPr>
          <w:p w14:paraId="2E7806E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噪声源调查方法</w:t>
            </w:r>
          </w:p>
        </w:tc>
        <w:tc>
          <w:tcPr>
            <w:tcW w:w="6331" w:type="dxa"/>
            <w:gridSpan w:val="9"/>
            <w:tcBorders>
              <w:tl2br w:val="nil"/>
              <w:tr2bl w:val="nil"/>
            </w:tcBorders>
            <w:vAlign w:val="center"/>
          </w:tcPr>
          <w:p w14:paraId="29A7176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现场实测</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已有资料□      研究成果□</w:t>
            </w:r>
          </w:p>
        </w:tc>
      </w:tr>
      <w:tr w14:paraId="22C42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restart"/>
            <w:tcBorders>
              <w:tl2br w:val="nil"/>
              <w:tr2bl w:val="nil"/>
            </w:tcBorders>
            <w:vAlign w:val="center"/>
          </w:tcPr>
          <w:p w14:paraId="3A0A4FB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声环境影响预测与评价</w:t>
            </w:r>
          </w:p>
        </w:tc>
        <w:tc>
          <w:tcPr>
            <w:tcW w:w="1726" w:type="dxa"/>
            <w:tcBorders>
              <w:tl2br w:val="nil"/>
              <w:tr2bl w:val="nil"/>
            </w:tcBorders>
            <w:vAlign w:val="center"/>
          </w:tcPr>
          <w:p w14:paraId="45A1E17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预测模型</w:t>
            </w:r>
          </w:p>
        </w:tc>
        <w:tc>
          <w:tcPr>
            <w:tcW w:w="6331" w:type="dxa"/>
            <w:gridSpan w:val="9"/>
            <w:tcBorders>
              <w:tl2br w:val="nil"/>
              <w:tr2bl w:val="nil"/>
            </w:tcBorders>
          </w:tcPr>
          <w:p w14:paraId="121F52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导则推荐模型</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其他□         </w:t>
            </w:r>
          </w:p>
        </w:tc>
      </w:tr>
      <w:tr w14:paraId="78994F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4C8B2BEC">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71E0E8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预测范围</w:t>
            </w:r>
          </w:p>
        </w:tc>
        <w:tc>
          <w:tcPr>
            <w:tcW w:w="6331" w:type="dxa"/>
            <w:gridSpan w:val="9"/>
            <w:tcBorders>
              <w:tl2br w:val="nil"/>
              <w:tr2bl w:val="nil"/>
            </w:tcBorders>
          </w:tcPr>
          <w:p w14:paraId="7EA8CF3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 m</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大于200 m□           小于200 m□</w:t>
            </w:r>
          </w:p>
        </w:tc>
      </w:tr>
      <w:tr w14:paraId="72C485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06E9215D">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790F037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预测因子</w:t>
            </w:r>
          </w:p>
        </w:tc>
        <w:tc>
          <w:tcPr>
            <w:tcW w:w="6331" w:type="dxa"/>
            <w:gridSpan w:val="9"/>
            <w:tcBorders>
              <w:tl2br w:val="nil"/>
              <w:tr2bl w:val="nil"/>
            </w:tcBorders>
          </w:tcPr>
          <w:p w14:paraId="76BDC1C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等效连续A声级</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最大A声级□  计权等效连续感觉噪声级□</w:t>
            </w:r>
          </w:p>
        </w:tc>
      </w:tr>
      <w:tr w14:paraId="1628E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continue"/>
            <w:tcBorders>
              <w:tl2br w:val="nil"/>
              <w:tr2bl w:val="nil"/>
            </w:tcBorders>
            <w:vAlign w:val="center"/>
          </w:tcPr>
          <w:p w14:paraId="2AFDAF57">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1C689F9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厂界噪声贡献值</w:t>
            </w:r>
          </w:p>
        </w:tc>
        <w:tc>
          <w:tcPr>
            <w:tcW w:w="6331" w:type="dxa"/>
            <w:gridSpan w:val="9"/>
            <w:tcBorders>
              <w:tl2br w:val="nil"/>
              <w:tr2bl w:val="nil"/>
            </w:tcBorders>
            <w:vAlign w:val="center"/>
          </w:tcPr>
          <w:p w14:paraId="105B554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不达标□</w:t>
            </w:r>
          </w:p>
        </w:tc>
      </w:tr>
      <w:tr w14:paraId="3185A7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082" w:type="dxa"/>
            <w:vMerge w:val="continue"/>
            <w:tcBorders>
              <w:tl2br w:val="nil"/>
              <w:tr2bl w:val="nil"/>
            </w:tcBorders>
            <w:vAlign w:val="center"/>
          </w:tcPr>
          <w:p w14:paraId="122DBC6E">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40C8D10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声环境保护目标处噪声值</w:t>
            </w:r>
          </w:p>
        </w:tc>
        <w:tc>
          <w:tcPr>
            <w:tcW w:w="6331" w:type="dxa"/>
            <w:gridSpan w:val="9"/>
            <w:tcBorders>
              <w:tl2br w:val="nil"/>
              <w:tr2bl w:val="nil"/>
            </w:tcBorders>
            <w:vAlign w:val="center"/>
          </w:tcPr>
          <w:p w14:paraId="3066E7E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不达标□</w:t>
            </w:r>
          </w:p>
        </w:tc>
      </w:tr>
      <w:tr w14:paraId="0D831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vMerge w:val="restart"/>
            <w:tcBorders>
              <w:tl2br w:val="nil"/>
              <w:tr2bl w:val="nil"/>
            </w:tcBorders>
            <w:vAlign w:val="center"/>
          </w:tcPr>
          <w:p w14:paraId="4A368EA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环境监测计划</w:t>
            </w:r>
          </w:p>
        </w:tc>
        <w:tc>
          <w:tcPr>
            <w:tcW w:w="1726" w:type="dxa"/>
            <w:tcBorders>
              <w:tl2br w:val="nil"/>
              <w:tr2bl w:val="nil"/>
            </w:tcBorders>
            <w:vAlign w:val="center"/>
          </w:tcPr>
          <w:p w14:paraId="7B5E333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排放监测</w:t>
            </w:r>
          </w:p>
        </w:tc>
        <w:tc>
          <w:tcPr>
            <w:tcW w:w="6331" w:type="dxa"/>
            <w:gridSpan w:val="9"/>
            <w:tcBorders>
              <w:tl2br w:val="nil"/>
              <w:tr2bl w:val="nil"/>
            </w:tcBorders>
          </w:tcPr>
          <w:p w14:paraId="43682EA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厂界监测</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固定位置监测□ 自动监测□ 手动监测</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无监测□</w:t>
            </w:r>
          </w:p>
        </w:tc>
      </w:tr>
      <w:tr w14:paraId="7BF2BC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082" w:type="dxa"/>
            <w:vMerge w:val="continue"/>
            <w:tcBorders>
              <w:tl2br w:val="nil"/>
              <w:tr2bl w:val="nil"/>
            </w:tcBorders>
            <w:vAlign w:val="center"/>
          </w:tcPr>
          <w:p w14:paraId="32FDC516">
            <w:pPr>
              <w:pStyle w:val="46"/>
              <w:bidi w:val="0"/>
              <w:rPr>
                <w:rFonts w:hint="default" w:ascii="Times New Roman" w:hAnsi="Times New Roman" w:cs="Times New Roman"/>
                <w:color w:val="auto"/>
                <w:highlight w:val="none"/>
              </w:rPr>
            </w:pPr>
          </w:p>
        </w:tc>
        <w:tc>
          <w:tcPr>
            <w:tcW w:w="1726" w:type="dxa"/>
            <w:tcBorders>
              <w:tl2br w:val="nil"/>
              <w:tr2bl w:val="nil"/>
            </w:tcBorders>
            <w:vAlign w:val="center"/>
          </w:tcPr>
          <w:p w14:paraId="4CFFA72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声环境保护目标处噪声监测</w:t>
            </w:r>
          </w:p>
        </w:tc>
        <w:tc>
          <w:tcPr>
            <w:tcW w:w="2408" w:type="dxa"/>
            <w:gridSpan w:val="4"/>
            <w:tcBorders>
              <w:tl2br w:val="nil"/>
              <w:tr2bl w:val="nil"/>
            </w:tcBorders>
            <w:vAlign w:val="center"/>
          </w:tcPr>
          <w:p w14:paraId="1541F08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 等效连续A声级    ）</w:t>
            </w:r>
          </w:p>
        </w:tc>
        <w:tc>
          <w:tcPr>
            <w:tcW w:w="2115" w:type="dxa"/>
            <w:gridSpan w:val="3"/>
            <w:tcBorders>
              <w:tl2br w:val="nil"/>
              <w:tr2bl w:val="nil"/>
            </w:tcBorders>
            <w:vAlign w:val="center"/>
          </w:tcPr>
          <w:p w14:paraId="5D313EB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监测点位数（ </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w:t>
            </w:r>
          </w:p>
        </w:tc>
        <w:tc>
          <w:tcPr>
            <w:tcW w:w="1808" w:type="dxa"/>
            <w:gridSpan w:val="2"/>
            <w:tcBorders>
              <w:tl2br w:val="nil"/>
              <w:tr2bl w:val="nil"/>
            </w:tcBorders>
            <w:vAlign w:val="center"/>
          </w:tcPr>
          <w:p w14:paraId="3FEF86B7">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无监测</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p>
        </w:tc>
      </w:tr>
      <w:tr w14:paraId="04FFB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082" w:type="dxa"/>
            <w:tcBorders>
              <w:tl2br w:val="nil"/>
              <w:tr2bl w:val="nil"/>
            </w:tcBorders>
            <w:vAlign w:val="center"/>
          </w:tcPr>
          <w:p w14:paraId="78E1D5C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评价结论</w:t>
            </w:r>
          </w:p>
        </w:tc>
        <w:tc>
          <w:tcPr>
            <w:tcW w:w="1726" w:type="dxa"/>
            <w:tcBorders>
              <w:tl2br w:val="nil"/>
              <w:tr2bl w:val="nil"/>
            </w:tcBorders>
            <w:vAlign w:val="center"/>
          </w:tcPr>
          <w:p w14:paraId="6C78961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w:t>
            </w:r>
          </w:p>
        </w:tc>
        <w:tc>
          <w:tcPr>
            <w:tcW w:w="6331" w:type="dxa"/>
            <w:gridSpan w:val="9"/>
            <w:tcBorders>
              <w:tl2br w:val="nil"/>
              <w:tr2bl w:val="nil"/>
            </w:tcBorders>
          </w:tcPr>
          <w:p w14:paraId="362CA52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可行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EQ \o\ac(□,√)</w:instrTex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；不可行□</w:t>
            </w:r>
          </w:p>
        </w:tc>
      </w:tr>
      <w:tr w14:paraId="17097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9139" w:type="dxa"/>
            <w:gridSpan w:val="11"/>
            <w:tcBorders>
              <w:tl2br w:val="nil"/>
              <w:tr2bl w:val="nil"/>
            </w:tcBorders>
          </w:tcPr>
          <w:p w14:paraId="3A0BDAA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注：“□”，填“√”；“（  ）”为内容填写项</w:t>
            </w:r>
          </w:p>
        </w:tc>
      </w:tr>
    </w:tbl>
    <w:p w14:paraId="20ED354D">
      <w:pPr>
        <w:rPr>
          <w:rFonts w:hint="default" w:ascii="Times New Roman" w:hAnsi="Times New Roman" w:cs="Times New Roman"/>
          <w:color w:val="auto"/>
          <w:highlight w:val="none"/>
        </w:rPr>
      </w:pPr>
    </w:p>
    <w:p w14:paraId="643E746A">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6159529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color w:val="auto"/>
          <w:kern w:val="2"/>
          <w:sz w:val="24"/>
          <w:szCs w:val="24"/>
          <w:highlight w:val="none"/>
          <w:lang w:val="en-US" w:eastAsia="zh-CN" w:bidi="ar-SA"/>
        </w:rPr>
      </w:pPr>
      <w:bookmarkStart w:id="433" w:name="_Toc14951"/>
      <w:r>
        <w:rPr>
          <w:rFonts w:hint="default" w:ascii="Times New Roman" w:hAnsi="Times New Roman" w:eastAsia="黑体" w:cs="Times New Roman"/>
          <w:color w:val="auto"/>
          <w:kern w:val="2"/>
          <w:sz w:val="24"/>
          <w:szCs w:val="24"/>
          <w:highlight w:val="none"/>
          <w:lang w:val="en-US" w:eastAsia="zh-CN" w:bidi="ar-SA"/>
        </w:rPr>
        <w:t>附表</w:t>
      </w:r>
      <w:r>
        <w:rPr>
          <w:rFonts w:hint="eastAsia" w:eastAsia="黑体" w:cs="Times New Roman"/>
          <w:color w:val="auto"/>
          <w:kern w:val="2"/>
          <w:sz w:val="24"/>
          <w:szCs w:val="24"/>
          <w:highlight w:val="none"/>
          <w:lang w:val="en-US" w:eastAsia="zh-CN" w:bidi="ar-SA"/>
        </w:rPr>
        <w:t>5</w:t>
      </w:r>
      <w:r>
        <w:rPr>
          <w:rFonts w:hint="default" w:ascii="Times New Roman" w:hAnsi="Times New Roman" w:eastAsia="黑体" w:cs="Times New Roman"/>
          <w:color w:val="auto"/>
          <w:kern w:val="2"/>
          <w:sz w:val="24"/>
          <w:szCs w:val="24"/>
          <w:highlight w:val="none"/>
          <w:lang w:val="en-US" w:eastAsia="zh-CN" w:bidi="ar-SA"/>
        </w:rPr>
        <w:t xml:space="preserve"> 土壤环境影响评价自查表</w:t>
      </w:r>
      <w:bookmarkEnd w:id="433"/>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462"/>
        <w:gridCol w:w="1342"/>
        <w:gridCol w:w="829"/>
        <w:gridCol w:w="484"/>
        <w:gridCol w:w="1076"/>
        <w:gridCol w:w="161"/>
        <w:gridCol w:w="1678"/>
        <w:gridCol w:w="1"/>
        <w:gridCol w:w="898"/>
      </w:tblGrid>
      <w:tr w14:paraId="595D8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774" w:type="dxa"/>
            <w:gridSpan w:val="2"/>
            <w:noWrap w:val="0"/>
            <w:vAlign w:val="center"/>
          </w:tcPr>
          <w:p w14:paraId="5DA7D03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工作内容</w:t>
            </w:r>
          </w:p>
        </w:tc>
        <w:tc>
          <w:tcPr>
            <w:tcW w:w="5571" w:type="dxa"/>
            <w:gridSpan w:val="7"/>
            <w:noWrap w:val="0"/>
            <w:vAlign w:val="center"/>
          </w:tcPr>
          <w:p w14:paraId="1713C68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完成情况</w:t>
            </w:r>
          </w:p>
        </w:tc>
        <w:tc>
          <w:tcPr>
            <w:tcW w:w="898" w:type="dxa"/>
            <w:noWrap w:val="0"/>
            <w:vAlign w:val="center"/>
          </w:tcPr>
          <w:p w14:paraId="65D8E42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备注</w:t>
            </w:r>
          </w:p>
        </w:tc>
      </w:tr>
      <w:tr w14:paraId="3F7D3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restart"/>
            <w:noWrap w:val="0"/>
            <w:vAlign w:val="center"/>
          </w:tcPr>
          <w:p w14:paraId="1774106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影响识别</w:t>
            </w:r>
          </w:p>
        </w:tc>
        <w:tc>
          <w:tcPr>
            <w:tcW w:w="1462" w:type="dxa"/>
            <w:noWrap w:val="0"/>
            <w:vAlign w:val="center"/>
          </w:tcPr>
          <w:p w14:paraId="38EC865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影响类型</w:t>
            </w:r>
          </w:p>
        </w:tc>
        <w:tc>
          <w:tcPr>
            <w:tcW w:w="5571" w:type="dxa"/>
            <w:gridSpan w:val="7"/>
            <w:noWrap w:val="0"/>
            <w:vAlign w:val="center"/>
          </w:tcPr>
          <w:p w14:paraId="7355A6E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污染影响型</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☑；生态影响型</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；两种兼有</w:t>
            </w:r>
            <w:r>
              <w:rPr>
                <w:rFonts w:hint="default" w:ascii="Times New Roman" w:hAnsi="Times New Roman" w:cs="Times New Roman"/>
                <w:color w:val="auto"/>
                <w:highlight w:val="none"/>
              </w:rPr>
              <w:t xml:space="preserve"> □</w:t>
            </w:r>
          </w:p>
        </w:tc>
        <w:tc>
          <w:tcPr>
            <w:tcW w:w="898" w:type="dxa"/>
            <w:noWrap w:val="0"/>
            <w:vAlign w:val="center"/>
          </w:tcPr>
          <w:p w14:paraId="7A9D749A">
            <w:pPr>
              <w:pStyle w:val="46"/>
              <w:bidi w:val="0"/>
              <w:rPr>
                <w:rFonts w:hint="default" w:ascii="Times New Roman" w:hAnsi="Times New Roman" w:cs="Times New Roman"/>
                <w:color w:val="auto"/>
                <w:highlight w:val="none"/>
              </w:rPr>
            </w:pPr>
          </w:p>
        </w:tc>
      </w:tr>
      <w:tr w14:paraId="5EF9A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15F156E9">
            <w:pPr>
              <w:pStyle w:val="46"/>
              <w:bidi w:val="0"/>
              <w:rPr>
                <w:rFonts w:hint="default" w:ascii="Times New Roman" w:hAnsi="Times New Roman" w:cs="Times New Roman"/>
                <w:color w:val="auto"/>
                <w:highlight w:val="none"/>
                <w:lang w:eastAsia="zh-CN"/>
              </w:rPr>
            </w:pPr>
          </w:p>
        </w:tc>
        <w:tc>
          <w:tcPr>
            <w:tcW w:w="1462" w:type="dxa"/>
            <w:noWrap w:val="0"/>
            <w:vAlign w:val="center"/>
          </w:tcPr>
          <w:p w14:paraId="2B7FFC0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土地利用类型</w:t>
            </w:r>
          </w:p>
        </w:tc>
        <w:tc>
          <w:tcPr>
            <w:tcW w:w="5571" w:type="dxa"/>
            <w:gridSpan w:val="7"/>
            <w:noWrap w:val="0"/>
            <w:vAlign w:val="center"/>
          </w:tcPr>
          <w:p w14:paraId="7E5351C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建设用地</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☑；农用地</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；未利用地</w:t>
            </w:r>
            <w:r>
              <w:rPr>
                <w:rFonts w:hint="default" w:ascii="Times New Roman" w:hAnsi="Times New Roman" w:cs="Times New Roman"/>
                <w:color w:val="auto"/>
                <w:highlight w:val="none"/>
              </w:rPr>
              <w:t xml:space="preserve"> □</w:t>
            </w:r>
          </w:p>
        </w:tc>
        <w:tc>
          <w:tcPr>
            <w:tcW w:w="898" w:type="dxa"/>
            <w:noWrap w:val="0"/>
            <w:vAlign w:val="center"/>
          </w:tcPr>
          <w:p w14:paraId="5F64EA7A">
            <w:pPr>
              <w:pStyle w:val="46"/>
              <w:bidi w:val="0"/>
              <w:rPr>
                <w:rFonts w:hint="default" w:ascii="Times New Roman" w:hAnsi="Times New Roman" w:cs="Times New Roman"/>
                <w:color w:val="auto"/>
                <w:highlight w:val="none"/>
                <w:lang w:eastAsia="zh-CN"/>
              </w:rPr>
            </w:pPr>
          </w:p>
        </w:tc>
      </w:tr>
      <w:tr w14:paraId="258D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7593D76C">
            <w:pPr>
              <w:pStyle w:val="46"/>
              <w:bidi w:val="0"/>
              <w:rPr>
                <w:rFonts w:hint="default" w:ascii="Times New Roman" w:hAnsi="Times New Roman" w:cs="Times New Roman"/>
                <w:color w:val="auto"/>
                <w:highlight w:val="none"/>
                <w:lang w:eastAsia="zh-CN"/>
              </w:rPr>
            </w:pPr>
          </w:p>
        </w:tc>
        <w:tc>
          <w:tcPr>
            <w:tcW w:w="1462" w:type="dxa"/>
            <w:noWrap w:val="0"/>
            <w:vAlign w:val="center"/>
          </w:tcPr>
          <w:p w14:paraId="76847CB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占地规模</w:t>
            </w:r>
          </w:p>
        </w:tc>
        <w:tc>
          <w:tcPr>
            <w:tcW w:w="5571" w:type="dxa"/>
            <w:gridSpan w:val="7"/>
            <w:noWrap w:val="0"/>
            <w:vAlign w:val="center"/>
          </w:tcPr>
          <w:p w14:paraId="1F75213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 xml:space="preserve">   8.5303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hm</w:t>
            </w:r>
            <w:r>
              <w:rPr>
                <w:rFonts w:hint="default" w:ascii="Times New Roman" w:hAnsi="Times New Roman" w:cs="Times New Roman"/>
                <w:color w:val="auto"/>
                <w:highlight w:val="none"/>
                <w:vertAlign w:val="superscript"/>
                <w:lang w:val="en-US" w:eastAsia="zh-CN"/>
              </w:rPr>
              <w:t>2</w:t>
            </w:r>
          </w:p>
        </w:tc>
        <w:tc>
          <w:tcPr>
            <w:tcW w:w="898" w:type="dxa"/>
            <w:noWrap w:val="0"/>
            <w:vAlign w:val="center"/>
          </w:tcPr>
          <w:p w14:paraId="3EA5B983">
            <w:pPr>
              <w:pStyle w:val="46"/>
              <w:bidi w:val="0"/>
              <w:rPr>
                <w:rFonts w:hint="default" w:ascii="Times New Roman" w:hAnsi="Times New Roman" w:cs="Times New Roman"/>
                <w:color w:val="auto"/>
                <w:highlight w:val="none"/>
                <w:lang w:eastAsia="zh-CN"/>
              </w:rPr>
            </w:pPr>
          </w:p>
        </w:tc>
      </w:tr>
      <w:tr w14:paraId="5B690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5272E863">
            <w:pPr>
              <w:pStyle w:val="46"/>
              <w:bidi w:val="0"/>
              <w:rPr>
                <w:rFonts w:hint="default" w:ascii="Times New Roman" w:hAnsi="Times New Roman" w:cs="Times New Roman"/>
                <w:color w:val="auto"/>
                <w:highlight w:val="none"/>
                <w:lang w:eastAsia="zh-CN"/>
              </w:rPr>
            </w:pPr>
          </w:p>
        </w:tc>
        <w:tc>
          <w:tcPr>
            <w:tcW w:w="1462" w:type="dxa"/>
            <w:noWrap w:val="0"/>
            <w:vAlign w:val="center"/>
          </w:tcPr>
          <w:p w14:paraId="76D1450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敏感目标信息</w:t>
            </w:r>
          </w:p>
        </w:tc>
        <w:tc>
          <w:tcPr>
            <w:tcW w:w="5571" w:type="dxa"/>
            <w:gridSpan w:val="7"/>
            <w:noWrap w:val="0"/>
            <w:vAlign w:val="center"/>
          </w:tcPr>
          <w:p w14:paraId="2F67670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敏感目标（</w:t>
            </w:r>
            <w:r>
              <w:rPr>
                <w:rFonts w:hint="default" w:ascii="Times New Roman" w:hAnsi="Times New Roman" w:cs="Times New Roman"/>
                <w:color w:val="auto"/>
                <w:highlight w:val="none"/>
                <w:lang w:val="en-US" w:eastAsia="zh-CN"/>
              </w:rPr>
              <w:t xml:space="preserve">耕地、林地 </w:t>
            </w:r>
            <w:r>
              <w:rPr>
                <w:rFonts w:hint="default" w:ascii="Times New Roman" w:hAnsi="Times New Roman" w:cs="Times New Roman"/>
                <w:color w:val="auto"/>
                <w:highlight w:val="none"/>
                <w:lang w:eastAsia="zh-CN"/>
              </w:rPr>
              <w:t>）、方位（</w:t>
            </w:r>
            <w:r>
              <w:rPr>
                <w:rFonts w:hint="default" w:ascii="Times New Roman" w:hAnsi="Times New Roman" w:cs="Times New Roman"/>
                <w:color w:val="auto"/>
                <w:highlight w:val="none"/>
                <w:lang w:val="en-US" w:eastAsia="zh-CN"/>
              </w:rPr>
              <w:t xml:space="preserve">北、西、南 </w:t>
            </w:r>
            <w:r>
              <w:rPr>
                <w:rFonts w:hint="default" w:ascii="Times New Roman" w:hAnsi="Times New Roman" w:cs="Times New Roman"/>
                <w:color w:val="auto"/>
                <w:highlight w:val="none"/>
                <w:lang w:eastAsia="zh-CN"/>
              </w:rPr>
              <w:t>）、距离（</w:t>
            </w:r>
            <w:r>
              <w:rPr>
                <w:rFonts w:hint="default" w:ascii="Times New Roman" w:hAnsi="Times New Roman" w:cs="Times New Roman"/>
                <w:color w:val="auto"/>
                <w:highlight w:val="none"/>
                <w:lang w:val="en-US" w:eastAsia="zh-CN"/>
              </w:rPr>
              <w:t xml:space="preserve"> 紧邻 </w:t>
            </w:r>
            <w:r>
              <w:rPr>
                <w:rFonts w:hint="default" w:ascii="Times New Roman" w:hAnsi="Times New Roman" w:cs="Times New Roman"/>
                <w:color w:val="auto"/>
                <w:highlight w:val="none"/>
                <w:lang w:eastAsia="zh-CN"/>
              </w:rPr>
              <w:t>）</w:t>
            </w:r>
          </w:p>
        </w:tc>
        <w:tc>
          <w:tcPr>
            <w:tcW w:w="898" w:type="dxa"/>
            <w:noWrap w:val="0"/>
            <w:vAlign w:val="center"/>
          </w:tcPr>
          <w:p w14:paraId="45A377BD">
            <w:pPr>
              <w:pStyle w:val="46"/>
              <w:bidi w:val="0"/>
              <w:rPr>
                <w:rFonts w:hint="default" w:ascii="Times New Roman" w:hAnsi="Times New Roman" w:cs="Times New Roman"/>
                <w:color w:val="auto"/>
                <w:highlight w:val="none"/>
                <w:lang w:eastAsia="zh-CN"/>
              </w:rPr>
            </w:pPr>
          </w:p>
        </w:tc>
      </w:tr>
      <w:tr w14:paraId="0B5D9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4104FC2E">
            <w:pPr>
              <w:pStyle w:val="46"/>
              <w:bidi w:val="0"/>
              <w:rPr>
                <w:rFonts w:hint="default" w:ascii="Times New Roman" w:hAnsi="Times New Roman" w:cs="Times New Roman"/>
                <w:color w:val="auto"/>
                <w:highlight w:val="none"/>
                <w:lang w:eastAsia="zh-CN"/>
              </w:rPr>
            </w:pPr>
          </w:p>
        </w:tc>
        <w:tc>
          <w:tcPr>
            <w:tcW w:w="1462" w:type="dxa"/>
            <w:noWrap w:val="0"/>
            <w:vAlign w:val="center"/>
          </w:tcPr>
          <w:p w14:paraId="66C0A9E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影响途径</w:t>
            </w:r>
          </w:p>
        </w:tc>
        <w:tc>
          <w:tcPr>
            <w:tcW w:w="5571" w:type="dxa"/>
            <w:gridSpan w:val="7"/>
            <w:noWrap w:val="0"/>
            <w:vAlign w:val="center"/>
          </w:tcPr>
          <w:p w14:paraId="70E2F2D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大气沉降</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☑；地面漫流</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□；垂直入渗</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☑；地下水位</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；其他（</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898" w:type="dxa"/>
            <w:noWrap w:val="0"/>
            <w:vAlign w:val="center"/>
          </w:tcPr>
          <w:p w14:paraId="359504D1">
            <w:pPr>
              <w:pStyle w:val="46"/>
              <w:bidi w:val="0"/>
              <w:rPr>
                <w:rFonts w:hint="default" w:ascii="Times New Roman" w:hAnsi="Times New Roman" w:cs="Times New Roman"/>
                <w:color w:val="auto"/>
                <w:highlight w:val="none"/>
                <w:lang w:eastAsia="zh-CN"/>
              </w:rPr>
            </w:pPr>
          </w:p>
        </w:tc>
      </w:tr>
      <w:tr w14:paraId="1AAE5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6F2FFA23">
            <w:pPr>
              <w:pStyle w:val="46"/>
              <w:bidi w:val="0"/>
              <w:rPr>
                <w:rFonts w:hint="default" w:ascii="Times New Roman" w:hAnsi="Times New Roman" w:cs="Times New Roman"/>
                <w:color w:val="auto"/>
                <w:highlight w:val="none"/>
                <w:lang w:eastAsia="zh-CN"/>
              </w:rPr>
            </w:pPr>
          </w:p>
        </w:tc>
        <w:tc>
          <w:tcPr>
            <w:tcW w:w="1462" w:type="dxa"/>
            <w:noWrap w:val="0"/>
            <w:vAlign w:val="center"/>
          </w:tcPr>
          <w:p w14:paraId="3D04DAE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全部污染物</w:t>
            </w:r>
          </w:p>
        </w:tc>
        <w:tc>
          <w:tcPr>
            <w:tcW w:w="5571" w:type="dxa"/>
            <w:gridSpan w:val="7"/>
            <w:noWrap w:val="0"/>
            <w:vAlign w:val="center"/>
          </w:tcPr>
          <w:p w14:paraId="4DA8E58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98" w:type="dxa"/>
            <w:noWrap w:val="0"/>
            <w:vAlign w:val="center"/>
          </w:tcPr>
          <w:p w14:paraId="76B9FE10">
            <w:pPr>
              <w:pStyle w:val="46"/>
              <w:bidi w:val="0"/>
              <w:rPr>
                <w:rFonts w:hint="default" w:ascii="Times New Roman" w:hAnsi="Times New Roman" w:cs="Times New Roman"/>
                <w:color w:val="auto"/>
                <w:highlight w:val="none"/>
                <w:lang w:eastAsia="zh-CN"/>
              </w:rPr>
            </w:pPr>
          </w:p>
        </w:tc>
      </w:tr>
      <w:tr w14:paraId="40622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12" w:type="dxa"/>
            <w:vMerge w:val="continue"/>
            <w:noWrap w:val="0"/>
            <w:vAlign w:val="center"/>
          </w:tcPr>
          <w:p w14:paraId="4ADB9FA3">
            <w:pPr>
              <w:pStyle w:val="46"/>
              <w:bidi w:val="0"/>
              <w:rPr>
                <w:rFonts w:hint="default" w:ascii="Times New Roman" w:hAnsi="Times New Roman" w:cs="Times New Roman"/>
                <w:color w:val="auto"/>
                <w:highlight w:val="none"/>
                <w:lang w:eastAsia="zh-CN"/>
              </w:rPr>
            </w:pPr>
          </w:p>
        </w:tc>
        <w:tc>
          <w:tcPr>
            <w:tcW w:w="1462" w:type="dxa"/>
            <w:noWrap w:val="0"/>
            <w:vAlign w:val="center"/>
          </w:tcPr>
          <w:p w14:paraId="5BD6AF9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特征因子</w:t>
            </w:r>
          </w:p>
        </w:tc>
        <w:tc>
          <w:tcPr>
            <w:tcW w:w="5571" w:type="dxa"/>
            <w:gridSpan w:val="7"/>
            <w:noWrap w:val="0"/>
            <w:vAlign w:val="center"/>
          </w:tcPr>
          <w:p w14:paraId="27C4B01C">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98" w:type="dxa"/>
            <w:noWrap w:val="0"/>
            <w:vAlign w:val="center"/>
          </w:tcPr>
          <w:p w14:paraId="5FB09AD2">
            <w:pPr>
              <w:pStyle w:val="46"/>
              <w:bidi w:val="0"/>
              <w:rPr>
                <w:rFonts w:hint="default" w:ascii="Times New Roman" w:hAnsi="Times New Roman" w:cs="Times New Roman"/>
                <w:color w:val="auto"/>
                <w:highlight w:val="none"/>
                <w:lang w:eastAsia="zh-CN"/>
              </w:rPr>
            </w:pPr>
          </w:p>
        </w:tc>
      </w:tr>
      <w:tr w14:paraId="58688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6895C666">
            <w:pPr>
              <w:pStyle w:val="46"/>
              <w:bidi w:val="0"/>
              <w:rPr>
                <w:rFonts w:hint="default" w:ascii="Times New Roman" w:hAnsi="Times New Roman" w:cs="Times New Roman"/>
                <w:color w:val="auto"/>
                <w:highlight w:val="none"/>
                <w:lang w:eastAsia="zh-CN"/>
              </w:rPr>
            </w:pPr>
          </w:p>
        </w:tc>
        <w:tc>
          <w:tcPr>
            <w:tcW w:w="1462" w:type="dxa"/>
            <w:noWrap w:val="0"/>
            <w:vAlign w:val="center"/>
          </w:tcPr>
          <w:p w14:paraId="554CE0D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所属土壤环境影响评价项目类别</w:t>
            </w:r>
          </w:p>
        </w:tc>
        <w:tc>
          <w:tcPr>
            <w:tcW w:w="5571" w:type="dxa"/>
            <w:gridSpan w:val="7"/>
            <w:noWrap w:val="0"/>
            <w:vAlign w:val="center"/>
          </w:tcPr>
          <w:p w14:paraId="236C3F9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Ⅰ类</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；Ⅱ类</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☑；Ⅲ类</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；Ⅳ类</w:t>
            </w:r>
            <w:r>
              <w:rPr>
                <w:rFonts w:hint="default" w:ascii="Times New Roman" w:hAnsi="Times New Roman" w:cs="Times New Roman"/>
                <w:color w:val="auto"/>
                <w:highlight w:val="none"/>
              </w:rPr>
              <w:t xml:space="preserve"> □</w:t>
            </w:r>
          </w:p>
        </w:tc>
        <w:tc>
          <w:tcPr>
            <w:tcW w:w="898" w:type="dxa"/>
            <w:noWrap w:val="0"/>
            <w:vAlign w:val="center"/>
          </w:tcPr>
          <w:p w14:paraId="174A483A">
            <w:pPr>
              <w:pStyle w:val="46"/>
              <w:bidi w:val="0"/>
              <w:rPr>
                <w:rFonts w:hint="default" w:ascii="Times New Roman" w:hAnsi="Times New Roman" w:cs="Times New Roman"/>
                <w:color w:val="auto"/>
                <w:highlight w:val="none"/>
                <w:lang w:eastAsia="zh-CN"/>
              </w:rPr>
            </w:pPr>
          </w:p>
        </w:tc>
      </w:tr>
      <w:tr w14:paraId="09007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521E0A2F">
            <w:pPr>
              <w:pStyle w:val="46"/>
              <w:bidi w:val="0"/>
              <w:rPr>
                <w:rFonts w:hint="default" w:ascii="Times New Roman" w:hAnsi="Times New Roman" w:cs="Times New Roman"/>
                <w:color w:val="auto"/>
                <w:highlight w:val="none"/>
                <w:lang w:eastAsia="zh-CN"/>
              </w:rPr>
            </w:pPr>
          </w:p>
        </w:tc>
        <w:tc>
          <w:tcPr>
            <w:tcW w:w="1462" w:type="dxa"/>
            <w:noWrap w:val="0"/>
            <w:vAlign w:val="center"/>
          </w:tcPr>
          <w:p w14:paraId="54471F0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敏感程度</w:t>
            </w:r>
          </w:p>
        </w:tc>
        <w:tc>
          <w:tcPr>
            <w:tcW w:w="5571" w:type="dxa"/>
            <w:gridSpan w:val="7"/>
            <w:noWrap w:val="0"/>
            <w:vAlign w:val="center"/>
          </w:tcPr>
          <w:p w14:paraId="7F4EE04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敏感</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☑；较敏感</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□；不敏感</w:t>
            </w:r>
            <w:r>
              <w:rPr>
                <w:rFonts w:hint="default" w:ascii="Times New Roman" w:hAnsi="Times New Roman" w:cs="Times New Roman"/>
                <w:color w:val="auto"/>
                <w:highlight w:val="none"/>
              </w:rPr>
              <w:t xml:space="preserve"> □</w:t>
            </w:r>
          </w:p>
        </w:tc>
        <w:tc>
          <w:tcPr>
            <w:tcW w:w="898" w:type="dxa"/>
            <w:noWrap w:val="0"/>
            <w:vAlign w:val="center"/>
          </w:tcPr>
          <w:p w14:paraId="4AE9109E">
            <w:pPr>
              <w:pStyle w:val="46"/>
              <w:bidi w:val="0"/>
              <w:rPr>
                <w:rFonts w:hint="default" w:ascii="Times New Roman" w:hAnsi="Times New Roman" w:cs="Times New Roman"/>
                <w:color w:val="auto"/>
                <w:highlight w:val="none"/>
                <w:lang w:eastAsia="zh-CN"/>
              </w:rPr>
            </w:pPr>
          </w:p>
        </w:tc>
      </w:tr>
      <w:tr w14:paraId="61EA6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774" w:type="dxa"/>
            <w:gridSpan w:val="2"/>
            <w:noWrap w:val="0"/>
            <w:vAlign w:val="center"/>
          </w:tcPr>
          <w:p w14:paraId="3F73B7A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评价工作等级</w:t>
            </w:r>
          </w:p>
        </w:tc>
        <w:tc>
          <w:tcPr>
            <w:tcW w:w="5571" w:type="dxa"/>
            <w:gridSpan w:val="7"/>
            <w:noWrap w:val="0"/>
            <w:vAlign w:val="center"/>
          </w:tcPr>
          <w:p w14:paraId="7FB55CD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一级</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；二级</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☑；三级</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p>
        </w:tc>
        <w:tc>
          <w:tcPr>
            <w:tcW w:w="898" w:type="dxa"/>
            <w:noWrap w:val="0"/>
            <w:vAlign w:val="center"/>
          </w:tcPr>
          <w:p w14:paraId="0DABE15F">
            <w:pPr>
              <w:pStyle w:val="46"/>
              <w:bidi w:val="0"/>
              <w:rPr>
                <w:rFonts w:hint="default" w:ascii="Times New Roman" w:hAnsi="Times New Roman" w:cs="Times New Roman"/>
                <w:color w:val="auto"/>
                <w:highlight w:val="none"/>
                <w:lang w:eastAsia="zh-CN"/>
              </w:rPr>
            </w:pPr>
          </w:p>
        </w:tc>
      </w:tr>
      <w:tr w14:paraId="063D6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restart"/>
            <w:noWrap w:val="0"/>
            <w:vAlign w:val="center"/>
          </w:tcPr>
          <w:p w14:paraId="5702496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现状调查内容</w:t>
            </w:r>
          </w:p>
        </w:tc>
        <w:tc>
          <w:tcPr>
            <w:tcW w:w="1462" w:type="dxa"/>
            <w:noWrap w:val="0"/>
            <w:vAlign w:val="center"/>
          </w:tcPr>
          <w:p w14:paraId="1CAB6B5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资料收集</w:t>
            </w:r>
          </w:p>
        </w:tc>
        <w:tc>
          <w:tcPr>
            <w:tcW w:w="5571" w:type="dxa"/>
            <w:gridSpan w:val="7"/>
            <w:noWrap w:val="0"/>
            <w:vAlign w:val="center"/>
          </w:tcPr>
          <w:p w14:paraId="196A394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b）</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c）</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 xml:space="preserve"> □</w:t>
            </w:r>
          </w:p>
        </w:tc>
        <w:tc>
          <w:tcPr>
            <w:tcW w:w="898" w:type="dxa"/>
            <w:noWrap w:val="0"/>
            <w:vAlign w:val="center"/>
          </w:tcPr>
          <w:p w14:paraId="0C95C58A">
            <w:pPr>
              <w:pStyle w:val="46"/>
              <w:bidi w:val="0"/>
              <w:rPr>
                <w:rFonts w:hint="default" w:ascii="Times New Roman" w:hAnsi="Times New Roman" w:cs="Times New Roman"/>
                <w:color w:val="auto"/>
                <w:highlight w:val="none"/>
              </w:rPr>
            </w:pPr>
          </w:p>
        </w:tc>
      </w:tr>
      <w:tr w14:paraId="6C60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0AAB5C65">
            <w:pPr>
              <w:pStyle w:val="46"/>
              <w:bidi w:val="0"/>
              <w:rPr>
                <w:rFonts w:hint="default" w:ascii="Times New Roman" w:hAnsi="Times New Roman" w:cs="Times New Roman"/>
                <w:color w:val="auto"/>
                <w:highlight w:val="none"/>
              </w:rPr>
            </w:pPr>
          </w:p>
        </w:tc>
        <w:tc>
          <w:tcPr>
            <w:tcW w:w="1462" w:type="dxa"/>
            <w:noWrap w:val="0"/>
            <w:vAlign w:val="center"/>
          </w:tcPr>
          <w:p w14:paraId="27D7222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理化特性</w:t>
            </w:r>
          </w:p>
        </w:tc>
        <w:tc>
          <w:tcPr>
            <w:tcW w:w="5571" w:type="dxa"/>
            <w:gridSpan w:val="7"/>
            <w:noWrap w:val="0"/>
            <w:vAlign w:val="center"/>
          </w:tcPr>
          <w:tbl>
            <w:tblPr>
              <w:tblStyle w:val="24"/>
              <w:tblW w:w="45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555"/>
              <w:gridCol w:w="2368"/>
            </w:tblGrid>
            <w:tr w14:paraId="5E023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2594" w:type="pct"/>
                  <w:vAlign w:val="center"/>
                </w:tcPr>
                <w:p w14:paraId="5936FE5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点号</w:t>
                  </w:r>
                </w:p>
              </w:tc>
              <w:tc>
                <w:tcPr>
                  <w:tcW w:w="2405" w:type="pct"/>
                  <w:vAlign w:val="center"/>
                </w:tcPr>
                <w:p w14:paraId="5A8E126B">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S2</w:t>
                  </w:r>
                </w:p>
              </w:tc>
            </w:tr>
            <w:tr w14:paraId="35A56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2594" w:type="pct"/>
                  <w:vAlign w:val="center"/>
                </w:tcPr>
                <w:p w14:paraId="6AFB179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层次</w:t>
                  </w:r>
                </w:p>
              </w:tc>
              <w:tc>
                <w:tcPr>
                  <w:tcW w:w="2405" w:type="pct"/>
                  <w:vAlign w:val="center"/>
                </w:tcPr>
                <w:p w14:paraId="75C7357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m</w:t>
                  </w:r>
                </w:p>
              </w:tc>
            </w:tr>
            <w:tr w14:paraId="10F9E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2594" w:type="pct"/>
                  <w:vAlign w:val="center"/>
                </w:tcPr>
                <w:p w14:paraId="3B3AC8D8">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阳离子交换量（me/100g）</w:t>
                  </w:r>
                </w:p>
              </w:tc>
              <w:tc>
                <w:tcPr>
                  <w:tcW w:w="2405" w:type="pct"/>
                  <w:vAlign w:val="center"/>
                </w:tcPr>
                <w:p w14:paraId="5CD9EB8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w:t>
                  </w:r>
                </w:p>
              </w:tc>
            </w:tr>
            <w:tr w14:paraId="5AA4A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2594" w:type="pct"/>
                  <w:vAlign w:val="center"/>
                </w:tcPr>
                <w:p w14:paraId="59E6D9F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氧化还原电位</w:t>
                  </w:r>
                </w:p>
              </w:tc>
              <w:tc>
                <w:tcPr>
                  <w:tcW w:w="2405" w:type="pct"/>
                  <w:vAlign w:val="center"/>
                </w:tcPr>
                <w:p w14:paraId="2389F36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431</w:t>
                  </w:r>
                </w:p>
              </w:tc>
            </w:tr>
            <w:tr w14:paraId="6036B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2594" w:type="pct"/>
                  <w:vAlign w:val="center"/>
                </w:tcPr>
                <w:p w14:paraId="01AF195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土壤容重/（g/cm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2405" w:type="pct"/>
                  <w:vAlign w:val="center"/>
                </w:tcPr>
                <w:p w14:paraId="27A35DA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1.47</w:t>
                  </w:r>
                </w:p>
              </w:tc>
            </w:tr>
            <w:tr w14:paraId="38042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2594" w:type="pct"/>
                  <w:vAlign w:val="center"/>
                </w:tcPr>
                <w:p w14:paraId="551EAC42">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总空隙</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w:t>
                  </w:r>
                </w:p>
              </w:tc>
              <w:tc>
                <w:tcPr>
                  <w:tcW w:w="2405" w:type="pct"/>
                  <w:vAlign w:val="center"/>
                </w:tcPr>
                <w:p w14:paraId="4417007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38.9</w:t>
                  </w:r>
                </w:p>
              </w:tc>
            </w:tr>
            <w:tr w14:paraId="10049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4" w:hRule="atLeast"/>
              </w:trPr>
              <w:tc>
                <w:tcPr>
                  <w:tcW w:w="2594" w:type="pct"/>
                  <w:vAlign w:val="center"/>
                </w:tcPr>
                <w:p w14:paraId="6D5A2760">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土壤渗透率（mm/min）</w:t>
                  </w:r>
                </w:p>
              </w:tc>
              <w:tc>
                <w:tcPr>
                  <w:tcW w:w="2405" w:type="pct"/>
                  <w:vAlign w:val="center"/>
                </w:tcPr>
                <w:p w14:paraId="10E435C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0.58</w:t>
                  </w:r>
                </w:p>
              </w:tc>
            </w:tr>
          </w:tbl>
          <w:p w14:paraId="3B165EF3">
            <w:pPr>
              <w:pStyle w:val="46"/>
              <w:bidi w:val="0"/>
              <w:rPr>
                <w:rFonts w:hint="default" w:ascii="Times New Roman" w:hAnsi="Times New Roman" w:cs="Times New Roman"/>
                <w:color w:val="auto"/>
                <w:highlight w:val="none"/>
              </w:rPr>
            </w:pPr>
          </w:p>
        </w:tc>
        <w:tc>
          <w:tcPr>
            <w:tcW w:w="898" w:type="dxa"/>
            <w:noWrap w:val="0"/>
            <w:vAlign w:val="center"/>
          </w:tcPr>
          <w:p w14:paraId="01F6BE7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同附录C</w:t>
            </w:r>
          </w:p>
        </w:tc>
      </w:tr>
      <w:tr w14:paraId="65479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0E52A51D">
            <w:pPr>
              <w:pStyle w:val="46"/>
              <w:bidi w:val="0"/>
              <w:rPr>
                <w:rFonts w:hint="default" w:ascii="Times New Roman" w:hAnsi="Times New Roman" w:cs="Times New Roman"/>
                <w:color w:val="auto"/>
                <w:highlight w:val="none"/>
              </w:rPr>
            </w:pPr>
          </w:p>
        </w:tc>
        <w:tc>
          <w:tcPr>
            <w:tcW w:w="1462" w:type="dxa"/>
            <w:vMerge w:val="restart"/>
            <w:noWrap w:val="0"/>
            <w:vAlign w:val="center"/>
          </w:tcPr>
          <w:p w14:paraId="3142353E">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现状监测点位</w:t>
            </w:r>
          </w:p>
        </w:tc>
        <w:tc>
          <w:tcPr>
            <w:tcW w:w="1342" w:type="dxa"/>
            <w:noWrap w:val="0"/>
            <w:vAlign w:val="center"/>
          </w:tcPr>
          <w:p w14:paraId="12C28401">
            <w:pPr>
              <w:pStyle w:val="46"/>
              <w:bidi w:val="0"/>
              <w:rPr>
                <w:rFonts w:hint="default" w:ascii="Times New Roman" w:hAnsi="Times New Roman" w:cs="Times New Roman"/>
                <w:color w:val="auto"/>
                <w:highlight w:val="none"/>
              </w:rPr>
            </w:pPr>
          </w:p>
        </w:tc>
        <w:tc>
          <w:tcPr>
            <w:tcW w:w="1313" w:type="dxa"/>
            <w:gridSpan w:val="2"/>
            <w:noWrap w:val="0"/>
            <w:vAlign w:val="center"/>
          </w:tcPr>
          <w:p w14:paraId="6CD75507">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占地范围内</w:t>
            </w:r>
          </w:p>
        </w:tc>
        <w:tc>
          <w:tcPr>
            <w:tcW w:w="1237" w:type="dxa"/>
            <w:gridSpan w:val="2"/>
            <w:noWrap w:val="0"/>
            <w:vAlign w:val="center"/>
          </w:tcPr>
          <w:p w14:paraId="3F110DE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占地范围外</w:t>
            </w:r>
          </w:p>
        </w:tc>
        <w:tc>
          <w:tcPr>
            <w:tcW w:w="1679" w:type="dxa"/>
            <w:gridSpan w:val="2"/>
            <w:noWrap w:val="0"/>
            <w:vAlign w:val="center"/>
          </w:tcPr>
          <w:p w14:paraId="63DF05E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深度</w:t>
            </w:r>
          </w:p>
        </w:tc>
        <w:tc>
          <w:tcPr>
            <w:tcW w:w="898" w:type="dxa"/>
            <w:vMerge w:val="restart"/>
            <w:noWrap w:val="0"/>
            <w:vAlign w:val="center"/>
          </w:tcPr>
          <w:p w14:paraId="4A24A64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点位布置图</w:t>
            </w:r>
          </w:p>
        </w:tc>
      </w:tr>
      <w:tr w14:paraId="5A0A8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4E43EC22">
            <w:pPr>
              <w:pStyle w:val="46"/>
              <w:bidi w:val="0"/>
              <w:rPr>
                <w:rFonts w:hint="default" w:ascii="Times New Roman" w:hAnsi="Times New Roman" w:cs="Times New Roman"/>
                <w:color w:val="auto"/>
                <w:highlight w:val="none"/>
              </w:rPr>
            </w:pPr>
          </w:p>
        </w:tc>
        <w:tc>
          <w:tcPr>
            <w:tcW w:w="1462" w:type="dxa"/>
            <w:vMerge w:val="continue"/>
            <w:noWrap w:val="0"/>
            <w:vAlign w:val="center"/>
          </w:tcPr>
          <w:p w14:paraId="269E0E4F">
            <w:pPr>
              <w:pStyle w:val="46"/>
              <w:bidi w:val="0"/>
              <w:rPr>
                <w:rFonts w:hint="default" w:ascii="Times New Roman" w:hAnsi="Times New Roman" w:cs="Times New Roman"/>
                <w:color w:val="auto"/>
                <w:highlight w:val="none"/>
              </w:rPr>
            </w:pPr>
          </w:p>
        </w:tc>
        <w:tc>
          <w:tcPr>
            <w:tcW w:w="1342" w:type="dxa"/>
            <w:noWrap w:val="0"/>
            <w:vAlign w:val="center"/>
          </w:tcPr>
          <w:p w14:paraId="501AC529">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表层样点数</w:t>
            </w:r>
          </w:p>
        </w:tc>
        <w:tc>
          <w:tcPr>
            <w:tcW w:w="1313" w:type="dxa"/>
            <w:gridSpan w:val="2"/>
            <w:noWrap w:val="0"/>
            <w:vAlign w:val="center"/>
          </w:tcPr>
          <w:p w14:paraId="4B3C544E">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237" w:type="dxa"/>
            <w:gridSpan w:val="2"/>
            <w:noWrap w:val="0"/>
            <w:vAlign w:val="center"/>
          </w:tcPr>
          <w:p w14:paraId="1C844A1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679" w:type="dxa"/>
            <w:gridSpan w:val="2"/>
            <w:noWrap w:val="0"/>
            <w:vAlign w:val="center"/>
          </w:tcPr>
          <w:p w14:paraId="7ABAB6F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898" w:type="dxa"/>
            <w:vMerge w:val="continue"/>
            <w:noWrap w:val="0"/>
            <w:vAlign w:val="center"/>
          </w:tcPr>
          <w:p w14:paraId="45F36CAC">
            <w:pPr>
              <w:pStyle w:val="46"/>
              <w:bidi w:val="0"/>
              <w:rPr>
                <w:rFonts w:hint="default" w:ascii="Times New Roman" w:hAnsi="Times New Roman" w:cs="Times New Roman"/>
                <w:color w:val="auto"/>
                <w:highlight w:val="none"/>
              </w:rPr>
            </w:pPr>
          </w:p>
        </w:tc>
      </w:tr>
      <w:tr w14:paraId="0FF75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24D2E436">
            <w:pPr>
              <w:pStyle w:val="46"/>
              <w:bidi w:val="0"/>
              <w:rPr>
                <w:rFonts w:hint="default" w:ascii="Times New Roman" w:hAnsi="Times New Roman" w:cs="Times New Roman"/>
                <w:color w:val="auto"/>
                <w:highlight w:val="none"/>
              </w:rPr>
            </w:pPr>
          </w:p>
        </w:tc>
        <w:tc>
          <w:tcPr>
            <w:tcW w:w="1462" w:type="dxa"/>
            <w:vMerge w:val="continue"/>
            <w:noWrap w:val="0"/>
            <w:vAlign w:val="center"/>
          </w:tcPr>
          <w:p w14:paraId="04803FAC">
            <w:pPr>
              <w:pStyle w:val="46"/>
              <w:bidi w:val="0"/>
              <w:rPr>
                <w:rFonts w:hint="default" w:ascii="Times New Roman" w:hAnsi="Times New Roman" w:cs="Times New Roman"/>
                <w:color w:val="auto"/>
                <w:highlight w:val="none"/>
              </w:rPr>
            </w:pPr>
          </w:p>
        </w:tc>
        <w:tc>
          <w:tcPr>
            <w:tcW w:w="1342" w:type="dxa"/>
            <w:noWrap w:val="0"/>
            <w:vAlign w:val="center"/>
          </w:tcPr>
          <w:p w14:paraId="240C0D3D">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柱状样点数</w:t>
            </w:r>
          </w:p>
        </w:tc>
        <w:tc>
          <w:tcPr>
            <w:tcW w:w="1313" w:type="dxa"/>
            <w:gridSpan w:val="2"/>
            <w:noWrap w:val="0"/>
            <w:vAlign w:val="center"/>
          </w:tcPr>
          <w:p w14:paraId="6765DFD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237" w:type="dxa"/>
            <w:gridSpan w:val="2"/>
            <w:noWrap w:val="0"/>
            <w:vAlign w:val="center"/>
          </w:tcPr>
          <w:p w14:paraId="4BCF0A9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679" w:type="dxa"/>
            <w:gridSpan w:val="2"/>
            <w:noWrap w:val="0"/>
            <w:vAlign w:val="center"/>
          </w:tcPr>
          <w:p w14:paraId="4CC25265">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0-0.5m、0.5-1.5m、1.5-3m</w:t>
            </w:r>
          </w:p>
        </w:tc>
        <w:tc>
          <w:tcPr>
            <w:tcW w:w="898" w:type="dxa"/>
            <w:noWrap w:val="0"/>
            <w:vAlign w:val="center"/>
          </w:tcPr>
          <w:p w14:paraId="26E21EA1">
            <w:pPr>
              <w:pStyle w:val="46"/>
              <w:bidi w:val="0"/>
              <w:rPr>
                <w:rFonts w:hint="default" w:ascii="Times New Roman" w:hAnsi="Times New Roman" w:cs="Times New Roman"/>
                <w:color w:val="auto"/>
                <w:highlight w:val="none"/>
              </w:rPr>
            </w:pPr>
          </w:p>
        </w:tc>
      </w:tr>
      <w:tr w14:paraId="1F434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17EF4605">
            <w:pPr>
              <w:pStyle w:val="46"/>
              <w:bidi w:val="0"/>
              <w:rPr>
                <w:rFonts w:hint="default" w:ascii="Times New Roman" w:hAnsi="Times New Roman" w:cs="Times New Roman"/>
                <w:color w:val="auto"/>
                <w:highlight w:val="none"/>
              </w:rPr>
            </w:pPr>
          </w:p>
        </w:tc>
        <w:tc>
          <w:tcPr>
            <w:tcW w:w="1462" w:type="dxa"/>
            <w:noWrap w:val="0"/>
            <w:vAlign w:val="center"/>
          </w:tcPr>
          <w:p w14:paraId="7D7A2F6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现状监测因子</w:t>
            </w:r>
          </w:p>
        </w:tc>
        <w:tc>
          <w:tcPr>
            <w:tcW w:w="5571" w:type="dxa"/>
            <w:gridSpan w:val="7"/>
            <w:noWrap w:val="0"/>
            <w:vAlign w:val="center"/>
          </w:tcPr>
          <w:p w14:paraId="7D38C2B4">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监测《土壤环境质量 建设用地土壤污染风险管控标准》（试行）（GB36600-2018）中表1 建设用地土壤污染风险筛选值和要求的基本因子45项</w:t>
            </w:r>
            <w:r>
              <w:rPr>
                <w:rFonts w:hint="default" w:ascii="Times New Roman" w:hAnsi="Times New Roman" w:cs="Times New Roman"/>
                <w:color w:val="auto"/>
                <w:highlight w:val="none"/>
                <w:lang w:val="en-US" w:eastAsia="zh-CN"/>
              </w:rPr>
              <w:t>和pH、砷、镉、铬（六价）、铜、铅、汞、镍、锌、水溶性岩</w:t>
            </w:r>
            <w:r>
              <w:rPr>
                <w:rFonts w:hint="default" w:ascii="Times New Roman" w:hAnsi="Times New Roman" w:cs="Times New Roman"/>
                <w:color w:val="auto"/>
                <w:highlight w:val="none"/>
              </w:rPr>
              <w:t>。</w:t>
            </w:r>
          </w:p>
        </w:tc>
        <w:tc>
          <w:tcPr>
            <w:tcW w:w="898" w:type="dxa"/>
            <w:noWrap w:val="0"/>
            <w:vAlign w:val="center"/>
          </w:tcPr>
          <w:p w14:paraId="151548FB">
            <w:pPr>
              <w:pStyle w:val="46"/>
              <w:bidi w:val="0"/>
              <w:rPr>
                <w:rFonts w:hint="default" w:ascii="Times New Roman" w:hAnsi="Times New Roman" w:cs="Times New Roman"/>
                <w:color w:val="auto"/>
                <w:highlight w:val="none"/>
              </w:rPr>
            </w:pPr>
          </w:p>
        </w:tc>
      </w:tr>
      <w:tr w14:paraId="56867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restart"/>
            <w:noWrap w:val="0"/>
            <w:vAlign w:val="center"/>
          </w:tcPr>
          <w:p w14:paraId="453E93E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现状评价</w:t>
            </w:r>
          </w:p>
        </w:tc>
        <w:tc>
          <w:tcPr>
            <w:tcW w:w="1462" w:type="dxa"/>
            <w:noWrap w:val="0"/>
            <w:vAlign w:val="center"/>
          </w:tcPr>
          <w:p w14:paraId="0170851D">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评价因子</w:t>
            </w:r>
          </w:p>
        </w:tc>
        <w:tc>
          <w:tcPr>
            <w:tcW w:w="5571" w:type="dxa"/>
            <w:gridSpan w:val="7"/>
            <w:noWrap w:val="0"/>
            <w:vAlign w:val="center"/>
          </w:tcPr>
          <w:p w14:paraId="7F90F791">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同现状监测因子</w:t>
            </w:r>
          </w:p>
        </w:tc>
        <w:tc>
          <w:tcPr>
            <w:tcW w:w="898" w:type="dxa"/>
            <w:noWrap w:val="0"/>
            <w:vAlign w:val="center"/>
          </w:tcPr>
          <w:p w14:paraId="6D03DE24">
            <w:pPr>
              <w:pStyle w:val="46"/>
              <w:bidi w:val="0"/>
              <w:rPr>
                <w:rFonts w:hint="default" w:ascii="Times New Roman" w:hAnsi="Times New Roman" w:cs="Times New Roman"/>
                <w:color w:val="auto"/>
                <w:highlight w:val="none"/>
              </w:rPr>
            </w:pPr>
          </w:p>
        </w:tc>
      </w:tr>
      <w:tr w14:paraId="6A9BD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0934CBA0">
            <w:pPr>
              <w:pStyle w:val="46"/>
              <w:bidi w:val="0"/>
              <w:rPr>
                <w:rFonts w:hint="default" w:ascii="Times New Roman" w:hAnsi="Times New Roman" w:cs="Times New Roman"/>
                <w:color w:val="auto"/>
                <w:highlight w:val="none"/>
              </w:rPr>
            </w:pPr>
          </w:p>
        </w:tc>
        <w:tc>
          <w:tcPr>
            <w:tcW w:w="1462" w:type="dxa"/>
            <w:noWrap w:val="0"/>
            <w:vAlign w:val="center"/>
          </w:tcPr>
          <w:p w14:paraId="77C4086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评价标准</w:t>
            </w:r>
          </w:p>
        </w:tc>
        <w:tc>
          <w:tcPr>
            <w:tcW w:w="5571" w:type="dxa"/>
            <w:gridSpan w:val="7"/>
            <w:noWrap w:val="0"/>
            <w:vAlign w:val="center"/>
          </w:tcPr>
          <w:p w14:paraId="1578175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GB15618</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GB36600</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D.1</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D.2</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；其他（</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898" w:type="dxa"/>
            <w:noWrap w:val="0"/>
            <w:vAlign w:val="center"/>
          </w:tcPr>
          <w:p w14:paraId="39F34F95">
            <w:pPr>
              <w:pStyle w:val="46"/>
              <w:bidi w:val="0"/>
              <w:rPr>
                <w:rFonts w:hint="default" w:ascii="Times New Roman" w:hAnsi="Times New Roman" w:cs="Times New Roman"/>
                <w:color w:val="auto"/>
                <w:highlight w:val="none"/>
              </w:rPr>
            </w:pPr>
          </w:p>
        </w:tc>
      </w:tr>
      <w:tr w14:paraId="088A6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2" w:type="dxa"/>
            <w:vMerge w:val="continue"/>
            <w:noWrap w:val="0"/>
            <w:vAlign w:val="center"/>
          </w:tcPr>
          <w:p w14:paraId="6C6662C3">
            <w:pPr>
              <w:pStyle w:val="46"/>
              <w:bidi w:val="0"/>
              <w:rPr>
                <w:rFonts w:hint="default" w:ascii="Times New Roman" w:hAnsi="Times New Roman" w:cs="Times New Roman"/>
                <w:color w:val="auto"/>
                <w:highlight w:val="none"/>
              </w:rPr>
            </w:pPr>
          </w:p>
        </w:tc>
        <w:tc>
          <w:tcPr>
            <w:tcW w:w="1462" w:type="dxa"/>
            <w:noWrap w:val="0"/>
            <w:vAlign w:val="center"/>
          </w:tcPr>
          <w:p w14:paraId="21485EE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现状评价结论</w:t>
            </w:r>
          </w:p>
        </w:tc>
        <w:tc>
          <w:tcPr>
            <w:tcW w:w="5571" w:type="dxa"/>
            <w:gridSpan w:val="7"/>
            <w:noWrap w:val="0"/>
            <w:vAlign w:val="center"/>
          </w:tcPr>
          <w:p w14:paraId="493A29B2">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符合《土壤环境质量 建设用地土壤污染风险管控标准（试行）》（GB36600-2018）中的第二类用地风险筛选值，占地范围外各监测点的土壤环境质量现状均符合《土壤环境质量 农用地土壤污染风险管控标准（试行）》（GB 15618-2018）中风险筛选值</w:t>
            </w:r>
          </w:p>
        </w:tc>
        <w:tc>
          <w:tcPr>
            <w:tcW w:w="898" w:type="dxa"/>
            <w:noWrap w:val="0"/>
            <w:vAlign w:val="center"/>
          </w:tcPr>
          <w:p w14:paraId="119B97A9">
            <w:pPr>
              <w:pStyle w:val="46"/>
              <w:bidi w:val="0"/>
              <w:rPr>
                <w:rFonts w:hint="default" w:ascii="Times New Roman" w:hAnsi="Times New Roman" w:cs="Times New Roman"/>
                <w:color w:val="auto"/>
                <w:highlight w:val="none"/>
              </w:rPr>
            </w:pPr>
          </w:p>
        </w:tc>
      </w:tr>
      <w:tr w14:paraId="4E69D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restart"/>
            <w:noWrap w:val="0"/>
            <w:vAlign w:val="center"/>
          </w:tcPr>
          <w:p w14:paraId="0AF2C17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影响预测</w:t>
            </w:r>
          </w:p>
        </w:tc>
        <w:tc>
          <w:tcPr>
            <w:tcW w:w="1462" w:type="dxa"/>
            <w:noWrap w:val="0"/>
            <w:vAlign w:val="center"/>
          </w:tcPr>
          <w:p w14:paraId="763ED64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预测因子</w:t>
            </w:r>
          </w:p>
        </w:tc>
        <w:tc>
          <w:tcPr>
            <w:tcW w:w="5571" w:type="dxa"/>
            <w:gridSpan w:val="7"/>
            <w:noWrap w:val="0"/>
            <w:vAlign w:val="center"/>
          </w:tcPr>
          <w:p w14:paraId="2146C02E">
            <w:pPr>
              <w:pStyle w:val="46"/>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eastAsia="zh-CN"/>
              </w:rPr>
              <w:t>无</w:t>
            </w:r>
          </w:p>
        </w:tc>
        <w:tc>
          <w:tcPr>
            <w:tcW w:w="898" w:type="dxa"/>
            <w:noWrap w:val="0"/>
            <w:vAlign w:val="center"/>
          </w:tcPr>
          <w:p w14:paraId="5648739C">
            <w:pPr>
              <w:pStyle w:val="46"/>
              <w:bidi w:val="0"/>
              <w:rPr>
                <w:rFonts w:hint="default" w:ascii="Times New Roman" w:hAnsi="Times New Roman" w:cs="Times New Roman"/>
                <w:color w:val="auto"/>
                <w:highlight w:val="none"/>
              </w:rPr>
            </w:pPr>
          </w:p>
        </w:tc>
      </w:tr>
      <w:tr w14:paraId="1C6A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3F44E8EC">
            <w:pPr>
              <w:pStyle w:val="46"/>
              <w:bidi w:val="0"/>
              <w:rPr>
                <w:rFonts w:hint="default" w:ascii="Times New Roman" w:hAnsi="Times New Roman" w:cs="Times New Roman"/>
                <w:color w:val="auto"/>
                <w:highlight w:val="none"/>
              </w:rPr>
            </w:pPr>
          </w:p>
        </w:tc>
        <w:tc>
          <w:tcPr>
            <w:tcW w:w="1462" w:type="dxa"/>
            <w:noWrap w:val="0"/>
            <w:vAlign w:val="center"/>
          </w:tcPr>
          <w:p w14:paraId="50ACBB9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预测方法</w:t>
            </w:r>
          </w:p>
        </w:tc>
        <w:tc>
          <w:tcPr>
            <w:tcW w:w="5571" w:type="dxa"/>
            <w:gridSpan w:val="7"/>
            <w:noWrap w:val="0"/>
            <w:vAlign w:val="center"/>
          </w:tcPr>
          <w:p w14:paraId="4258ADE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附录</w:t>
            </w:r>
            <w:r>
              <w:rPr>
                <w:rFonts w:hint="default" w:ascii="Times New Roman" w:hAnsi="Times New Roman" w:cs="Times New Roman"/>
                <w:color w:val="auto"/>
                <w:highlight w:val="none"/>
                <w:lang w:val="en-US" w:eastAsia="zh-CN"/>
              </w:rPr>
              <w:t>E</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；附录</w:t>
            </w:r>
            <w:r>
              <w:rPr>
                <w:rFonts w:hint="default" w:ascii="Times New Roman" w:hAnsi="Times New Roman" w:cs="Times New Roman"/>
                <w:color w:val="auto"/>
                <w:highlight w:val="none"/>
                <w:lang w:val="en-US" w:eastAsia="zh-CN"/>
              </w:rPr>
              <w:t>F</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；其他（</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898" w:type="dxa"/>
            <w:noWrap w:val="0"/>
            <w:vAlign w:val="center"/>
          </w:tcPr>
          <w:p w14:paraId="5434B369">
            <w:pPr>
              <w:pStyle w:val="46"/>
              <w:bidi w:val="0"/>
              <w:rPr>
                <w:rFonts w:hint="default" w:ascii="Times New Roman" w:hAnsi="Times New Roman" w:cs="Times New Roman"/>
                <w:color w:val="auto"/>
                <w:highlight w:val="none"/>
              </w:rPr>
            </w:pPr>
          </w:p>
        </w:tc>
      </w:tr>
      <w:tr w14:paraId="4D63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231BE4FC">
            <w:pPr>
              <w:pStyle w:val="46"/>
              <w:bidi w:val="0"/>
              <w:rPr>
                <w:rFonts w:hint="default" w:ascii="Times New Roman" w:hAnsi="Times New Roman" w:cs="Times New Roman"/>
                <w:color w:val="auto"/>
                <w:highlight w:val="none"/>
              </w:rPr>
            </w:pPr>
          </w:p>
        </w:tc>
        <w:tc>
          <w:tcPr>
            <w:tcW w:w="1462" w:type="dxa"/>
            <w:noWrap w:val="0"/>
            <w:vAlign w:val="center"/>
          </w:tcPr>
          <w:p w14:paraId="4886A5D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预测分析内容</w:t>
            </w:r>
          </w:p>
        </w:tc>
        <w:tc>
          <w:tcPr>
            <w:tcW w:w="5571" w:type="dxa"/>
            <w:gridSpan w:val="7"/>
            <w:noWrap w:val="0"/>
            <w:vAlign w:val="center"/>
          </w:tcPr>
          <w:p w14:paraId="37B2807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本工程为</w:t>
            </w:r>
            <w:r>
              <w:rPr>
                <w:rFonts w:hint="default" w:ascii="Times New Roman" w:hAnsi="Times New Roman" w:cs="Times New Roman"/>
                <w:color w:val="auto"/>
                <w:highlight w:val="none"/>
                <w:lang w:val="en-US" w:eastAsia="zh-CN"/>
              </w:rPr>
              <w:t>矿山修复项目</w:t>
            </w:r>
            <w:r>
              <w:rPr>
                <w:rFonts w:hint="default" w:ascii="Times New Roman" w:hAnsi="Times New Roman" w:cs="Times New Roman"/>
                <w:color w:val="auto"/>
                <w:highlight w:val="none"/>
                <w:lang w:eastAsia="zh-CN"/>
              </w:rPr>
              <w:t>，土壤环境影响主要是</w:t>
            </w:r>
            <w:r>
              <w:rPr>
                <w:rFonts w:hint="default" w:ascii="Times New Roman" w:hAnsi="Times New Roman" w:cs="Times New Roman"/>
                <w:color w:val="auto"/>
                <w:highlight w:val="none"/>
                <w:lang w:val="en-US" w:eastAsia="zh-CN"/>
              </w:rPr>
              <w:t>粉煤灰</w:t>
            </w:r>
            <w:r>
              <w:rPr>
                <w:rFonts w:hint="default" w:ascii="Times New Roman" w:hAnsi="Times New Roman" w:cs="Times New Roman"/>
                <w:color w:val="auto"/>
                <w:highlight w:val="none"/>
                <w:lang w:eastAsia="zh-CN"/>
              </w:rPr>
              <w:t>在回填过程中，一是由于雨水渗透淋溶作用对附近土壤产生有毒有害影响，二是煤矸石在回填过程产生的扬尘会对附近土壤产生影响。</w:t>
            </w:r>
          </w:p>
        </w:tc>
        <w:tc>
          <w:tcPr>
            <w:tcW w:w="898" w:type="dxa"/>
            <w:noWrap w:val="0"/>
            <w:vAlign w:val="center"/>
          </w:tcPr>
          <w:p w14:paraId="609BB6D5">
            <w:pPr>
              <w:pStyle w:val="46"/>
              <w:bidi w:val="0"/>
              <w:rPr>
                <w:rFonts w:hint="default" w:ascii="Times New Roman" w:hAnsi="Times New Roman" w:cs="Times New Roman"/>
                <w:color w:val="auto"/>
                <w:highlight w:val="none"/>
              </w:rPr>
            </w:pPr>
          </w:p>
        </w:tc>
      </w:tr>
      <w:tr w14:paraId="6D656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46383B04">
            <w:pPr>
              <w:pStyle w:val="46"/>
              <w:bidi w:val="0"/>
              <w:rPr>
                <w:rFonts w:hint="default" w:ascii="Times New Roman" w:hAnsi="Times New Roman" w:cs="Times New Roman"/>
                <w:color w:val="auto"/>
                <w:highlight w:val="none"/>
              </w:rPr>
            </w:pPr>
          </w:p>
        </w:tc>
        <w:tc>
          <w:tcPr>
            <w:tcW w:w="1462" w:type="dxa"/>
            <w:noWrap w:val="0"/>
            <w:vAlign w:val="center"/>
          </w:tcPr>
          <w:p w14:paraId="472C0CA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预测结论</w:t>
            </w:r>
          </w:p>
        </w:tc>
        <w:tc>
          <w:tcPr>
            <w:tcW w:w="5571" w:type="dxa"/>
            <w:gridSpan w:val="7"/>
            <w:noWrap w:val="0"/>
            <w:vAlign w:val="center"/>
          </w:tcPr>
          <w:p w14:paraId="2BAD672F">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认真落实各项土壤防治措施的基础上，项目建设不会对当地土壤环境产生明显不利影响。</w:t>
            </w:r>
          </w:p>
        </w:tc>
        <w:tc>
          <w:tcPr>
            <w:tcW w:w="898" w:type="dxa"/>
            <w:noWrap w:val="0"/>
            <w:vAlign w:val="center"/>
          </w:tcPr>
          <w:p w14:paraId="2549F2DA">
            <w:pPr>
              <w:pStyle w:val="46"/>
              <w:bidi w:val="0"/>
              <w:rPr>
                <w:rFonts w:hint="default" w:ascii="Times New Roman" w:hAnsi="Times New Roman" w:cs="Times New Roman"/>
                <w:color w:val="auto"/>
                <w:highlight w:val="none"/>
              </w:rPr>
            </w:pPr>
          </w:p>
        </w:tc>
      </w:tr>
      <w:tr w14:paraId="04D76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restart"/>
            <w:noWrap w:val="0"/>
            <w:vAlign w:val="center"/>
          </w:tcPr>
          <w:p w14:paraId="21220C6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防治措施</w:t>
            </w:r>
          </w:p>
        </w:tc>
        <w:tc>
          <w:tcPr>
            <w:tcW w:w="1462" w:type="dxa"/>
            <w:noWrap w:val="0"/>
            <w:vAlign w:val="center"/>
          </w:tcPr>
          <w:p w14:paraId="6596617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防控措施</w:t>
            </w:r>
          </w:p>
        </w:tc>
        <w:tc>
          <w:tcPr>
            <w:tcW w:w="5571" w:type="dxa"/>
            <w:gridSpan w:val="7"/>
            <w:noWrap w:val="0"/>
            <w:vAlign w:val="center"/>
          </w:tcPr>
          <w:p w14:paraId="0DB80BC6">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土壤环境质量现状保障</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；源头控制</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☑；过程防控</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；其他（</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w:t>
            </w:r>
          </w:p>
        </w:tc>
        <w:tc>
          <w:tcPr>
            <w:tcW w:w="898" w:type="dxa"/>
            <w:noWrap w:val="0"/>
            <w:vAlign w:val="center"/>
          </w:tcPr>
          <w:p w14:paraId="41A31336">
            <w:pPr>
              <w:pStyle w:val="46"/>
              <w:bidi w:val="0"/>
              <w:rPr>
                <w:rFonts w:hint="default" w:ascii="Times New Roman" w:hAnsi="Times New Roman" w:cs="Times New Roman"/>
                <w:color w:val="auto"/>
                <w:highlight w:val="none"/>
              </w:rPr>
            </w:pPr>
          </w:p>
        </w:tc>
      </w:tr>
      <w:tr w14:paraId="6742F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312" w:type="dxa"/>
            <w:vMerge w:val="continue"/>
            <w:noWrap w:val="0"/>
            <w:vAlign w:val="center"/>
          </w:tcPr>
          <w:p w14:paraId="0B0D52EF">
            <w:pPr>
              <w:pStyle w:val="46"/>
              <w:bidi w:val="0"/>
              <w:rPr>
                <w:rFonts w:hint="default" w:ascii="Times New Roman" w:hAnsi="Times New Roman" w:cs="Times New Roman"/>
                <w:color w:val="auto"/>
                <w:highlight w:val="none"/>
              </w:rPr>
            </w:pPr>
          </w:p>
        </w:tc>
        <w:tc>
          <w:tcPr>
            <w:tcW w:w="1462" w:type="dxa"/>
            <w:vMerge w:val="restart"/>
            <w:noWrap w:val="0"/>
            <w:vAlign w:val="center"/>
          </w:tcPr>
          <w:p w14:paraId="274FBDC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跟踪监测</w:t>
            </w:r>
          </w:p>
        </w:tc>
        <w:tc>
          <w:tcPr>
            <w:tcW w:w="2171" w:type="dxa"/>
            <w:gridSpan w:val="2"/>
            <w:noWrap w:val="0"/>
            <w:vAlign w:val="center"/>
          </w:tcPr>
          <w:p w14:paraId="7BAC9CA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监测点数</w:t>
            </w:r>
          </w:p>
        </w:tc>
        <w:tc>
          <w:tcPr>
            <w:tcW w:w="1560" w:type="dxa"/>
            <w:gridSpan w:val="2"/>
            <w:noWrap w:val="0"/>
            <w:vAlign w:val="center"/>
          </w:tcPr>
          <w:p w14:paraId="089DE421">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监测指标</w:t>
            </w:r>
          </w:p>
        </w:tc>
        <w:tc>
          <w:tcPr>
            <w:tcW w:w="1840" w:type="dxa"/>
            <w:gridSpan w:val="3"/>
            <w:noWrap w:val="0"/>
            <w:vAlign w:val="center"/>
          </w:tcPr>
          <w:p w14:paraId="7D42360B">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监测频次</w:t>
            </w:r>
          </w:p>
        </w:tc>
        <w:tc>
          <w:tcPr>
            <w:tcW w:w="898" w:type="dxa"/>
            <w:noWrap w:val="0"/>
            <w:vAlign w:val="center"/>
          </w:tcPr>
          <w:p w14:paraId="6BD237E2">
            <w:pPr>
              <w:pStyle w:val="46"/>
              <w:bidi w:val="0"/>
              <w:rPr>
                <w:rFonts w:hint="default" w:ascii="Times New Roman" w:hAnsi="Times New Roman" w:cs="Times New Roman"/>
                <w:color w:val="auto"/>
                <w:highlight w:val="none"/>
              </w:rPr>
            </w:pPr>
          </w:p>
        </w:tc>
      </w:tr>
      <w:tr w14:paraId="27185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36B72497">
            <w:pPr>
              <w:pStyle w:val="46"/>
              <w:bidi w:val="0"/>
              <w:rPr>
                <w:rFonts w:hint="default" w:ascii="Times New Roman" w:hAnsi="Times New Roman" w:cs="Times New Roman"/>
                <w:color w:val="auto"/>
                <w:highlight w:val="none"/>
              </w:rPr>
            </w:pPr>
          </w:p>
        </w:tc>
        <w:tc>
          <w:tcPr>
            <w:tcW w:w="1462" w:type="dxa"/>
            <w:vMerge w:val="continue"/>
            <w:noWrap w:val="0"/>
            <w:vAlign w:val="center"/>
          </w:tcPr>
          <w:p w14:paraId="43D0E67E">
            <w:pPr>
              <w:pStyle w:val="46"/>
              <w:bidi w:val="0"/>
              <w:rPr>
                <w:rFonts w:hint="default" w:ascii="Times New Roman" w:hAnsi="Times New Roman" w:cs="Times New Roman"/>
                <w:color w:val="auto"/>
                <w:highlight w:val="none"/>
                <w:lang w:eastAsia="zh-CN"/>
              </w:rPr>
            </w:pPr>
          </w:p>
        </w:tc>
        <w:tc>
          <w:tcPr>
            <w:tcW w:w="2171" w:type="dxa"/>
            <w:gridSpan w:val="2"/>
            <w:noWrap w:val="0"/>
            <w:vAlign w:val="center"/>
          </w:tcPr>
          <w:p w14:paraId="034EE3EA">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560" w:type="dxa"/>
            <w:gridSpan w:val="2"/>
            <w:noWrap w:val="0"/>
            <w:vAlign w:val="center"/>
          </w:tcPr>
          <w:p w14:paraId="5D2641D0">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pH、镉、汞、砷、铜、铅、铬、镍、锌</w:t>
            </w:r>
          </w:p>
        </w:tc>
        <w:tc>
          <w:tcPr>
            <w:tcW w:w="1840" w:type="dxa"/>
            <w:gridSpan w:val="3"/>
            <w:noWrap w:val="0"/>
            <w:vAlign w:val="center"/>
          </w:tcPr>
          <w:p w14:paraId="20D70E23">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每5年1次</w:t>
            </w:r>
          </w:p>
        </w:tc>
        <w:tc>
          <w:tcPr>
            <w:tcW w:w="898" w:type="dxa"/>
            <w:noWrap w:val="0"/>
            <w:vAlign w:val="center"/>
          </w:tcPr>
          <w:p w14:paraId="7A09CE44">
            <w:pPr>
              <w:pStyle w:val="46"/>
              <w:bidi w:val="0"/>
              <w:rPr>
                <w:rFonts w:hint="default" w:ascii="Times New Roman" w:hAnsi="Times New Roman" w:cs="Times New Roman"/>
                <w:color w:val="auto"/>
                <w:highlight w:val="none"/>
              </w:rPr>
            </w:pPr>
          </w:p>
        </w:tc>
      </w:tr>
      <w:tr w14:paraId="7AA82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312" w:type="dxa"/>
            <w:vMerge w:val="continue"/>
            <w:noWrap w:val="0"/>
            <w:vAlign w:val="center"/>
          </w:tcPr>
          <w:p w14:paraId="5FE7EA36">
            <w:pPr>
              <w:pStyle w:val="46"/>
              <w:bidi w:val="0"/>
              <w:rPr>
                <w:rFonts w:hint="default" w:ascii="Times New Roman" w:hAnsi="Times New Roman" w:cs="Times New Roman"/>
                <w:color w:val="auto"/>
                <w:highlight w:val="none"/>
              </w:rPr>
            </w:pPr>
          </w:p>
        </w:tc>
        <w:tc>
          <w:tcPr>
            <w:tcW w:w="1462" w:type="dxa"/>
            <w:noWrap w:val="0"/>
            <w:vAlign w:val="center"/>
          </w:tcPr>
          <w:p w14:paraId="35A8D38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信息公开指标</w:t>
            </w:r>
          </w:p>
        </w:tc>
        <w:tc>
          <w:tcPr>
            <w:tcW w:w="5571" w:type="dxa"/>
            <w:gridSpan w:val="7"/>
            <w:noWrap w:val="0"/>
            <w:vAlign w:val="center"/>
          </w:tcPr>
          <w:p w14:paraId="06A93AE3">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土壤环境跟踪监测达标情况</w:t>
            </w:r>
          </w:p>
        </w:tc>
        <w:tc>
          <w:tcPr>
            <w:tcW w:w="898" w:type="dxa"/>
            <w:noWrap w:val="0"/>
            <w:vAlign w:val="center"/>
          </w:tcPr>
          <w:p w14:paraId="4D720AB6">
            <w:pPr>
              <w:pStyle w:val="46"/>
              <w:bidi w:val="0"/>
              <w:rPr>
                <w:rFonts w:hint="default" w:ascii="Times New Roman" w:hAnsi="Times New Roman" w:cs="Times New Roman"/>
                <w:color w:val="auto"/>
                <w:highlight w:val="none"/>
              </w:rPr>
            </w:pPr>
          </w:p>
        </w:tc>
      </w:tr>
      <w:tr w14:paraId="08E32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774" w:type="dxa"/>
            <w:gridSpan w:val="2"/>
            <w:noWrap w:val="0"/>
            <w:vAlign w:val="center"/>
          </w:tcPr>
          <w:p w14:paraId="15D1B7A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评价结论</w:t>
            </w:r>
          </w:p>
        </w:tc>
        <w:tc>
          <w:tcPr>
            <w:tcW w:w="5571" w:type="dxa"/>
            <w:gridSpan w:val="7"/>
            <w:noWrap w:val="0"/>
            <w:vAlign w:val="center"/>
          </w:tcPr>
          <w:p w14:paraId="50020AFA">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可接受</w:t>
            </w:r>
          </w:p>
        </w:tc>
        <w:tc>
          <w:tcPr>
            <w:tcW w:w="898" w:type="dxa"/>
            <w:noWrap w:val="0"/>
            <w:vAlign w:val="center"/>
          </w:tcPr>
          <w:p w14:paraId="78ED5587">
            <w:pPr>
              <w:pStyle w:val="46"/>
              <w:bidi w:val="0"/>
              <w:rPr>
                <w:rFonts w:hint="default" w:ascii="Times New Roman" w:hAnsi="Times New Roman" w:cs="Times New Roman"/>
                <w:color w:val="auto"/>
                <w:highlight w:val="none"/>
              </w:rPr>
            </w:pPr>
          </w:p>
        </w:tc>
      </w:tr>
      <w:tr w14:paraId="19D7A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8344" w:type="dxa"/>
            <w:gridSpan w:val="8"/>
            <w:noWrap w:val="0"/>
            <w:vAlign w:val="center"/>
          </w:tcPr>
          <w:p w14:paraId="584CA465">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注</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“□”为勾选项，</w:t>
            </w:r>
            <w:r>
              <w:rPr>
                <w:rFonts w:hint="default" w:ascii="Times New Roman" w:hAnsi="Times New Roman" w:cs="Times New Roman"/>
                <w:color w:val="auto"/>
                <w:highlight w:val="none"/>
                <w:lang w:eastAsia="zh-CN"/>
              </w:rPr>
              <w:t>可</w:t>
            </w:r>
            <w:r>
              <w:rPr>
                <w:rFonts w:hint="default" w:ascii="Times New Roman" w:hAnsi="Times New Roman" w:cs="Times New Roman"/>
                <w:color w:val="auto"/>
                <w:highlight w:val="none"/>
              </w:rPr>
              <w:t>√；“（  ）”为内容填写项</w:t>
            </w:r>
            <w:r>
              <w:rPr>
                <w:rFonts w:hint="default" w:ascii="Times New Roman" w:hAnsi="Times New Roman" w:cs="Times New Roman"/>
                <w:color w:val="auto"/>
                <w:highlight w:val="none"/>
                <w:lang w:eastAsia="zh-CN"/>
              </w:rPr>
              <w:t>；“备注”为其他补充内容。</w:t>
            </w:r>
          </w:p>
          <w:p w14:paraId="1C3E32E7">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注</w:t>
            </w:r>
            <w:r>
              <w:rPr>
                <w:rFonts w:hint="default" w:ascii="Times New Roman" w:hAnsi="Times New Roman" w:cs="Times New Roman"/>
                <w:color w:val="auto"/>
                <w:highlight w:val="none"/>
                <w:lang w:val="en-US" w:eastAsia="zh-CN"/>
              </w:rPr>
              <w:t>2：需要分别开展土壤环境影响评级工作的，分别填写自查表。</w:t>
            </w:r>
          </w:p>
        </w:tc>
        <w:tc>
          <w:tcPr>
            <w:tcW w:w="899" w:type="dxa"/>
            <w:gridSpan w:val="2"/>
            <w:noWrap w:val="0"/>
            <w:vAlign w:val="center"/>
          </w:tcPr>
          <w:p w14:paraId="50121258">
            <w:pPr>
              <w:pStyle w:val="46"/>
              <w:bidi w:val="0"/>
              <w:rPr>
                <w:rFonts w:hint="default" w:ascii="Times New Roman" w:hAnsi="Times New Roman" w:cs="Times New Roman"/>
                <w:color w:val="auto"/>
                <w:highlight w:val="none"/>
              </w:rPr>
            </w:pPr>
          </w:p>
        </w:tc>
      </w:tr>
    </w:tbl>
    <w:p w14:paraId="08E89FAF">
      <w:pPr>
        <w:rPr>
          <w:rFonts w:hint="default" w:ascii="Times New Roman" w:hAnsi="Times New Roman" w:cs="Times New Roman"/>
          <w:color w:val="auto"/>
          <w:highlight w:val="none"/>
        </w:rPr>
      </w:pPr>
    </w:p>
    <w:p w14:paraId="3B0DBEC8">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6BB72F6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rPr>
      </w:pPr>
      <w:bookmarkStart w:id="434" w:name="_Toc15728"/>
      <w:r>
        <w:rPr>
          <w:rFonts w:hint="default" w:ascii="Times New Roman" w:hAnsi="Times New Roman" w:eastAsia="黑体" w:cs="Times New Roman"/>
          <w:bCs/>
          <w:color w:val="auto"/>
          <w:kern w:val="2"/>
          <w:sz w:val="24"/>
          <w:szCs w:val="32"/>
          <w:highlight w:val="none"/>
          <w:lang w:val="en-US" w:eastAsia="zh-CN"/>
        </w:rPr>
        <w:t>附表</w:t>
      </w:r>
      <w:r>
        <w:rPr>
          <w:rFonts w:hint="eastAsia" w:eastAsia="黑体" w:cs="Times New Roman"/>
          <w:bCs/>
          <w:color w:val="auto"/>
          <w:kern w:val="2"/>
          <w:sz w:val="24"/>
          <w:szCs w:val="32"/>
          <w:highlight w:val="none"/>
          <w:lang w:val="en-US" w:eastAsia="zh-CN"/>
        </w:rPr>
        <w:t xml:space="preserve">6 </w:t>
      </w:r>
      <w:r>
        <w:rPr>
          <w:rFonts w:hint="default" w:ascii="Times New Roman" w:hAnsi="Times New Roman" w:eastAsia="黑体" w:cs="Times New Roman"/>
          <w:bCs/>
          <w:color w:val="auto"/>
          <w:kern w:val="2"/>
          <w:sz w:val="24"/>
          <w:szCs w:val="32"/>
          <w:highlight w:val="none"/>
          <w:lang w:val="en-US" w:eastAsia="zh-CN"/>
        </w:rPr>
        <w:t xml:space="preserve"> </w:t>
      </w:r>
      <w:r>
        <w:rPr>
          <w:rFonts w:hint="default" w:ascii="Times New Roman" w:hAnsi="Times New Roman" w:eastAsia="黑体" w:cs="Times New Roman"/>
          <w:bCs/>
          <w:color w:val="auto"/>
          <w:kern w:val="2"/>
          <w:sz w:val="24"/>
          <w:szCs w:val="32"/>
          <w:highlight w:val="none"/>
        </w:rPr>
        <w:t>建设项目环境风险简单分析内容表</w:t>
      </w:r>
      <w:bookmarkEnd w:id="434"/>
    </w:p>
    <w:tbl>
      <w:tblPr>
        <w:tblStyle w:val="24"/>
        <w:tblW w:w="5426" w:type="pct"/>
        <w:tblInd w:w="-369"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785"/>
        <w:gridCol w:w="1664"/>
        <w:gridCol w:w="1551"/>
        <w:gridCol w:w="1590"/>
        <w:gridCol w:w="947"/>
        <w:gridCol w:w="1705"/>
      </w:tblGrid>
      <w:tr w14:paraId="4DD08DC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pct"/>
            <w:noWrap w:val="0"/>
            <w:vAlign w:val="center"/>
          </w:tcPr>
          <w:p w14:paraId="752807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建设项目名称</w:t>
            </w:r>
          </w:p>
        </w:tc>
        <w:tc>
          <w:tcPr>
            <w:tcW w:w="4025" w:type="pct"/>
            <w:gridSpan w:val="5"/>
            <w:noWrap w:val="0"/>
            <w:vAlign w:val="center"/>
          </w:tcPr>
          <w:p w14:paraId="45E249C8">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鸡西市滴道南甸子碎石场</w:t>
            </w:r>
            <w:r>
              <w:rPr>
                <w:rFonts w:hint="default" w:ascii="Times New Roman" w:hAnsi="Times New Roman" w:cs="Times New Roman"/>
                <w:color w:val="auto"/>
                <w:highlight w:val="none"/>
                <w:lang w:val="en-US" w:eastAsia="zh-CN"/>
              </w:rPr>
              <w:t>矿山复垦项目</w:t>
            </w:r>
          </w:p>
        </w:tc>
      </w:tr>
      <w:tr w14:paraId="769288B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pct"/>
            <w:noWrap w:val="0"/>
            <w:vAlign w:val="center"/>
          </w:tcPr>
          <w:p w14:paraId="6A865F81">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建设地点</w:t>
            </w:r>
          </w:p>
        </w:tc>
        <w:tc>
          <w:tcPr>
            <w:tcW w:w="908" w:type="pct"/>
            <w:noWrap w:val="0"/>
            <w:vAlign w:val="center"/>
          </w:tcPr>
          <w:p w14:paraId="78B829D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w:t>
            </w:r>
          </w:p>
        </w:tc>
        <w:tc>
          <w:tcPr>
            <w:tcW w:w="800" w:type="pct"/>
            <w:noWrap w:val="0"/>
            <w:vAlign w:val="center"/>
          </w:tcPr>
          <w:p w14:paraId="19FD32C5">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w:t>
            </w:r>
          </w:p>
        </w:tc>
        <w:tc>
          <w:tcPr>
            <w:tcW w:w="868" w:type="pct"/>
            <w:noWrap w:val="0"/>
            <w:vAlign w:val="center"/>
          </w:tcPr>
          <w:p w14:paraId="4A8EAC3E">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滴道区</w:t>
            </w:r>
            <w:r>
              <w:rPr>
                <w:rFonts w:hint="default" w:ascii="Times New Roman" w:hAnsi="Times New Roman" w:cs="Times New Roman"/>
                <w:color w:val="auto"/>
                <w:highlight w:val="none"/>
              </w:rPr>
              <w:t>）区</w:t>
            </w:r>
          </w:p>
        </w:tc>
        <w:tc>
          <w:tcPr>
            <w:tcW w:w="520" w:type="pct"/>
            <w:noWrap w:val="0"/>
            <w:vAlign w:val="center"/>
          </w:tcPr>
          <w:p w14:paraId="12F44EB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县</w:t>
            </w:r>
          </w:p>
        </w:tc>
        <w:tc>
          <w:tcPr>
            <w:tcW w:w="927" w:type="pct"/>
            <w:noWrap w:val="0"/>
            <w:vAlign w:val="center"/>
          </w:tcPr>
          <w:p w14:paraId="737F204C">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）园区</w:t>
            </w:r>
          </w:p>
        </w:tc>
      </w:tr>
      <w:tr w14:paraId="38DBDE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4" w:type="pct"/>
            <w:noWrap w:val="0"/>
            <w:vAlign w:val="center"/>
          </w:tcPr>
          <w:p w14:paraId="5DE4401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地理坐标</w:t>
            </w:r>
          </w:p>
        </w:tc>
        <w:tc>
          <w:tcPr>
            <w:tcW w:w="908" w:type="pct"/>
            <w:noWrap w:val="0"/>
            <w:vAlign w:val="center"/>
          </w:tcPr>
          <w:p w14:paraId="4CF3E590">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800" w:type="pct"/>
            <w:shd w:val="clear" w:color="auto" w:fill="auto"/>
            <w:noWrap w:val="0"/>
            <w:vAlign w:val="center"/>
          </w:tcPr>
          <w:p w14:paraId="76C79FEC">
            <w:pPr>
              <w:keepNext w:val="0"/>
              <w:keepLines w:val="0"/>
              <w:widowControl/>
              <w:suppressLineNumbers w:val="0"/>
              <w:ind w:firstLine="360" w:firstLineChars="200"/>
              <w:jc w:val="center"/>
              <w:textAlignment w:val="center"/>
              <w:rPr>
                <w:rFonts w:hint="default" w:ascii="Times New Roman" w:hAnsi="Times New Roman" w:eastAsia="宋体" w:cs="Times New Roman"/>
                <w:b/>
                <w:bCs/>
                <w:i w:val="0"/>
                <w:iCs w:val="0"/>
                <w:color w:val="auto"/>
                <w:kern w:val="2"/>
                <w:sz w:val="18"/>
                <w:szCs w:val="18"/>
                <w:highlight w:val="none"/>
                <w:u w:val="none"/>
                <w:lang w:val="en-US" w:eastAsia="zh-CN" w:bidi="ar-SA"/>
              </w:rPr>
            </w:pPr>
            <w:r>
              <w:rPr>
                <w:rFonts w:hint="default" w:ascii="Times New Roman" w:hAnsi="Times New Roman" w:eastAsia="宋体" w:cs="Times New Roman"/>
                <w:b/>
                <w:bCs/>
                <w:i w:val="0"/>
                <w:iCs w:val="0"/>
                <w:color w:val="auto"/>
                <w:kern w:val="0"/>
                <w:sz w:val="18"/>
                <w:szCs w:val="18"/>
                <w:highlight w:val="none"/>
                <w:u w:val="none"/>
                <w:lang w:val="en-US" w:eastAsia="zh-CN" w:bidi="ar"/>
              </w:rPr>
              <w:t xml:space="preserve">130.749933 </w:t>
            </w:r>
          </w:p>
        </w:tc>
        <w:tc>
          <w:tcPr>
            <w:tcW w:w="868" w:type="pct"/>
            <w:noWrap w:val="0"/>
            <w:vAlign w:val="center"/>
          </w:tcPr>
          <w:p w14:paraId="3D4A0FF4">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1448" w:type="pct"/>
            <w:gridSpan w:val="2"/>
            <w:noWrap w:val="0"/>
            <w:vAlign w:val="center"/>
          </w:tcPr>
          <w:p w14:paraId="4F7360EA">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45.3430099</w:t>
            </w:r>
          </w:p>
        </w:tc>
      </w:tr>
      <w:tr w14:paraId="221E82A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826" w:hRule="atLeast"/>
        </w:trPr>
        <w:tc>
          <w:tcPr>
            <w:tcW w:w="974" w:type="pct"/>
            <w:noWrap w:val="0"/>
            <w:vAlign w:val="center"/>
          </w:tcPr>
          <w:p w14:paraId="0A1A1396">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主要危险物质及分布</w:t>
            </w:r>
          </w:p>
        </w:tc>
        <w:tc>
          <w:tcPr>
            <w:tcW w:w="4025" w:type="pct"/>
            <w:gridSpan w:val="5"/>
            <w:noWrap w:val="0"/>
            <w:vAlign w:val="center"/>
          </w:tcPr>
          <w:p w14:paraId="7DE1D7BC">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本工程不存在风险物质</w:t>
            </w:r>
            <w:r>
              <w:rPr>
                <w:rFonts w:hint="default" w:ascii="Times New Roman" w:hAnsi="Times New Roman" w:cs="Times New Roman"/>
                <w:color w:val="auto"/>
                <w:highlight w:val="none"/>
              </w:rPr>
              <w:t>。</w:t>
            </w:r>
          </w:p>
        </w:tc>
      </w:tr>
      <w:tr w14:paraId="6424CD9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74" w:type="pct"/>
            <w:noWrap w:val="0"/>
            <w:vAlign w:val="center"/>
          </w:tcPr>
          <w:p w14:paraId="02C6C2F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环境影响途径及危害后果（大气、地表水、地下水等）</w:t>
            </w:r>
          </w:p>
        </w:tc>
        <w:tc>
          <w:tcPr>
            <w:tcW w:w="4025" w:type="pct"/>
            <w:gridSpan w:val="5"/>
            <w:noWrap w:val="0"/>
            <w:vAlign w:val="center"/>
          </w:tcPr>
          <w:p w14:paraId="63287266">
            <w:pPr>
              <w:pStyle w:val="4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在连续大雨或暴雨的情况下，由于防洪导排水系统故障，使雨水不能及时排出，或由于场区外四周地表降水汇集，大量雨水进入场区而导致淋溶水量显著增大，可能引发环境污染事故。</w:t>
            </w:r>
          </w:p>
          <w:p w14:paraId="163CED39">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由于选址不当或防渗施工及防渗材料不符合技术要求，出现防渗层断裂，淋溶水将可能对土壤及地下水造成污染。</w:t>
            </w:r>
          </w:p>
        </w:tc>
      </w:tr>
      <w:tr w14:paraId="5639337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974" w:type="pct"/>
            <w:noWrap w:val="0"/>
            <w:vAlign w:val="center"/>
          </w:tcPr>
          <w:p w14:paraId="39910BAF">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风险防范措施要求</w:t>
            </w:r>
          </w:p>
        </w:tc>
        <w:tc>
          <w:tcPr>
            <w:tcW w:w="4025" w:type="pct"/>
            <w:gridSpan w:val="5"/>
            <w:noWrap w:val="0"/>
            <w:vAlign w:val="center"/>
          </w:tcPr>
          <w:p w14:paraId="1C84AB89">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）项目场底清理后场底基础铺设30cm厚的改性压实粘土压实作为基础层，并定期由勘测单位对其检测，其防渗性能满足渗透系数为1.0×10</w:t>
            </w:r>
            <w:r>
              <w:rPr>
                <w:rFonts w:hint="default" w:ascii="Times New Roman" w:hAnsi="Times New Roman" w:cs="Times New Roman"/>
                <w:color w:val="auto"/>
                <w:highlight w:val="none"/>
                <w:vertAlign w:val="superscript"/>
                <w:lang w:eastAsia="zh-CN"/>
              </w:rPr>
              <w:t>-5</w:t>
            </w:r>
            <w:r>
              <w:rPr>
                <w:rFonts w:hint="default" w:ascii="Times New Roman" w:hAnsi="Times New Roman" w:cs="Times New Roman"/>
                <w:color w:val="auto"/>
                <w:highlight w:val="none"/>
                <w:lang w:eastAsia="zh-CN"/>
              </w:rPr>
              <w:t>cm/s且厚度为0.75m的天然基础层后方可回填。边坡防渗结构自下而上分别为基础层、无纺长丝土工布（600g/m</w:t>
            </w:r>
            <w:r>
              <w:rPr>
                <w:rFonts w:hint="default" w:ascii="Times New Roman" w:hAnsi="Times New Roman" w:cs="Times New Roman"/>
                <w:color w:val="auto"/>
                <w:highlight w:val="none"/>
                <w:vertAlign w:val="superscript"/>
                <w:lang w:eastAsia="zh-CN"/>
              </w:rPr>
              <w:t>2</w:t>
            </w:r>
            <w:r>
              <w:rPr>
                <w:rFonts w:hint="default" w:ascii="Times New Roman" w:hAnsi="Times New Roman" w:cs="Times New Roman"/>
                <w:color w:val="auto"/>
                <w:highlight w:val="none"/>
                <w:lang w:eastAsia="zh-CN"/>
              </w:rPr>
              <w:t>）、1.5mm厚HDPE防渗膜。</w:t>
            </w:r>
          </w:p>
          <w:p w14:paraId="08B87E84">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具体为：采用粘土填筑压实，防渗材料采用600g/m</w:t>
            </w:r>
            <w:r>
              <w:rPr>
                <w:rFonts w:hint="default" w:ascii="Times New Roman" w:hAnsi="Times New Roman" w:cs="Times New Roman"/>
                <w:color w:val="auto"/>
                <w:highlight w:val="none"/>
                <w:vertAlign w:val="superscript"/>
                <w:lang w:eastAsia="zh-CN"/>
              </w:rPr>
              <w:t>2</w:t>
            </w:r>
            <w:r>
              <w:rPr>
                <w:rFonts w:hint="default" w:ascii="Times New Roman" w:hAnsi="Times New Roman" w:cs="Times New Roman"/>
                <w:color w:val="auto"/>
                <w:highlight w:val="none"/>
                <w:lang w:eastAsia="zh-CN"/>
              </w:rPr>
              <w:t>长纤无纺土工布+1.5mm厚HDPE防渗膜作为人工合成衬层。</w:t>
            </w:r>
          </w:p>
          <w:p w14:paraId="76B1608F">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）项目在回填区周边设置了</w:t>
            </w:r>
            <w:r>
              <w:rPr>
                <w:rFonts w:hint="default" w:ascii="Times New Roman" w:hAnsi="Times New Roman" w:cs="Times New Roman"/>
                <w:color w:val="auto"/>
                <w:highlight w:val="none"/>
                <w:lang w:val="en-US" w:eastAsia="zh-CN"/>
              </w:rPr>
              <w:t>3口</w:t>
            </w:r>
            <w:r>
              <w:rPr>
                <w:rFonts w:hint="default" w:ascii="Times New Roman" w:hAnsi="Times New Roman" w:cs="Times New Roman"/>
                <w:color w:val="auto"/>
                <w:highlight w:val="none"/>
                <w:lang w:eastAsia="zh-CN"/>
              </w:rPr>
              <w:t>地下水监测井，应加强监控措施、增加监测频次，一旦数据异常，有污染迹象时，应及时查找原因，发现渗漏位置并采取补救措施，防止污染进一步扩散。</w:t>
            </w:r>
          </w:p>
          <w:p w14:paraId="714B43D2">
            <w:pPr>
              <w:pStyle w:val="46"/>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采取上述措施后风险可接受水平。</w:t>
            </w:r>
          </w:p>
        </w:tc>
      </w:tr>
      <w:tr w14:paraId="2EAA11D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5000" w:type="pct"/>
            <w:gridSpan w:val="6"/>
            <w:noWrap w:val="0"/>
            <w:vAlign w:val="center"/>
          </w:tcPr>
          <w:p w14:paraId="5B1FE81D">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填表说明（列出项目相关信息及评价说明）：</w:t>
            </w:r>
          </w:p>
          <w:p w14:paraId="0FCB9DC3">
            <w:pPr>
              <w:pStyle w:val="4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本工程为</w:t>
            </w:r>
            <w:r>
              <w:rPr>
                <w:rFonts w:hint="default" w:ascii="Times New Roman" w:hAnsi="Times New Roman" w:cs="Times New Roman"/>
                <w:color w:val="auto"/>
                <w:highlight w:val="none"/>
                <w:lang w:val="en-US" w:eastAsia="zh-CN"/>
              </w:rPr>
              <w:t>矿山修复项目</w:t>
            </w:r>
            <w:r>
              <w:rPr>
                <w:rFonts w:hint="default" w:ascii="Times New Roman" w:hAnsi="Times New Roman" w:cs="Times New Roman"/>
                <w:color w:val="auto"/>
                <w:highlight w:val="none"/>
                <w:lang w:eastAsia="zh-CN"/>
              </w:rPr>
              <w:t>，不存在</w:t>
            </w:r>
            <w:r>
              <w:rPr>
                <w:rFonts w:hint="default" w:ascii="Times New Roman" w:hAnsi="Times New Roman" w:cs="Times New Roman"/>
                <w:color w:val="auto"/>
                <w:highlight w:val="none"/>
              </w:rPr>
              <w:t>《建设项目环境风险评价技术导则》（HJ 169-2018）附录B中规定的</w:t>
            </w:r>
            <w:r>
              <w:rPr>
                <w:rFonts w:hint="default" w:ascii="Times New Roman" w:hAnsi="Times New Roman" w:cs="Times New Roman"/>
                <w:color w:val="auto"/>
                <w:highlight w:val="none"/>
                <w:lang w:eastAsia="zh-CN"/>
              </w:rPr>
              <w:t>风险物质</w:t>
            </w:r>
            <w:r>
              <w:rPr>
                <w:rFonts w:hint="default" w:ascii="Times New Roman" w:hAnsi="Times New Roman" w:cs="Times New Roman"/>
                <w:color w:val="auto"/>
                <w:highlight w:val="none"/>
              </w:rPr>
              <w:t>，本次风险评价进行简单分析。</w:t>
            </w:r>
          </w:p>
        </w:tc>
      </w:tr>
    </w:tbl>
    <w:p w14:paraId="7DE0E6D1">
      <w:pPr>
        <w:rPr>
          <w:rFonts w:hint="default" w:ascii="Times New Roman" w:hAnsi="Times New Roman" w:cs="Times New Roman"/>
          <w:color w:val="auto"/>
          <w:highlight w:val="none"/>
        </w:rPr>
      </w:pPr>
    </w:p>
    <w:p w14:paraId="3F85F70C">
      <w:pPr>
        <w:pStyle w:val="27"/>
        <w:bidi w:val="0"/>
        <w:rPr>
          <w:rFonts w:hint="default" w:ascii="Times New Roman" w:hAnsi="Times New Roman" w:cs="Times New Roman"/>
          <w:color w:val="auto"/>
          <w:highlight w:val="none"/>
        </w:rPr>
      </w:pPr>
    </w:p>
    <w:p w14:paraId="55AB4C7D">
      <w:pPr>
        <w:pStyle w:val="27"/>
        <w:bidi w:val="0"/>
        <w:rPr>
          <w:rFonts w:hint="default" w:ascii="Times New Roman" w:hAnsi="Times New Roman" w:cs="Times New Roman"/>
          <w:color w:val="auto"/>
          <w:highlight w:val="none"/>
        </w:rPr>
        <w:sectPr>
          <w:pgSz w:w="11906" w:h="16838"/>
          <w:pgMar w:top="1440" w:right="1803" w:bottom="1440" w:left="1803" w:header="794" w:footer="907" w:gutter="0"/>
          <w:pgBorders>
            <w:top w:val="none" w:sz="0" w:space="0"/>
            <w:left w:val="none" w:sz="0" w:space="0"/>
            <w:bottom w:val="none" w:sz="0" w:space="0"/>
            <w:right w:val="none" w:sz="0" w:space="0"/>
          </w:pgBorders>
          <w:cols w:space="0" w:num="1"/>
          <w:docGrid w:type="linesAndChars" w:linePitch="332" w:charSpace="0"/>
        </w:sectPr>
      </w:pPr>
    </w:p>
    <w:p w14:paraId="4BD735E4">
      <w:pPr>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color w:val="auto"/>
          <w:highlight w:val="none"/>
        </w:rPr>
        <w:drawing>
          <wp:inline distT="0" distB="0" distL="114300" distR="114300">
            <wp:extent cx="8650605" cy="5694680"/>
            <wp:effectExtent l="0" t="0" r="17145" b="127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46"/>
                    <a:stretch>
                      <a:fillRect/>
                    </a:stretch>
                  </pic:blipFill>
                  <pic:spPr>
                    <a:xfrm>
                      <a:off x="0" y="0"/>
                      <a:ext cx="8650605" cy="5694680"/>
                    </a:xfrm>
                    <a:prstGeom prst="rect">
                      <a:avLst/>
                    </a:prstGeom>
                    <a:noFill/>
                    <a:ln>
                      <a:noFill/>
                    </a:ln>
                  </pic:spPr>
                </pic:pic>
              </a:graphicData>
            </a:graphic>
          </wp:inline>
        </w:drawing>
      </w:r>
    </w:p>
    <w:p w14:paraId="7D10CC2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35" w:name="_Toc3047"/>
      <w:r>
        <w:rPr>
          <w:rFonts w:hint="default" w:ascii="Times New Roman" w:hAnsi="Times New Roman" w:eastAsia="黑体" w:cs="Times New Roman"/>
          <w:bCs/>
          <w:color w:val="auto"/>
          <w:kern w:val="2"/>
          <w:sz w:val="24"/>
          <w:szCs w:val="32"/>
          <w:highlight w:val="none"/>
          <w:lang w:val="en-US" w:eastAsia="zh-CN"/>
        </w:rPr>
        <w:t>附图1  土地利用现状图</w:t>
      </w:r>
      <w:bookmarkEnd w:id="435"/>
    </w:p>
    <w:p w14:paraId="5A0DD890">
      <w:pPr>
        <w:jc w:val="center"/>
        <w:rPr>
          <w:rFonts w:hint="default" w:ascii="Times New Roman" w:hAnsi="Times New Roman" w:cs="Times New Roman" w:eastAsiaTheme="minorEastAsia"/>
          <w:color w:val="auto"/>
          <w:highlight w:val="none"/>
          <w:lang w:eastAsia="zh-CN"/>
        </w:rPr>
      </w:pPr>
      <w:r>
        <w:rPr>
          <w:color w:val="auto"/>
          <w:highlight w:val="none"/>
        </w:rPr>
        <w:drawing>
          <wp:inline distT="0" distB="0" distL="114300" distR="114300">
            <wp:extent cx="8878570" cy="5597525"/>
            <wp:effectExtent l="0" t="0" r="17780" b="3175"/>
            <wp:docPr id="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pic:cNvPicPr>
                      <a:picLocks noChangeAspect="1"/>
                    </pic:cNvPicPr>
                  </pic:nvPicPr>
                  <pic:blipFill>
                    <a:blip r:embed="rId74"/>
                    <a:stretch>
                      <a:fillRect/>
                    </a:stretch>
                  </pic:blipFill>
                  <pic:spPr>
                    <a:xfrm>
                      <a:off x="0" y="0"/>
                      <a:ext cx="8878570" cy="5597525"/>
                    </a:xfrm>
                    <a:prstGeom prst="rect">
                      <a:avLst/>
                    </a:prstGeom>
                    <a:noFill/>
                    <a:ln>
                      <a:noFill/>
                    </a:ln>
                  </pic:spPr>
                </pic:pic>
              </a:graphicData>
            </a:graphic>
          </wp:inline>
        </w:drawing>
      </w:r>
    </w:p>
    <w:p w14:paraId="5CDA3A7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36" w:name="_Toc22392"/>
      <w:r>
        <w:rPr>
          <w:rFonts w:hint="default" w:ascii="Times New Roman" w:hAnsi="Times New Roman" w:eastAsia="黑体" w:cs="Times New Roman"/>
          <w:bCs/>
          <w:color w:val="auto"/>
          <w:kern w:val="2"/>
          <w:sz w:val="24"/>
          <w:szCs w:val="32"/>
          <w:highlight w:val="none"/>
          <w:lang w:val="en-US" w:eastAsia="zh-CN"/>
        </w:rPr>
        <w:t>附图2  生态措施平面布置图</w:t>
      </w:r>
      <w:bookmarkEnd w:id="436"/>
    </w:p>
    <w:p w14:paraId="3346E3A1">
      <w:pPr>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color w:val="auto"/>
          <w:highlight w:val="none"/>
        </w:rPr>
        <w:drawing>
          <wp:inline distT="0" distB="0" distL="114300" distR="114300">
            <wp:extent cx="9257665" cy="5334000"/>
            <wp:effectExtent l="0" t="0" r="635"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75"/>
                    <a:stretch>
                      <a:fillRect/>
                    </a:stretch>
                  </pic:blipFill>
                  <pic:spPr>
                    <a:xfrm>
                      <a:off x="0" y="0"/>
                      <a:ext cx="9257665" cy="5334000"/>
                    </a:xfrm>
                    <a:prstGeom prst="rect">
                      <a:avLst/>
                    </a:prstGeom>
                    <a:noFill/>
                    <a:ln>
                      <a:noFill/>
                    </a:ln>
                  </pic:spPr>
                </pic:pic>
              </a:graphicData>
            </a:graphic>
          </wp:inline>
        </w:drawing>
      </w:r>
    </w:p>
    <w:p w14:paraId="138C896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37" w:name="_Toc22232"/>
      <w:r>
        <w:rPr>
          <w:rFonts w:hint="default" w:ascii="Times New Roman" w:hAnsi="Times New Roman" w:eastAsia="黑体" w:cs="Times New Roman"/>
          <w:bCs/>
          <w:color w:val="auto"/>
          <w:kern w:val="2"/>
          <w:sz w:val="24"/>
          <w:szCs w:val="32"/>
          <w:highlight w:val="none"/>
          <w:lang w:val="en-US" w:eastAsia="zh-CN"/>
        </w:rPr>
        <w:t>附图3  跟踪监测布点图</w:t>
      </w:r>
      <w:bookmarkEnd w:id="437"/>
    </w:p>
    <w:p w14:paraId="220188E9">
      <w:pPr>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9371965" cy="5786120"/>
            <wp:effectExtent l="0" t="0" r="635" b="5080"/>
            <wp:docPr id="41" name="图片 41" descr="附图5 施工布置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附图5 施工布置图 拷贝"/>
                    <pic:cNvPicPr>
                      <a:picLocks noChangeAspect="1"/>
                    </pic:cNvPicPr>
                  </pic:nvPicPr>
                  <pic:blipFill>
                    <a:blip r:embed="rId76"/>
                    <a:stretch>
                      <a:fillRect/>
                    </a:stretch>
                  </pic:blipFill>
                  <pic:spPr>
                    <a:xfrm>
                      <a:off x="0" y="0"/>
                      <a:ext cx="9371965" cy="5786120"/>
                    </a:xfrm>
                    <a:prstGeom prst="rect">
                      <a:avLst/>
                    </a:prstGeom>
                  </pic:spPr>
                </pic:pic>
              </a:graphicData>
            </a:graphic>
          </wp:inline>
        </w:drawing>
      </w:r>
    </w:p>
    <w:p w14:paraId="05784D7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38" w:name="_Toc23988"/>
      <w:r>
        <w:rPr>
          <w:rFonts w:hint="default" w:ascii="Times New Roman" w:hAnsi="Times New Roman" w:eastAsia="黑体" w:cs="Times New Roman"/>
          <w:bCs/>
          <w:color w:val="auto"/>
          <w:kern w:val="2"/>
          <w:sz w:val="24"/>
          <w:szCs w:val="32"/>
          <w:highlight w:val="none"/>
          <w:lang w:val="en-US" w:eastAsia="zh-CN"/>
        </w:rPr>
        <w:t>附图4  施工平面图</w:t>
      </w:r>
      <w:bookmarkEnd w:id="438"/>
    </w:p>
    <w:p w14:paraId="61501B52">
      <w:pPr>
        <w:pStyle w:val="14"/>
        <w:rPr>
          <w:color w:val="auto"/>
          <w:highlight w:val="none"/>
        </w:rPr>
      </w:pPr>
      <w:r>
        <w:rPr>
          <w:color w:val="auto"/>
          <w:highlight w:val="none"/>
        </w:rPr>
        <w:drawing>
          <wp:inline distT="0" distB="0" distL="114300" distR="114300">
            <wp:extent cx="9062720" cy="5492750"/>
            <wp:effectExtent l="0" t="0" r="5080" b="1270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pic:cNvPicPr>
                      <a:picLocks noChangeAspect="1"/>
                    </pic:cNvPicPr>
                  </pic:nvPicPr>
                  <pic:blipFill>
                    <a:blip r:embed="rId77"/>
                    <a:stretch>
                      <a:fillRect/>
                    </a:stretch>
                  </pic:blipFill>
                  <pic:spPr>
                    <a:xfrm>
                      <a:off x="0" y="0"/>
                      <a:ext cx="9062720" cy="5492750"/>
                    </a:xfrm>
                    <a:prstGeom prst="rect">
                      <a:avLst/>
                    </a:prstGeom>
                    <a:noFill/>
                    <a:ln>
                      <a:noFill/>
                    </a:ln>
                  </pic:spPr>
                </pic:pic>
              </a:graphicData>
            </a:graphic>
          </wp:inline>
        </w:drawing>
      </w:r>
    </w:p>
    <w:p w14:paraId="29BC9B2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39" w:name="_Toc30871"/>
      <w:r>
        <w:rPr>
          <w:rFonts w:hint="default" w:ascii="Times New Roman" w:hAnsi="Times New Roman" w:eastAsia="黑体" w:cs="Times New Roman"/>
          <w:bCs/>
          <w:color w:val="auto"/>
          <w:kern w:val="2"/>
          <w:sz w:val="24"/>
          <w:szCs w:val="32"/>
          <w:highlight w:val="none"/>
          <w:lang w:val="en-US" w:eastAsia="zh-CN"/>
        </w:rPr>
        <w:t>附图</w:t>
      </w:r>
      <w:r>
        <w:rPr>
          <w:rFonts w:hint="eastAsia" w:eastAsia="黑体" w:cs="Times New Roman"/>
          <w:bCs/>
          <w:color w:val="auto"/>
          <w:kern w:val="2"/>
          <w:sz w:val="24"/>
          <w:szCs w:val="32"/>
          <w:highlight w:val="none"/>
          <w:lang w:val="en-US" w:eastAsia="zh-CN"/>
        </w:rPr>
        <w:t>5</w:t>
      </w:r>
      <w:r>
        <w:rPr>
          <w:rFonts w:hint="default" w:ascii="Times New Roman" w:hAnsi="Times New Roman" w:eastAsia="黑体" w:cs="Times New Roman"/>
          <w:bCs/>
          <w:color w:val="auto"/>
          <w:kern w:val="2"/>
          <w:sz w:val="24"/>
          <w:szCs w:val="32"/>
          <w:highlight w:val="none"/>
          <w:lang w:val="en-US" w:eastAsia="zh-CN"/>
        </w:rPr>
        <w:t xml:space="preserve">  </w:t>
      </w:r>
      <w:r>
        <w:rPr>
          <w:rFonts w:hint="eastAsia" w:eastAsia="黑体" w:cs="Times New Roman"/>
          <w:bCs/>
          <w:color w:val="auto"/>
          <w:kern w:val="2"/>
          <w:sz w:val="24"/>
          <w:szCs w:val="32"/>
          <w:highlight w:val="none"/>
          <w:lang w:val="en-US" w:eastAsia="zh-CN"/>
        </w:rPr>
        <w:t>分区填埋划分图</w:t>
      </w:r>
      <w:bookmarkEnd w:id="439"/>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0"/>
        <w:gridCol w:w="7570"/>
      </w:tblGrid>
      <w:tr w14:paraId="5DCD0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2" w:hRule="atLeast"/>
        </w:trPr>
        <w:tc>
          <w:tcPr>
            <w:tcW w:w="7570" w:type="dxa"/>
          </w:tcPr>
          <w:p w14:paraId="27B41BD0">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rPr>
              <w:drawing>
                <wp:inline distT="0" distB="0" distL="114300" distR="114300">
                  <wp:extent cx="3246755" cy="2416175"/>
                  <wp:effectExtent l="0" t="0" r="10795" b="317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78"/>
                          <a:stretch>
                            <a:fillRect/>
                          </a:stretch>
                        </pic:blipFill>
                        <pic:spPr>
                          <a:xfrm>
                            <a:off x="0" y="0"/>
                            <a:ext cx="3246755" cy="2416175"/>
                          </a:xfrm>
                          <a:prstGeom prst="rect">
                            <a:avLst/>
                          </a:prstGeom>
                          <a:noFill/>
                          <a:ln>
                            <a:noFill/>
                          </a:ln>
                        </pic:spPr>
                      </pic:pic>
                    </a:graphicData>
                  </a:graphic>
                </wp:inline>
              </w:drawing>
            </w:r>
          </w:p>
        </w:tc>
        <w:tc>
          <w:tcPr>
            <w:tcW w:w="7570" w:type="dxa"/>
          </w:tcPr>
          <w:p w14:paraId="606F0FFC">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rPr>
              <w:drawing>
                <wp:inline distT="0" distB="0" distL="114300" distR="114300">
                  <wp:extent cx="3270885" cy="2451735"/>
                  <wp:effectExtent l="0" t="0" r="5715" b="571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79"/>
                          <a:stretch>
                            <a:fillRect/>
                          </a:stretch>
                        </pic:blipFill>
                        <pic:spPr>
                          <a:xfrm>
                            <a:off x="0" y="0"/>
                            <a:ext cx="3270885" cy="2451735"/>
                          </a:xfrm>
                          <a:prstGeom prst="rect">
                            <a:avLst/>
                          </a:prstGeom>
                          <a:noFill/>
                          <a:ln>
                            <a:noFill/>
                          </a:ln>
                        </pic:spPr>
                      </pic:pic>
                    </a:graphicData>
                  </a:graphic>
                </wp:inline>
              </w:drawing>
            </w:r>
          </w:p>
        </w:tc>
      </w:tr>
      <w:tr w14:paraId="43156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70" w:type="dxa"/>
          </w:tcPr>
          <w:p w14:paraId="6619761F">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项目西侧</w:t>
            </w:r>
          </w:p>
        </w:tc>
        <w:tc>
          <w:tcPr>
            <w:tcW w:w="7570" w:type="dxa"/>
          </w:tcPr>
          <w:p w14:paraId="398F505F">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项目北侧</w:t>
            </w:r>
          </w:p>
        </w:tc>
      </w:tr>
      <w:tr w14:paraId="6C14F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70" w:type="dxa"/>
          </w:tcPr>
          <w:p w14:paraId="55056DFF">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rPr>
              <w:drawing>
                <wp:inline distT="0" distB="0" distL="114300" distR="114300">
                  <wp:extent cx="3385185" cy="2533650"/>
                  <wp:effectExtent l="0" t="0" r="5715"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80"/>
                          <a:stretch>
                            <a:fillRect/>
                          </a:stretch>
                        </pic:blipFill>
                        <pic:spPr>
                          <a:xfrm>
                            <a:off x="0" y="0"/>
                            <a:ext cx="3385185" cy="2533650"/>
                          </a:xfrm>
                          <a:prstGeom prst="rect">
                            <a:avLst/>
                          </a:prstGeom>
                          <a:noFill/>
                          <a:ln>
                            <a:noFill/>
                          </a:ln>
                        </pic:spPr>
                      </pic:pic>
                    </a:graphicData>
                  </a:graphic>
                </wp:inline>
              </w:drawing>
            </w:r>
          </w:p>
        </w:tc>
        <w:tc>
          <w:tcPr>
            <w:tcW w:w="7570" w:type="dxa"/>
          </w:tcPr>
          <w:p w14:paraId="167D37F8">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rPr>
              <w:drawing>
                <wp:inline distT="0" distB="0" distL="114300" distR="114300">
                  <wp:extent cx="3402965" cy="2546985"/>
                  <wp:effectExtent l="0" t="0" r="6985" b="571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81"/>
                          <a:stretch>
                            <a:fillRect/>
                          </a:stretch>
                        </pic:blipFill>
                        <pic:spPr>
                          <a:xfrm>
                            <a:off x="0" y="0"/>
                            <a:ext cx="3402965" cy="2546985"/>
                          </a:xfrm>
                          <a:prstGeom prst="rect">
                            <a:avLst/>
                          </a:prstGeom>
                          <a:noFill/>
                          <a:ln>
                            <a:noFill/>
                          </a:ln>
                        </pic:spPr>
                      </pic:pic>
                    </a:graphicData>
                  </a:graphic>
                </wp:inline>
              </w:drawing>
            </w:r>
          </w:p>
        </w:tc>
      </w:tr>
      <w:tr w14:paraId="12CC5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70" w:type="dxa"/>
          </w:tcPr>
          <w:p w14:paraId="27D17D91">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 xml:space="preserve">项目东侧 </w:t>
            </w:r>
          </w:p>
        </w:tc>
        <w:tc>
          <w:tcPr>
            <w:tcW w:w="7570" w:type="dxa"/>
          </w:tcPr>
          <w:p w14:paraId="121B8667">
            <w:pPr>
              <w:jc w:val="center"/>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项目南侧南甸子村六队</w:t>
            </w:r>
          </w:p>
        </w:tc>
      </w:tr>
    </w:tbl>
    <w:p w14:paraId="57D327C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0" w:name="_Toc7730"/>
      <w:r>
        <w:rPr>
          <w:rFonts w:hint="default" w:ascii="Times New Roman" w:hAnsi="Times New Roman" w:eastAsia="黑体" w:cs="Times New Roman"/>
          <w:bCs/>
          <w:color w:val="auto"/>
          <w:kern w:val="2"/>
          <w:sz w:val="24"/>
          <w:szCs w:val="32"/>
          <w:highlight w:val="none"/>
          <w:lang w:val="en-US" w:eastAsia="zh-CN"/>
        </w:rPr>
        <w:t>附图</w:t>
      </w:r>
      <w:r>
        <w:rPr>
          <w:rFonts w:hint="eastAsia" w:ascii="Times New Roman" w:hAnsi="Times New Roman" w:eastAsia="黑体" w:cs="Times New Roman"/>
          <w:bCs/>
          <w:color w:val="auto"/>
          <w:kern w:val="2"/>
          <w:sz w:val="24"/>
          <w:szCs w:val="32"/>
          <w:highlight w:val="none"/>
          <w:lang w:val="en-US" w:eastAsia="zh-CN"/>
        </w:rPr>
        <w:t>6</w:t>
      </w:r>
      <w:r>
        <w:rPr>
          <w:rFonts w:hint="default" w:ascii="Times New Roman" w:hAnsi="Times New Roman" w:eastAsia="黑体" w:cs="Times New Roman"/>
          <w:bCs/>
          <w:color w:val="auto"/>
          <w:kern w:val="2"/>
          <w:sz w:val="24"/>
          <w:szCs w:val="32"/>
          <w:highlight w:val="none"/>
          <w:lang w:val="en-US" w:eastAsia="zh-CN"/>
        </w:rPr>
        <w:t xml:space="preserve">   现场照片</w:t>
      </w:r>
      <w:bookmarkEnd w:id="440"/>
    </w:p>
    <w:p w14:paraId="5E5A1504">
      <w:pPr>
        <w:pStyle w:val="14"/>
        <w:rPr>
          <w:rFonts w:hint="default"/>
          <w:color w:val="auto"/>
          <w:highlight w:val="none"/>
          <w:lang w:val="en-US" w:eastAsia="zh-CN"/>
        </w:rPr>
      </w:pPr>
      <w:r>
        <w:rPr>
          <w:rFonts w:hint="default"/>
          <w:color w:val="auto"/>
          <w:highlight w:val="none"/>
          <w:lang w:val="en-US" w:eastAsia="zh-CN"/>
        </w:rPr>
        <w:drawing>
          <wp:inline distT="0" distB="0" distL="114300" distR="114300">
            <wp:extent cx="7696200" cy="5353050"/>
            <wp:effectExtent l="0" t="0" r="0" b="0"/>
            <wp:docPr id="21" name="图片 21" descr="南甸子碎石场土地复垦终了图-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甸子碎石场土地复垦终了图-模型"/>
                    <pic:cNvPicPr>
                      <a:picLocks noChangeAspect="1"/>
                    </pic:cNvPicPr>
                  </pic:nvPicPr>
                  <pic:blipFill>
                    <a:blip r:embed="rId82"/>
                    <a:stretch>
                      <a:fillRect/>
                    </a:stretch>
                  </pic:blipFill>
                  <pic:spPr>
                    <a:xfrm>
                      <a:off x="0" y="0"/>
                      <a:ext cx="7696200" cy="5353050"/>
                    </a:xfrm>
                    <a:prstGeom prst="rect">
                      <a:avLst/>
                    </a:prstGeom>
                  </pic:spPr>
                </pic:pic>
              </a:graphicData>
            </a:graphic>
          </wp:inline>
        </w:drawing>
      </w:r>
    </w:p>
    <w:p w14:paraId="60C79F1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eastAsia" w:ascii="Times New Roman" w:hAnsi="Times New Roman" w:eastAsia="黑体" w:cs="Times New Roman"/>
          <w:bCs/>
          <w:color w:val="auto"/>
          <w:kern w:val="2"/>
          <w:sz w:val="24"/>
          <w:szCs w:val="32"/>
          <w:highlight w:val="none"/>
          <w:lang w:val="en-US" w:eastAsia="zh-CN"/>
        </w:rPr>
      </w:pPr>
      <w:bookmarkStart w:id="441" w:name="_Toc31878"/>
      <w:r>
        <w:rPr>
          <w:rFonts w:hint="eastAsia" w:ascii="Times New Roman" w:hAnsi="Times New Roman" w:eastAsia="黑体" w:cs="Times New Roman"/>
          <w:bCs/>
          <w:color w:val="auto"/>
          <w:kern w:val="2"/>
          <w:sz w:val="24"/>
          <w:szCs w:val="32"/>
          <w:highlight w:val="none"/>
          <w:lang w:val="en-US" w:eastAsia="zh-CN"/>
        </w:rPr>
        <w:t>附图7  土地复垦终了图</w:t>
      </w:r>
      <w:bookmarkEnd w:id="441"/>
    </w:p>
    <w:p w14:paraId="1DDD9D34">
      <w:pPr>
        <w:pStyle w:val="14"/>
        <w:rPr>
          <w:rFonts w:hint="default"/>
          <w:color w:val="auto"/>
          <w:highlight w:val="none"/>
          <w:lang w:val="en-US" w:eastAsia="zh-CN"/>
        </w:rPr>
      </w:pPr>
    </w:p>
    <w:p w14:paraId="5D52298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2" w:name="_Toc7757"/>
      <w:r>
        <w:rPr>
          <w:rFonts w:hint="default" w:ascii="Times New Roman" w:hAnsi="Times New Roman" w:eastAsia="黑体" w:cs="Times New Roman"/>
          <w:bCs/>
          <w:color w:val="auto"/>
          <w:kern w:val="2"/>
          <w:sz w:val="24"/>
          <w:szCs w:val="32"/>
          <w:highlight w:val="none"/>
          <w:lang w:val="en-US" w:eastAsia="zh-CN"/>
        </w:rPr>
        <w:t>附件1  营业执照</w:t>
      </w:r>
      <w:bookmarkEnd w:id="442"/>
    </w:p>
    <w:p w14:paraId="1C1E9883">
      <w:pPr>
        <w:bidi w:val="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7748270" cy="5634355"/>
            <wp:effectExtent l="0" t="0" r="5080" b="4445"/>
            <wp:docPr id="47" name="图片 47" descr="附件1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附件1营业执照"/>
                    <pic:cNvPicPr>
                      <a:picLocks noChangeAspect="1"/>
                    </pic:cNvPicPr>
                  </pic:nvPicPr>
                  <pic:blipFill>
                    <a:blip r:embed="rId83"/>
                    <a:stretch>
                      <a:fillRect/>
                    </a:stretch>
                  </pic:blipFill>
                  <pic:spPr>
                    <a:xfrm>
                      <a:off x="0" y="0"/>
                      <a:ext cx="7748270" cy="5634355"/>
                    </a:xfrm>
                    <a:prstGeom prst="rect">
                      <a:avLst/>
                    </a:prstGeom>
                  </pic:spPr>
                </pic:pic>
              </a:graphicData>
            </a:graphic>
          </wp:inline>
        </w:drawing>
      </w:r>
    </w:p>
    <w:p w14:paraId="6040C77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3" w:name="_Toc17444"/>
      <w:r>
        <w:rPr>
          <w:rFonts w:hint="default" w:ascii="Times New Roman" w:hAnsi="Times New Roman" w:eastAsia="黑体" w:cs="Times New Roman"/>
          <w:bCs/>
          <w:color w:val="auto"/>
          <w:kern w:val="2"/>
          <w:sz w:val="24"/>
          <w:szCs w:val="32"/>
          <w:highlight w:val="none"/>
          <w:lang w:val="en-US" w:eastAsia="zh-CN"/>
        </w:rPr>
        <w:t>附件2  采矿许可证</w:t>
      </w:r>
      <w:bookmarkEnd w:id="443"/>
    </w:p>
    <w:p w14:paraId="0E19E858">
      <w:pPr>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7311390" cy="5317490"/>
            <wp:effectExtent l="0" t="0" r="3810" b="16510"/>
            <wp:docPr id="48" name="图片 48" descr="附件2采矿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附件2采矿许可证"/>
                    <pic:cNvPicPr>
                      <a:picLocks noChangeAspect="1"/>
                    </pic:cNvPicPr>
                  </pic:nvPicPr>
                  <pic:blipFill>
                    <a:blip r:embed="rId84"/>
                    <a:stretch>
                      <a:fillRect/>
                    </a:stretch>
                  </pic:blipFill>
                  <pic:spPr>
                    <a:xfrm>
                      <a:off x="0" y="0"/>
                      <a:ext cx="7311390" cy="5317490"/>
                    </a:xfrm>
                    <a:prstGeom prst="rect">
                      <a:avLst/>
                    </a:prstGeom>
                  </pic:spPr>
                </pic:pic>
              </a:graphicData>
            </a:graphic>
          </wp:inline>
        </w:drawing>
      </w:r>
    </w:p>
    <w:p w14:paraId="3DD55C88">
      <w:pPr>
        <w:jc w:val="center"/>
        <w:rPr>
          <w:rFonts w:hint="default" w:ascii="Times New Roman" w:hAnsi="Times New Roman" w:cs="Times New Roman"/>
          <w:color w:val="auto"/>
          <w:highlight w:val="none"/>
          <w:lang w:val="en-US" w:eastAsia="zh-CN"/>
        </w:rPr>
        <w:sectPr>
          <w:pgSz w:w="16838" w:h="11906" w:orient="landscape"/>
          <w:pgMar w:top="720" w:right="720" w:bottom="720" w:left="720" w:header="567" w:footer="567" w:gutter="0"/>
          <w:cols w:space="425" w:num="1"/>
          <w:docGrid w:type="lines" w:linePitch="312" w:charSpace="0"/>
        </w:sectPr>
      </w:pPr>
    </w:p>
    <w:p w14:paraId="3D2EA5B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4" w:name="_Toc11468"/>
      <w:r>
        <w:rPr>
          <w:rFonts w:hint="default" w:ascii="Times New Roman" w:hAnsi="Times New Roman" w:eastAsia="黑体" w:cs="Times New Roman"/>
          <w:bCs/>
          <w:color w:val="auto"/>
          <w:kern w:val="2"/>
          <w:sz w:val="24"/>
          <w:szCs w:val="32"/>
          <w:highlight w:val="none"/>
          <w:lang w:val="en-US" w:eastAsia="zh-CN"/>
        </w:rPr>
        <w:t>附件3实施方案备案文件</w:t>
      </w:r>
      <w:bookmarkEnd w:id="444"/>
    </w:p>
    <w:p w14:paraId="133D929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480050" cy="7900670"/>
            <wp:effectExtent l="0" t="0" r="6350" b="508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85"/>
                    <a:stretch>
                      <a:fillRect/>
                    </a:stretch>
                  </pic:blipFill>
                  <pic:spPr>
                    <a:xfrm>
                      <a:off x="0" y="0"/>
                      <a:ext cx="5480050" cy="7900670"/>
                    </a:xfrm>
                    <a:prstGeom prst="rect">
                      <a:avLst/>
                    </a:prstGeom>
                    <a:noFill/>
                    <a:ln>
                      <a:noFill/>
                    </a:ln>
                  </pic:spPr>
                </pic:pic>
              </a:graphicData>
            </a:graphic>
          </wp:inline>
        </w:drawing>
      </w:r>
    </w:p>
    <w:p w14:paraId="2B126FF8">
      <w:pPr>
        <w:bidi w:val="0"/>
        <w:rPr>
          <w:rFonts w:hint="default" w:ascii="Times New Roman" w:hAnsi="Times New Roman" w:cs="Times New Roman"/>
          <w:color w:val="auto"/>
          <w:highlight w:val="none"/>
          <w:lang w:val="en-US" w:eastAsia="zh-CN"/>
        </w:rPr>
      </w:pPr>
    </w:p>
    <w:p w14:paraId="24B86CB0">
      <w:pPr>
        <w:bidi w:val="0"/>
        <w:rPr>
          <w:rFonts w:hint="default" w:ascii="Times New Roman" w:hAnsi="Times New Roman" w:cs="Times New Roman"/>
          <w:color w:val="auto"/>
          <w:highlight w:val="none"/>
          <w:lang w:val="en-US" w:eastAsia="zh-CN"/>
        </w:rPr>
      </w:pPr>
    </w:p>
    <w:p w14:paraId="0979DB8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5" w:name="_Toc12600"/>
      <w:r>
        <w:rPr>
          <w:rFonts w:hint="default" w:ascii="Times New Roman" w:hAnsi="Times New Roman" w:eastAsia="黑体" w:cs="Times New Roman"/>
          <w:bCs/>
          <w:color w:val="auto"/>
          <w:kern w:val="2"/>
          <w:sz w:val="24"/>
          <w:szCs w:val="32"/>
          <w:highlight w:val="none"/>
          <w:lang w:val="en-US" w:eastAsia="zh-CN"/>
        </w:rPr>
        <w:t>附件4  实施方案部分截图</w:t>
      </w:r>
      <w:bookmarkEnd w:id="445"/>
    </w:p>
    <w:p w14:paraId="204458E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975350" cy="5951220"/>
            <wp:effectExtent l="0" t="0" r="6350" b="1143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86"/>
                    <a:stretch>
                      <a:fillRect/>
                    </a:stretch>
                  </pic:blipFill>
                  <pic:spPr>
                    <a:xfrm>
                      <a:off x="0" y="0"/>
                      <a:ext cx="5975350" cy="5951220"/>
                    </a:xfrm>
                    <a:prstGeom prst="rect">
                      <a:avLst/>
                    </a:prstGeom>
                    <a:noFill/>
                    <a:ln>
                      <a:noFill/>
                    </a:ln>
                  </pic:spPr>
                </pic:pic>
              </a:graphicData>
            </a:graphic>
          </wp:inline>
        </w:drawing>
      </w:r>
    </w:p>
    <w:p w14:paraId="6733ED18">
      <w:pPr>
        <w:jc w:val="center"/>
        <w:rPr>
          <w:rFonts w:hint="default" w:ascii="Times New Roman" w:hAnsi="Times New Roman" w:cs="Times New Roman"/>
          <w:color w:val="auto"/>
          <w:highlight w:val="none"/>
          <w:lang w:val="en-US" w:eastAsia="zh-CN"/>
        </w:rPr>
      </w:pPr>
    </w:p>
    <w:p w14:paraId="43EFD850">
      <w:pPr>
        <w:jc w:val="center"/>
        <w:rPr>
          <w:rFonts w:hint="default" w:ascii="Times New Roman" w:hAnsi="Times New Roman" w:cs="Times New Roman"/>
          <w:color w:val="auto"/>
          <w:highlight w:val="none"/>
          <w:lang w:val="en-US" w:eastAsia="zh-CN"/>
        </w:rPr>
        <w:sectPr>
          <w:pgSz w:w="11906" w:h="16838"/>
          <w:pgMar w:top="720" w:right="720" w:bottom="720" w:left="720" w:header="851" w:footer="992" w:gutter="0"/>
          <w:cols w:space="425" w:num="1"/>
          <w:docGrid w:type="lines" w:linePitch="312" w:charSpace="0"/>
        </w:sectPr>
      </w:pPr>
    </w:p>
    <w:p w14:paraId="073F979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6" w:name="_Toc16888"/>
      <w:r>
        <w:rPr>
          <w:rFonts w:hint="default" w:ascii="Times New Roman" w:hAnsi="Times New Roman" w:eastAsia="黑体" w:cs="Times New Roman"/>
          <w:bCs/>
          <w:color w:val="auto"/>
          <w:kern w:val="2"/>
          <w:sz w:val="24"/>
          <w:szCs w:val="32"/>
          <w:highlight w:val="none"/>
          <w:lang w:val="en-US" w:eastAsia="zh-CN"/>
        </w:rPr>
        <w:t>附件5  风险评估评审意见</w:t>
      </w:r>
      <w:bookmarkEnd w:id="446"/>
    </w:p>
    <w:p w14:paraId="6E91BFE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9750" cy="7896225"/>
            <wp:effectExtent l="0" t="0" r="0" b="952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87"/>
                    <a:stretch>
                      <a:fillRect/>
                    </a:stretch>
                  </pic:blipFill>
                  <pic:spPr>
                    <a:xfrm>
                      <a:off x="0" y="0"/>
                      <a:ext cx="5619750" cy="7896225"/>
                    </a:xfrm>
                    <a:prstGeom prst="rect">
                      <a:avLst/>
                    </a:prstGeom>
                    <a:noFill/>
                    <a:ln>
                      <a:noFill/>
                    </a:ln>
                  </pic:spPr>
                </pic:pic>
              </a:graphicData>
            </a:graphic>
          </wp:inline>
        </w:drawing>
      </w:r>
    </w:p>
    <w:p w14:paraId="2190993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591175" cy="7934325"/>
            <wp:effectExtent l="0" t="0" r="9525" b="952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88"/>
                    <a:stretch>
                      <a:fillRect/>
                    </a:stretch>
                  </pic:blipFill>
                  <pic:spPr>
                    <a:xfrm>
                      <a:off x="0" y="0"/>
                      <a:ext cx="5591175" cy="7934325"/>
                    </a:xfrm>
                    <a:prstGeom prst="rect">
                      <a:avLst/>
                    </a:prstGeom>
                    <a:noFill/>
                    <a:ln>
                      <a:noFill/>
                    </a:ln>
                  </pic:spPr>
                </pic:pic>
              </a:graphicData>
            </a:graphic>
          </wp:inline>
        </w:drawing>
      </w:r>
    </w:p>
    <w:p w14:paraId="448C25B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618220" cy="6057265"/>
            <wp:effectExtent l="0" t="0" r="635" b="1143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89"/>
                    <a:stretch>
                      <a:fillRect/>
                    </a:stretch>
                  </pic:blipFill>
                  <pic:spPr>
                    <a:xfrm rot="16200000">
                      <a:off x="0" y="0"/>
                      <a:ext cx="8618220" cy="6057265"/>
                    </a:xfrm>
                    <a:prstGeom prst="rect">
                      <a:avLst/>
                    </a:prstGeom>
                    <a:noFill/>
                    <a:ln>
                      <a:noFill/>
                    </a:ln>
                  </pic:spPr>
                </pic:pic>
              </a:graphicData>
            </a:graphic>
          </wp:inline>
        </w:drawing>
      </w:r>
    </w:p>
    <w:p w14:paraId="52EBD85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7" w:name="_Toc27169"/>
      <w:r>
        <w:rPr>
          <w:rFonts w:hint="default" w:ascii="Times New Roman" w:hAnsi="Times New Roman" w:eastAsia="黑体" w:cs="Times New Roman"/>
          <w:bCs/>
          <w:color w:val="auto"/>
          <w:kern w:val="2"/>
          <w:sz w:val="24"/>
          <w:szCs w:val="32"/>
          <w:highlight w:val="none"/>
          <w:lang w:val="en-US" w:eastAsia="zh-CN"/>
        </w:rPr>
        <w:t>附件6 渗滤液成分检测1</w:t>
      </w:r>
      <w:bookmarkEnd w:id="447"/>
    </w:p>
    <w:p w14:paraId="306836D0">
      <w:pPr>
        <w:bidi w:val="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5425440" cy="7672705"/>
            <wp:effectExtent l="0" t="0" r="3810" b="4445"/>
            <wp:docPr id="142" name="图片 142" descr="PDF合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PDF合并_00"/>
                    <pic:cNvPicPr>
                      <a:picLocks noChangeAspect="1"/>
                    </pic:cNvPicPr>
                  </pic:nvPicPr>
                  <pic:blipFill>
                    <a:blip r:embed="rId90"/>
                    <a:stretch>
                      <a:fillRect/>
                    </a:stretch>
                  </pic:blipFill>
                  <pic:spPr>
                    <a:xfrm>
                      <a:off x="0" y="0"/>
                      <a:ext cx="5425440" cy="767270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41" name="图片 141" descr="PDF合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PDF合并_01"/>
                    <pic:cNvPicPr>
                      <a:picLocks noChangeAspect="1"/>
                    </pic:cNvPicPr>
                  </pic:nvPicPr>
                  <pic:blipFill>
                    <a:blip r:embed="rId91"/>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40" name="图片 140" descr="PDF合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PDF合并_02"/>
                    <pic:cNvPicPr>
                      <a:picLocks noChangeAspect="1"/>
                    </pic:cNvPicPr>
                  </pic:nvPicPr>
                  <pic:blipFill>
                    <a:blip r:embed="rId92"/>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9" name="图片 139" descr="PDF合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PDF合并_03"/>
                    <pic:cNvPicPr>
                      <a:picLocks noChangeAspect="1"/>
                    </pic:cNvPicPr>
                  </pic:nvPicPr>
                  <pic:blipFill>
                    <a:blip r:embed="rId93"/>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8" name="图片 138" descr="PDF合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PDF合并_04"/>
                    <pic:cNvPicPr>
                      <a:picLocks noChangeAspect="1"/>
                    </pic:cNvPicPr>
                  </pic:nvPicPr>
                  <pic:blipFill>
                    <a:blip r:embed="rId94"/>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37" name="图片 137" descr="PDF合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PDF合并_05"/>
                    <pic:cNvPicPr>
                      <a:picLocks noChangeAspect="1"/>
                    </pic:cNvPicPr>
                  </pic:nvPicPr>
                  <pic:blipFill>
                    <a:blip r:embed="rId95"/>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36" name="图片 136" descr="PDF合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PDF合并_06"/>
                    <pic:cNvPicPr>
                      <a:picLocks noChangeAspect="1"/>
                    </pic:cNvPicPr>
                  </pic:nvPicPr>
                  <pic:blipFill>
                    <a:blip r:embed="rId96"/>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5" name="图片 135" descr="PDF合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PDF合并_07"/>
                    <pic:cNvPicPr>
                      <a:picLocks noChangeAspect="1"/>
                    </pic:cNvPicPr>
                  </pic:nvPicPr>
                  <pic:blipFill>
                    <a:blip r:embed="rId97"/>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4" name="图片 134" descr="PDF合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PDF合并_08"/>
                    <pic:cNvPicPr>
                      <a:picLocks noChangeAspect="1"/>
                    </pic:cNvPicPr>
                  </pic:nvPicPr>
                  <pic:blipFill>
                    <a:blip r:embed="rId98"/>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33" name="图片 133" descr="PDF合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PDF合并_09"/>
                    <pic:cNvPicPr>
                      <a:picLocks noChangeAspect="1"/>
                    </pic:cNvPicPr>
                  </pic:nvPicPr>
                  <pic:blipFill>
                    <a:blip r:embed="rId99"/>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32" name="图片 132" descr="PDF合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PDF合并_10"/>
                    <pic:cNvPicPr>
                      <a:picLocks noChangeAspect="1"/>
                    </pic:cNvPicPr>
                  </pic:nvPicPr>
                  <pic:blipFill>
                    <a:blip r:embed="rId100"/>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1" name="图片 131" descr="PDF合并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PDF合并_11"/>
                    <pic:cNvPicPr>
                      <a:picLocks noChangeAspect="1"/>
                    </pic:cNvPicPr>
                  </pic:nvPicPr>
                  <pic:blipFill>
                    <a:blip r:embed="rId101"/>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30" name="图片 130" descr="PDF合并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PDF合并_12"/>
                    <pic:cNvPicPr>
                      <a:picLocks noChangeAspect="1"/>
                    </pic:cNvPicPr>
                  </pic:nvPicPr>
                  <pic:blipFill>
                    <a:blip r:embed="rId102"/>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29" name="图片 129" descr="PDF合并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PDF合并_13"/>
                    <pic:cNvPicPr>
                      <a:picLocks noChangeAspect="1"/>
                    </pic:cNvPicPr>
                  </pic:nvPicPr>
                  <pic:blipFill>
                    <a:blip r:embed="rId103"/>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8" name="图片 128" descr="PDF合并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PDF合并_14"/>
                    <pic:cNvPicPr>
                      <a:picLocks noChangeAspect="1"/>
                    </pic:cNvPicPr>
                  </pic:nvPicPr>
                  <pic:blipFill>
                    <a:blip r:embed="rId104"/>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7" name="图片 127" descr="PDF合并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PDF合并_15"/>
                    <pic:cNvPicPr>
                      <a:picLocks noChangeAspect="1"/>
                    </pic:cNvPicPr>
                  </pic:nvPicPr>
                  <pic:blipFill>
                    <a:blip r:embed="rId105"/>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6" name="图片 126" descr="PDF合并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PDF合并_16"/>
                    <pic:cNvPicPr>
                      <a:picLocks noChangeAspect="1"/>
                    </pic:cNvPicPr>
                  </pic:nvPicPr>
                  <pic:blipFill>
                    <a:blip r:embed="rId106"/>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5" name="图片 125" descr="PDF合并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PDF合并_17"/>
                    <pic:cNvPicPr>
                      <a:picLocks noChangeAspect="1"/>
                    </pic:cNvPicPr>
                  </pic:nvPicPr>
                  <pic:blipFill>
                    <a:blip r:embed="rId107"/>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4" name="图片 124" descr="PDF合并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PDF合并_18"/>
                    <pic:cNvPicPr>
                      <a:picLocks noChangeAspect="1"/>
                    </pic:cNvPicPr>
                  </pic:nvPicPr>
                  <pic:blipFill>
                    <a:blip r:embed="rId108"/>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049645" cy="8763635"/>
            <wp:effectExtent l="0" t="0" r="8255" b="18415"/>
            <wp:docPr id="123" name="图片 123" descr="PDF合并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PDF合并_19"/>
                    <pic:cNvPicPr>
                      <a:picLocks noChangeAspect="1"/>
                    </pic:cNvPicPr>
                  </pic:nvPicPr>
                  <pic:blipFill>
                    <a:blip r:embed="rId109"/>
                    <a:stretch>
                      <a:fillRect/>
                    </a:stretch>
                  </pic:blipFill>
                  <pic:spPr>
                    <a:xfrm>
                      <a:off x="0" y="0"/>
                      <a:ext cx="6049645" cy="876363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2" name="图片 122" descr="PDF合并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PDF合并_20"/>
                    <pic:cNvPicPr>
                      <a:picLocks noChangeAspect="1"/>
                    </pic:cNvPicPr>
                  </pic:nvPicPr>
                  <pic:blipFill>
                    <a:blip r:embed="rId110"/>
                    <a:stretch>
                      <a:fillRect/>
                    </a:stretch>
                  </pic:blipFill>
                  <pic:spPr>
                    <a:xfrm>
                      <a:off x="0" y="0"/>
                      <a:ext cx="6193155" cy="8758555"/>
                    </a:xfrm>
                    <a:prstGeom prst="rect">
                      <a:avLst/>
                    </a:prstGeom>
                  </pic:spPr>
                </pic:pic>
              </a:graphicData>
            </a:graphic>
          </wp:inline>
        </w:drawing>
      </w:r>
    </w:p>
    <w:p w14:paraId="7F26AEC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8" w:name="_Toc1306"/>
      <w:r>
        <w:rPr>
          <w:rFonts w:hint="default" w:ascii="Times New Roman" w:hAnsi="Times New Roman" w:eastAsia="黑体" w:cs="Times New Roman"/>
          <w:bCs/>
          <w:color w:val="auto"/>
          <w:kern w:val="2"/>
          <w:sz w:val="24"/>
          <w:szCs w:val="32"/>
          <w:highlight w:val="none"/>
          <w:lang w:val="en-US" w:eastAsia="zh-CN"/>
        </w:rPr>
        <w:t>附件7 渗滤液成分检测2</w:t>
      </w:r>
      <w:bookmarkEnd w:id="448"/>
    </w:p>
    <w:p w14:paraId="323A3E22">
      <w:pPr>
        <w:bidi w:val="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5612765" cy="7937500"/>
            <wp:effectExtent l="0" t="0" r="6985" b="6350"/>
            <wp:docPr id="121" name="图片 121" descr="PDF合并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PDF合并_21"/>
                    <pic:cNvPicPr>
                      <a:picLocks noChangeAspect="1"/>
                    </pic:cNvPicPr>
                  </pic:nvPicPr>
                  <pic:blipFill>
                    <a:blip r:embed="rId111"/>
                    <a:stretch>
                      <a:fillRect/>
                    </a:stretch>
                  </pic:blipFill>
                  <pic:spPr>
                    <a:xfrm>
                      <a:off x="0" y="0"/>
                      <a:ext cx="5612765" cy="7937500"/>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20" name="图片 120" descr="PDF合并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PDF合并_22"/>
                    <pic:cNvPicPr>
                      <a:picLocks noChangeAspect="1"/>
                    </pic:cNvPicPr>
                  </pic:nvPicPr>
                  <pic:blipFill>
                    <a:blip r:embed="rId112"/>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19" name="图片 119" descr="PDF合并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PDF合并_23"/>
                    <pic:cNvPicPr>
                      <a:picLocks noChangeAspect="1"/>
                    </pic:cNvPicPr>
                  </pic:nvPicPr>
                  <pic:blipFill>
                    <a:blip r:embed="rId113"/>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18" name="图片 118" descr="PDF合并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PDF合并_24"/>
                    <pic:cNvPicPr>
                      <a:picLocks noChangeAspect="1"/>
                    </pic:cNvPicPr>
                  </pic:nvPicPr>
                  <pic:blipFill>
                    <a:blip r:embed="rId114"/>
                    <a:stretch>
                      <a:fillRect/>
                    </a:stretch>
                  </pic:blipFill>
                  <pic:spPr>
                    <a:xfrm>
                      <a:off x="0" y="0"/>
                      <a:ext cx="6193155" cy="8758555"/>
                    </a:xfrm>
                    <a:prstGeom prst="rect">
                      <a:avLst/>
                    </a:prstGeom>
                  </pic:spPr>
                </pic:pic>
              </a:graphicData>
            </a:graphic>
          </wp:inline>
        </w:drawing>
      </w:r>
      <w:r>
        <w:rPr>
          <w:rFonts w:hint="default" w:ascii="Times New Roman" w:hAnsi="Times New Roman" w:cs="Times New Roman"/>
          <w:color w:val="auto"/>
          <w:highlight w:val="none"/>
          <w:lang w:eastAsia="zh-CN"/>
        </w:rPr>
        <w:drawing>
          <wp:inline distT="0" distB="0" distL="114300" distR="114300">
            <wp:extent cx="6193155" cy="8758555"/>
            <wp:effectExtent l="0" t="0" r="17145" b="4445"/>
            <wp:docPr id="117" name="图片 117" descr="PDF合并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PDF合并_25"/>
                    <pic:cNvPicPr>
                      <a:picLocks noChangeAspect="1"/>
                    </pic:cNvPicPr>
                  </pic:nvPicPr>
                  <pic:blipFill>
                    <a:blip r:embed="rId115"/>
                    <a:stretch>
                      <a:fillRect/>
                    </a:stretch>
                  </pic:blipFill>
                  <pic:spPr>
                    <a:xfrm>
                      <a:off x="0" y="0"/>
                      <a:ext cx="6193155" cy="8758555"/>
                    </a:xfrm>
                    <a:prstGeom prst="rect">
                      <a:avLst/>
                    </a:prstGeom>
                  </pic:spPr>
                </pic:pic>
              </a:graphicData>
            </a:graphic>
          </wp:inline>
        </w:drawing>
      </w:r>
    </w:p>
    <w:p w14:paraId="637C794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49" w:name="_Toc20928"/>
      <w:r>
        <w:rPr>
          <w:rFonts w:hint="default" w:ascii="Times New Roman" w:hAnsi="Times New Roman" w:eastAsia="黑体" w:cs="Times New Roman"/>
          <w:bCs/>
          <w:color w:val="auto"/>
          <w:kern w:val="2"/>
          <w:sz w:val="24"/>
          <w:szCs w:val="32"/>
          <w:highlight w:val="none"/>
          <w:lang w:val="en-US" w:eastAsia="zh-CN"/>
        </w:rPr>
        <w:t>附件8 粉煤灰检测报告</w:t>
      </w:r>
      <w:bookmarkEnd w:id="449"/>
    </w:p>
    <w:p w14:paraId="570154FD">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519420" cy="7809865"/>
            <wp:effectExtent l="0" t="0" r="5080" b="635"/>
            <wp:docPr id="116" name="图片 116" descr="PDF合并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PDF合并_26"/>
                    <pic:cNvPicPr>
                      <a:picLocks noChangeAspect="1"/>
                    </pic:cNvPicPr>
                  </pic:nvPicPr>
                  <pic:blipFill>
                    <a:blip r:embed="rId116"/>
                    <a:stretch>
                      <a:fillRect/>
                    </a:stretch>
                  </pic:blipFill>
                  <pic:spPr>
                    <a:xfrm>
                      <a:off x="0" y="0"/>
                      <a:ext cx="5519420" cy="78098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5" name="图片 115" descr="PDF合并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PDF合并_27"/>
                    <pic:cNvPicPr>
                      <a:picLocks noChangeAspect="1"/>
                    </pic:cNvPicPr>
                  </pic:nvPicPr>
                  <pic:blipFill>
                    <a:blip r:embed="rId117"/>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4" name="图片 114" descr="PDF合并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PDF合并_28"/>
                    <pic:cNvPicPr>
                      <a:picLocks noChangeAspect="1"/>
                    </pic:cNvPicPr>
                  </pic:nvPicPr>
                  <pic:blipFill>
                    <a:blip r:embed="rId118"/>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3" name="图片 113" descr="PDF合并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PDF合并_29"/>
                    <pic:cNvPicPr>
                      <a:picLocks noChangeAspect="1"/>
                    </pic:cNvPicPr>
                  </pic:nvPicPr>
                  <pic:blipFill>
                    <a:blip r:embed="rId119"/>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2" name="图片 112" descr="PDF合并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PDF合并_30"/>
                    <pic:cNvPicPr>
                      <a:picLocks noChangeAspect="1"/>
                    </pic:cNvPicPr>
                  </pic:nvPicPr>
                  <pic:blipFill>
                    <a:blip r:embed="rId120"/>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1" name="图片 111" descr="PDF合并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PDF合并_31"/>
                    <pic:cNvPicPr>
                      <a:picLocks noChangeAspect="1"/>
                    </pic:cNvPicPr>
                  </pic:nvPicPr>
                  <pic:blipFill>
                    <a:blip r:embed="rId121"/>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10" name="图片 110" descr="PDF合并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PDF合并_32"/>
                    <pic:cNvPicPr>
                      <a:picLocks noChangeAspect="1"/>
                    </pic:cNvPicPr>
                  </pic:nvPicPr>
                  <pic:blipFill>
                    <a:blip r:embed="rId122"/>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9" name="图片 109" descr="PDF合并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PDF合并_33"/>
                    <pic:cNvPicPr>
                      <a:picLocks noChangeAspect="1"/>
                    </pic:cNvPicPr>
                  </pic:nvPicPr>
                  <pic:blipFill>
                    <a:blip r:embed="rId123"/>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8" name="图片 108" descr="PDF合并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PDF合并_34"/>
                    <pic:cNvPicPr>
                      <a:picLocks noChangeAspect="1"/>
                    </pic:cNvPicPr>
                  </pic:nvPicPr>
                  <pic:blipFill>
                    <a:blip r:embed="rId124"/>
                    <a:stretch>
                      <a:fillRect/>
                    </a:stretch>
                  </pic:blipFill>
                  <pic:spPr>
                    <a:xfrm>
                      <a:off x="0" y="0"/>
                      <a:ext cx="6193155" cy="8762365"/>
                    </a:xfrm>
                    <a:prstGeom prst="rect">
                      <a:avLst/>
                    </a:prstGeom>
                  </pic:spPr>
                </pic:pic>
              </a:graphicData>
            </a:graphic>
          </wp:inline>
        </w:drawing>
      </w:r>
    </w:p>
    <w:p w14:paraId="4186CC8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50" w:name="_Toc19277"/>
      <w:r>
        <w:rPr>
          <w:rFonts w:hint="default" w:ascii="Times New Roman" w:hAnsi="Times New Roman" w:eastAsia="黑体" w:cs="Times New Roman"/>
          <w:bCs/>
          <w:color w:val="auto"/>
          <w:kern w:val="2"/>
          <w:sz w:val="24"/>
          <w:szCs w:val="32"/>
          <w:highlight w:val="none"/>
          <w:lang w:val="en-US" w:eastAsia="zh-CN"/>
        </w:rPr>
        <w:t>附件9  土壤检测报告1</w:t>
      </w:r>
      <w:bookmarkEnd w:id="450"/>
    </w:p>
    <w:p w14:paraId="1FC523F4">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930265" cy="8390890"/>
            <wp:effectExtent l="0" t="0" r="13335" b="10160"/>
            <wp:docPr id="107" name="图片 107" descr="PDF合并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PDF合并_35"/>
                    <pic:cNvPicPr>
                      <a:picLocks noChangeAspect="1"/>
                    </pic:cNvPicPr>
                  </pic:nvPicPr>
                  <pic:blipFill>
                    <a:blip r:embed="rId125"/>
                    <a:stretch>
                      <a:fillRect/>
                    </a:stretch>
                  </pic:blipFill>
                  <pic:spPr>
                    <a:xfrm>
                      <a:off x="0" y="0"/>
                      <a:ext cx="5930265" cy="839089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6" name="图片 106" descr="PDF合并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PDF合并_36"/>
                    <pic:cNvPicPr>
                      <a:picLocks noChangeAspect="1"/>
                    </pic:cNvPicPr>
                  </pic:nvPicPr>
                  <pic:blipFill>
                    <a:blip r:embed="rId126"/>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5" name="图片 105" descr="PDF合并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PDF合并_37"/>
                    <pic:cNvPicPr>
                      <a:picLocks noChangeAspect="1"/>
                    </pic:cNvPicPr>
                  </pic:nvPicPr>
                  <pic:blipFill>
                    <a:blip r:embed="rId127"/>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4" name="图片 104" descr="PDF合并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PDF合并_38"/>
                    <pic:cNvPicPr>
                      <a:picLocks noChangeAspect="1"/>
                    </pic:cNvPicPr>
                  </pic:nvPicPr>
                  <pic:blipFill>
                    <a:blip r:embed="rId128"/>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3" name="图片 103" descr="PDF合并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PDF合并_39"/>
                    <pic:cNvPicPr>
                      <a:picLocks noChangeAspect="1"/>
                    </pic:cNvPicPr>
                  </pic:nvPicPr>
                  <pic:blipFill>
                    <a:blip r:embed="rId129"/>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2" name="图片 102" descr="PDF合并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PDF合并_40"/>
                    <pic:cNvPicPr>
                      <a:picLocks noChangeAspect="1"/>
                    </pic:cNvPicPr>
                  </pic:nvPicPr>
                  <pic:blipFill>
                    <a:blip r:embed="rId130"/>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1" name="图片 101" descr="PDF合并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PDF合并_41"/>
                    <pic:cNvPicPr>
                      <a:picLocks noChangeAspect="1"/>
                    </pic:cNvPicPr>
                  </pic:nvPicPr>
                  <pic:blipFill>
                    <a:blip r:embed="rId131"/>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100" name="图片 100" descr="PDF合并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PDF合并_42"/>
                    <pic:cNvPicPr>
                      <a:picLocks noChangeAspect="1"/>
                    </pic:cNvPicPr>
                  </pic:nvPicPr>
                  <pic:blipFill>
                    <a:blip r:embed="rId132"/>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9" name="图片 99" descr="PDF合并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PDF合并_43"/>
                    <pic:cNvPicPr>
                      <a:picLocks noChangeAspect="1"/>
                    </pic:cNvPicPr>
                  </pic:nvPicPr>
                  <pic:blipFill>
                    <a:blip r:embed="rId133"/>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8" name="图片 98" descr="PDF合并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PDF合并_44"/>
                    <pic:cNvPicPr>
                      <a:picLocks noChangeAspect="1"/>
                    </pic:cNvPicPr>
                  </pic:nvPicPr>
                  <pic:blipFill>
                    <a:blip r:embed="rId134"/>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7" name="图片 97" descr="PDF合并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PDF合并_45"/>
                    <pic:cNvPicPr>
                      <a:picLocks noChangeAspect="1"/>
                    </pic:cNvPicPr>
                  </pic:nvPicPr>
                  <pic:blipFill>
                    <a:blip r:embed="rId135"/>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6" name="图片 96" descr="PDF合并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PDF合并_46"/>
                    <pic:cNvPicPr>
                      <a:picLocks noChangeAspect="1"/>
                    </pic:cNvPicPr>
                  </pic:nvPicPr>
                  <pic:blipFill>
                    <a:blip r:embed="rId136"/>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5" name="图片 95" descr="PDF合并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PDF合并_47"/>
                    <pic:cNvPicPr>
                      <a:picLocks noChangeAspect="1"/>
                    </pic:cNvPicPr>
                  </pic:nvPicPr>
                  <pic:blipFill>
                    <a:blip r:embed="rId137"/>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4" name="图片 94" descr="PDF合并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PDF合并_48"/>
                    <pic:cNvPicPr>
                      <a:picLocks noChangeAspect="1"/>
                    </pic:cNvPicPr>
                  </pic:nvPicPr>
                  <pic:blipFill>
                    <a:blip r:embed="rId138"/>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3" name="图片 93" descr="PDF合并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PDF合并_49"/>
                    <pic:cNvPicPr>
                      <a:picLocks noChangeAspect="1"/>
                    </pic:cNvPicPr>
                  </pic:nvPicPr>
                  <pic:blipFill>
                    <a:blip r:embed="rId139"/>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2" name="图片 92" descr="PDF合并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PDF合并_50"/>
                    <pic:cNvPicPr>
                      <a:picLocks noChangeAspect="1"/>
                    </pic:cNvPicPr>
                  </pic:nvPicPr>
                  <pic:blipFill>
                    <a:blip r:embed="rId140"/>
                    <a:stretch>
                      <a:fillRect/>
                    </a:stretch>
                  </pic:blipFill>
                  <pic:spPr>
                    <a:xfrm>
                      <a:off x="0" y="0"/>
                      <a:ext cx="6193155" cy="8762365"/>
                    </a:xfrm>
                    <a:prstGeom prst="rect">
                      <a:avLst/>
                    </a:prstGeom>
                  </pic:spPr>
                </pic:pic>
              </a:graphicData>
            </a:graphic>
          </wp:inline>
        </w:drawing>
      </w:r>
    </w:p>
    <w:p w14:paraId="36E05F1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51" w:name="_Toc22426"/>
      <w:r>
        <w:rPr>
          <w:rFonts w:hint="default" w:ascii="Times New Roman" w:hAnsi="Times New Roman" w:eastAsia="黑体" w:cs="Times New Roman"/>
          <w:bCs/>
          <w:color w:val="auto"/>
          <w:kern w:val="2"/>
          <w:sz w:val="24"/>
          <w:szCs w:val="32"/>
          <w:highlight w:val="none"/>
          <w:lang w:val="en-US" w:eastAsia="zh-CN"/>
        </w:rPr>
        <w:t>附件10 土壤检测报告2</w:t>
      </w:r>
      <w:bookmarkEnd w:id="451"/>
    </w:p>
    <w:p w14:paraId="114AF564">
      <w:pPr>
        <w:jc w:val="center"/>
        <w:rPr>
          <w:rFonts w:hint="default" w:ascii="Times New Roman" w:hAnsi="Times New Roman" w:eastAsia="宋体" w:cs="Times New Roman"/>
          <w:color w:val="auto"/>
          <w:highlight w:val="none"/>
          <w:lang w:eastAsia="zh-CN"/>
        </w:rPr>
      </w:pPr>
    </w:p>
    <w:p w14:paraId="6AE4071B">
      <w:pPr>
        <w:jc w:val="center"/>
        <w:rPr>
          <w:rFonts w:hint="default" w:ascii="Times New Roman" w:hAnsi="Times New Roman" w:eastAsia="宋体" w:cs="Times New Roman"/>
          <w:color w:val="auto"/>
          <w:highlight w:val="none"/>
          <w:lang w:eastAsia="zh-CN"/>
        </w:rPr>
      </w:pPr>
    </w:p>
    <w:p w14:paraId="29521376">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027930" cy="7114540"/>
            <wp:effectExtent l="0" t="0" r="1270" b="10160"/>
            <wp:docPr id="91" name="图片 91" descr="PDF合并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PDF合并_51"/>
                    <pic:cNvPicPr>
                      <a:picLocks noChangeAspect="1"/>
                    </pic:cNvPicPr>
                  </pic:nvPicPr>
                  <pic:blipFill>
                    <a:blip r:embed="rId141"/>
                    <a:stretch>
                      <a:fillRect/>
                    </a:stretch>
                  </pic:blipFill>
                  <pic:spPr>
                    <a:xfrm>
                      <a:off x="0" y="0"/>
                      <a:ext cx="5027930" cy="711454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90" name="图片 90" descr="PDF合并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PDF合并_52"/>
                    <pic:cNvPicPr>
                      <a:picLocks noChangeAspect="1"/>
                    </pic:cNvPicPr>
                  </pic:nvPicPr>
                  <pic:blipFill>
                    <a:blip r:embed="rId142"/>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89" name="图片 89" descr="PDF合并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PDF合并_53"/>
                    <pic:cNvPicPr>
                      <a:picLocks noChangeAspect="1"/>
                    </pic:cNvPicPr>
                  </pic:nvPicPr>
                  <pic:blipFill>
                    <a:blip r:embed="rId143"/>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88" name="图片 88" descr="PDF合并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PDF合并_54"/>
                    <pic:cNvPicPr>
                      <a:picLocks noChangeAspect="1"/>
                    </pic:cNvPicPr>
                  </pic:nvPicPr>
                  <pic:blipFill>
                    <a:blip r:embed="rId144"/>
                    <a:stretch>
                      <a:fillRect/>
                    </a:stretch>
                  </pic:blipFill>
                  <pic:spPr>
                    <a:xfrm>
                      <a:off x="0" y="0"/>
                      <a:ext cx="6193155" cy="876236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3155" cy="8762365"/>
            <wp:effectExtent l="0" t="0" r="17145" b="635"/>
            <wp:docPr id="87" name="图片 87" descr="PDF合并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PDF合并_55"/>
                    <pic:cNvPicPr>
                      <a:picLocks noChangeAspect="1"/>
                    </pic:cNvPicPr>
                  </pic:nvPicPr>
                  <pic:blipFill>
                    <a:blip r:embed="rId145"/>
                    <a:stretch>
                      <a:fillRect/>
                    </a:stretch>
                  </pic:blipFill>
                  <pic:spPr>
                    <a:xfrm>
                      <a:off x="0" y="0"/>
                      <a:ext cx="6193155" cy="8762365"/>
                    </a:xfrm>
                    <a:prstGeom prst="rect">
                      <a:avLst/>
                    </a:prstGeom>
                  </pic:spPr>
                </pic:pic>
              </a:graphicData>
            </a:graphic>
          </wp:inline>
        </w:drawing>
      </w:r>
    </w:p>
    <w:p w14:paraId="7814495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52" w:name="_Toc16778"/>
      <w:r>
        <w:rPr>
          <w:rFonts w:hint="default" w:ascii="Times New Roman" w:hAnsi="Times New Roman" w:eastAsia="黑体" w:cs="Times New Roman"/>
          <w:bCs/>
          <w:color w:val="auto"/>
          <w:kern w:val="2"/>
          <w:sz w:val="24"/>
          <w:szCs w:val="32"/>
          <w:highlight w:val="none"/>
          <w:lang w:val="en-US" w:eastAsia="zh-CN"/>
        </w:rPr>
        <w:t>附件11 大气、噪声、地下水检测报告</w:t>
      </w:r>
      <w:bookmarkEnd w:id="452"/>
    </w:p>
    <w:p w14:paraId="58E1E4B8">
      <w:pPr>
        <w:jc w:val="center"/>
        <w:rPr>
          <w:rFonts w:hint="default" w:ascii="Times New Roman" w:hAnsi="Times New Roman" w:eastAsia="宋体" w:cs="Times New Roman"/>
          <w:color w:val="auto"/>
          <w:highlight w:val="none"/>
          <w:lang w:eastAsia="zh-CN"/>
        </w:rPr>
      </w:pPr>
    </w:p>
    <w:p w14:paraId="262CBFA0">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300980" cy="7491095"/>
            <wp:effectExtent l="0" t="0" r="13970" b="14605"/>
            <wp:docPr id="86" name="图片 86" descr="PDF合并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PDF合并_56"/>
                    <pic:cNvPicPr>
                      <a:picLocks noChangeAspect="1"/>
                    </pic:cNvPicPr>
                  </pic:nvPicPr>
                  <pic:blipFill>
                    <a:blip r:embed="rId146"/>
                    <a:stretch>
                      <a:fillRect/>
                    </a:stretch>
                  </pic:blipFill>
                  <pic:spPr>
                    <a:xfrm>
                      <a:off x="0" y="0"/>
                      <a:ext cx="5300980" cy="749109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85" name="图片 85" descr="PDF合并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PDF合并_57"/>
                    <pic:cNvPicPr>
                      <a:picLocks noChangeAspect="1"/>
                    </pic:cNvPicPr>
                  </pic:nvPicPr>
                  <pic:blipFill>
                    <a:blip r:embed="rId147"/>
                    <a:stretch>
                      <a:fillRect/>
                    </a:stretch>
                  </pic:blipFill>
                  <pic:spPr>
                    <a:xfrm>
                      <a:off x="0" y="0"/>
                      <a:ext cx="6197600" cy="8757920"/>
                    </a:xfrm>
                    <a:prstGeom prst="rect">
                      <a:avLst/>
                    </a:prstGeom>
                  </pic:spPr>
                </pic:pic>
              </a:graphicData>
            </a:graphic>
          </wp:inline>
        </w:drawing>
      </w:r>
      <w:r>
        <w:rPr>
          <w:color w:val="auto"/>
          <w:highlight w:val="none"/>
        </w:rPr>
        <w:drawing>
          <wp:inline distT="0" distB="0" distL="114300" distR="114300">
            <wp:extent cx="6064885" cy="9264650"/>
            <wp:effectExtent l="0" t="0" r="12065" b="12700"/>
            <wp:docPr id="1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
                    <pic:cNvPicPr>
                      <a:picLocks noChangeAspect="1"/>
                    </pic:cNvPicPr>
                  </pic:nvPicPr>
                  <pic:blipFill>
                    <a:blip r:embed="rId148"/>
                    <a:stretch>
                      <a:fillRect/>
                    </a:stretch>
                  </pic:blipFill>
                  <pic:spPr>
                    <a:xfrm>
                      <a:off x="0" y="0"/>
                      <a:ext cx="6064885" cy="9264650"/>
                    </a:xfrm>
                    <a:prstGeom prst="rect">
                      <a:avLst/>
                    </a:prstGeom>
                    <a:noFill/>
                    <a:ln>
                      <a:noFill/>
                    </a:ln>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83" name="图片 83" descr="PDF合并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PDF合并_59"/>
                    <pic:cNvPicPr>
                      <a:picLocks noChangeAspect="1"/>
                    </pic:cNvPicPr>
                  </pic:nvPicPr>
                  <pic:blipFill>
                    <a:blip r:embed="rId149"/>
                    <a:stretch>
                      <a:fillRect/>
                    </a:stretch>
                  </pic:blipFill>
                  <pic:spPr>
                    <a:xfrm>
                      <a:off x="0" y="0"/>
                      <a:ext cx="6197600" cy="87579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82" name="图片 82" descr="PDF合并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PDF合并_60"/>
                    <pic:cNvPicPr>
                      <a:picLocks noChangeAspect="1"/>
                    </pic:cNvPicPr>
                  </pic:nvPicPr>
                  <pic:blipFill>
                    <a:blip r:embed="rId150"/>
                    <a:stretch>
                      <a:fillRect/>
                    </a:stretch>
                  </pic:blipFill>
                  <pic:spPr>
                    <a:xfrm>
                      <a:off x="0" y="0"/>
                      <a:ext cx="6197600" cy="87579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79" name="图片 79" descr="PDF合并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PDF合并_61"/>
                    <pic:cNvPicPr>
                      <a:picLocks noChangeAspect="1"/>
                    </pic:cNvPicPr>
                  </pic:nvPicPr>
                  <pic:blipFill>
                    <a:blip r:embed="rId151"/>
                    <a:stretch>
                      <a:fillRect/>
                    </a:stretch>
                  </pic:blipFill>
                  <pic:spPr>
                    <a:xfrm>
                      <a:off x="0" y="0"/>
                      <a:ext cx="6197600" cy="87579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78" name="图片 78" descr="PDF合并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PDF合并_62"/>
                    <pic:cNvPicPr>
                      <a:picLocks noChangeAspect="1"/>
                    </pic:cNvPicPr>
                  </pic:nvPicPr>
                  <pic:blipFill>
                    <a:blip r:embed="rId152"/>
                    <a:stretch>
                      <a:fillRect/>
                    </a:stretch>
                  </pic:blipFill>
                  <pic:spPr>
                    <a:xfrm>
                      <a:off x="0" y="0"/>
                      <a:ext cx="6197600" cy="875792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97600" cy="8757920"/>
            <wp:effectExtent l="0" t="0" r="12700" b="5080"/>
            <wp:docPr id="77" name="图片 77" descr="PDF合并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PDF合并_63"/>
                    <pic:cNvPicPr>
                      <a:picLocks noChangeAspect="1"/>
                    </pic:cNvPicPr>
                  </pic:nvPicPr>
                  <pic:blipFill>
                    <a:blip r:embed="rId153"/>
                    <a:stretch>
                      <a:fillRect/>
                    </a:stretch>
                  </pic:blipFill>
                  <pic:spPr>
                    <a:xfrm>
                      <a:off x="0" y="0"/>
                      <a:ext cx="6197600" cy="8757920"/>
                    </a:xfrm>
                    <a:prstGeom prst="rect">
                      <a:avLst/>
                    </a:prstGeom>
                  </pic:spPr>
                </pic:pic>
              </a:graphicData>
            </a:graphic>
          </wp:inline>
        </w:drawing>
      </w:r>
    </w:p>
    <w:p w14:paraId="7CF1031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宋体" w:cs="Times New Roman"/>
          <w:color w:val="auto"/>
          <w:highlight w:val="none"/>
          <w:lang w:eastAsia="zh-CN"/>
        </w:rPr>
      </w:pPr>
      <w:bookmarkStart w:id="453" w:name="_Toc10787"/>
      <w:r>
        <w:rPr>
          <w:rFonts w:hint="default" w:ascii="Times New Roman" w:hAnsi="Times New Roman" w:eastAsia="黑体" w:cs="Times New Roman"/>
          <w:bCs/>
          <w:color w:val="auto"/>
          <w:kern w:val="2"/>
          <w:sz w:val="24"/>
          <w:szCs w:val="32"/>
          <w:highlight w:val="none"/>
          <w:lang w:val="en-US" w:eastAsia="zh-CN"/>
        </w:rPr>
        <w:t>附件12分区管控分析报告</w:t>
      </w:r>
      <w:bookmarkEnd w:id="453"/>
    </w:p>
    <w:p w14:paraId="7D3EA7B4">
      <w:pPr>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76" name="图片 76" descr="PDF合并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PDF合并_64"/>
                    <pic:cNvPicPr>
                      <a:picLocks noChangeAspect="1"/>
                    </pic:cNvPicPr>
                  </pic:nvPicPr>
                  <pic:blipFill>
                    <a:blip r:embed="rId154"/>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75" name="图片 75" descr="PDF合并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PDF合并_65"/>
                    <pic:cNvPicPr>
                      <a:picLocks noChangeAspect="1"/>
                    </pic:cNvPicPr>
                  </pic:nvPicPr>
                  <pic:blipFill>
                    <a:blip r:embed="rId155"/>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74" name="图片 74" descr="PDF合并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PDF合并_66"/>
                    <pic:cNvPicPr>
                      <a:picLocks noChangeAspect="1"/>
                    </pic:cNvPicPr>
                  </pic:nvPicPr>
                  <pic:blipFill>
                    <a:blip r:embed="rId156"/>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73" name="图片 73" descr="PDF合并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PDF合并_67"/>
                    <pic:cNvPicPr>
                      <a:picLocks noChangeAspect="1"/>
                    </pic:cNvPicPr>
                  </pic:nvPicPr>
                  <pic:blipFill>
                    <a:blip r:embed="rId157"/>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69" name="图片 69" descr="PDF合并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PDF合并_68"/>
                    <pic:cNvPicPr>
                      <a:picLocks noChangeAspect="1"/>
                    </pic:cNvPicPr>
                  </pic:nvPicPr>
                  <pic:blipFill>
                    <a:blip r:embed="rId158"/>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68" name="图片 68" descr="PDF合并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PDF合并_69"/>
                    <pic:cNvPicPr>
                      <a:picLocks noChangeAspect="1"/>
                    </pic:cNvPicPr>
                  </pic:nvPicPr>
                  <pic:blipFill>
                    <a:blip r:embed="rId159"/>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61" name="图片 61" descr="PDF合并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PDF合并_70"/>
                    <pic:cNvPicPr>
                      <a:picLocks noChangeAspect="1"/>
                    </pic:cNvPicPr>
                  </pic:nvPicPr>
                  <pic:blipFill>
                    <a:blip r:embed="rId160"/>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60" name="图片 60" descr="PDF合并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PDF合并_71"/>
                    <pic:cNvPicPr>
                      <a:picLocks noChangeAspect="1"/>
                    </pic:cNvPicPr>
                  </pic:nvPicPr>
                  <pic:blipFill>
                    <a:blip r:embed="rId161"/>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59" name="图片 59" descr="PDF合并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PDF合并_72"/>
                    <pic:cNvPicPr>
                      <a:picLocks noChangeAspect="1"/>
                    </pic:cNvPicPr>
                  </pic:nvPicPr>
                  <pic:blipFill>
                    <a:blip r:embed="rId162"/>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58" name="图片 58" descr="PDF合并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PDF合并_73"/>
                    <pic:cNvPicPr>
                      <a:picLocks noChangeAspect="1"/>
                    </pic:cNvPicPr>
                  </pic:nvPicPr>
                  <pic:blipFill>
                    <a:blip r:embed="rId163"/>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57" name="图片 57" descr="PDF合并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PDF合并_74"/>
                    <pic:cNvPicPr>
                      <a:picLocks noChangeAspect="1"/>
                    </pic:cNvPicPr>
                  </pic:nvPicPr>
                  <pic:blipFill>
                    <a:blip r:embed="rId164"/>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56" name="图片 56" descr="PDF合并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PDF合并_75"/>
                    <pic:cNvPicPr>
                      <a:picLocks noChangeAspect="1"/>
                    </pic:cNvPicPr>
                  </pic:nvPicPr>
                  <pic:blipFill>
                    <a:blip r:embed="rId165"/>
                    <a:stretch>
                      <a:fillRect/>
                    </a:stretch>
                  </pic:blipFill>
                  <pic:spPr>
                    <a:xfrm>
                      <a:off x="0" y="0"/>
                      <a:ext cx="6640830" cy="46958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640830" cy="4695825"/>
            <wp:effectExtent l="0" t="0" r="7620" b="9525"/>
            <wp:docPr id="55" name="图片 55" descr="PDF合并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PDF合并_76"/>
                    <pic:cNvPicPr>
                      <a:picLocks noChangeAspect="1"/>
                    </pic:cNvPicPr>
                  </pic:nvPicPr>
                  <pic:blipFill>
                    <a:blip r:embed="rId166"/>
                    <a:stretch>
                      <a:fillRect/>
                    </a:stretch>
                  </pic:blipFill>
                  <pic:spPr>
                    <a:xfrm>
                      <a:off x="0" y="0"/>
                      <a:ext cx="6640830" cy="4695825"/>
                    </a:xfrm>
                    <a:prstGeom prst="rect">
                      <a:avLst/>
                    </a:prstGeom>
                  </pic:spPr>
                </pic:pic>
              </a:graphicData>
            </a:graphic>
          </wp:inline>
        </w:drawing>
      </w:r>
    </w:p>
    <w:p w14:paraId="3B5FEE5D">
      <w:pPr>
        <w:jc w:val="both"/>
        <w:rPr>
          <w:rFonts w:hint="default" w:ascii="Times New Roman" w:hAnsi="Times New Roman" w:eastAsia="宋体" w:cs="Times New Roman"/>
          <w:color w:val="auto"/>
          <w:highlight w:val="none"/>
          <w:lang w:eastAsia="zh-CN"/>
        </w:rPr>
      </w:pPr>
    </w:p>
    <w:p w14:paraId="59D885DE">
      <w:pPr>
        <w:jc w:val="both"/>
        <w:rPr>
          <w:rFonts w:hint="default" w:ascii="Times New Roman" w:hAnsi="Times New Roman" w:eastAsia="宋体" w:cs="Times New Roman"/>
          <w:color w:val="auto"/>
          <w:highlight w:val="none"/>
          <w:lang w:eastAsia="zh-CN"/>
        </w:rPr>
      </w:pPr>
    </w:p>
    <w:p w14:paraId="4B606732">
      <w:pPr>
        <w:jc w:val="both"/>
        <w:rPr>
          <w:rFonts w:hint="default" w:ascii="Times New Roman" w:hAnsi="Times New Roman" w:eastAsia="宋体" w:cs="Times New Roman"/>
          <w:color w:val="auto"/>
          <w:highlight w:val="none"/>
          <w:lang w:eastAsia="zh-CN"/>
        </w:rPr>
      </w:pPr>
    </w:p>
    <w:p w14:paraId="3A5B87FB">
      <w:pPr>
        <w:jc w:val="both"/>
        <w:rPr>
          <w:rFonts w:hint="default" w:ascii="Times New Roman" w:hAnsi="Times New Roman" w:eastAsia="宋体" w:cs="Times New Roman"/>
          <w:color w:val="auto"/>
          <w:highlight w:val="none"/>
          <w:lang w:eastAsia="zh-CN"/>
        </w:rPr>
      </w:pPr>
    </w:p>
    <w:p w14:paraId="1C3DE3C0">
      <w:pPr>
        <w:jc w:val="both"/>
        <w:rPr>
          <w:rFonts w:hint="default" w:ascii="Times New Roman" w:hAnsi="Times New Roman" w:eastAsia="宋体" w:cs="Times New Roman"/>
          <w:color w:val="auto"/>
          <w:highlight w:val="none"/>
          <w:lang w:eastAsia="zh-CN"/>
        </w:rPr>
      </w:pPr>
    </w:p>
    <w:p w14:paraId="01431DC0">
      <w:pPr>
        <w:jc w:val="both"/>
        <w:rPr>
          <w:rFonts w:hint="default" w:ascii="Times New Roman" w:hAnsi="Times New Roman" w:eastAsia="宋体" w:cs="Times New Roman"/>
          <w:color w:val="auto"/>
          <w:highlight w:val="none"/>
          <w:lang w:eastAsia="zh-CN"/>
        </w:rPr>
      </w:pPr>
    </w:p>
    <w:p w14:paraId="1C7D91C3">
      <w:pPr>
        <w:jc w:val="both"/>
        <w:rPr>
          <w:rFonts w:hint="default" w:ascii="Times New Roman" w:hAnsi="Times New Roman" w:eastAsia="宋体" w:cs="Times New Roman"/>
          <w:color w:val="auto"/>
          <w:highlight w:val="none"/>
          <w:lang w:eastAsia="zh-CN"/>
        </w:rPr>
      </w:pPr>
    </w:p>
    <w:p w14:paraId="5713CBEC">
      <w:pPr>
        <w:jc w:val="both"/>
        <w:rPr>
          <w:rFonts w:hint="default" w:ascii="Times New Roman" w:hAnsi="Times New Roman" w:eastAsia="宋体" w:cs="Times New Roman"/>
          <w:color w:val="auto"/>
          <w:highlight w:val="none"/>
          <w:lang w:eastAsia="zh-CN"/>
        </w:rPr>
      </w:pPr>
    </w:p>
    <w:p w14:paraId="7243B37E">
      <w:pPr>
        <w:jc w:val="both"/>
        <w:rPr>
          <w:rFonts w:hint="default" w:ascii="Times New Roman" w:hAnsi="Times New Roman" w:eastAsia="宋体" w:cs="Times New Roman"/>
          <w:color w:val="auto"/>
          <w:highlight w:val="none"/>
          <w:lang w:eastAsia="zh-CN"/>
        </w:rPr>
      </w:pPr>
    </w:p>
    <w:p w14:paraId="6F6A7F4F">
      <w:pPr>
        <w:jc w:val="both"/>
        <w:rPr>
          <w:rFonts w:hint="default" w:ascii="Times New Roman" w:hAnsi="Times New Roman" w:eastAsia="宋体" w:cs="Times New Roman"/>
          <w:color w:val="auto"/>
          <w:highlight w:val="none"/>
          <w:lang w:eastAsia="zh-CN"/>
        </w:rPr>
      </w:pPr>
    </w:p>
    <w:p w14:paraId="4B0E6747">
      <w:pPr>
        <w:jc w:val="both"/>
        <w:rPr>
          <w:rFonts w:hint="default" w:ascii="Times New Roman" w:hAnsi="Times New Roman" w:eastAsia="宋体" w:cs="Times New Roman"/>
          <w:color w:val="auto"/>
          <w:highlight w:val="none"/>
          <w:lang w:eastAsia="zh-CN"/>
        </w:rPr>
      </w:pPr>
    </w:p>
    <w:p w14:paraId="0571834A">
      <w:pPr>
        <w:jc w:val="both"/>
        <w:rPr>
          <w:rFonts w:hint="default" w:ascii="Times New Roman" w:hAnsi="Times New Roman" w:eastAsia="宋体" w:cs="Times New Roman"/>
          <w:color w:val="auto"/>
          <w:highlight w:val="none"/>
          <w:lang w:eastAsia="zh-CN"/>
        </w:rPr>
      </w:pPr>
    </w:p>
    <w:p w14:paraId="5B83247E">
      <w:pPr>
        <w:jc w:val="both"/>
        <w:rPr>
          <w:rFonts w:hint="default" w:ascii="Times New Roman" w:hAnsi="Times New Roman" w:eastAsia="宋体" w:cs="Times New Roman"/>
          <w:color w:val="auto"/>
          <w:highlight w:val="none"/>
          <w:lang w:eastAsia="zh-CN"/>
        </w:rPr>
      </w:pPr>
    </w:p>
    <w:p w14:paraId="00BFEE86">
      <w:pPr>
        <w:jc w:val="both"/>
        <w:rPr>
          <w:rFonts w:hint="default" w:ascii="Times New Roman" w:hAnsi="Times New Roman" w:eastAsia="宋体" w:cs="Times New Roman"/>
          <w:color w:val="auto"/>
          <w:highlight w:val="none"/>
          <w:lang w:eastAsia="zh-CN"/>
        </w:rPr>
      </w:pPr>
    </w:p>
    <w:p w14:paraId="3B26DDD1">
      <w:pPr>
        <w:jc w:val="both"/>
        <w:rPr>
          <w:rFonts w:hint="default" w:ascii="Times New Roman" w:hAnsi="Times New Roman" w:eastAsia="宋体" w:cs="Times New Roman"/>
          <w:color w:val="auto"/>
          <w:highlight w:val="none"/>
          <w:lang w:eastAsia="zh-CN"/>
        </w:rPr>
      </w:pPr>
    </w:p>
    <w:p w14:paraId="1909D5E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54" w:name="_Toc17486"/>
      <w:r>
        <w:rPr>
          <w:rFonts w:hint="default" w:ascii="Times New Roman" w:hAnsi="Times New Roman" w:eastAsia="黑体" w:cs="Times New Roman"/>
          <w:bCs/>
          <w:color w:val="auto"/>
          <w:kern w:val="2"/>
          <w:sz w:val="24"/>
          <w:szCs w:val="32"/>
          <w:highlight w:val="none"/>
          <w:lang w:val="en-US" w:eastAsia="zh-CN"/>
        </w:rPr>
        <w:t>附件13  复垦面积说明</w:t>
      </w:r>
      <w:bookmarkEnd w:id="454"/>
    </w:p>
    <w:p w14:paraId="235DAD36">
      <w:pPr>
        <w:bidi w:val="0"/>
        <w:jc w:val="center"/>
        <w:rPr>
          <w:rFonts w:hint="default" w:ascii="Times New Roman" w:hAnsi="Times New Roman" w:cs="Times New Roman"/>
          <w:color w:val="auto"/>
          <w:highlight w:val="none"/>
          <w:lang w:val="en-US" w:eastAsia="zh-CN"/>
        </w:rPr>
      </w:pPr>
      <w:bookmarkStart w:id="455" w:name="_Toc9897"/>
      <w:r>
        <w:rPr>
          <w:rFonts w:hint="default" w:ascii="Times New Roman" w:hAnsi="Times New Roman" w:cs="Times New Roman"/>
          <w:color w:val="auto"/>
          <w:highlight w:val="none"/>
          <w:lang w:eastAsia="zh-CN"/>
        </w:rPr>
        <w:drawing>
          <wp:inline distT="0" distB="0" distL="114300" distR="114300">
            <wp:extent cx="5061585" cy="8096885"/>
            <wp:effectExtent l="0" t="0" r="5715" b="18415"/>
            <wp:docPr id="143" name="图片 143" descr="微信图片_2025040914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微信图片_20250409140319"/>
                    <pic:cNvPicPr>
                      <a:picLocks noChangeAspect="1"/>
                    </pic:cNvPicPr>
                  </pic:nvPicPr>
                  <pic:blipFill>
                    <a:blip r:embed="rId167"/>
                    <a:stretch>
                      <a:fillRect/>
                    </a:stretch>
                  </pic:blipFill>
                  <pic:spPr>
                    <a:xfrm>
                      <a:off x="0" y="0"/>
                      <a:ext cx="5061585" cy="8096885"/>
                    </a:xfrm>
                    <a:prstGeom prst="rect">
                      <a:avLst/>
                    </a:prstGeom>
                  </pic:spPr>
                </pic:pic>
              </a:graphicData>
            </a:graphic>
          </wp:inline>
        </w:drawing>
      </w:r>
      <w:bookmarkEnd w:id="455"/>
    </w:p>
    <w:p w14:paraId="06FBC93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p>
    <w:p w14:paraId="4C5BC70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Cs/>
          <w:color w:val="auto"/>
          <w:kern w:val="2"/>
          <w:sz w:val="24"/>
          <w:szCs w:val="32"/>
          <w:highlight w:val="none"/>
          <w:lang w:val="en-US" w:eastAsia="zh-CN"/>
        </w:rPr>
      </w:pPr>
      <w:bookmarkStart w:id="456" w:name="_Toc25685"/>
      <w:r>
        <w:rPr>
          <w:rFonts w:hint="default" w:ascii="Times New Roman" w:hAnsi="Times New Roman" w:eastAsia="黑体" w:cs="Times New Roman"/>
          <w:bCs/>
          <w:color w:val="auto"/>
          <w:kern w:val="2"/>
          <w:sz w:val="24"/>
          <w:szCs w:val="32"/>
          <w:highlight w:val="none"/>
          <w:lang w:val="en-US" w:eastAsia="zh-CN"/>
        </w:rPr>
        <w:t>附件14  现有采坑面积说明</w:t>
      </w:r>
      <w:bookmarkEnd w:id="456"/>
    </w:p>
    <w:p w14:paraId="5715DA49">
      <w:pPr>
        <w:pStyle w:val="27"/>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271135" cy="7505700"/>
            <wp:effectExtent l="0" t="0" r="5715"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168"/>
                    <a:stretch>
                      <a:fillRect/>
                    </a:stretch>
                  </pic:blipFill>
                  <pic:spPr>
                    <a:xfrm>
                      <a:off x="0" y="0"/>
                      <a:ext cx="5271135" cy="7505700"/>
                    </a:xfrm>
                    <a:prstGeom prst="rect">
                      <a:avLst/>
                    </a:prstGeom>
                    <a:noFill/>
                    <a:ln>
                      <a:noFill/>
                    </a:ln>
                  </pic:spPr>
                </pic:pic>
              </a:graphicData>
            </a:graphic>
          </wp:inline>
        </w:drawing>
      </w:r>
    </w:p>
    <w:sectPr>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A9D7E">
    <w:pPr>
      <w:tabs>
        <w:tab w:val="center" w:pos="4153"/>
        <w:tab w:val="right" w:pos="8306"/>
      </w:tabs>
      <w:jc w:val="center"/>
    </w:pPr>
  </w:p>
  <w:p w14:paraId="4468DD7D">
    <w:pPr>
      <w:tabs>
        <w:tab w:val="center" w:pos="4153"/>
        <w:tab w:val="right" w:pos="830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E41C4">
    <w:pPr>
      <w:tabs>
        <w:tab w:val="center" w:pos="4153"/>
        <w:tab w:val="right" w:pos="8306"/>
      </w:tabs>
      <w:jc w:val="center"/>
    </w:pPr>
    <w:r>
      <w:fldChar w:fldCharType="begin"/>
    </w:r>
    <w:r>
      <w:instrText xml:space="preserve"> PAGE   \* MERGEFORMAT </w:instrText>
    </w:r>
    <w:r>
      <w:fldChar w:fldCharType="separate"/>
    </w:r>
    <w:r>
      <w:rPr>
        <w:lang w:val="zh-CN"/>
      </w:rPr>
      <w:t>110</w:t>
    </w:r>
    <w:r>
      <w:rPr>
        <w:lang w:val="zh-CN"/>
      </w:rPr>
      <w:fldChar w:fldCharType="end"/>
    </w:r>
  </w:p>
  <w:p w14:paraId="121DC3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CA0F8">
    <w:pPr>
      <w:tabs>
        <w:tab w:val="center" w:pos="4422"/>
        <w:tab w:val="right" w:pos="8844"/>
      </w:tabs>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72085" cy="131445"/>
              <wp:effectExtent l="0" t="0" r="635" b="0"/>
              <wp:wrapNone/>
              <wp:docPr id="1662565081" name="Text Box 1"/>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14:paraId="53B6C246">
                          <w:pPr>
                            <w:tabs>
                              <w:tab w:val="center" w:pos="4153"/>
                              <w:tab w:val="right" w:pos="8306"/>
                            </w:tabs>
                          </w:pPr>
                          <w:r>
                            <w:fldChar w:fldCharType="begin"/>
                          </w:r>
                          <w:r>
                            <w:instrText xml:space="preserve"> PAGE  \* MERGEFORMAT </w:instrText>
                          </w:r>
                          <w:r>
                            <w:fldChar w:fldCharType="separate"/>
                          </w:r>
                          <w:r>
                            <w:t>168</w:t>
                          </w:r>
                          <w:r>
                            <w:fldChar w:fldCharType="end"/>
                          </w:r>
                        </w:p>
                      </w:txbxContent>
                    </wps:txbx>
                    <wps:bodyPr rot="0" vert="horz" wrap="none" lIns="0" tIns="0" rIns="0" bIns="0" anchor="t" anchorCtr="0" upright="1">
                      <a:spAutoFit/>
                    </wps:bodyPr>
                  </wps:wsp>
                </a:graphicData>
              </a:graphic>
            </wp:anchor>
          </w:drawing>
        </mc:Choice>
        <mc:Fallback>
          <w:pict>
            <v:shape id="Text Box 1" o:spid="_x0000_s1026" o:spt="202" type="#_x0000_t202" style="position:absolute;left:0pt;margin-top:0pt;height:10.35pt;width:13.55pt;mso-position-horizontal:center;mso-position-horizontal-relative:margin;mso-wrap-style:none;z-index:251659264;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UldDlzwAAAAMBAAAPAAAAAAAAAAEAIAAAACIAAABkcnMvZG93bnJldi54bWxQ&#10;SwECFAAUAAAACACHTuJAyyhOcAACAAAKBAAADgAAAAAAAAABACAAAAAeAQAAZHJzL2Uyb0RvYy54&#10;bWxQSwUGAAAAAAYABgBZAQAAkAUAAAAA&#10;">
              <v:fill on="f" focussize="0,0"/>
              <v:stroke on="f"/>
              <v:imagedata o:title=""/>
              <o:lock v:ext="edit" aspectratio="f"/>
              <v:textbox inset="0mm,0mm,0mm,0mm" style="mso-fit-shape-to-text:t;">
                <w:txbxContent>
                  <w:p w14:paraId="53B6C246">
                    <w:pPr>
                      <w:tabs>
                        <w:tab w:val="center" w:pos="4153"/>
                        <w:tab w:val="right" w:pos="8306"/>
                      </w:tabs>
                    </w:pPr>
                    <w:r>
                      <w:fldChar w:fldCharType="begin"/>
                    </w:r>
                    <w:r>
                      <w:instrText xml:space="preserve"> PAGE  \* MERGEFORMAT </w:instrText>
                    </w:r>
                    <w:r>
                      <w:fldChar w:fldCharType="separate"/>
                    </w:r>
                    <w:r>
                      <w:t>168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61559"/>
    </w:sdtPr>
    <w:sdtContent>
      <w:p w14:paraId="020A62DE">
        <w:pPr>
          <w:tabs>
            <w:tab w:val="center" w:pos="4153"/>
            <w:tab w:val="right" w:pos="8306"/>
          </w:tabs>
          <w:jc w:val="center"/>
        </w:pPr>
        <w:r>
          <w:fldChar w:fldCharType="begin"/>
        </w:r>
        <w:r>
          <w:instrText xml:space="preserve"> PAGE   \* MERGEFORMAT </w:instrText>
        </w:r>
        <w:r>
          <w:fldChar w:fldCharType="separate"/>
        </w:r>
        <w:r>
          <w:rPr>
            <w:lang w:val="zh-CN"/>
          </w:rPr>
          <w:t>203</w:t>
        </w:r>
        <w:r>
          <w:rPr>
            <w:lang w:val="zh-CN"/>
          </w:rPr>
          <w:fldChar w:fldCharType="end"/>
        </w:r>
      </w:p>
    </w:sdtContent>
  </w:sdt>
  <w:p w14:paraId="637F8529">
    <w:pPr>
      <w:tabs>
        <w:tab w:val="center" w:pos="4153"/>
        <w:tab w:val="right" w:pos="8306"/>
      </w:tabs>
      <w:ind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D9E9B">
    <w:pPr>
      <w:jc w:val="center"/>
      <w:outlineLvl w:val="0"/>
      <w:rPr>
        <w:rFonts w:hint="eastAsia" w:ascii="黑体" w:hAnsi="宋体" w:eastAsia="黑体"/>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B608B7">
    <w:pPr>
      <w:pBdr>
        <w:bottom w:val="single" w:color="auto" w:sz="4" w:space="0"/>
      </w:pBdr>
      <w:jc w:val="center"/>
      <w:outlineLvl w:val="0"/>
      <w:rPr>
        <w:rFonts w:hint="eastAsia" w:ascii="仿宋" w:hAnsi="仿宋" w:eastAsia="仿宋"/>
        <w:b/>
        <w:bCs/>
        <w:sz w:val="18"/>
        <w:szCs w:val="18"/>
      </w:rPr>
    </w:pPr>
    <w:r>
      <w:rPr>
        <w:rFonts w:hint="eastAsia" w:ascii="仿宋" w:hAnsi="仿宋" w:eastAsia="仿宋"/>
        <w:b/>
        <w:bCs/>
        <w:sz w:val="18"/>
        <w:szCs w:val="18"/>
      </w:rPr>
      <w:t>鸡西市滴道南甸子碎石场</w:t>
    </w:r>
    <w:r>
      <w:rPr>
        <w:rFonts w:hint="eastAsia" w:ascii="仿宋" w:hAnsi="仿宋" w:eastAsia="仿宋"/>
        <w:b/>
        <w:bCs/>
        <w:sz w:val="18"/>
        <w:szCs w:val="18"/>
        <w:lang w:val="en-US" w:eastAsia="zh-CN"/>
      </w:rPr>
      <w:t>矿山复垦项目</w:t>
    </w:r>
    <w:r>
      <w:rPr>
        <w:rFonts w:hint="eastAsia" w:ascii="仿宋" w:hAnsi="仿宋" w:eastAsia="仿宋"/>
        <w:b/>
        <w:bCs/>
        <w:sz w:val="18"/>
        <w:szCs w:val="18"/>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ACA9D3">
    <w:pPr>
      <w:pBdr>
        <w:bottom w:val="single" w:color="auto" w:sz="4" w:space="0"/>
      </w:pBdr>
      <w:jc w:val="center"/>
      <w:outlineLvl w:val="0"/>
    </w:pPr>
    <w:r>
      <w:rPr>
        <w:rFonts w:hint="eastAsia" w:ascii="仿宋" w:hAnsi="仿宋" w:eastAsia="仿宋"/>
        <w:b/>
        <w:bCs/>
        <w:sz w:val="18"/>
        <w:szCs w:val="18"/>
      </w:rPr>
      <w:t>鸡西市滴道南甸子碎石场</w:t>
    </w:r>
    <w:r>
      <w:rPr>
        <w:rFonts w:hint="eastAsia" w:ascii="仿宋" w:hAnsi="仿宋" w:eastAsia="仿宋"/>
        <w:b/>
        <w:bCs/>
        <w:sz w:val="18"/>
        <w:szCs w:val="18"/>
        <w:lang w:val="en-US" w:eastAsia="zh-CN"/>
      </w:rPr>
      <w:t>矿山复垦项目</w:t>
    </w:r>
    <w:r>
      <w:rPr>
        <w:rFonts w:hint="eastAsia" w:ascii="仿宋" w:hAnsi="仿宋" w:eastAsia="仿宋"/>
        <w:b/>
        <w:bCs/>
        <w:sz w:val="18"/>
        <w:szCs w:val="18"/>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41406F">
    <w:pPr>
      <w:ind w:left="0" w:leftChars="0" w:firstLine="0" w:firstLineChars="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4px;height:18px" o:bullet="t">
        <v:imagedata r:id="rId1" o:title=""/>
      </v:shape>
    </w:pict>
  </w:numPicBullet>
  <w:abstractNum w:abstractNumId="0">
    <w:nsid w:val="9366B2FC"/>
    <w:multiLevelType w:val="singleLevel"/>
    <w:tmpl w:val="9366B2FC"/>
    <w:lvl w:ilvl="0" w:tentative="0">
      <w:start w:val="1"/>
      <w:numFmt w:val="decimal"/>
      <w:suff w:val="nothing"/>
      <w:lvlText w:val="（%1）"/>
      <w:lvlJc w:val="left"/>
    </w:lvl>
  </w:abstractNum>
  <w:abstractNum w:abstractNumId="1">
    <w:nsid w:val="94B60FA0"/>
    <w:multiLevelType w:val="singleLevel"/>
    <w:tmpl w:val="94B60FA0"/>
    <w:lvl w:ilvl="0" w:tentative="0">
      <w:start w:val="1"/>
      <w:numFmt w:val="decimal"/>
      <w:lvlText w:val="%1."/>
      <w:lvlJc w:val="left"/>
      <w:pPr>
        <w:tabs>
          <w:tab w:val="left" w:pos="312"/>
        </w:tabs>
      </w:pPr>
    </w:lvl>
  </w:abstractNum>
  <w:abstractNum w:abstractNumId="2">
    <w:nsid w:val="A41519A6"/>
    <w:multiLevelType w:val="singleLevel"/>
    <w:tmpl w:val="A41519A6"/>
    <w:lvl w:ilvl="0" w:tentative="0">
      <w:start w:val="1"/>
      <w:numFmt w:val="decimal"/>
      <w:suff w:val="nothing"/>
      <w:lvlText w:val="（%1）"/>
      <w:lvlJc w:val="left"/>
    </w:lvl>
  </w:abstractNum>
  <w:abstractNum w:abstractNumId="3">
    <w:nsid w:val="D5676BBF"/>
    <w:multiLevelType w:val="singleLevel"/>
    <w:tmpl w:val="D5676BBF"/>
    <w:lvl w:ilvl="0" w:tentative="0">
      <w:start w:val="1"/>
      <w:numFmt w:val="decimal"/>
      <w:suff w:val="nothing"/>
      <w:lvlText w:val="%1、"/>
      <w:lvlJc w:val="left"/>
    </w:lvl>
  </w:abstractNum>
  <w:abstractNum w:abstractNumId="4">
    <w:nsid w:val="F60DAD02"/>
    <w:multiLevelType w:val="singleLevel"/>
    <w:tmpl w:val="F60DAD02"/>
    <w:lvl w:ilvl="0" w:tentative="0">
      <w:start w:val="1"/>
      <w:numFmt w:val="decimal"/>
      <w:suff w:val="nothing"/>
      <w:lvlText w:val="%1、"/>
      <w:lvlJc w:val="left"/>
    </w:lvl>
  </w:abstractNum>
  <w:abstractNum w:abstractNumId="5">
    <w:nsid w:val="07F353CE"/>
    <w:multiLevelType w:val="singleLevel"/>
    <w:tmpl w:val="07F353CE"/>
    <w:lvl w:ilvl="0" w:tentative="0">
      <w:start w:val="4"/>
      <w:numFmt w:val="decimal"/>
      <w:suff w:val="nothing"/>
      <w:lvlText w:val="（%1）"/>
      <w:lvlJc w:val="left"/>
    </w:lvl>
  </w:abstractNum>
  <w:abstractNum w:abstractNumId="6">
    <w:nsid w:val="08BFE296"/>
    <w:multiLevelType w:val="singleLevel"/>
    <w:tmpl w:val="08BFE296"/>
    <w:lvl w:ilvl="0" w:tentative="0">
      <w:start w:val="1"/>
      <w:numFmt w:val="decimal"/>
      <w:suff w:val="nothing"/>
      <w:lvlText w:val="%1、"/>
      <w:lvlJc w:val="left"/>
    </w:lvl>
  </w:abstractNum>
  <w:abstractNum w:abstractNumId="7">
    <w:nsid w:val="15621728"/>
    <w:multiLevelType w:val="multilevel"/>
    <w:tmpl w:val="15621728"/>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8">
    <w:nsid w:val="4465A2EB"/>
    <w:multiLevelType w:val="singleLevel"/>
    <w:tmpl w:val="4465A2EB"/>
    <w:lvl w:ilvl="0" w:tentative="0">
      <w:start w:val="2"/>
      <w:numFmt w:val="decimal"/>
      <w:suff w:val="nothing"/>
      <w:lvlText w:val="%1、"/>
      <w:lvlJc w:val="left"/>
    </w:lvl>
  </w:abstractNum>
  <w:abstractNum w:abstractNumId="9">
    <w:nsid w:val="57557A52"/>
    <w:multiLevelType w:val="singleLevel"/>
    <w:tmpl w:val="57557A52"/>
    <w:lvl w:ilvl="0" w:tentative="0">
      <w:start w:val="1"/>
      <w:numFmt w:val="decimal"/>
      <w:suff w:val="nothing"/>
      <w:lvlText w:val="%1）"/>
      <w:lvlJc w:val="left"/>
    </w:lvl>
  </w:abstractNum>
  <w:abstractNum w:abstractNumId="10">
    <w:nsid w:val="62A42591"/>
    <w:multiLevelType w:val="singleLevel"/>
    <w:tmpl w:val="62A42591"/>
    <w:lvl w:ilvl="0" w:tentative="0">
      <w:start w:val="1"/>
      <w:numFmt w:val="decimal"/>
      <w:suff w:val="nothing"/>
      <w:lvlText w:val="%1、"/>
      <w:lvlJc w:val="left"/>
    </w:lvl>
  </w:abstractNum>
  <w:abstractNum w:abstractNumId="11">
    <w:nsid w:val="71EB4BD5"/>
    <w:multiLevelType w:val="singleLevel"/>
    <w:tmpl w:val="71EB4BD5"/>
    <w:lvl w:ilvl="0" w:tentative="0">
      <w:start w:val="1"/>
      <w:numFmt w:val="decimal"/>
      <w:suff w:val="nothing"/>
      <w:lvlText w:val="（%1）"/>
      <w:lvlJc w:val="left"/>
    </w:lvl>
  </w:abstractNum>
  <w:abstractNum w:abstractNumId="12">
    <w:nsid w:val="784AF568"/>
    <w:multiLevelType w:val="singleLevel"/>
    <w:tmpl w:val="784AF568"/>
    <w:lvl w:ilvl="0" w:tentative="0">
      <w:start w:val="1"/>
      <w:numFmt w:val="decimal"/>
      <w:suff w:val="nothing"/>
      <w:lvlText w:val="%1）"/>
      <w:lvlJc w:val="left"/>
    </w:lvl>
  </w:abstractNum>
  <w:num w:numId="1">
    <w:abstractNumId w:val="1"/>
  </w:num>
  <w:num w:numId="2">
    <w:abstractNumId w:val="8"/>
  </w:num>
  <w:num w:numId="3">
    <w:abstractNumId w:val="3"/>
  </w:num>
  <w:num w:numId="4">
    <w:abstractNumId w:val="6"/>
  </w:num>
  <w:num w:numId="5">
    <w:abstractNumId w:val="10"/>
  </w:num>
  <w:num w:numId="6">
    <w:abstractNumId w:val="11"/>
  </w:num>
  <w:num w:numId="7">
    <w:abstractNumId w:val="0"/>
  </w:num>
  <w:num w:numId="8">
    <w:abstractNumId w:val="9"/>
  </w:num>
  <w:num w:numId="9">
    <w:abstractNumId w:val="12"/>
  </w:num>
  <w:num w:numId="10">
    <w:abstractNumId w:val="7"/>
  </w:num>
  <w:num w:numId="11">
    <w:abstractNumId w:val="5"/>
  </w:num>
  <w:num w:numId="12">
    <w:abstractNumId w:val="2"/>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05"/>
  <w:drawingGridVerticalSpacing w:val="16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FjNTcxOTUzMmJiYzdjMTUyMDUxYjJlMmFiZjRlNDEifQ=="/>
  </w:docVars>
  <w:rsids>
    <w:rsidRoot w:val="00CD6827"/>
    <w:rsid w:val="0000015F"/>
    <w:rsid w:val="00000247"/>
    <w:rsid w:val="00000261"/>
    <w:rsid w:val="0000041D"/>
    <w:rsid w:val="00000955"/>
    <w:rsid w:val="000011B8"/>
    <w:rsid w:val="0000146A"/>
    <w:rsid w:val="00001D5A"/>
    <w:rsid w:val="00001DD1"/>
    <w:rsid w:val="00001DF9"/>
    <w:rsid w:val="00002043"/>
    <w:rsid w:val="000020FF"/>
    <w:rsid w:val="0000255E"/>
    <w:rsid w:val="000025FF"/>
    <w:rsid w:val="00002EDF"/>
    <w:rsid w:val="00003A27"/>
    <w:rsid w:val="00003ADD"/>
    <w:rsid w:val="00003DF8"/>
    <w:rsid w:val="000043FE"/>
    <w:rsid w:val="00004822"/>
    <w:rsid w:val="0000489C"/>
    <w:rsid w:val="00004DFD"/>
    <w:rsid w:val="00004E4E"/>
    <w:rsid w:val="000059C4"/>
    <w:rsid w:val="00005A28"/>
    <w:rsid w:val="00006C60"/>
    <w:rsid w:val="00006EA1"/>
    <w:rsid w:val="00007252"/>
    <w:rsid w:val="00007648"/>
    <w:rsid w:val="000108E6"/>
    <w:rsid w:val="00010959"/>
    <w:rsid w:val="00010F8B"/>
    <w:rsid w:val="00011646"/>
    <w:rsid w:val="00011C2B"/>
    <w:rsid w:val="00011DDF"/>
    <w:rsid w:val="00011E25"/>
    <w:rsid w:val="00012939"/>
    <w:rsid w:val="00012C34"/>
    <w:rsid w:val="000130E3"/>
    <w:rsid w:val="0001378D"/>
    <w:rsid w:val="00013845"/>
    <w:rsid w:val="00014AF2"/>
    <w:rsid w:val="00015172"/>
    <w:rsid w:val="00015FD3"/>
    <w:rsid w:val="000160FE"/>
    <w:rsid w:val="00016617"/>
    <w:rsid w:val="000166C8"/>
    <w:rsid w:val="00016F39"/>
    <w:rsid w:val="00017D34"/>
    <w:rsid w:val="00020E53"/>
    <w:rsid w:val="00021497"/>
    <w:rsid w:val="00021C39"/>
    <w:rsid w:val="0002201F"/>
    <w:rsid w:val="00022108"/>
    <w:rsid w:val="000222BC"/>
    <w:rsid w:val="00022568"/>
    <w:rsid w:val="000228A3"/>
    <w:rsid w:val="0002364E"/>
    <w:rsid w:val="00023736"/>
    <w:rsid w:val="00023739"/>
    <w:rsid w:val="00023756"/>
    <w:rsid w:val="00023938"/>
    <w:rsid w:val="00023FC5"/>
    <w:rsid w:val="00024162"/>
    <w:rsid w:val="000241AF"/>
    <w:rsid w:val="000247BA"/>
    <w:rsid w:val="00024B71"/>
    <w:rsid w:val="0002518C"/>
    <w:rsid w:val="000251C1"/>
    <w:rsid w:val="00025E78"/>
    <w:rsid w:val="000262F5"/>
    <w:rsid w:val="00026517"/>
    <w:rsid w:val="00026977"/>
    <w:rsid w:val="00026E50"/>
    <w:rsid w:val="000272AF"/>
    <w:rsid w:val="000273BA"/>
    <w:rsid w:val="000273C1"/>
    <w:rsid w:val="0002753E"/>
    <w:rsid w:val="00027852"/>
    <w:rsid w:val="00027AB6"/>
    <w:rsid w:val="00027B9A"/>
    <w:rsid w:val="00027D37"/>
    <w:rsid w:val="00027E1C"/>
    <w:rsid w:val="00030300"/>
    <w:rsid w:val="000303AD"/>
    <w:rsid w:val="00030457"/>
    <w:rsid w:val="00030C80"/>
    <w:rsid w:val="00030D02"/>
    <w:rsid w:val="00030D22"/>
    <w:rsid w:val="00030D5B"/>
    <w:rsid w:val="000310B4"/>
    <w:rsid w:val="0003162C"/>
    <w:rsid w:val="00031767"/>
    <w:rsid w:val="00031BC7"/>
    <w:rsid w:val="00031DC9"/>
    <w:rsid w:val="0003272A"/>
    <w:rsid w:val="00032925"/>
    <w:rsid w:val="00032C6C"/>
    <w:rsid w:val="00033011"/>
    <w:rsid w:val="00033858"/>
    <w:rsid w:val="00033A63"/>
    <w:rsid w:val="00033AB4"/>
    <w:rsid w:val="00033CC7"/>
    <w:rsid w:val="00033E48"/>
    <w:rsid w:val="00033F4B"/>
    <w:rsid w:val="0003420D"/>
    <w:rsid w:val="000346DC"/>
    <w:rsid w:val="000347A9"/>
    <w:rsid w:val="00034D30"/>
    <w:rsid w:val="000351D2"/>
    <w:rsid w:val="00035448"/>
    <w:rsid w:val="00035553"/>
    <w:rsid w:val="00035B39"/>
    <w:rsid w:val="00035DCD"/>
    <w:rsid w:val="00036345"/>
    <w:rsid w:val="00036EE4"/>
    <w:rsid w:val="0003720B"/>
    <w:rsid w:val="000372B7"/>
    <w:rsid w:val="00037967"/>
    <w:rsid w:val="00037B8B"/>
    <w:rsid w:val="00040272"/>
    <w:rsid w:val="0004032D"/>
    <w:rsid w:val="00040954"/>
    <w:rsid w:val="00040DE8"/>
    <w:rsid w:val="00041001"/>
    <w:rsid w:val="0004165F"/>
    <w:rsid w:val="000416C4"/>
    <w:rsid w:val="000416FD"/>
    <w:rsid w:val="00041A53"/>
    <w:rsid w:val="00041B96"/>
    <w:rsid w:val="00041BE7"/>
    <w:rsid w:val="00042041"/>
    <w:rsid w:val="000421E3"/>
    <w:rsid w:val="000421F8"/>
    <w:rsid w:val="0004298C"/>
    <w:rsid w:val="00042A3C"/>
    <w:rsid w:val="00042E1E"/>
    <w:rsid w:val="000436D5"/>
    <w:rsid w:val="00043ECF"/>
    <w:rsid w:val="00044DAE"/>
    <w:rsid w:val="000459E1"/>
    <w:rsid w:val="00046128"/>
    <w:rsid w:val="000469EB"/>
    <w:rsid w:val="00046F5D"/>
    <w:rsid w:val="00047325"/>
    <w:rsid w:val="000477BF"/>
    <w:rsid w:val="00047D3E"/>
    <w:rsid w:val="00050290"/>
    <w:rsid w:val="00050923"/>
    <w:rsid w:val="000509C9"/>
    <w:rsid w:val="000514A8"/>
    <w:rsid w:val="000516C1"/>
    <w:rsid w:val="0005197C"/>
    <w:rsid w:val="00051B0A"/>
    <w:rsid w:val="00052487"/>
    <w:rsid w:val="000524AC"/>
    <w:rsid w:val="00052943"/>
    <w:rsid w:val="000530AE"/>
    <w:rsid w:val="000533A2"/>
    <w:rsid w:val="00053904"/>
    <w:rsid w:val="00053F42"/>
    <w:rsid w:val="0005436B"/>
    <w:rsid w:val="00054C89"/>
    <w:rsid w:val="000552E4"/>
    <w:rsid w:val="000555EB"/>
    <w:rsid w:val="00055C3B"/>
    <w:rsid w:val="00057153"/>
    <w:rsid w:val="000571D5"/>
    <w:rsid w:val="000579A0"/>
    <w:rsid w:val="00057CE1"/>
    <w:rsid w:val="00057D66"/>
    <w:rsid w:val="00060092"/>
    <w:rsid w:val="00060191"/>
    <w:rsid w:val="00060256"/>
    <w:rsid w:val="00060375"/>
    <w:rsid w:val="0006049A"/>
    <w:rsid w:val="000607CB"/>
    <w:rsid w:val="0006094F"/>
    <w:rsid w:val="00060B6A"/>
    <w:rsid w:val="000610BB"/>
    <w:rsid w:val="0006158B"/>
    <w:rsid w:val="00061B56"/>
    <w:rsid w:val="00061CC9"/>
    <w:rsid w:val="00061F49"/>
    <w:rsid w:val="00062182"/>
    <w:rsid w:val="000624A5"/>
    <w:rsid w:val="0006254D"/>
    <w:rsid w:val="000627D7"/>
    <w:rsid w:val="00062B0A"/>
    <w:rsid w:val="00062EAE"/>
    <w:rsid w:val="00062F43"/>
    <w:rsid w:val="000631F2"/>
    <w:rsid w:val="0006320E"/>
    <w:rsid w:val="00063443"/>
    <w:rsid w:val="00063E58"/>
    <w:rsid w:val="00064051"/>
    <w:rsid w:val="00064536"/>
    <w:rsid w:val="000649EB"/>
    <w:rsid w:val="00064B30"/>
    <w:rsid w:val="00065032"/>
    <w:rsid w:val="000659BE"/>
    <w:rsid w:val="00065F8A"/>
    <w:rsid w:val="000660FA"/>
    <w:rsid w:val="00067D3A"/>
    <w:rsid w:val="00067DF8"/>
    <w:rsid w:val="0007031B"/>
    <w:rsid w:val="00070496"/>
    <w:rsid w:val="00070A72"/>
    <w:rsid w:val="00070F53"/>
    <w:rsid w:val="00071280"/>
    <w:rsid w:val="00071654"/>
    <w:rsid w:val="00071F26"/>
    <w:rsid w:val="00071FD2"/>
    <w:rsid w:val="000729CC"/>
    <w:rsid w:val="00072A13"/>
    <w:rsid w:val="00072C37"/>
    <w:rsid w:val="00072CBD"/>
    <w:rsid w:val="00072E7C"/>
    <w:rsid w:val="0007326E"/>
    <w:rsid w:val="00073380"/>
    <w:rsid w:val="00073389"/>
    <w:rsid w:val="0007392C"/>
    <w:rsid w:val="00073BC0"/>
    <w:rsid w:val="00073C12"/>
    <w:rsid w:val="00073E64"/>
    <w:rsid w:val="00073E84"/>
    <w:rsid w:val="000741DF"/>
    <w:rsid w:val="0007422A"/>
    <w:rsid w:val="00075196"/>
    <w:rsid w:val="000759A8"/>
    <w:rsid w:val="00075D55"/>
    <w:rsid w:val="00075F9F"/>
    <w:rsid w:val="0007621C"/>
    <w:rsid w:val="00076A17"/>
    <w:rsid w:val="0007708E"/>
    <w:rsid w:val="000770C0"/>
    <w:rsid w:val="0007715B"/>
    <w:rsid w:val="000772A3"/>
    <w:rsid w:val="00077938"/>
    <w:rsid w:val="000804E9"/>
    <w:rsid w:val="000807A6"/>
    <w:rsid w:val="000809C6"/>
    <w:rsid w:val="00080DB3"/>
    <w:rsid w:val="0008135D"/>
    <w:rsid w:val="000819BF"/>
    <w:rsid w:val="0008228A"/>
    <w:rsid w:val="0008259F"/>
    <w:rsid w:val="00082BF2"/>
    <w:rsid w:val="00082E23"/>
    <w:rsid w:val="00083053"/>
    <w:rsid w:val="00083AC5"/>
    <w:rsid w:val="00084C2D"/>
    <w:rsid w:val="00084C56"/>
    <w:rsid w:val="0008512C"/>
    <w:rsid w:val="0008536B"/>
    <w:rsid w:val="000859A3"/>
    <w:rsid w:val="00086584"/>
    <w:rsid w:val="00086DE3"/>
    <w:rsid w:val="00087393"/>
    <w:rsid w:val="000876C3"/>
    <w:rsid w:val="00087C83"/>
    <w:rsid w:val="00087E07"/>
    <w:rsid w:val="0009000F"/>
    <w:rsid w:val="000902E0"/>
    <w:rsid w:val="00090F5F"/>
    <w:rsid w:val="0009123A"/>
    <w:rsid w:val="00091538"/>
    <w:rsid w:val="000915AA"/>
    <w:rsid w:val="00091797"/>
    <w:rsid w:val="00091B93"/>
    <w:rsid w:val="00091BEF"/>
    <w:rsid w:val="00091D02"/>
    <w:rsid w:val="00091ED6"/>
    <w:rsid w:val="00092387"/>
    <w:rsid w:val="00092636"/>
    <w:rsid w:val="00092727"/>
    <w:rsid w:val="00092D1B"/>
    <w:rsid w:val="000930EC"/>
    <w:rsid w:val="00093517"/>
    <w:rsid w:val="00093A4E"/>
    <w:rsid w:val="00093FC0"/>
    <w:rsid w:val="000940A0"/>
    <w:rsid w:val="00094278"/>
    <w:rsid w:val="00094DE6"/>
    <w:rsid w:val="000953DB"/>
    <w:rsid w:val="000953E5"/>
    <w:rsid w:val="00095ACD"/>
    <w:rsid w:val="00096EE3"/>
    <w:rsid w:val="000976FA"/>
    <w:rsid w:val="00097A72"/>
    <w:rsid w:val="00097C15"/>
    <w:rsid w:val="00097C78"/>
    <w:rsid w:val="000A0197"/>
    <w:rsid w:val="000A0364"/>
    <w:rsid w:val="000A1439"/>
    <w:rsid w:val="000A1CA4"/>
    <w:rsid w:val="000A252B"/>
    <w:rsid w:val="000A276C"/>
    <w:rsid w:val="000A281D"/>
    <w:rsid w:val="000A2DA7"/>
    <w:rsid w:val="000A3798"/>
    <w:rsid w:val="000A3FB8"/>
    <w:rsid w:val="000A4333"/>
    <w:rsid w:val="000A4A5A"/>
    <w:rsid w:val="000A4D68"/>
    <w:rsid w:val="000A50AE"/>
    <w:rsid w:val="000A5846"/>
    <w:rsid w:val="000A5AE1"/>
    <w:rsid w:val="000A5F4A"/>
    <w:rsid w:val="000A669A"/>
    <w:rsid w:val="000A66A1"/>
    <w:rsid w:val="000A6D0C"/>
    <w:rsid w:val="000A6D5A"/>
    <w:rsid w:val="000A6E6B"/>
    <w:rsid w:val="000A72A2"/>
    <w:rsid w:val="000A7925"/>
    <w:rsid w:val="000B00A4"/>
    <w:rsid w:val="000B0187"/>
    <w:rsid w:val="000B0320"/>
    <w:rsid w:val="000B070E"/>
    <w:rsid w:val="000B0978"/>
    <w:rsid w:val="000B0D93"/>
    <w:rsid w:val="000B2067"/>
    <w:rsid w:val="000B2355"/>
    <w:rsid w:val="000B28A5"/>
    <w:rsid w:val="000B2C06"/>
    <w:rsid w:val="000B2DE4"/>
    <w:rsid w:val="000B30B1"/>
    <w:rsid w:val="000B32BA"/>
    <w:rsid w:val="000B345C"/>
    <w:rsid w:val="000B37EA"/>
    <w:rsid w:val="000B37EB"/>
    <w:rsid w:val="000B4326"/>
    <w:rsid w:val="000B438A"/>
    <w:rsid w:val="000B4524"/>
    <w:rsid w:val="000B452E"/>
    <w:rsid w:val="000B48C9"/>
    <w:rsid w:val="000B4DB0"/>
    <w:rsid w:val="000B4FF2"/>
    <w:rsid w:val="000B5205"/>
    <w:rsid w:val="000B5243"/>
    <w:rsid w:val="000B5265"/>
    <w:rsid w:val="000B6633"/>
    <w:rsid w:val="000B6C8B"/>
    <w:rsid w:val="000B6F81"/>
    <w:rsid w:val="000B77F1"/>
    <w:rsid w:val="000B7D08"/>
    <w:rsid w:val="000B7F44"/>
    <w:rsid w:val="000C0676"/>
    <w:rsid w:val="000C07EA"/>
    <w:rsid w:val="000C08DD"/>
    <w:rsid w:val="000C0CAD"/>
    <w:rsid w:val="000C0FA3"/>
    <w:rsid w:val="000C120A"/>
    <w:rsid w:val="000C1C26"/>
    <w:rsid w:val="000C1DD4"/>
    <w:rsid w:val="000C2BA9"/>
    <w:rsid w:val="000C2DEB"/>
    <w:rsid w:val="000C2FC4"/>
    <w:rsid w:val="000C2FCC"/>
    <w:rsid w:val="000C3266"/>
    <w:rsid w:val="000C3500"/>
    <w:rsid w:val="000C3732"/>
    <w:rsid w:val="000C3FD6"/>
    <w:rsid w:val="000C4550"/>
    <w:rsid w:val="000C4767"/>
    <w:rsid w:val="000C4A00"/>
    <w:rsid w:val="000C4D9A"/>
    <w:rsid w:val="000C4E23"/>
    <w:rsid w:val="000C5234"/>
    <w:rsid w:val="000C53F7"/>
    <w:rsid w:val="000C56D6"/>
    <w:rsid w:val="000C5E9C"/>
    <w:rsid w:val="000C6013"/>
    <w:rsid w:val="000C62A1"/>
    <w:rsid w:val="000C6343"/>
    <w:rsid w:val="000C68D8"/>
    <w:rsid w:val="000C699C"/>
    <w:rsid w:val="000C6D0D"/>
    <w:rsid w:val="000C6DEB"/>
    <w:rsid w:val="000C75C0"/>
    <w:rsid w:val="000C7FBB"/>
    <w:rsid w:val="000D0361"/>
    <w:rsid w:val="000D0E61"/>
    <w:rsid w:val="000D0EE9"/>
    <w:rsid w:val="000D1F95"/>
    <w:rsid w:val="000D26B8"/>
    <w:rsid w:val="000D272A"/>
    <w:rsid w:val="000D2941"/>
    <w:rsid w:val="000D2CFC"/>
    <w:rsid w:val="000D3313"/>
    <w:rsid w:val="000D3A73"/>
    <w:rsid w:val="000D3ADD"/>
    <w:rsid w:val="000D3BC9"/>
    <w:rsid w:val="000D43F2"/>
    <w:rsid w:val="000D4A40"/>
    <w:rsid w:val="000D4B1B"/>
    <w:rsid w:val="000D4C13"/>
    <w:rsid w:val="000D5024"/>
    <w:rsid w:val="000D50B4"/>
    <w:rsid w:val="000D5222"/>
    <w:rsid w:val="000D560F"/>
    <w:rsid w:val="000D562E"/>
    <w:rsid w:val="000D58DC"/>
    <w:rsid w:val="000D5D78"/>
    <w:rsid w:val="000D6124"/>
    <w:rsid w:val="000D6158"/>
    <w:rsid w:val="000D634A"/>
    <w:rsid w:val="000D6CF6"/>
    <w:rsid w:val="000D6E03"/>
    <w:rsid w:val="000D6EFD"/>
    <w:rsid w:val="000D720B"/>
    <w:rsid w:val="000E00A3"/>
    <w:rsid w:val="000E0145"/>
    <w:rsid w:val="000E0303"/>
    <w:rsid w:val="000E0C4F"/>
    <w:rsid w:val="000E0FA1"/>
    <w:rsid w:val="000E1303"/>
    <w:rsid w:val="000E1827"/>
    <w:rsid w:val="000E1862"/>
    <w:rsid w:val="000E18B8"/>
    <w:rsid w:val="000E204C"/>
    <w:rsid w:val="000E2326"/>
    <w:rsid w:val="000E2541"/>
    <w:rsid w:val="000E25F0"/>
    <w:rsid w:val="000E27A5"/>
    <w:rsid w:val="000E342F"/>
    <w:rsid w:val="000E3562"/>
    <w:rsid w:val="000E3738"/>
    <w:rsid w:val="000E3835"/>
    <w:rsid w:val="000E3953"/>
    <w:rsid w:val="000E399B"/>
    <w:rsid w:val="000E3B67"/>
    <w:rsid w:val="000E410F"/>
    <w:rsid w:val="000E4C0B"/>
    <w:rsid w:val="000E4C1C"/>
    <w:rsid w:val="000E56AE"/>
    <w:rsid w:val="000E5A21"/>
    <w:rsid w:val="000E5DC0"/>
    <w:rsid w:val="000E6065"/>
    <w:rsid w:val="000E6710"/>
    <w:rsid w:val="000E681E"/>
    <w:rsid w:val="000E7094"/>
    <w:rsid w:val="000E78A6"/>
    <w:rsid w:val="000F1140"/>
    <w:rsid w:val="000F14D3"/>
    <w:rsid w:val="000F2080"/>
    <w:rsid w:val="000F264F"/>
    <w:rsid w:val="000F2AB7"/>
    <w:rsid w:val="000F2AD6"/>
    <w:rsid w:val="000F2AF5"/>
    <w:rsid w:val="000F2D4A"/>
    <w:rsid w:val="000F2E82"/>
    <w:rsid w:val="000F3327"/>
    <w:rsid w:val="000F355E"/>
    <w:rsid w:val="000F3621"/>
    <w:rsid w:val="000F390D"/>
    <w:rsid w:val="000F419A"/>
    <w:rsid w:val="000F4373"/>
    <w:rsid w:val="000F47F7"/>
    <w:rsid w:val="000F4831"/>
    <w:rsid w:val="000F4B28"/>
    <w:rsid w:val="000F4CFE"/>
    <w:rsid w:val="000F5327"/>
    <w:rsid w:val="000F5460"/>
    <w:rsid w:val="000F54D7"/>
    <w:rsid w:val="000F578F"/>
    <w:rsid w:val="000F58A2"/>
    <w:rsid w:val="000F6070"/>
    <w:rsid w:val="000F631E"/>
    <w:rsid w:val="000F673D"/>
    <w:rsid w:val="000F69AE"/>
    <w:rsid w:val="000F702E"/>
    <w:rsid w:val="000F710C"/>
    <w:rsid w:val="000F76EC"/>
    <w:rsid w:val="000F7DBC"/>
    <w:rsid w:val="00100110"/>
    <w:rsid w:val="00100228"/>
    <w:rsid w:val="00100371"/>
    <w:rsid w:val="00100640"/>
    <w:rsid w:val="00100CF0"/>
    <w:rsid w:val="001014F7"/>
    <w:rsid w:val="001018C5"/>
    <w:rsid w:val="00101B3E"/>
    <w:rsid w:val="00101E2A"/>
    <w:rsid w:val="0010255F"/>
    <w:rsid w:val="0010268E"/>
    <w:rsid w:val="0010387F"/>
    <w:rsid w:val="00103D17"/>
    <w:rsid w:val="00103F59"/>
    <w:rsid w:val="0010412B"/>
    <w:rsid w:val="001042EF"/>
    <w:rsid w:val="001044CB"/>
    <w:rsid w:val="00105389"/>
    <w:rsid w:val="00105C26"/>
    <w:rsid w:val="00105D73"/>
    <w:rsid w:val="00105D83"/>
    <w:rsid w:val="00105DC0"/>
    <w:rsid w:val="00105EAD"/>
    <w:rsid w:val="001062DE"/>
    <w:rsid w:val="00106D32"/>
    <w:rsid w:val="00106E01"/>
    <w:rsid w:val="00106E38"/>
    <w:rsid w:val="00107294"/>
    <w:rsid w:val="00107639"/>
    <w:rsid w:val="00107646"/>
    <w:rsid w:val="00107BFB"/>
    <w:rsid w:val="0011081D"/>
    <w:rsid w:val="001108A3"/>
    <w:rsid w:val="001109CC"/>
    <w:rsid w:val="00111010"/>
    <w:rsid w:val="00111075"/>
    <w:rsid w:val="001114FC"/>
    <w:rsid w:val="00111810"/>
    <w:rsid w:val="00111952"/>
    <w:rsid w:val="00111A63"/>
    <w:rsid w:val="00111B84"/>
    <w:rsid w:val="001122F9"/>
    <w:rsid w:val="0011257C"/>
    <w:rsid w:val="00112E6D"/>
    <w:rsid w:val="00112F1A"/>
    <w:rsid w:val="0011393C"/>
    <w:rsid w:val="00113A59"/>
    <w:rsid w:val="00113FB0"/>
    <w:rsid w:val="00114024"/>
    <w:rsid w:val="00114251"/>
    <w:rsid w:val="00114AAF"/>
    <w:rsid w:val="00114B4D"/>
    <w:rsid w:val="00114C77"/>
    <w:rsid w:val="00114E6C"/>
    <w:rsid w:val="00114F4E"/>
    <w:rsid w:val="0011535B"/>
    <w:rsid w:val="00115550"/>
    <w:rsid w:val="001156E7"/>
    <w:rsid w:val="0011573E"/>
    <w:rsid w:val="001158EC"/>
    <w:rsid w:val="00115B23"/>
    <w:rsid w:val="00115FB0"/>
    <w:rsid w:val="001162AB"/>
    <w:rsid w:val="0011636C"/>
    <w:rsid w:val="001163F9"/>
    <w:rsid w:val="0011643F"/>
    <w:rsid w:val="00116D46"/>
    <w:rsid w:val="00117526"/>
    <w:rsid w:val="00117AFE"/>
    <w:rsid w:val="00117BD5"/>
    <w:rsid w:val="00117E78"/>
    <w:rsid w:val="0012003E"/>
    <w:rsid w:val="00120733"/>
    <w:rsid w:val="001207A6"/>
    <w:rsid w:val="001209E0"/>
    <w:rsid w:val="001210E8"/>
    <w:rsid w:val="0012143D"/>
    <w:rsid w:val="0012163A"/>
    <w:rsid w:val="00121B99"/>
    <w:rsid w:val="001220F6"/>
    <w:rsid w:val="0012219B"/>
    <w:rsid w:val="001225C7"/>
    <w:rsid w:val="00123B4E"/>
    <w:rsid w:val="00123B5A"/>
    <w:rsid w:val="00123CBE"/>
    <w:rsid w:val="00123CD1"/>
    <w:rsid w:val="00123FDF"/>
    <w:rsid w:val="00124291"/>
    <w:rsid w:val="0012461A"/>
    <w:rsid w:val="001247B4"/>
    <w:rsid w:val="00124F15"/>
    <w:rsid w:val="00125199"/>
    <w:rsid w:val="00125342"/>
    <w:rsid w:val="0012554B"/>
    <w:rsid w:val="00125741"/>
    <w:rsid w:val="00125A56"/>
    <w:rsid w:val="00125B5B"/>
    <w:rsid w:val="00125BC5"/>
    <w:rsid w:val="00125E79"/>
    <w:rsid w:val="00126AF5"/>
    <w:rsid w:val="00126D89"/>
    <w:rsid w:val="001272D6"/>
    <w:rsid w:val="0012757D"/>
    <w:rsid w:val="001279E7"/>
    <w:rsid w:val="00127AA6"/>
    <w:rsid w:val="00127B17"/>
    <w:rsid w:val="00127F86"/>
    <w:rsid w:val="00130508"/>
    <w:rsid w:val="0013095F"/>
    <w:rsid w:val="00130AC0"/>
    <w:rsid w:val="00130B87"/>
    <w:rsid w:val="00131003"/>
    <w:rsid w:val="0013119A"/>
    <w:rsid w:val="00131682"/>
    <w:rsid w:val="00131B34"/>
    <w:rsid w:val="00131B73"/>
    <w:rsid w:val="00131FEE"/>
    <w:rsid w:val="00132155"/>
    <w:rsid w:val="00132894"/>
    <w:rsid w:val="00132CBF"/>
    <w:rsid w:val="00132D3B"/>
    <w:rsid w:val="00132D69"/>
    <w:rsid w:val="00132ECB"/>
    <w:rsid w:val="00132FD2"/>
    <w:rsid w:val="0013352E"/>
    <w:rsid w:val="0013357F"/>
    <w:rsid w:val="00133767"/>
    <w:rsid w:val="0013385B"/>
    <w:rsid w:val="00133866"/>
    <w:rsid w:val="00133B55"/>
    <w:rsid w:val="00133C6A"/>
    <w:rsid w:val="001343B4"/>
    <w:rsid w:val="001353B1"/>
    <w:rsid w:val="001354D3"/>
    <w:rsid w:val="0013559D"/>
    <w:rsid w:val="0013584F"/>
    <w:rsid w:val="00135D3C"/>
    <w:rsid w:val="00135D71"/>
    <w:rsid w:val="0013623A"/>
    <w:rsid w:val="00137760"/>
    <w:rsid w:val="001400AB"/>
    <w:rsid w:val="00140516"/>
    <w:rsid w:val="0014064E"/>
    <w:rsid w:val="00140AF9"/>
    <w:rsid w:val="001412C0"/>
    <w:rsid w:val="001413FA"/>
    <w:rsid w:val="001414C0"/>
    <w:rsid w:val="00141899"/>
    <w:rsid w:val="00142615"/>
    <w:rsid w:val="00142B2B"/>
    <w:rsid w:val="001430B5"/>
    <w:rsid w:val="001434CD"/>
    <w:rsid w:val="00143C3B"/>
    <w:rsid w:val="00144082"/>
    <w:rsid w:val="0014436B"/>
    <w:rsid w:val="001446D4"/>
    <w:rsid w:val="00144BD4"/>
    <w:rsid w:val="00144E80"/>
    <w:rsid w:val="00145239"/>
    <w:rsid w:val="001452FC"/>
    <w:rsid w:val="001455D7"/>
    <w:rsid w:val="0014570F"/>
    <w:rsid w:val="001459BD"/>
    <w:rsid w:val="00145AB4"/>
    <w:rsid w:val="00145AD3"/>
    <w:rsid w:val="00145B43"/>
    <w:rsid w:val="001463E5"/>
    <w:rsid w:val="001468CA"/>
    <w:rsid w:val="001469E3"/>
    <w:rsid w:val="001469EC"/>
    <w:rsid w:val="001469F9"/>
    <w:rsid w:val="00147429"/>
    <w:rsid w:val="001475B5"/>
    <w:rsid w:val="00147690"/>
    <w:rsid w:val="00147B40"/>
    <w:rsid w:val="00147C4B"/>
    <w:rsid w:val="00150783"/>
    <w:rsid w:val="00150D31"/>
    <w:rsid w:val="00150FF9"/>
    <w:rsid w:val="001510BA"/>
    <w:rsid w:val="00151133"/>
    <w:rsid w:val="0015121C"/>
    <w:rsid w:val="0015149D"/>
    <w:rsid w:val="001515FE"/>
    <w:rsid w:val="00151BC2"/>
    <w:rsid w:val="00152591"/>
    <w:rsid w:val="0015271D"/>
    <w:rsid w:val="00152B2D"/>
    <w:rsid w:val="00152EAB"/>
    <w:rsid w:val="00153569"/>
    <w:rsid w:val="0015365C"/>
    <w:rsid w:val="001538E4"/>
    <w:rsid w:val="00153A98"/>
    <w:rsid w:val="00153BB1"/>
    <w:rsid w:val="00153CC4"/>
    <w:rsid w:val="00153E53"/>
    <w:rsid w:val="001544D3"/>
    <w:rsid w:val="00155408"/>
    <w:rsid w:val="0015541D"/>
    <w:rsid w:val="00155437"/>
    <w:rsid w:val="001558D7"/>
    <w:rsid w:val="00155967"/>
    <w:rsid w:val="001566DC"/>
    <w:rsid w:val="00156DEE"/>
    <w:rsid w:val="00156EF0"/>
    <w:rsid w:val="0015785B"/>
    <w:rsid w:val="0015797D"/>
    <w:rsid w:val="00157C33"/>
    <w:rsid w:val="00157FB4"/>
    <w:rsid w:val="00157FEA"/>
    <w:rsid w:val="001600A7"/>
    <w:rsid w:val="00160753"/>
    <w:rsid w:val="0016099C"/>
    <w:rsid w:val="001609AE"/>
    <w:rsid w:val="001611EF"/>
    <w:rsid w:val="00161BA0"/>
    <w:rsid w:val="00161E15"/>
    <w:rsid w:val="00161EBD"/>
    <w:rsid w:val="00161FDE"/>
    <w:rsid w:val="00162917"/>
    <w:rsid w:val="00162988"/>
    <w:rsid w:val="00163150"/>
    <w:rsid w:val="00163451"/>
    <w:rsid w:val="00163DEA"/>
    <w:rsid w:val="00164239"/>
    <w:rsid w:val="00164868"/>
    <w:rsid w:val="001648DE"/>
    <w:rsid w:val="001649F4"/>
    <w:rsid w:val="00165781"/>
    <w:rsid w:val="00165D60"/>
    <w:rsid w:val="00165E62"/>
    <w:rsid w:val="00165F2E"/>
    <w:rsid w:val="00165FE2"/>
    <w:rsid w:val="00166327"/>
    <w:rsid w:val="00166AFE"/>
    <w:rsid w:val="001670A5"/>
    <w:rsid w:val="001670B2"/>
    <w:rsid w:val="00167769"/>
    <w:rsid w:val="0016798D"/>
    <w:rsid w:val="00167BE3"/>
    <w:rsid w:val="00167D4A"/>
    <w:rsid w:val="001708FF"/>
    <w:rsid w:val="00170F4A"/>
    <w:rsid w:val="0017121B"/>
    <w:rsid w:val="001712AC"/>
    <w:rsid w:val="00171CB0"/>
    <w:rsid w:val="00172191"/>
    <w:rsid w:val="00172818"/>
    <w:rsid w:val="0017298A"/>
    <w:rsid w:val="001732BB"/>
    <w:rsid w:val="0017334E"/>
    <w:rsid w:val="0017349B"/>
    <w:rsid w:val="001737B1"/>
    <w:rsid w:val="00173A6B"/>
    <w:rsid w:val="00173F8C"/>
    <w:rsid w:val="00174017"/>
    <w:rsid w:val="00174428"/>
    <w:rsid w:val="001745BB"/>
    <w:rsid w:val="0017496E"/>
    <w:rsid w:val="00174979"/>
    <w:rsid w:val="00174ADB"/>
    <w:rsid w:val="00175283"/>
    <w:rsid w:val="00175B12"/>
    <w:rsid w:val="00175C08"/>
    <w:rsid w:val="00176F17"/>
    <w:rsid w:val="001777ED"/>
    <w:rsid w:val="00177C79"/>
    <w:rsid w:val="00177E43"/>
    <w:rsid w:val="00180054"/>
    <w:rsid w:val="001800B9"/>
    <w:rsid w:val="00180683"/>
    <w:rsid w:val="0018095C"/>
    <w:rsid w:val="00180A00"/>
    <w:rsid w:val="00180C65"/>
    <w:rsid w:val="00180D7E"/>
    <w:rsid w:val="00181186"/>
    <w:rsid w:val="0018119A"/>
    <w:rsid w:val="00182056"/>
    <w:rsid w:val="0018257E"/>
    <w:rsid w:val="001825F2"/>
    <w:rsid w:val="001831FE"/>
    <w:rsid w:val="0018335E"/>
    <w:rsid w:val="0018353D"/>
    <w:rsid w:val="0018377C"/>
    <w:rsid w:val="001837F5"/>
    <w:rsid w:val="00183EAC"/>
    <w:rsid w:val="00183FB3"/>
    <w:rsid w:val="001844E6"/>
    <w:rsid w:val="00184730"/>
    <w:rsid w:val="0018479C"/>
    <w:rsid w:val="00184850"/>
    <w:rsid w:val="00184F14"/>
    <w:rsid w:val="00184F48"/>
    <w:rsid w:val="00185634"/>
    <w:rsid w:val="001866C1"/>
    <w:rsid w:val="00187359"/>
    <w:rsid w:val="00187936"/>
    <w:rsid w:val="00187B82"/>
    <w:rsid w:val="00190BD5"/>
    <w:rsid w:val="00190EA8"/>
    <w:rsid w:val="001910EC"/>
    <w:rsid w:val="00191128"/>
    <w:rsid w:val="00191146"/>
    <w:rsid w:val="001911FC"/>
    <w:rsid w:val="001916AF"/>
    <w:rsid w:val="0019183D"/>
    <w:rsid w:val="00191A62"/>
    <w:rsid w:val="00191B99"/>
    <w:rsid w:val="00191D50"/>
    <w:rsid w:val="00192D17"/>
    <w:rsid w:val="00192F70"/>
    <w:rsid w:val="00193476"/>
    <w:rsid w:val="00193F5A"/>
    <w:rsid w:val="00194911"/>
    <w:rsid w:val="00194AEB"/>
    <w:rsid w:val="00194F13"/>
    <w:rsid w:val="001951AF"/>
    <w:rsid w:val="0019531D"/>
    <w:rsid w:val="00195D85"/>
    <w:rsid w:val="00196303"/>
    <w:rsid w:val="00196505"/>
    <w:rsid w:val="00196E41"/>
    <w:rsid w:val="001971E1"/>
    <w:rsid w:val="001971EB"/>
    <w:rsid w:val="001976B7"/>
    <w:rsid w:val="00197905"/>
    <w:rsid w:val="00197C82"/>
    <w:rsid w:val="00197E0D"/>
    <w:rsid w:val="001A01F1"/>
    <w:rsid w:val="001A040C"/>
    <w:rsid w:val="001A0842"/>
    <w:rsid w:val="001A1067"/>
    <w:rsid w:val="001A10E7"/>
    <w:rsid w:val="001A133B"/>
    <w:rsid w:val="001A1358"/>
    <w:rsid w:val="001A143E"/>
    <w:rsid w:val="001A158C"/>
    <w:rsid w:val="001A1AD3"/>
    <w:rsid w:val="001A1C91"/>
    <w:rsid w:val="001A2576"/>
    <w:rsid w:val="001A2793"/>
    <w:rsid w:val="001A2BE8"/>
    <w:rsid w:val="001A3636"/>
    <w:rsid w:val="001A37F5"/>
    <w:rsid w:val="001A3EE7"/>
    <w:rsid w:val="001A4288"/>
    <w:rsid w:val="001A485B"/>
    <w:rsid w:val="001A50DB"/>
    <w:rsid w:val="001A51EE"/>
    <w:rsid w:val="001A541C"/>
    <w:rsid w:val="001A58B3"/>
    <w:rsid w:val="001A5D17"/>
    <w:rsid w:val="001A614C"/>
    <w:rsid w:val="001A6338"/>
    <w:rsid w:val="001A6431"/>
    <w:rsid w:val="001A65A8"/>
    <w:rsid w:val="001A6B16"/>
    <w:rsid w:val="001A7594"/>
    <w:rsid w:val="001A7CB2"/>
    <w:rsid w:val="001A7F53"/>
    <w:rsid w:val="001B043D"/>
    <w:rsid w:val="001B0DAC"/>
    <w:rsid w:val="001B12F0"/>
    <w:rsid w:val="001B136C"/>
    <w:rsid w:val="001B1579"/>
    <w:rsid w:val="001B15AC"/>
    <w:rsid w:val="001B15B9"/>
    <w:rsid w:val="001B1CEF"/>
    <w:rsid w:val="001B2497"/>
    <w:rsid w:val="001B26DD"/>
    <w:rsid w:val="001B2EEC"/>
    <w:rsid w:val="001B2F5C"/>
    <w:rsid w:val="001B3053"/>
    <w:rsid w:val="001B3D53"/>
    <w:rsid w:val="001B3D5D"/>
    <w:rsid w:val="001B3E02"/>
    <w:rsid w:val="001B4A90"/>
    <w:rsid w:val="001B50DD"/>
    <w:rsid w:val="001B6228"/>
    <w:rsid w:val="001B6FAE"/>
    <w:rsid w:val="001B75C1"/>
    <w:rsid w:val="001B7FF7"/>
    <w:rsid w:val="001C0146"/>
    <w:rsid w:val="001C019A"/>
    <w:rsid w:val="001C01D0"/>
    <w:rsid w:val="001C0B10"/>
    <w:rsid w:val="001C0F7A"/>
    <w:rsid w:val="001C11EF"/>
    <w:rsid w:val="001C1393"/>
    <w:rsid w:val="001C1FB6"/>
    <w:rsid w:val="001C227D"/>
    <w:rsid w:val="001C2485"/>
    <w:rsid w:val="001C2887"/>
    <w:rsid w:val="001C2EDB"/>
    <w:rsid w:val="001C32E6"/>
    <w:rsid w:val="001C3600"/>
    <w:rsid w:val="001C39D8"/>
    <w:rsid w:val="001C44C1"/>
    <w:rsid w:val="001C513E"/>
    <w:rsid w:val="001C5145"/>
    <w:rsid w:val="001C5380"/>
    <w:rsid w:val="001C5F79"/>
    <w:rsid w:val="001C69F7"/>
    <w:rsid w:val="001C6A71"/>
    <w:rsid w:val="001C7287"/>
    <w:rsid w:val="001C7349"/>
    <w:rsid w:val="001C775C"/>
    <w:rsid w:val="001C7CA9"/>
    <w:rsid w:val="001D1357"/>
    <w:rsid w:val="001D140A"/>
    <w:rsid w:val="001D182B"/>
    <w:rsid w:val="001D1830"/>
    <w:rsid w:val="001D18C9"/>
    <w:rsid w:val="001D1E40"/>
    <w:rsid w:val="001D2407"/>
    <w:rsid w:val="001D2E33"/>
    <w:rsid w:val="001D2F1C"/>
    <w:rsid w:val="001D2FF5"/>
    <w:rsid w:val="001D32B5"/>
    <w:rsid w:val="001D3634"/>
    <w:rsid w:val="001D3EBA"/>
    <w:rsid w:val="001D480F"/>
    <w:rsid w:val="001D4938"/>
    <w:rsid w:val="001D49D3"/>
    <w:rsid w:val="001D4DE1"/>
    <w:rsid w:val="001D5978"/>
    <w:rsid w:val="001D609A"/>
    <w:rsid w:val="001D667A"/>
    <w:rsid w:val="001D69A6"/>
    <w:rsid w:val="001D69D7"/>
    <w:rsid w:val="001D6AF3"/>
    <w:rsid w:val="001D6F39"/>
    <w:rsid w:val="001D7C01"/>
    <w:rsid w:val="001E08AC"/>
    <w:rsid w:val="001E0970"/>
    <w:rsid w:val="001E09F5"/>
    <w:rsid w:val="001E0DE7"/>
    <w:rsid w:val="001E0EC3"/>
    <w:rsid w:val="001E0F72"/>
    <w:rsid w:val="001E10D5"/>
    <w:rsid w:val="001E17F3"/>
    <w:rsid w:val="001E1CF0"/>
    <w:rsid w:val="001E2052"/>
    <w:rsid w:val="001E2797"/>
    <w:rsid w:val="001E2AF0"/>
    <w:rsid w:val="001E2B4A"/>
    <w:rsid w:val="001E2FA1"/>
    <w:rsid w:val="001E30F7"/>
    <w:rsid w:val="001E3405"/>
    <w:rsid w:val="001E35EE"/>
    <w:rsid w:val="001E3640"/>
    <w:rsid w:val="001E3C5B"/>
    <w:rsid w:val="001E3E89"/>
    <w:rsid w:val="001E4042"/>
    <w:rsid w:val="001E4B1E"/>
    <w:rsid w:val="001E4B9B"/>
    <w:rsid w:val="001E564C"/>
    <w:rsid w:val="001E578F"/>
    <w:rsid w:val="001E58AC"/>
    <w:rsid w:val="001E5C32"/>
    <w:rsid w:val="001E5C52"/>
    <w:rsid w:val="001E6404"/>
    <w:rsid w:val="001E6984"/>
    <w:rsid w:val="001E6EA8"/>
    <w:rsid w:val="001E7889"/>
    <w:rsid w:val="001E7D11"/>
    <w:rsid w:val="001E7E76"/>
    <w:rsid w:val="001F058C"/>
    <w:rsid w:val="001F0E18"/>
    <w:rsid w:val="001F0F07"/>
    <w:rsid w:val="001F101E"/>
    <w:rsid w:val="001F1954"/>
    <w:rsid w:val="001F1D3F"/>
    <w:rsid w:val="001F1DAB"/>
    <w:rsid w:val="001F2740"/>
    <w:rsid w:val="001F2CEF"/>
    <w:rsid w:val="001F2E0E"/>
    <w:rsid w:val="001F35E7"/>
    <w:rsid w:val="001F3795"/>
    <w:rsid w:val="001F3FD7"/>
    <w:rsid w:val="001F4596"/>
    <w:rsid w:val="001F4857"/>
    <w:rsid w:val="001F4973"/>
    <w:rsid w:val="001F4C52"/>
    <w:rsid w:val="001F4CE5"/>
    <w:rsid w:val="001F4DAC"/>
    <w:rsid w:val="001F50F0"/>
    <w:rsid w:val="001F5411"/>
    <w:rsid w:val="001F5472"/>
    <w:rsid w:val="001F55DB"/>
    <w:rsid w:val="001F591D"/>
    <w:rsid w:val="001F59FA"/>
    <w:rsid w:val="001F68A4"/>
    <w:rsid w:val="001F78EF"/>
    <w:rsid w:val="001F7A93"/>
    <w:rsid w:val="001F7D7C"/>
    <w:rsid w:val="002002AC"/>
    <w:rsid w:val="002004A8"/>
    <w:rsid w:val="002007B6"/>
    <w:rsid w:val="002007D9"/>
    <w:rsid w:val="00200A34"/>
    <w:rsid w:val="00200E07"/>
    <w:rsid w:val="00201095"/>
    <w:rsid w:val="00201640"/>
    <w:rsid w:val="00201CC3"/>
    <w:rsid w:val="00201F63"/>
    <w:rsid w:val="0020203E"/>
    <w:rsid w:val="00202276"/>
    <w:rsid w:val="00202808"/>
    <w:rsid w:val="00203216"/>
    <w:rsid w:val="0020348C"/>
    <w:rsid w:val="0020351D"/>
    <w:rsid w:val="002040B5"/>
    <w:rsid w:val="002040F3"/>
    <w:rsid w:val="0020411D"/>
    <w:rsid w:val="002045F5"/>
    <w:rsid w:val="0020463E"/>
    <w:rsid w:val="002047F5"/>
    <w:rsid w:val="00204B83"/>
    <w:rsid w:val="002051B8"/>
    <w:rsid w:val="002052AF"/>
    <w:rsid w:val="00205A63"/>
    <w:rsid w:val="002060E7"/>
    <w:rsid w:val="002075F7"/>
    <w:rsid w:val="002076D7"/>
    <w:rsid w:val="002079B4"/>
    <w:rsid w:val="00207A2C"/>
    <w:rsid w:val="00207A39"/>
    <w:rsid w:val="00207A76"/>
    <w:rsid w:val="00207BDA"/>
    <w:rsid w:val="00210162"/>
    <w:rsid w:val="002103BE"/>
    <w:rsid w:val="002114E6"/>
    <w:rsid w:val="002117D7"/>
    <w:rsid w:val="0021183D"/>
    <w:rsid w:val="00211D80"/>
    <w:rsid w:val="00211DC4"/>
    <w:rsid w:val="00211EDF"/>
    <w:rsid w:val="00212008"/>
    <w:rsid w:val="002122CB"/>
    <w:rsid w:val="002122D0"/>
    <w:rsid w:val="002124D4"/>
    <w:rsid w:val="002127F5"/>
    <w:rsid w:val="00213217"/>
    <w:rsid w:val="00213305"/>
    <w:rsid w:val="00213D1A"/>
    <w:rsid w:val="00213D9A"/>
    <w:rsid w:val="002141C3"/>
    <w:rsid w:val="002149C7"/>
    <w:rsid w:val="00214D1C"/>
    <w:rsid w:val="00214D97"/>
    <w:rsid w:val="00215885"/>
    <w:rsid w:val="00215A9E"/>
    <w:rsid w:val="00215FB4"/>
    <w:rsid w:val="00217122"/>
    <w:rsid w:val="00217155"/>
    <w:rsid w:val="0021757E"/>
    <w:rsid w:val="00217582"/>
    <w:rsid w:val="00217F40"/>
    <w:rsid w:val="00217FD4"/>
    <w:rsid w:val="00220317"/>
    <w:rsid w:val="002203DA"/>
    <w:rsid w:val="002205EE"/>
    <w:rsid w:val="00220A73"/>
    <w:rsid w:val="00220AF3"/>
    <w:rsid w:val="00220BB6"/>
    <w:rsid w:val="00220D94"/>
    <w:rsid w:val="00221480"/>
    <w:rsid w:val="00221802"/>
    <w:rsid w:val="002218DE"/>
    <w:rsid w:val="00221C57"/>
    <w:rsid w:val="002222ED"/>
    <w:rsid w:val="002227EB"/>
    <w:rsid w:val="00222A2A"/>
    <w:rsid w:val="00222D5C"/>
    <w:rsid w:val="00222E5E"/>
    <w:rsid w:val="00223037"/>
    <w:rsid w:val="00223278"/>
    <w:rsid w:val="002237C8"/>
    <w:rsid w:val="00223B34"/>
    <w:rsid w:val="0022402D"/>
    <w:rsid w:val="00224483"/>
    <w:rsid w:val="002247A0"/>
    <w:rsid w:val="00224984"/>
    <w:rsid w:val="00224A63"/>
    <w:rsid w:val="002252BB"/>
    <w:rsid w:val="00225B25"/>
    <w:rsid w:val="00225BC7"/>
    <w:rsid w:val="00225E13"/>
    <w:rsid w:val="00226496"/>
    <w:rsid w:val="00226C35"/>
    <w:rsid w:val="00227729"/>
    <w:rsid w:val="0023005B"/>
    <w:rsid w:val="00230109"/>
    <w:rsid w:val="002302C3"/>
    <w:rsid w:val="002303E0"/>
    <w:rsid w:val="002306D8"/>
    <w:rsid w:val="0023081C"/>
    <w:rsid w:val="00230D2A"/>
    <w:rsid w:val="00230EEA"/>
    <w:rsid w:val="00230FBA"/>
    <w:rsid w:val="00231509"/>
    <w:rsid w:val="00231855"/>
    <w:rsid w:val="002319ED"/>
    <w:rsid w:val="00231B8E"/>
    <w:rsid w:val="002322B6"/>
    <w:rsid w:val="00232967"/>
    <w:rsid w:val="00232BAF"/>
    <w:rsid w:val="00232D25"/>
    <w:rsid w:val="0023309C"/>
    <w:rsid w:val="00233A2B"/>
    <w:rsid w:val="00233A81"/>
    <w:rsid w:val="002341A2"/>
    <w:rsid w:val="002347CE"/>
    <w:rsid w:val="00234C6A"/>
    <w:rsid w:val="002355E9"/>
    <w:rsid w:val="00235C80"/>
    <w:rsid w:val="00235D5A"/>
    <w:rsid w:val="00235E80"/>
    <w:rsid w:val="0023624A"/>
    <w:rsid w:val="00236A75"/>
    <w:rsid w:val="00236E0A"/>
    <w:rsid w:val="00237043"/>
    <w:rsid w:val="00237108"/>
    <w:rsid w:val="0023717C"/>
    <w:rsid w:val="002375B8"/>
    <w:rsid w:val="00237947"/>
    <w:rsid w:val="00237994"/>
    <w:rsid w:val="00237F25"/>
    <w:rsid w:val="002404B9"/>
    <w:rsid w:val="002405B1"/>
    <w:rsid w:val="00240669"/>
    <w:rsid w:val="00240A3D"/>
    <w:rsid w:val="00240DA0"/>
    <w:rsid w:val="002411A8"/>
    <w:rsid w:val="0024145D"/>
    <w:rsid w:val="00241BE1"/>
    <w:rsid w:val="00241D20"/>
    <w:rsid w:val="00241DCB"/>
    <w:rsid w:val="00241E08"/>
    <w:rsid w:val="002420F5"/>
    <w:rsid w:val="002423FA"/>
    <w:rsid w:val="00242912"/>
    <w:rsid w:val="00242A00"/>
    <w:rsid w:val="00242A1B"/>
    <w:rsid w:val="00242FF0"/>
    <w:rsid w:val="00243775"/>
    <w:rsid w:val="002438BD"/>
    <w:rsid w:val="0024418F"/>
    <w:rsid w:val="00244773"/>
    <w:rsid w:val="00244D05"/>
    <w:rsid w:val="0024507D"/>
    <w:rsid w:val="00245975"/>
    <w:rsid w:val="00245991"/>
    <w:rsid w:val="00245BEB"/>
    <w:rsid w:val="00245F34"/>
    <w:rsid w:val="002460D7"/>
    <w:rsid w:val="00246600"/>
    <w:rsid w:val="00246739"/>
    <w:rsid w:val="00246978"/>
    <w:rsid w:val="00246A19"/>
    <w:rsid w:val="00246C35"/>
    <w:rsid w:val="00246C48"/>
    <w:rsid w:val="0024775E"/>
    <w:rsid w:val="002478E2"/>
    <w:rsid w:val="00247E1B"/>
    <w:rsid w:val="00250283"/>
    <w:rsid w:val="002505E9"/>
    <w:rsid w:val="00250B22"/>
    <w:rsid w:val="00250E46"/>
    <w:rsid w:val="002513BD"/>
    <w:rsid w:val="002514E4"/>
    <w:rsid w:val="002515E9"/>
    <w:rsid w:val="002519B1"/>
    <w:rsid w:val="00251B10"/>
    <w:rsid w:val="00251C8E"/>
    <w:rsid w:val="00251CE8"/>
    <w:rsid w:val="00251D93"/>
    <w:rsid w:val="002525B0"/>
    <w:rsid w:val="00252C0F"/>
    <w:rsid w:val="00252D45"/>
    <w:rsid w:val="00252DBA"/>
    <w:rsid w:val="002532CF"/>
    <w:rsid w:val="00253491"/>
    <w:rsid w:val="002534D6"/>
    <w:rsid w:val="00253E71"/>
    <w:rsid w:val="00254023"/>
    <w:rsid w:val="00254371"/>
    <w:rsid w:val="002544DC"/>
    <w:rsid w:val="002548DB"/>
    <w:rsid w:val="00254B61"/>
    <w:rsid w:val="00254E21"/>
    <w:rsid w:val="00254F86"/>
    <w:rsid w:val="00254FE5"/>
    <w:rsid w:val="00255236"/>
    <w:rsid w:val="00255A80"/>
    <w:rsid w:val="00255B16"/>
    <w:rsid w:val="002561D6"/>
    <w:rsid w:val="00256686"/>
    <w:rsid w:val="002568B3"/>
    <w:rsid w:val="002569EE"/>
    <w:rsid w:val="0025703F"/>
    <w:rsid w:val="00257585"/>
    <w:rsid w:val="00257AF2"/>
    <w:rsid w:val="00257C5B"/>
    <w:rsid w:val="00257D7A"/>
    <w:rsid w:val="00257E78"/>
    <w:rsid w:val="00260106"/>
    <w:rsid w:val="0026141D"/>
    <w:rsid w:val="00261CAE"/>
    <w:rsid w:val="00261F17"/>
    <w:rsid w:val="00262067"/>
    <w:rsid w:val="002623B1"/>
    <w:rsid w:val="002624C1"/>
    <w:rsid w:val="002625DD"/>
    <w:rsid w:val="002637A0"/>
    <w:rsid w:val="00263BF8"/>
    <w:rsid w:val="00264086"/>
    <w:rsid w:val="002641C1"/>
    <w:rsid w:val="00264389"/>
    <w:rsid w:val="00264449"/>
    <w:rsid w:val="002647BF"/>
    <w:rsid w:val="00264807"/>
    <w:rsid w:val="00264A62"/>
    <w:rsid w:val="002663D5"/>
    <w:rsid w:val="002667BC"/>
    <w:rsid w:val="00266A53"/>
    <w:rsid w:val="00270653"/>
    <w:rsid w:val="00270B6E"/>
    <w:rsid w:val="00270EBC"/>
    <w:rsid w:val="00271474"/>
    <w:rsid w:val="002716A8"/>
    <w:rsid w:val="00271DE6"/>
    <w:rsid w:val="00271DEA"/>
    <w:rsid w:val="00271E79"/>
    <w:rsid w:val="0027207F"/>
    <w:rsid w:val="002721A7"/>
    <w:rsid w:val="0027232E"/>
    <w:rsid w:val="00272511"/>
    <w:rsid w:val="00272639"/>
    <w:rsid w:val="00272757"/>
    <w:rsid w:val="002729E2"/>
    <w:rsid w:val="00272D06"/>
    <w:rsid w:val="00272E77"/>
    <w:rsid w:val="00272F08"/>
    <w:rsid w:val="0027313D"/>
    <w:rsid w:val="002738C1"/>
    <w:rsid w:val="002738F2"/>
    <w:rsid w:val="00273BCC"/>
    <w:rsid w:val="00273F8B"/>
    <w:rsid w:val="00274562"/>
    <w:rsid w:val="00274606"/>
    <w:rsid w:val="00274C85"/>
    <w:rsid w:val="002752CB"/>
    <w:rsid w:val="00275474"/>
    <w:rsid w:val="002755D3"/>
    <w:rsid w:val="0027596F"/>
    <w:rsid w:val="00275A05"/>
    <w:rsid w:val="00275BDD"/>
    <w:rsid w:val="00275DB3"/>
    <w:rsid w:val="00275EC0"/>
    <w:rsid w:val="00275FE5"/>
    <w:rsid w:val="0027663B"/>
    <w:rsid w:val="002768CE"/>
    <w:rsid w:val="0027745B"/>
    <w:rsid w:val="002777F7"/>
    <w:rsid w:val="0027786A"/>
    <w:rsid w:val="002778FD"/>
    <w:rsid w:val="00277A99"/>
    <w:rsid w:val="00277E40"/>
    <w:rsid w:val="00280455"/>
    <w:rsid w:val="00280518"/>
    <w:rsid w:val="0028065F"/>
    <w:rsid w:val="0028069A"/>
    <w:rsid w:val="00280D4D"/>
    <w:rsid w:val="00280D84"/>
    <w:rsid w:val="00280E26"/>
    <w:rsid w:val="002812F9"/>
    <w:rsid w:val="00281780"/>
    <w:rsid w:val="00281803"/>
    <w:rsid w:val="00281996"/>
    <w:rsid w:val="0028220C"/>
    <w:rsid w:val="002824EB"/>
    <w:rsid w:val="002826C7"/>
    <w:rsid w:val="0028272C"/>
    <w:rsid w:val="0028276A"/>
    <w:rsid w:val="00282C84"/>
    <w:rsid w:val="00282DCD"/>
    <w:rsid w:val="00282EDD"/>
    <w:rsid w:val="0028304F"/>
    <w:rsid w:val="002835AF"/>
    <w:rsid w:val="00283D4C"/>
    <w:rsid w:val="0028417C"/>
    <w:rsid w:val="00284D1B"/>
    <w:rsid w:val="00284F46"/>
    <w:rsid w:val="0028551E"/>
    <w:rsid w:val="002855A1"/>
    <w:rsid w:val="002860E1"/>
    <w:rsid w:val="00286AC9"/>
    <w:rsid w:val="00286FC7"/>
    <w:rsid w:val="00287F49"/>
    <w:rsid w:val="00287FAE"/>
    <w:rsid w:val="0029006A"/>
    <w:rsid w:val="002902B9"/>
    <w:rsid w:val="002904A5"/>
    <w:rsid w:val="002907F1"/>
    <w:rsid w:val="002909A5"/>
    <w:rsid w:val="002909A8"/>
    <w:rsid w:val="00290A8B"/>
    <w:rsid w:val="00290ABD"/>
    <w:rsid w:val="00290B38"/>
    <w:rsid w:val="00291093"/>
    <w:rsid w:val="00291479"/>
    <w:rsid w:val="00291866"/>
    <w:rsid w:val="0029196C"/>
    <w:rsid w:val="002919F9"/>
    <w:rsid w:val="00291EF1"/>
    <w:rsid w:val="00292263"/>
    <w:rsid w:val="00292401"/>
    <w:rsid w:val="00292794"/>
    <w:rsid w:val="002929C4"/>
    <w:rsid w:val="00292A89"/>
    <w:rsid w:val="00292AE0"/>
    <w:rsid w:val="00292B38"/>
    <w:rsid w:val="00292BF5"/>
    <w:rsid w:val="00292E11"/>
    <w:rsid w:val="0029323E"/>
    <w:rsid w:val="0029351D"/>
    <w:rsid w:val="00293D54"/>
    <w:rsid w:val="00294B3D"/>
    <w:rsid w:val="00294C04"/>
    <w:rsid w:val="00294DDF"/>
    <w:rsid w:val="002955CC"/>
    <w:rsid w:val="0029590F"/>
    <w:rsid w:val="00295AB9"/>
    <w:rsid w:val="002968E3"/>
    <w:rsid w:val="00296ED8"/>
    <w:rsid w:val="002970EA"/>
    <w:rsid w:val="00297A67"/>
    <w:rsid w:val="00297DD0"/>
    <w:rsid w:val="00297EA3"/>
    <w:rsid w:val="002A0734"/>
    <w:rsid w:val="002A0A5F"/>
    <w:rsid w:val="002A0BB1"/>
    <w:rsid w:val="002A123D"/>
    <w:rsid w:val="002A1482"/>
    <w:rsid w:val="002A1643"/>
    <w:rsid w:val="002A182D"/>
    <w:rsid w:val="002A23F3"/>
    <w:rsid w:val="002A25E0"/>
    <w:rsid w:val="002A2607"/>
    <w:rsid w:val="002A2727"/>
    <w:rsid w:val="002A2A85"/>
    <w:rsid w:val="002A2AB4"/>
    <w:rsid w:val="002A323C"/>
    <w:rsid w:val="002A40CB"/>
    <w:rsid w:val="002A445E"/>
    <w:rsid w:val="002A4878"/>
    <w:rsid w:val="002A4C30"/>
    <w:rsid w:val="002A4EE4"/>
    <w:rsid w:val="002A500B"/>
    <w:rsid w:val="002A50CF"/>
    <w:rsid w:val="002A5926"/>
    <w:rsid w:val="002A5965"/>
    <w:rsid w:val="002A65DE"/>
    <w:rsid w:val="002A6DFE"/>
    <w:rsid w:val="002A6E48"/>
    <w:rsid w:val="002A74CF"/>
    <w:rsid w:val="002A750F"/>
    <w:rsid w:val="002A75DA"/>
    <w:rsid w:val="002A7BCD"/>
    <w:rsid w:val="002B03E9"/>
    <w:rsid w:val="002B04D5"/>
    <w:rsid w:val="002B0E0D"/>
    <w:rsid w:val="002B1756"/>
    <w:rsid w:val="002B17CB"/>
    <w:rsid w:val="002B1AD7"/>
    <w:rsid w:val="002B20EB"/>
    <w:rsid w:val="002B27C5"/>
    <w:rsid w:val="002B2887"/>
    <w:rsid w:val="002B2AB5"/>
    <w:rsid w:val="002B2C9E"/>
    <w:rsid w:val="002B2D23"/>
    <w:rsid w:val="002B2D43"/>
    <w:rsid w:val="002B37BF"/>
    <w:rsid w:val="002B390D"/>
    <w:rsid w:val="002B39CA"/>
    <w:rsid w:val="002B3C19"/>
    <w:rsid w:val="002B3E31"/>
    <w:rsid w:val="002B3ECE"/>
    <w:rsid w:val="002B5476"/>
    <w:rsid w:val="002B5543"/>
    <w:rsid w:val="002B56C0"/>
    <w:rsid w:val="002B5F57"/>
    <w:rsid w:val="002B64A2"/>
    <w:rsid w:val="002B6D11"/>
    <w:rsid w:val="002B6F04"/>
    <w:rsid w:val="002B760A"/>
    <w:rsid w:val="002B77CC"/>
    <w:rsid w:val="002B784D"/>
    <w:rsid w:val="002B7A57"/>
    <w:rsid w:val="002B7BAA"/>
    <w:rsid w:val="002C0200"/>
    <w:rsid w:val="002C02A8"/>
    <w:rsid w:val="002C056C"/>
    <w:rsid w:val="002C0B2C"/>
    <w:rsid w:val="002C17D3"/>
    <w:rsid w:val="002C1E4C"/>
    <w:rsid w:val="002C2793"/>
    <w:rsid w:val="002C2A8E"/>
    <w:rsid w:val="002C305A"/>
    <w:rsid w:val="002C310A"/>
    <w:rsid w:val="002C3270"/>
    <w:rsid w:val="002C32D7"/>
    <w:rsid w:val="002C3999"/>
    <w:rsid w:val="002C403E"/>
    <w:rsid w:val="002C4071"/>
    <w:rsid w:val="002C4216"/>
    <w:rsid w:val="002C49F9"/>
    <w:rsid w:val="002C4B03"/>
    <w:rsid w:val="002C528D"/>
    <w:rsid w:val="002C5326"/>
    <w:rsid w:val="002C536F"/>
    <w:rsid w:val="002C5918"/>
    <w:rsid w:val="002C5931"/>
    <w:rsid w:val="002C5EBC"/>
    <w:rsid w:val="002C677E"/>
    <w:rsid w:val="002C6E84"/>
    <w:rsid w:val="002C6FA5"/>
    <w:rsid w:val="002C77A4"/>
    <w:rsid w:val="002C77A8"/>
    <w:rsid w:val="002C7BE1"/>
    <w:rsid w:val="002D0060"/>
    <w:rsid w:val="002D054D"/>
    <w:rsid w:val="002D0606"/>
    <w:rsid w:val="002D0AFB"/>
    <w:rsid w:val="002D10AF"/>
    <w:rsid w:val="002D16C1"/>
    <w:rsid w:val="002D1957"/>
    <w:rsid w:val="002D1E38"/>
    <w:rsid w:val="002D1F14"/>
    <w:rsid w:val="002D22BA"/>
    <w:rsid w:val="002D236C"/>
    <w:rsid w:val="002D2668"/>
    <w:rsid w:val="002D2814"/>
    <w:rsid w:val="002D2AB9"/>
    <w:rsid w:val="002D320D"/>
    <w:rsid w:val="002D3EE1"/>
    <w:rsid w:val="002D4210"/>
    <w:rsid w:val="002D4239"/>
    <w:rsid w:val="002D4336"/>
    <w:rsid w:val="002D43A3"/>
    <w:rsid w:val="002D4BB1"/>
    <w:rsid w:val="002D5021"/>
    <w:rsid w:val="002D5F71"/>
    <w:rsid w:val="002D6093"/>
    <w:rsid w:val="002D60D1"/>
    <w:rsid w:val="002D61D4"/>
    <w:rsid w:val="002D650A"/>
    <w:rsid w:val="002D65D5"/>
    <w:rsid w:val="002D6E70"/>
    <w:rsid w:val="002D6F5D"/>
    <w:rsid w:val="002D6FB8"/>
    <w:rsid w:val="002D7044"/>
    <w:rsid w:val="002E0102"/>
    <w:rsid w:val="002E03B6"/>
    <w:rsid w:val="002E0DC7"/>
    <w:rsid w:val="002E0E3E"/>
    <w:rsid w:val="002E124C"/>
    <w:rsid w:val="002E1830"/>
    <w:rsid w:val="002E1D52"/>
    <w:rsid w:val="002E230D"/>
    <w:rsid w:val="002E2788"/>
    <w:rsid w:val="002E292C"/>
    <w:rsid w:val="002E2B05"/>
    <w:rsid w:val="002E2F8E"/>
    <w:rsid w:val="002E3544"/>
    <w:rsid w:val="002E3C2D"/>
    <w:rsid w:val="002E47D9"/>
    <w:rsid w:val="002E4970"/>
    <w:rsid w:val="002E559F"/>
    <w:rsid w:val="002E5F9E"/>
    <w:rsid w:val="002E6031"/>
    <w:rsid w:val="002E618C"/>
    <w:rsid w:val="002E6352"/>
    <w:rsid w:val="002E6535"/>
    <w:rsid w:val="002E6545"/>
    <w:rsid w:val="002E683C"/>
    <w:rsid w:val="002E6BB5"/>
    <w:rsid w:val="002E6C9B"/>
    <w:rsid w:val="002E6D58"/>
    <w:rsid w:val="002E70EB"/>
    <w:rsid w:val="002E7707"/>
    <w:rsid w:val="002E7B9E"/>
    <w:rsid w:val="002E7BC8"/>
    <w:rsid w:val="002F01EF"/>
    <w:rsid w:val="002F0B32"/>
    <w:rsid w:val="002F119A"/>
    <w:rsid w:val="002F19BB"/>
    <w:rsid w:val="002F1ED0"/>
    <w:rsid w:val="002F27C9"/>
    <w:rsid w:val="002F292D"/>
    <w:rsid w:val="002F3059"/>
    <w:rsid w:val="002F3E9C"/>
    <w:rsid w:val="002F3EF2"/>
    <w:rsid w:val="002F4279"/>
    <w:rsid w:val="002F4428"/>
    <w:rsid w:val="002F4957"/>
    <w:rsid w:val="002F4A2C"/>
    <w:rsid w:val="002F5089"/>
    <w:rsid w:val="002F53C0"/>
    <w:rsid w:val="002F53F6"/>
    <w:rsid w:val="002F603B"/>
    <w:rsid w:val="002F6300"/>
    <w:rsid w:val="002F6412"/>
    <w:rsid w:val="002F645C"/>
    <w:rsid w:val="002F67A6"/>
    <w:rsid w:val="002F681A"/>
    <w:rsid w:val="002F6ECB"/>
    <w:rsid w:val="002F7244"/>
    <w:rsid w:val="002F7D34"/>
    <w:rsid w:val="002F7E05"/>
    <w:rsid w:val="003005EB"/>
    <w:rsid w:val="003007C9"/>
    <w:rsid w:val="00300920"/>
    <w:rsid w:val="00300AA8"/>
    <w:rsid w:val="00301138"/>
    <w:rsid w:val="003012C7"/>
    <w:rsid w:val="0030150C"/>
    <w:rsid w:val="00301A7F"/>
    <w:rsid w:val="00301B2A"/>
    <w:rsid w:val="00301D68"/>
    <w:rsid w:val="00301F5C"/>
    <w:rsid w:val="00302442"/>
    <w:rsid w:val="003025E6"/>
    <w:rsid w:val="0030296C"/>
    <w:rsid w:val="00302A58"/>
    <w:rsid w:val="00302D4C"/>
    <w:rsid w:val="00303011"/>
    <w:rsid w:val="0030332F"/>
    <w:rsid w:val="00303561"/>
    <w:rsid w:val="003036D0"/>
    <w:rsid w:val="0030398A"/>
    <w:rsid w:val="00303D24"/>
    <w:rsid w:val="003042C3"/>
    <w:rsid w:val="00305521"/>
    <w:rsid w:val="00305B59"/>
    <w:rsid w:val="003066F9"/>
    <w:rsid w:val="00306A0F"/>
    <w:rsid w:val="00306AD6"/>
    <w:rsid w:val="00307226"/>
    <w:rsid w:val="00307303"/>
    <w:rsid w:val="00307338"/>
    <w:rsid w:val="00307353"/>
    <w:rsid w:val="00307359"/>
    <w:rsid w:val="00307E53"/>
    <w:rsid w:val="00307E5E"/>
    <w:rsid w:val="00307EA3"/>
    <w:rsid w:val="00307F7D"/>
    <w:rsid w:val="0031079E"/>
    <w:rsid w:val="00310856"/>
    <w:rsid w:val="00310AC0"/>
    <w:rsid w:val="00311298"/>
    <w:rsid w:val="003116D1"/>
    <w:rsid w:val="00311BCE"/>
    <w:rsid w:val="003128FE"/>
    <w:rsid w:val="00313094"/>
    <w:rsid w:val="00313198"/>
    <w:rsid w:val="00313383"/>
    <w:rsid w:val="00313654"/>
    <w:rsid w:val="00313D11"/>
    <w:rsid w:val="00313F6D"/>
    <w:rsid w:val="003140F0"/>
    <w:rsid w:val="0031412A"/>
    <w:rsid w:val="003143A6"/>
    <w:rsid w:val="00314BDC"/>
    <w:rsid w:val="00314E15"/>
    <w:rsid w:val="003153A6"/>
    <w:rsid w:val="003154B6"/>
    <w:rsid w:val="00315C08"/>
    <w:rsid w:val="00316730"/>
    <w:rsid w:val="00316B89"/>
    <w:rsid w:val="003170A6"/>
    <w:rsid w:val="00317D16"/>
    <w:rsid w:val="00317F6E"/>
    <w:rsid w:val="003200D5"/>
    <w:rsid w:val="00320134"/>
    <w:rsid w:val="00320630"/>
    <w:rsid w:val="00320663"/>
    <w:rsid w:val="0032101D"/>
    <w:rsid w:val="00321181"/>
    <w:rsid w:val="0032128B"/>
    <w:rsid w:val="003214FE"/>
    <w:rsid w:val="003219DE"/>
    <w:rsid w:val="00321BD1"/>
    <w:rsid w:val="0032209E"/>
    <w:rsid w:val="00322294"/>
    <w:rsid w:val="00322320"/>
    <w:rsid w:val="00322FF9"/>
    <w:rsid w:val="003230BF"/>
    <w:rsid w:val="0032313A"/>
    <w:rsid w:val="003232D4"/>
    <w:rsid w:val="00324359"/>
    <w:rsid w:val="003243C9"/>
    <w:rsid w:val="0032475F"/>
    <w:rsid w:val="003247B0"/>
    <w:rsid w:val="003248BA"/>
    <w:rsid w:val="00324ACF"/>
    <w:rsid w:val="00325863"/>
    <w:rsid w:val="00325F4B"/>
    <w:rsid w:val="0032654C"/>
    <w:rsid w:val="003266B2"/>
    <w:rsid w:val="00326C78"/>
    <w:rsid w:val="00326EE8"/>
    <w:rsid w:val="00327541"/>
    <w:rsid w:val="003275D0"/>
    <w:rsid w:val="00327987"/>
    <w:rsid w:val="003309F5"/>
    <w:rsid w:val="00330B09"/>
    <w:rsid w:val="003315EE"/>
    <w:rsid w:val="00332083"/>
    <w:rsid w:val="0033210D"/>
    <w:rsid w:val="00332404"/>
    <w:rsid w:val="0033289A"/>
    <w:rsid w:val="0033301F"/>
    <w:rsid w:val="003336A6"/>
    <w:rsid w:val="00333951"/>
    <w:rsid w:val="00333D62"/>
    <w:rsid w:val="00334296"/>
    <w:rsid w:val="0033445D"/>
    <w:rsid w:val="0033497D"/>
    <w:rsid w:val="00334C7B"/>
    <w:rsid w:val="00335491"/>
    <w:rsid w:val="003357E0"/>
    <w:rsid w:val="003358B6"/>
    <w:rsid w:val="00335D32"/>
    <w:rsid w:val="00335D35"/>
    <w:rsid w:val="00336450"/>
    <w:rsid w:val="00336D01"/>
    <w:rsid w:val="00337856"/>
    <w:rsid w:val="00337E64"/>
    <w:rsid w:val="00341BC6"/>
    <w:rsid w:val="00341C3B"/>
    <w:rsid w:val="00341C77"/>
    <w:rsid w:val="00341DFC"/>
    <w:rsid w:val="003422D1"/>
    <w:rsid w:val="00342EA8"/>
    <w:rsid w:val="00343138"/>
    <w:rsid w:val="00343526"/>
    <w:rsid w:val="00344455"/>
    <w:rsid w:val="00344564"/>
    <w:rsid w:val="003448E6"/>
    <w:rsid w:val="00344C0D"/>
    <w:rsid w:val="00344F5D"/>
    <w:rsid w:val="003451D4"/>
    <w:rsid w:val="0034537D"/>
    <w:rsid w:val="00346046"/>
    <w:rsid w:val="003462AF"/>
    <w:rsid w:val="0034790D"/>
    <w:rsid w:val="00347C0E"/>
    <w:rsid w:val="00347D5E"/>
    <w:rsid w:val="00347F03"/>
    <w:rsid w:val="0035004C"/>
    <w:rsid w:val="00350401"/>
    <w:rsid w:val="003508F1"/>
    <w:rsid w:val="00350B6C"/>
    <w:rsid w:val="00350BE2"/>
    <w:rsid w:val="0035184D"/>
    <w:rsid w:val="003518C8"/>
    <w:rsid w:val="00351B1D"/>
    <w:rsid w:val="00351D63"/>
    <w:rsid w:val="003521AD"/>
    <w:rsid w:val="003521AE"/>
    <w:rsid w:val="00352495"/>
    <w:rsid w:val="00352862"/>
    <w:rsid w:val="003529BB"/>
    <w:rsid w:val="00352D35"/>
    <w:rsid w:val="00352F0F"/>
    <w:rsid w:val="003531D1"/>
    <w:rsid w:val="00353948"/>
    <w:rsid w:val="00353CF5"/>
    <w:rsid w:val="00353F14"/>
    <w:rsid w:val="003541A5"/>
    <w:rsid w:val="00354592"/>
    <w:rsid w:val="003549B2"/>
    <w:rsid w:val="00354BB2"/>
    <w:rsid w:val="00354E76"/>
    <w:rsid w:val="003559D6"/>
    <w:rsid w:val="00355AA9"/>
    <w:rsid w:val="00355D18"/>
    <w:rsid w:val="00355E40"/>
    <w:rsid w:val="00356307"/>
    <w:rsid w:val="0035666F"/>
    <w:rsid w:val="003566BA"/>
    <w:rsid w:val="00356729"/>
    <w:rsid w:val="003569D8"/>
    <w:rsid w:val="00356A5F"/>
    <w:rsid w:val="00356BE5"/>
    <w:rsid w:val="00356E66"/>
    <w:rsid w:val="0035736F"/>
    <w:rsid w:val="003573F8"/>
    <w:rsid w:val="00357556"/>
    <w:rsid w:val="00357EF3"/>
    <w:rsid w:val="00360050"/>
    <w:rsid w:val="00360071"/>
    <w:rsid w:val="00360079"/>
    <w:rsid w:val="00360637"/>
    <w:rsid w:val="0036094D"/>
    <w:rsid w:val="00360ABB"/>
    <w:rsid w:val="00360CB6"/>
    <w:rsid w:val="00361071"/>
    <w:rsid w:val="003613FC"/>
    <w:rsid w:val="0036143E"/>
    <w:rsid w:val="00361611"/>
    <w:rsid w:val="00361E5B"/>
    <w:rsid w:val="00361FD7"/>
    <w:rsid w:val="003625A3"/>
    <w:rsid w:val="003625DA"/>
    <w:rsid w:val="00362789"/>
    <w:rsid w:val="0036281F"/>
    <w:rsid w:val="003629C7"/>
    <w:rsid w:val="00362FFE"/>
    <w:rsid w:val="003634E8"/>
    <w:rsid w:val="003635D0"/>
    <w:rsid w:val="00363827"/>
    <w:rsid w:val="0036382E"/>
    <w:rsid w:val="003638B9"/>
    <w:rsid w:val="00363A04"/>
    <w:rsid w:val="00363BC2"/>
    <w:rsid w:val="003644DA"/>
    <w:rsid w:val="00364A87"/>
    <w:rsid w:val="00364DC1"/>
    <w:rsid w:val="003653C4"/>
    <w:rsid w:val="003657BD"/>
    <w:rsid w:val="00365C87"/>
    <w:rsid w:val="003666B2"/>
    <w:rsid w:val="0036739C"/>
    <w:rsid w:val="00367881"/>
    <w:rsid w:val="00367964"/>
    <w:rsid w:val="00367BA3"/>
    <w:rsid w:val="00367BE5"/>
    <w:rsid w:val="00367DAC"/>
    <w:rsid w:val="003701CE"/>
    <w:rsid w:val="00370E0E"/>
    <w:rsid w:val="0037111F"/>
    <w:rsid w:val="00371157"/>
    <w:rsid w:val="00371DDC"/>
    <w:rsid w:val="00371EDB"/>
    <w:rsid w:val="00371F54"/>
    <w:rsid w:val="003722CB"/>
    <w:rsid w:val="003724C7"/>
    <w:rsid w:val="00372594"/>
    <w:rsid w:val="0037293D"/>
    <w:rsid w:val="003736B4"/>
    <w:rsid w:val="0037372A"/>
    <w:rsid w:val="0037387F"/>
    <w:rsid w:val="003745D5"/>
    <w:rsid w:val="00375260"/>
    <w:rsid w:val="00375424"/>
    <w:rsid w:val="003754A9"/>
    <w:rsid w:val="003754D0"/>
    <w:rsid w:val="00375B12"/>
    <w:rsid w:val="003767E4"/>
    <w:rsid w:val="003767EC"/>
    <w:rsid w:val="00376BFC"/>
    <w:rsid w:val="00377249"/>
    <w:rsid w:val="0037770E"/>
    <w:rsid w:val="0037798C"/>
    <w:rsid w:val="00377AD7"/>
    <w:rsid w:val="003801A8"/>
    <w:rsid w:val="003803D1"/>
    <w:rsid w:val="0038099B"/>
    <w:rsid w:val="00380DF8"/>
    <w:rsid w:val="00381135"/>
    <w:rsid w:val="0038172A"/>
    <w:rsid w:val="003817D2"/>
    <w:rsid w:val="0038186A"/>
    <w:rsid w:val="003820B2"/>
    <w:rsid w:val="00382C48"/>
    <w:rsid w:val="00382D2A"/>
    <w:rsid w:val="0038337D"/>
    <w:rsid w:val="00383D45"/>
    <w:rsid w:val="00383DCA"/>
    <w:rsid w:val="00384098"/>
    <w:rsid w:val="00384176"/>
    <w:rsid w:val="003841B9"/>
    <w:rsid w:val="00384521"/>
    <w:rsid w:val="003846E8"/>
    <w:rsid w:val="00384A8B"/>
    <w:rsid w:val="00384EE4"/>
    <w:rsid w:val="00385349"/>
    <w:rsid w:val="003856DB"/>
    <w:rsid w:val="00385C5A"/>
    <w:rsid w:val="00385DA0"/>
    <w:rsid w:val="00385F0B"/>
    <w:rsid w:val="00386372"/>
    <w:rsid w:val="00386578"/>
    <w:rsid w:val="00386841"/>
    <w:rsid w:val="00386EA4"/>
    <w:rsid w:val="00387089"/>
    <w:rsid w:val="00387209"/>
    <w:rsid w:val="003874B7"/>
    <w:rsid w:val="00387C5E"/>
    <w:rsid w:val="00387D75"/>
    <w:rsid w:val="00390896"/>
    <w:rsid w:val="00390AC3"/>
    <w:rsid w:val="00391136"/>
    <w:rsid w:val="00391738"/>
    <w:rsid w:val="00391CD8"/>
    <w:rsid w:val="00391E55"/>
    <w:rsid w:val="00391EF5"/>
    <w:rsid w:val="00392293"/>
    <w:rsid w:val="00392446"/>
    <w:rsid w:val="00392D57"/>
    <w:rsid w:val="00392E15"/>
    <w:rsid w:val="00393207"/>
    <w:rsid w:val="00393F7C"/>
    <w:rsid w:val="003941E2"/>
    <w:rsid w:val="003944E9"/>
    <w:rsid w:val="00394612"/>
    <w:rsid w:val="0039499C"/>
    <w:rsid w:val="00395587"/>
    <w:rsid w:val="003955B2"/>
    <w:rsid w:val="00395AB3"/>
    <w:rsid w:val="00396A15"/>
    <w:rsid w:val="00397173"/>
    <w:rsid w:val="003972E0"/>
    <w:rsid w:val="00397DAB"/>
    <w:rsid w:val="003A0300"/>
    <w:rsid w:val="003A0519"/>
    <w:rsid w:val="003A0527"/>
    <w:rsid w:val="003A0D97"/>
    <w:rsid w:val="003A14D3"/>
    <w:rsid w:val="003A1913"/>
    <w:rsid w:val="003A1BF1"/>
    <w:rsid w:val="003A2199"/>
    <w:rsid w:val="003A31B3"/>
    <w:rsid w:val="003A366F"/>
    <w:rsid w:val="003A3D3A"/>
    <w:rsid w:val="003A493D"/>
    <w:rsid w:val="003A4D8F"/>
    <w:rsid w:val="003A5218"/>
    <w:rsid w:val="003A542B"/>
    <w:rsid w:val="003A543A"/>
    <w:rsid w:val="003A551D"/>
    <w:rsid w:val="003A5948"/>
    <w:rsid w:val="003A6366"/>
    <w:rsid w:val="003A64B6"/>
    <w:rsid w:val="003A6954"/>
    <w:rsid w:val="003A6A1F"/>
    <w:rsid w:val="003A6C2F"/>
    <w:rsid w:val="003A7377"/>
    <w:rsid w:val="003A7393"/>
    <w:rsid w:val="003A78C5"/>
    <w:rsid w:val="003A7A0C"/>
    <w:rsid w:val="003B0E65"/>
    <w:rsid w:val="003B0FE1"/>
    <w:rsid w:val="003B13DD"/>
    <w:rsid w:val="003B1700"/>
    <w:rsid w:val="003B1BBF"/>
    <w:rsid w:val="003B1F12"/>
    <w:rsid w:val="003B1FF4"/>
    <w:rsid w:val="003B21CD"/>
    <w:rsid w:val="003B2774"/>
    <w:rsid w:val="003B2B6C"/>
    <w:rsid w:val="003B3008"/>
    <w:rsid w:val="003B3920"/>
    <w:rsid w:val="003B3E5D"/>
    <w:rsid w:val="003B418D"/>
    <w:rsid w:val="003B4276"/>
    <w:rsid w:val="003B474B"/>
    <w:rsid w:val="003B4BCF"/>
    <w:rsid w:val="003B4CCC"/>
    <w:rsid w:val="003B4F1F"/>
    <w:rsid w:val="003B51EE"/>
    <w:rsid w:val="003B55B0"/>
    <w:rsid w:val="003B55BD"/>
    <w:rsid w:val="003B5C41"/>
    <w:rsid w:val="003B5FD3"/>
    <w:rsid w:val="003B63DC"/>
    <w:rsid w:val="003B68AA"/>
    <w:rsid w:val="003B6B1D"/>
    <w:rsid w:val="003B6D2C"/>
    <w:rsid w:val="003B6D9B"/>
    <w:rsid w:val="003B7B1F"/>
    <w:rsid w:val="003C0470"/>
    <w:rsid w:val="003C084A"/>
    <w:rsid w:val="003C0BD6"/>
    <w:rsid w:val="003C128A"/>
    <w:rsid w:val="003C12A6"/>
    <w:rsid w:val="003C13CC"/>
    <w:rsid w:val="003C159D"/>
    <w:rsid w:val="003C1DA0"/>
    <w:rsid w:val="003C1DC1"/>
    <w:rsid w:val="003C1E3A"/>
    <w:rsid w:val="003C25FB"/>
    <w:rsid w:val="003C260A"/>
    <w:rsid w:val="003C2D1F"/>
    <w:rsid w:val="003C2E29"/>
    <w:rsid w:val="003C2EC6"/>
    <w:rsid w:val="003C30EC"/>
    <w:rsid w:val="003C37AE"/>
    <w:rsid w:val="003C3EC4"/>
    <w:rsid w:val="003C3EE8"/>
    <w:rsid w:val="003C41D9"/>
    <w:rsid w:val="003C4F32"/>
    <w:rsid w:val="003C52C5"/>
    <w:rsid w:val="003C5532"/>
    <w:rsid w:val="003C594B"/>
    <w:rsid w:val="003C5C04"/>
    <w:rsid w:val="003C5CBD"/>
    <w:rsid w:val="003C5EDE"/>
    <w:rsid w:val="003C6442"/>
    <w:rsid w:val="003C6486"/>
    <w:rsid w:val="003C656C"/>
    <w:rsid w:val="003C6586"/>
    <w:rsid w:val="003C6A79"/>
    <w:rsid w:val="003C6C73"/>
    <w:rsid w:val="003C6D20"/>
    <w:rsid w:val="003C74CD"/>
    <w:rsid w:val="003C798B"/>
    <w:rsid w:val="003C7A26"/>
    <w:rsid w:val="003C7A62"/>
    <w:rsid w:val="003C7E73"/>
    <w:rsid w:val="003D1103"/>
    <w:rsid w:val="003D11E6"/>
    <w:rsid w:val="003D12F8"/>
    <w:rsid w:val="003D28A1"/>
    <w:rsid w:val="003D32A5"/>
    <w:rsid w:val="003D3C2A"/>
    <w:rsid w:val="003D3CCC"/>
    <w:rsid w:val="003D41E9"/>
    <w:rsid w:val="003D43EB"/>
    <w:rsid w:val="003D4BA5"/>
    <w:rsid w:val="003D4CD5"/>
    <w:rsid w:val="003D517F"/>
    <w:rsid w:val="003D52F6"/>
    <w:rsid w:val="003D558C"/>
    <w:rsid w:val="003D5A51"/>
    <w:rsid w:val="003D5D76"/>
    <w:rsid w:val="003D5F77"/>
    <w:rsid w:val="003D6193"/>
    <w:rsid w:val="003D6412"/>
    <w:rsid w:val="003D648D"/>
    <w:rsid w:val="003D64CA"/>
    <w:rsid w:val="003D66D3"/>
    <w:rsid w:val="003D6993"/>
    <w:rsid w:val="003D69EA"/>
    <w:rsid w:val="003D6D19"/>
    <w:rsid w:val="003D705E"/>
    <w:rsid w:val="003D7945"/>
    <w:rsid w:val="003D7A1F"/>
    <w:rsid w:val="003E058C"/>
    <w:rsid w:val="003E0FA7"/>
    <w:rsid w:val="003E12E6"/>
    <w:rsid w:val="003E1BDB"/>
    <w:rsid w:val="003E2983"/>
    <w:rsid w:val="003E3BD5"/>
    <w:rsid w:val="003E4802"/>
    <w:rsid w:val="003E48F8"/>
    <w:rsid w:val="003E4F78"/>
    <w:rsid w:val="003E55C6"/>
    <w:rsid w:val="003E55F2"/>
    <w:rsid w:val="003E5EB9"/>
    <w:rsid w:val="003E6133"/>
    <w:rsid w:val="003E6179"/>
    <w:rsid w:val="003E627E"/>
    <w:rsid w:val="003E6CAA"/>
    <w:rsid w:val="003E7326"/>
    <w:rsid w:val="003E7AED"/>
    <w:rsid w:val="003E7CB9"/>
    <w:rsid w:val="003F008B"/>
    <w:rsid w:val="003F01C5"/>
    <w:rsid w:val="003F0981"/>
    <w:rsid w:val="003F11F6"/>
    <w:rsid w:val="003F1510"/>
    <w:rsid w:val="003F1949"/>
    <w:rsid w:val="003F1D55"/>
    <w:rsid w:val="003F1E0C"/>
    <w:rsid w:val="003F211A"/>
    <w:rsid w:val="003F28DE"/>
    <w:rsid w:val="003F2EB1"/>
    <w:rsid w:val="003F38A8"/>
    <w:rsid w:val="003F38DA"/>
    <w:rsid w:val="003F3B97"/>
    <w:rsid w:val="003F3D23"/>
    <w:rsid w:val="003F3FDF"/>
    <w:rsid w:val="003F440A"/>
    <w:rsid w:val="003F4517"/>
    <w:rsid w:val="003F45F5"/>
    <w:rsid w:val="003F4995"/>
    <w:rsid w:val="003F55AB"/>
    <w:rsid w:val="003F55C2"/>
    <w:rsid w:val="003F5F9A"/>
    <w:rsid w:val="003F61FA"/>
    <w:rsid w:val="003F6227"/>
    <w:rsid w:val="003F6432"/>
    <w:rsid w:val="003F6569"/>
    <w:rsid w:val="003F658C"/>
    <w:rsid w:val="003F672C"/>
    <w:rsid w:val="003F696E"/>
    <w:rsid w:val="003F6ADE"/>
    <w:rsid w:val="003F6C4F"/>
    <w:rsid w:val="003F6F37"/>
    <w:rsid w:val="003F6F47"/>
    <w:rsid w:val="003F7844"/>
    <w:rsid w:val="003F7CB5"/>
    <w:rsid w:val="003F7D12"/>
    <w:rsid w:val="004001D0"/>
    <w:rsid w:val="004003D2"/>
    <w:rsid w:val="004010FC"/>
    <w:rsid w:val="0040174C"/>
    <w:rsid w:val="00401996"/>
    <w:rsid w:val="00401C0F"/>
    <w:rsid w:val="00401CC2"/>
    <w:rsid w:val="004029E6"/>
    <w:rsid w:val="00402F23"/>
    <w:rsid w:val="0040373B"/>
    <w:rsid w:val="0040383E"/>
    <w:rsid w:val="00403862"/>
    <w:rsid w:val="00403C07"/>
    <w:rsid w:val="00403D00"/>
    <w:rsid w:val="00403EB3"/>
    <w:rsid w:val="00404855"/>
    <w:rsid w:val="00404A34"/>
    <w:rsid w:val="00404FC0"/>
    <w:rsid w:val="004051FF"/>
    <w:rsid w:val="00405400"/>
    <w:rsid w:val="004054EF"/>
    <w:rsid w:val="004057EE"/>
    <w:rsid w:val="004059AD"/>
    <w:rsid w:val="00405FD0"/>
    <w:rsid w:val="004063C6"/>
    <w:rsid w:val="004064D9"/>
    <w:rsid w:val="00406634"/>
    <w:rsid w:val="00406EBA"/>
    <w:rsid w:val="00406F25"/>
    <w:rsid w:val="0040709C"/>
    <w:rsid w:val="0040731C"/>
    <w:rsid w:val="00407A6A"/>
    <w:rsid w:val="00407E3C"/>
    <w:rsid w:val="00410556"/>
    <w:rsid w:val="004107ED"/>
    <w:rsid w:val="00410B07"/>
    <w:rsid w:val="00410BAC"/>
    <w:rsid w:val="00410F69"/>
    <w:rsid w:val="00411177"/>
    <w:rsid w:val="0041130D"/>
    <w:rsid w:val="00411342"/>
    <w:rsid w:val="004115DD"/>
    <w:rsid w:val="00411758"/>
    <w:rsid w:val="00411B20"/>
    <w:rsid w:val="00411C8B"/>
    <w:rsid w:val="00412562"/>
    <w:rsid w:val="0041258C"/>
    <w:rsid w:val="0041394C"/>
    <w:rsid w:val="0041427E"/>
    <w:rsid w:val="004145CF"/>
    <w:rsid w:val="0041473F"/>
    <w:rsid w:val="00414A26"/>
    <w:rsid w:val="004150EC"/>
    <w:rsid w:val="00415AA0"/>
    <w:rsid w:val="00415EEC"/>
    <w:rsid w:val="00416180"/>
    <w:rsid w:val="00416A06"/>
    <w:rsid w:val="00420A13"/>
    <w:rsid w:val="00420D03"/>
    <w:rsid w:val="00420FB2"/>
    <w:rsid w:val="004214FB"/>
    <w:rsid w:val="004215F2"/>
    <w:rsid w:val="00422006"/>
    <w:rsid w:val="004224ED"/>
    <w:rsid w:val="00422996"/>
    <w:rsid w:val="0042315D"/>
    <w:rsid w:val="0042354C"/>
    <w:rsid w:val="00423DA1"/>
    <w:rsid w:val="00423F17"/>
    <w:rsid w:val="00424926"/>
    <w:rsid w:val="00424A04"/>
    <w:rsid w:val="00424A1B"/>
    <w:rsid w:val="00424C20"/>
    <w:rsid w:val="00425039"/>
    <w:rsid w:val="004253B3"/>
    <w:rsid w:val="00425D28"/>
    <w:rsid w:val="0042617D"/>
    <w:rsid w:val="004267A9"/>
    <w:rsid w:val="004267DA"/>
    <w:rsid w:val="00426927"/>
    <w:rsid w:val="00426A80"/>
    <w:rsid w:val="00426D09"/>
    <w:rsid w:val="00426E81"/>
    <w:rsid w:val="0042716B"/>
    <w:rsid w:val="00427249"/>
    <w:rsid w:val="00427451"/>
    <w:rsid w:val="00427578"/>
    <w:rsid w:val="00427988"/>
    <w:rsid w:val="00427A88"/>
    <w:rsid w:val="00427EFD"/>
    <w:rsid w:val="00430088"/>
    <w:rsid w:val="00430260"/>
    <w:rsid w:val="0043027F"/>
    <w:rsid w:val="00430634"/>
    <w:rsid w:val="004306EB"/>
    <w:rsid w:val="0043073F"/>
    <w:rsid w:val="00430AD9"/>
    <w:rsid w:val="00430B87"/>
    <w:rsid w:val="00430FB1"/>
    <w:rsid w:val="00431B4E"/>
    <w:rsid w:val="00432248"/>
    <w:rsid w:val="004322F9"/>
    <w:rsid w:val="00433337"/>
    <w:rsid w:val="00433419"/>
    <w:rsid w:val="004334D3"/>
    <w:rsid w:val="00433B80"/>
    <w:rsid w:val="0043405E"/>
    <w:rsid w:val="0043591A"/>
    <w:rsid w:val="0043596A"/>
    <w:rsid w:val="00435C6A"/>
    <w:rsid w:val="00435E7A"/>
    <w:rsid w:val="00435F45"/>
    <w:rsid w:val="004360AC"/>
    <w:rsid w:val="004365EE"/>
    <w:rsid w:val="00436618"/>
    <w:rsid w:val="00436CA8"/>
    <w:rsid w:val="00436DB3"/>
    <w:rsid w:val="00436E9F"/>
    <w:rsid w:val="00436FA8"/>
    <w:rsid w:val="004372A9"/>
    <w:rsid w:val="00437F20"/>
    <w:rsid w:val="0044004C"/>
    <w:rsid w:val="004406B9"/>
    <w:rsid w:val="0044148C"/>
    <w:rsid w:val="004418F6"/>
    <w:rsid w:val="00441A09"/>
    <w:rsid w:val="00441C20"/>
    <w:rsid w:val="00442CEC"/>
    <w:rsid w:val="00442E0A"/>
    <w:rsid w:val="00443071"/>
    <w:rsid w:val="00443261"/>
    <w:rsid w:val="00443A69"/>
    <w:rsid w:val="00443D0F"/>
    <w:rsid w:val="00444131"/>
    <w:rsid w:val="004441B8"/>
    <w:rsid w:val="00444613"/>
    <w:rsid w:val="004449E6"/>
    <w:rsid w:val="00444C82"/>
    <w:rsid w:val="00444DE8"/>
    <w:rsid w:val="00444FF1"/>
    <w:rsid w:val="00445238"/>
    <w:rsid w:val="0044524C"/>
    <w:rsid w:val="00445543"/>
    <w:rsid w:val="00445892"/>
    <w:rsid w:val="004458FB"/>
    <w:rsid w:val="00446549"/>
    <w:rsid w:val="00446591"/>
    <w:rsid w:val="004466D5"/>
    <w:rsid w:val="00446CFC"/>
    <w:rsid w:val="0044753C"/>
    <w:rsid w:val="00447857"/>
    <w:rsid w:val="00447E0C"/>
    <w:rsid w:val="0045050B"/>
    <w:rsid w:val="00450DFA"/>
    <w:rsid w:val="00450F62"/>
    <w:rsid w:val="00451571"/>
    <w:rsid w:val="0045169E"/>
    <w:rsid w:val="0045191B"/>
    <w:rsid w:val="00451D26"/>
    <w:rsid w:val="00452220"/>
    <w:rsid w:val="00452224"/>
    <w:rsid w:val="0045222C"/>
    <w:rsid w:val="00452439"/>
    <w:rsid w:val="00452634"/>
    <w:rsid w:val="00452F31"/>
    <w:rsid w:val="00453B02"/>
    <w:rsid w:val="00453E6A"/>
    <w:rsid w:val="0045435D"/>
    <w:rsid w:val="004546DA"/>
    <w:rsid w:val="0045503C"/>
    <w:rsid w:val="00455109"/>
    <w:rsid w:val="00455F33"/>
    <w:rsid w:val="00456D56"/>
    <w:rsid w:val="0045714D"/>
    <w:rsid w:val="004571F5"/>
    <w:rsid w:val="00457368"/>
    <w:rsid w:val="004575AF"/>
    <w:rsid w:val="004575BB"/>
    <w:rsid w:val="00457651"/>
    <w:rsid w:val="004577C8"/>
    <w:rsid w:val="00460001"/>
    <w:rsid w:val="004600C4"/>
    <w:rsid w:val="00460329"/>
    <w:rsid w:val="004604AB"/>
    <w:rsid w:val="00460959"/>
    <w:rsid w:val="004609F7"/>
    <w:rsid w:val="00460A9A"/>
    <w:rsid w:val="00461803"/>
    <w:rsid w:val="00461C51"/>
    <w:rsid w:val="00461F61"/>
    <w:rsid w:val="004620E3"/>
    <w:rsid w:val="00462842"/>
    <w:rsid w:val="00462B07"/>
    <w:rsid w:val="0046309F"/>
    <w:rsid w:val="00463AA1"/>
    <w:rsid w:val="00464019"/>
    <w:rsid w:val="004642CC"/>
    <w:rsid w:val="0046450F"/>
    <w:rsid w:val="00464932"/>
    <w:rsid w:val="00464A91"/>
    <w:rsid w:val="00464B29"/>
    <w:rsid w:val="00464F70"/>
    <w:rsid w:val="00465665"/>
    <w:rsid w:val="00465789"/>
    <w:rsid w:val="004658A0"/>
    <w:rsid w:val="00465E17"/>
    <w:rsid w:val="004660A0"/>
    <w:rsid w:val="00466315"/>
    <w:rsid w:val="004663DC"/>
    <w:rsid w:val="00466926"/>
    <w:rsid w:val="00466948"/>
    <w:rsid w:val="00467157"/>
    <w:rsid w:val="004679C1"/>
    <w:rsid w:val="00467A50"/>
    <w:rsid w:val="00467B5E"/>
    <w:rsid w:val="00467B6A"/>
    <w:rsid w:val="00467C09"/>
    <w:rsid w:val="00467E8B"/>
    <w:rsid w:val="00470410"/>
    <w:rsid w:val="0047041A"/>
    <w:rsid w:val="004706D1"/>
    <w:rsid w:val="004708BB"/>
    <w:rsid w:val="00470ABB"/>
    <w:rsid w:val="00470FDB"/>
    <w:rsid w:val="004717E4"/>
    <w:rsid w:val="0047194B"/>
    <w:rsid w:val="00471DB4"/>
    <w:rsid w:val="00471FE6"/>
    <w:rsid w:val="00472FD6"/>
    <w:rsid w:val="00473390"/>
    <w:rsid w:val="0047360A"/>
    <w:rsid w:val="00473867"/>
    <w:rsid w:val="00473B1E"/>
    <w:rsid w:val="00474140"/>
    <w:rsid w:val="0047414E"/>
    <w:rsid w:val="00474BE0"/>
    <w:rsid w:val="0047525D"/>
    <w:rsid w:val="0047555D"/>
    <w:rsid w:val="0047556E"/>
    <w:rsid w:val="00475AD3"/>
    <w:rsid w:val="00475DCE"/>
    <w:rsid w:val="00475EA2"/>
    <w:rsid w:val="004766DB"/>
    <w:rsid w:val="004766F6"/>
    <w:rsid w:val="00476789"/>
    <w:rsid w:val="00476A9C"/>
    <w:rsid w:val="00476AC5"/>
    <w:rsid w:val="00476B15"/>
    <w:rsid w:val="00476C79"/>
    <w:rsid w:val="00477229"/>
    <w:rsid w:val="004776AF"/>
    <w:rsid w:val="004776D2"/>
    <w:rsid w:val="0047770F"/>
    <w:rsid w:val="00477A59"/>
    <w:rsid w:val="00477B8A"/>
    <w:rsid w:val="00477B8F"/>
    <w:rsid w:val="00477D38"/>
    <w:rsid w:val="00480066"/>
    <w:rsid w:val="004801B7"/>
    <w:rsid w:val="004804CA"/>
    <w:rsid w:val="0048058B"/>
    <w:rsid w:val="004806A0"/>
    <w:rsid w:val="00481DCD"/>
    <w:rsid w:val="00481FF1"/>
    <w:rsid w:val="0048225B"/>
    <w:rsid w:val="00482531"/>
    <w:rsid w:val="004827E9"/>
    <w:rsid w:val="004835BB"/>
    <w:rsid w:val="004836D7"/>
    <w:rsid w:val="00483722"/>
    <w:rsid w:val="00483820"/>
    <w:rsid w:val="00484373"/>
    <w:rsid w:val="0048458E"/>
    <w:rsid w:val="00484947"/>
    <w:rsid w:val="00484B61"/>
    <w:rsid w:val="00484D38"/>
    <w:rsid w:val="00484E50"/>
    <w:rsid w:val="0048512D"/>
    <w:rsid w:val="00485274"/>
    <w:rsid w:val="00485DF1"/>
    <w:rsid w:val="00485FC3"/>
    <w:rsid w:val="0048633E"/>
    <w:rsid w:val="004867BB"/>
    <w:rsid w:val="00486A9E"/>
    <w:rsid w:val="00486F06"/>
    <w:rsid w:val="0048731B"/>
    <w:rsid w:val="00487394"/>
    <w:rsid w:val="00487618"/>
    <w:rsid w:val="00487971"/>
    <w:rsid w:val="00487AE4"/>
    <w:rsid w:val="00490016"/>
    <w:rsid w:val="00490207"/>
    <w:rsid w:val="0049064A"/>
    <w:rsid w:val="004906A6"/>
    <w:rsid w:val="004915F4"/>
    <w:rsid w:val="00491D93"/>
    <w:rsid w:val="0049290D"/>
    <w:rsid w:val="00492BC9"/>
    <w:rsid w:val="00492C59"/>
    <w:rsid w:val="00493129"/>
    <w:rsid w:val="0049349C"/>
    <w:rsid w:val="00493BB6"/>
    <w:rsid w:val="00494091"/>
    <w:rsid w:val="00494110"/>
    <w:rsid w:val="00494491"/>
    <w:rsid w:val="00494A2C"/>
    <w:rsid w:val="00494C6A"/>
    <w:rsid w:val="00494DD0"/>
    <w:rsid w:val="004950FA"/>
    <w:rsid w:val="00495BA7"/>
    <w:rsid w:val="00495CCD"/>
    <w:rsid w:val="004962D8"/>
    <w:rsid w:val="00496572"/>
    <w:rsid w:val="004968BD"/>
    <w:rsid w:val="004974CA"/>
    <w:rsid w:val="004974D1"/>
    <w:rsid w:val="00497696"/>
    <w:rsid w:val="004976F1"/>
    <w:rsid w:val="0049793E"/>
    <w:rsid w:val="00497D18"/>
    <w:rsid w:val="004A00D7"/>
    <w:rsid w:val="004A0411"/>
    <w:rsid w:val="004A0C13"/>
    <w:rsid w:val="004A18DD"/>
    <w:rsid w:val="004A1A28"/>
    <w:rsid w:val="004A1C2B"/>
    <w:rsid w:val="004A1C43"/>
    <w:rsid w:val="004A1D6D"/>
    <w:rsid w:val="004A1F41"/>
    <w:rsid w:val="004A20F2"/>
    <w:rsid w:val="004A258E"/>
    <w:rsid w:val="004A27A9"/>
    <w:rsid w:val="004A2EBB"/>
    <w:rsid w:val="004A31CF"/>
    <w:rsid w:val="004A346B"/>
    <w:rsid w:val="004A349D"/>
    <w:rsid w:val="004A383F"/>
    <w:rsid w:val="004A386B"/>
    <w:rsid w:val="004A38B0"/>
    <w:rsid w:val="004A3945"/>
    <w:rsid w:val="004A3D70"/>
    <w:rsid w:val="004A4062"/>
    <w:rsid w:val="004A40A8"/>
    <w:rsid w:val="004A4772"/>
    <w:rsid w:val="004A5000"/>
    <w:rsid w:val="004A505C"/>
    <w:rsid w:val="004A53FB"/>
    <w:rsid w:val="004A5429"/>
    <w:rsid w:val="004A5AFE"/>
    <w:rsid w:val="004A6380"/>
    <w:rsid w:val="004A6622"/>
    <w:rsid w:val="004A6F16"/>
    <w:rsid w:val="004A702C"/>
    <w:rsid w:val="004A711B"/>
    <w:rsid w:val="004A79CF"/>
    <w:rsid w:val="004A7D4E"/>
    <w:rsid w:val="004B0874"/>
    <w:rsid w:val="004B0B41"/>
    <w:rsid w:val="004B0B67"/>
    <w:rsid w:val="004B0C1F"/>
    <w:rsid w:val="004B1DAC"/>
    <w:rsid w:val="004B1F43"/>
    <w:rsid w:val="004B2AAC"/>
    <w:rsid w:val="004B320C"/>
    <w:rsid w:val="004B3B8C"/>
    <w:rsid w:val="004B4016"/>
    <w:rsid w:val="004B4073"/>
    <w:rsid w:val="004B447B"/>
    <w:rsid w:val="004B4987"/>
    <w:rsid w:val="004B4A4B"/>
    <w:rsid w:val="004B4AAE"/>
    <w:rsid w:val="004B4C9C"/>
    <w:rsid w:val="004B535B"/>
    <w:rsid w:val="004B53AE"/>
    <w:rsid w:val="004B5544"/>
    <w:rsid w:val="004B5744"/>
    <w:rsid w:val="004B5B84"/>
    <w:rsid w:val="004B609F"/>
    <w:rsid w:val="004B6399"/>
    <w:rsid w:val="004B6AD0"/>
    <w:rsid w:val="004B7019"/>
    <w:rsid w:val="004B70D7"/>
    <w:rsid w:val="004B753F"/>
    <w:rsid w:val="004B7D4E"/>
    <w:rsid w:val="004C0BFB"/>
    <w:rsid w:val="004C0E33"/>
    <w:rsid w:val="004C119C"/>
    <w:rsid w:val="004C1B82"/>
    <w:rsid w:val="004C22A3"/>
    <w:rsid w:val="004C25EA"/>
    <w:rsid w:val="004C28B5"/>
    <w:rsid w:val="004C2914"/>
    <w:rsid w:val="004C2E4D"/>
    <w:rsid w:val="004C2FC1"/>
    <w:rsid w:val="004C36AA"/>
    <w:rsid w:val="004C3973"/>
    <w:rsid w:val="004C3C8B"/>
    <w:rsid w:val="004C4325"/>
    <w:rsid w:val="004C466E"/>
    <w:rsid w:val="004C4AA9"/>
    <w:rsid w:val="004C50FF"/>
    <w:rsid w:val="004C5442"/>
    <w:rsid w:val="004C55BA"/>
    <w:rsid w:val="004C5679"/>
    <w:rsid w:val="004C599D"/>
    <w:rsid w:val="004C5BE7"/>
    <w:rsid w:val="004C5E83"/>
    <w:rsid w:val="004C5FBF"/>
    <w:rsid w:val="004C6670"/>
    <w:rsid w:val="004C6D6A"/>
    <w:rsid w:val="004C7F39"/>
    <w:rsid w:val="004D0C51"/>
    <w:rsid w:val="004D0DBB"/>
    <w:rsid w:val="004D107C"/>
    <w:rsid w:val="004D1507"/>
    <w:rsid w:val="004D19CD"/>
    <w:rsid w:val="004D1CD6"/>
    <w:rsid w:val="004D1DC1"/>
    <w:rsid w:val="004D2B0E"/>
    <w:rsid w:val="004D2DDD"/>
    <w:rsid w:val="004D2DDF"/>
    <w:rsid w:val="004D3411"/>
    <w:rsid w:val="004D42C5"/>
    <w:rsid w:val="004D46DE"/>
    <w:rsid w:val="004D4801"/>
    <w:rsid w:val="004D4835"/>
    <w:rsid w:val="004D48DE"/>
    <w:rsid w:val="004D4912"/>
    <w:rsid w:val="004D4C0C"/>
    <w:rsid w:val="004D4F1D"/>
    <w:rsid w:val="004D5171"/>
    <w:rsid w:val="004D5407"/>
    <w:rsid w:val="004D54C5"/>
    <w:rsid w:val="004D5A55"/>
    <w:rsid w:val="004D5E6B"/>
    <w:rsid w:val="004D66D6"/>
    <w:rsid w:val="004D67D9"/>
    <w:rsid w:val="004D6A37"/>
    <w:rsid w:val="004D6E88"/>
    <w:rsid w:val="004D7994"/>
    <w:rsid w:val="004D7AEB"/>
    <w:rsid w:val="004D7D55"/>
    <w:rsid w:val="004D7E17"/>
    <w:rsid w:val="004E0162"/>
    <w:rsid w:val="004E0217"/>
    <w:rsid w:val="004E064F"/>
    <w:rsid w:val="004E08F5"/>
    <w:rsid w:val="004E0E34"/>
    <w:rsid w:val="004E0FFB"/>
    <w:rsid w:val="004E15D6"/>
    <w:rsid w:val="004E16AE"/>
    <w:rsid w:val="004E1B52"/>
    <w:rsid w:val="004E1BF7"/>
    <w:rsid w:val="004E1D41"/>
    <w:rsid w:val="004E1F25"/>
    <w:rsid w:val="004E2068"/>
    <w:rsid w:val="004E289C"/>
    <w:rsid w:val="004E2D3D"/>
    <w:rsid w:val="004E3310"/>
    <w:rsid w:val="004E3673"/>
    <w:rsid w:val="004E3900"/>
    <w:rsid w:val="004E3912"/>
    <w:rsid w:val="004E3AA6"/>
    <w:rsid w:val="004E3CCE"/>
    <w:rsid w:val="004E3F02"/>
    <w:rsid w:val="004E3F3D"/>
    <w:rsid w:val="004E4416"/>
    <w:rsid w:val="004E5430"/>
    <w:rsid w:val="004E59CF"/>
    <w:rsid w:val="004E63A9"/>
    <w:rsid w:val="004E7CD3"/>
    <w:rsid w:val="004F0028"/>
    <w:rsid w:val="004F00B8"/>
    <w:rsid w:val="004F01D6"/>
    <w:rsid w:val="004F07CD"/>
    <w:rsid w:val="004F07D7"/>
    <w:rsid w:val="004F0B07"/>
    <w:rsid w:val="004F0EED"/>
    <w:rsid w:val="004F1103"/>
    <w:rsid w:val="004F1238"/>
    <w:rsid w:val="004F15AE"/>
    <w:rsid w:val="004F1B16"/>
    <w:rsid w:val="004F1BB2"/>
    <w:rsid w:val="004F236E"/>
    <w:rsid w:val="004F2433"/>
    <w:rsid w:val="004F26E0"/>
    <w:rsid w:val="004F2A73"/>
    <w:rsid w:val="004F2E2F"/>
    <w:rsid w:val="004F37E7"/>
    <w:rsid w:val="004F40ED"/>
    <w:rsid w:val="004F47AF"/>
    <w:rsid w:val="004F491B"/>
    <w:rsid w:val="004F4A27"/>
    <w:rsid w:val="004F4ACF"/>
    <w:rsid w:val="004F5197"/>
    <w:rsid w:val="004F5318"/>
    <w:rsid w:val="004F574E"/>
    <w:rsid w:val="004F6038"/>
    <w:rsid w:val="004F6E28"/>
    <w:rsid w:val="004F6EF0"/>
    <w:rsid w:val="004F7241"/>
    <w:rsid w:val="004F7AE4"/>
    <w:rsid w:val="004F7F50"/>
    <w:rsid w:val="0050056B"/>
    <w:rsid w:val="0050065A"/>
    <w:rsid w:val="0050104B"/>
    <w:rsid w:val="0050115A"/>
    <w:rsid w:val="00501F90"/>
    <w:rsid w:val="005021F1"/>
    <w:rsid w:val="005027F5"/>
    <w:rsid w:val="005031AA"/>
    <w:rsid w:val="005032EC"/>
    <w:rsid w:val="005032F8"/>
    <w:rsid w:val="00503DB6"/>
    <w:rsid w:val="00504023"/>
    <w:rsid w:val="005042A7"/>
    <w:rsid w:val="0050472A"/>
    <w:rsid w:val="00504A04"/>
    <w:rsid w:val="00504A42"/>
    <w:rsid w:val="00504B2D"/>
    <w:rsid w:val="00504D5B"/>
    <w:rsid w:val="00505621"/>
    <w:rsid w:val="00505870"/>
    <w:rsid w:val="00506151"/>
    <w:rsid w:val="00506232"/>
    <w:rsid w:val="00506DDC"/>
    <w:rsid w:val="0050700B"/>
    <w:rsid w:val="0050741D"/>
    <w:rsid w:val="00507978"/>
    <w:rsid w:val="00507A08"/>
    <w:rsid w:val="00507C07"/>
    <w:rsid w:val="005109F6"/>
    <w:rsid w:val="00510C09"/>
    <w:rsid w:val="00510E40"/>
    <w:rsid w:val="005112FE"/>
    <w:rsid w:val="00511476"/>
    <w:rsid w:val="00511935"/>
    <w:rsid w:val="0051199C"/>
    <w:rsid w:val="00511AD4"/>
    <w:rsid w:val="0051234D"/>
    <w:rsid w:val="00512BEA"/>
    <w:rsid w:val="00512EB1"/>
    <w:rsid w:val="0051306C"/>
    <w:rsid w:val="00513CB1"/>
    <w:rsid w:val="00513F20"/>
    <w:rsid w:val="00514221"/>
    <w:rsid w:val="0051489D"/>
    <w:rsid w:val="00514A38"/>
    <w:rsid w:val="00515497"/>
    <w:rsid w:val="00515634"/>
    <w:rsid w:val="00515A30"/>
    <w:rsid w:val="0051638D"/>
    <w:rsid w:val="00516912"/>
    <w:rsid w:val="00516AE3"/>
    <w:rsid w:val="00516B72"/>
    <w:rsid w:val="00516C56"/>
    <w:rsid w:val="005172AF"/>
    <w:rsid w:val="00517C90"/>
    <w:rsid w:val="00517DB3"/>
    <w:rsid w:val="00517DE3"/>
    <w:rsid w:val="005201C0"/>
    <w:rsid w:val="00520FF5"/>
    <w:rsid w:val="005210E7"/>
    <w:rsid w:val="00521869"/>
    <w:rsid w:val="00521BEE"/>
    <w:rsid w:val="005224A1"/>
    <w:rsid w:val="005227FB"/>
    <w:rsid w:val="00522956"/>
    <w:rsid w:val="005238FF"/>
    <w:rsid w:val="00523EE8"/>
    <w:rsid w:val="00523FB0"/>
    <w:rsid w:val="00524090"/>
    <w:rsid w:val="005240E0"/>
    <w:rsid w:val="005243A9"/>
    <w:rsid w:val="00525150"/>
    <w:rsid w:val="00525671"/>
    <w:rsid w:val="00526591"/>
    <w:rsid w:val="005268D5"/>
    <w:rsid w:val="005269B8"/>
    <w:rsid w:val="00527278"/>
    <w:rsid w:val="00527295"/>
    <w:rsid w:val="0052761F"/>
    <w:rsid w:val="0052772B"/>
    <w:rsid w:val="00527B43"/>
    <w:rsid w:val="00527B5E"/>
    <w:rsid w:val="00527E70"/>
    <w:rsid w:val="00527F8E"/>
    <w:rsid w:val="005301B6"/>
    <w:rsid w:val="00530ABB"/>
    <w:rsid w:val="00530BF6"/>
    <w:rsid w:val="00530D20"/>
    <w:rsid w:val="00530D5A"/>
    <w:rsid w:val="00531102"/>
    <w:rsid w:val="0053143E"/>
    <w:rsid w:val="00531B3B"/>
    <w:rsid w:val="00531BC0"/>
    <w:rsid w:val="00531D71"/>
    <w:rsid w:val="00532353"/>
    <w:rsid w:val="0053283D"/>
    <w:rsid w:val="0053290A"/>
    <w:rsid w:val="00532B8D"/>
    <w:rsid w:val="00532DA2"/>
    <w:rsid w:val="00533518"/>
    <w:rsid w:val="00533781"/>
    <w:rsid w:val="00533AA6"/>
    <w:rsid w:val="00533C8B"/>
    <w:rsid w:val="00533F0C"/>
    <w:rsid w:val="005344A1"/>
    <w:rsid w:val="0053468B"/>
    <w:rsid w:val="00534E6B"/>
    <w:rsid w:val="0053537A"/>
    <w:rsid w:val="005358D4"/>
    <w:rsid w:val="00535942"/>
    <w:rsid w:val="00536494"/>
    <w:rsid w:val="0053703A"/>
    <w:rsid w:val="00537249"/>
    <w:rsid w:val="00537252"/>
    <w:rsid w:val="00537420"/>
    <w:rsid w:val="00537507"/>
    <w:rsid w:val="00537C72"/>
    <w:rsid w:val="0054005C"/>
    <w:rsid w:val="0054014B"/>
    <w:rsid w:val="00540150"/>
    <w:rsid w:val="00540650"/>
    <w:rsid w:val="00540904"/>
    <w:rsid w:val="00540D3B"/>
    <w:rsid w:val="00541227"/>
    <w:rsid w:val="005419A2"/>
    <w:rsid w:val="00542448"/>
    <w:rsid w:val="00542483"/>
    <w:rsid w:val="0054263A"/>
    <w:rsid w:val="00542DC5"/>
    <w:rsid w:val="00542DDE"/>
    <w:rsid w:val="005434D0"/>
    <w:rsid w:val="005436DE"/>
    <w:rsid w:val="005439DC"/>
    <w:rsid w:val="00543F27"/>
    <w:rsid w:val="00543F8A"/>
    <w:rsid w:val="005440DD"/>
    <w:rsid w:val="0054432E"/>
    <w:rsid w:val="00544A65"/>
    <w:rsid w:val="00544D6B"/>
    <w:rsid w:val="00545982"/>
    <w:rsid w:val="00545F36"/>
    <w:rsid w:val="005461D0"/>
    <w:rsid w:val="005461F3"/>
    <w:rsid w:val="00546251"/>
    <w:rsid w:val="00546724"/>
    <w:rsid w:val="00547423"/>
    <w:rsid w:val="00547741"/>
    <w:rsid w:val="005477C8"/>
    <w:rsid w:val="005477E5"/>
    <w:rsid w:val="0054798E"/>
    <w:rsid w:val="00547DE7"/>
    <w:rsid w:val="00550004"/>
    <w:rsid w:val="005504E8"/>
    <w:rsid w:val="00550830"/>
    <w:rsid w:val="00550B0F"/>
    <w:rsid w:val="00551173"/>
    <w:rsid w:val="005513A5"/>
    <w:rsid w:val="0055198D"/>
    <w:rsid w:val="005519DA"/>
    <w:rsid w:val="00551A32"/>
    <w:rsid w:val="00551C88"/>
    <w:rsid w:val="00551EF7"/>
    <w:rsid w:val="00551FA6"/>
    <w:rsid w:val="005520AC"/>
    <w:rsid w:val="00552877"/>
    <w:rsid w:val="00552891"/>
    <w:rsid w:val="005528B2"/>
    <w:rsid w:val="00552A88"/>
    <w:rsid w:val="00552E23"/>
    <w:rsid w:val="0055359C"/>
    <w:rsid w:val="005538FB"/>
    <w:rsid w:val="00553CA0"/>
    <w:rsid w:val="00553CDA"/>
    <w:rsid w:val="00553DF7"/>
    <w:rsid w:val="00553E04"/>
    <w:rsid w:val="0055468E"/>
    <w:rsid w:val="00554A81"/>
    <w:rsid w:val="00554DC4"/>
    <w:rsid w:val="00555025"/>
    <w:rsid w:val="0055542C"/>
    <w:rsid w:val="005560B3"/>
    <w:rsid w:val="005566F8"/>
    <w:rsid w:val="0055674F"/>
    <w:rsid w:val="0055691B"/>
    <w:rsid w:val="0055703E"/>
    <w:rsid w:val="0055753B"/>
    <w:rsid w:val="00557EA7"/>
    <w:rsid w:val="0056008D"/>
    <w:rsid w:val="0056014B"/>
    <w:rsid w:val="005601BA"/>
    <w:rsid w:val="005603FD"/>
    <w:rsid w:val="00560A09"/>
    <w:rsid w:val="00560A34"/>
    <w:rsid w:val="00560A46"/>
    <w:rsid w:val="00560CAE"/>
    <w:rsid w:val="00560F05"/>
    <w:rsid w:val="00560F8B"/>
    <w:rsid w:val="00561568"/>
    <w:rsid w:val="00561CFD"/>
    <w:rsid w:val="00562063"/>
    <w:rsid w:val="005620B6"/>
    <w:rsid w:val="00562444"/>
    <w:rsid w:val="00562537"/>
    <w:rsid w:val="00562603"/>
    <w:rsid w:val="00562613"/>
    <w:rsid w:val="00562D74"/>
    <w:rsid w:val="00562DA0"/>
    <w:rsid w:val="00562E80"/>
    <w:rsid w:val="0056339A"/>
    <w:rsid w:val="00563476"/>
    <w:rsid w:val="00563A0E"/>
    <w:rsid w:val="00563C85"/>
    <w:rsid w:val="00563FEA"/>
    <w:rsid w:val="0056481E"/>
    <w:rsid w:val="005648A6"/>
    <w:rsid w:val="00564CE7"/>
    <w:rsid w:val="005650A6"/>
    <w:rsid w:val="005651E5"/>
    <w:rsid w:val="00565316"/>
    <w:rsid w:val="00565585"/>
    <w:rsid w:val="00565776"/>
    <w:rsid w:val="00565BF3"/>
    <w:rsid w:val="00565F35"/>
    <w:rsid w:val="0056658C"/>
    <w:rsid w:val="00567691"/>
    <w:rsid w:val="00567821"/>
    <w:rsid w:val="00567CEE"/>
    <w:rsid w:val="00571404"/>
    <w:rsid w:val="005714DD"/>
    <w:rsid w:val="0057202F"/>
    <w:rsid w:val="00572698"/>
    <w:rsid w:val="005730C2"/>
    <w:rsid w:val="005734D6"/>
    <w:rsid w:val="00573600"/>
    <w:rsid w:val="005738CB"/>
    <w:rsid w:val="00574364"/>
    <w:rsid w:val="00574520"/>
    <w:rsid w:val="0057478D"/>
    <w:rsid w:val="005750C1"/>
    <w:rsid w:val="00575118"/>
    <w:rsid w:val="00575715"/>
    <w:rsid w:val="005759C8"/>
    <w:rsid w:val="00575B06"/>
    <w:rsid w:val="00575B37"/>
    <w:rsid w:val="00575BB7"/>
    <w:rsid w:val="00576352"/>
    <w:rsid w:val="005767BB"/>
    <w:rsid w:val="00576861"/>
    <w:rsid w:val="00576992"/>
    <w:rsid w:val="00576BEA"/>
    <w:rsid w:val="00576C5D"/>
    <w:rsid w:val="00576EC9"/>
    <w:rsid w:val="00576FCD"/>
    <w:rsid w:val="00577130"/>
    <w:rsid w:val="005776F3"/>
    <w:rsid w:val="0057783E"/>
    <w:rsid w:val="00580878"/>
    <w:rsid w:val="00580BF7"/>
    <w:rsid w:val="005813EA"/>
    <w:rsid w:val="005813FF"/>
    <w:rsid w:val="00581760"/>
    <w:rsid w:val="00581858"/>
    <w:rsid w:val="00581FE3"/>
    <w:rsid w:val="0058286F"/>
    <w:rsid w:val="005828B8"/>
    <w:rsid w:val="00582B82"/>
    <w:rsid w:val="005832CB"/>
    <w:rsid w:val="005838CF"/>
    <w:rsid w:val="00583A09"/>
    <w:rsid w:val="00583B01"/>
    <w:rsid w:val="0058488E"/>
    <w:rsid w:val="00585394"/>
    <w:rsid w:val="00585856"/>
    <w:rsid w:val="005858D1"/>
    <w:rsid w:val="0058614B"/>
    <w:rsid w:val="0058625C"/>
    <w:rsid w:val="005865E7"/>
    <w:rsid w:val="005868CF"/>
    <w:rsid w:val="0058694C"/>
    <w:rsid w:val="00586B80"/>
    <w:rsid w:val="00586C5D"/>
    <w:rsid w:val="005873E1"/>
    <w:rsid w:val="00587829"/>
    <w:rsid w:val="00587992"/>
    <w:rsid w:val="00587EF3"/>
    <w:rsid w:val="005907A6"/>
    <w:rsid w:val="00590BAB"/>
    <w:rsid w:val="00591101"/>
    <w:rsid w:val="00591363"/>
    <w:rsid w:val="00591BF7"/>
    <w:rsid w:val="00591C97"/>
    <w:rsid w:val="005925EA"/>
    <w:rsid w:val="00592ADD"/>
    <w:rsid w:val="00592D6C"/>
    <w:rsid w:val="00593E30"/>
    <w:rsid w:val="0059406A"/>
    <w:rsid w:val="00594080"/>
    <w:rsid w:val="0059423D"/>
    <w:rsid w:val="0059426A"/>
    <w:rsid w:val="00595BED"/>
    <w:rsid w:val="00596F71"/>
    <w:rsid w:val="00596FD8"/>
    <w:rsid w:val="00597125"/>
    <w:rsid w:val="00597355"/>
    <w:rsid w:val="005974BC"/>
    <w:rsid w:val="005975AA"/>
    <w:rsid w:val="0059774B"/>
    <w:rsid w:val="00597EE9"/>
    <w:rsid w:val="005A0762"/>
    <w:rsid w:val="005A0BA2"/>
    <w:rsid w:val="005A0DED"/>
    <w:rsid w:val="005A1968"/>
    <w:rsid w:val="005A1BB2"/>
    <w:rsid w:val="005A1D71"/>
    <w:rsid w:val="005A1E0B"/>
    <w:rsid w:val="005A2400"/>
    <w:rsid w:val="005A2402"/>
    <w:rsid w:val="005A248C"/>
    <w:rsid w:val="005A2B46"/>
    <w:rsid w:val="005A2B72"/>
    <w:rsid w:val="005A2F00"/>
    <w:rsid w:val="005A348F"/>
    <w:rsid w:val="005A34C3"/>
    <w:rsid w:val="005A3C3C"/>
    <w:rsid w:val="005A3D30"/>
    <w:rsid w:val="005A3E0C"/>
    <w:rsid w:val="005A4117"/>
    <w:rsid w:val="005A4A7B"/>
    <w:rsid w:val="005A5387"/>
    <w:rsid w:val="005A56E5"/>
    <w:rsid w:val="005A5B31"/>
    <w:rsid w:val="005A5C74"/>
    <w:rsid w:val="005A6103"/>
    <w:rsid w:val="005A6137"/>
    <w:rsid w:val="005A6A00"/>
    <w:rsid w:val="005A6C91"/>
    <w:rsid w:val="005A6E1F"/>
    <w:rsid w:val="005A7065"/>
    <w:rsid w:val="005A752A"/>
    <w:rsid w:val="005A7AFC"/>
    <w:rsid w:val="005A7D0C"/>
    <w:rsid w:val="005A7E50"/>
    <w:rsid w:val="005B03D9"/>
    <w:rsid w:val="005B03E7"/>
    <w:rsid w:val="005B0591"/>
    <w:rsid w:val="005B0757"/>
    <w:rsid w:val="005B0841"/>
    <w:rsid w:val="005B0AA3"/>
    <w:rsid w:val="005B114A"/>
    <w:rsid w:val="005B1396"/>
    <w:rsid w:val="005B1A41"/>
    <w:rsid w:val="005B1D46"/>
    <w:rsid w:val="005B23DA"/>
    <w:rsid w:val="005B2CBA"/>
    <w:rsid w:val="005B2D3F"/>
    <w:rsid w:val="005B3444"/>
    <w:rsid w:val="005B368B"/>
    <w:rsid w:val="005B36CD"/>
    <w:rsid w:val="005B3D3B"/>
    <w:rsid w:val="005B3FD2"/>
    <w:rsid w:val="005B4098"/>
    <w:rsid w:val="005B4110"/>
    <w:rsid w:val="005B42DB"/>
    <w:rsid w:val="005B4322"/>
    <w:rsid w:val="005B449D"/>
    <w:rsid w:val="005B44E4"/>
    <w:rsid w:val="005B4906"/>
    <w:rsid w:val="005B4B9F"/>
    <w:rsid w:val="005B4DE3"/>
    <w:rsid w:val="005B514E"/>
    <w:rsid w:val="005B560A"/>
    <w:rsid w:val="005B58B2"/>
    <w:rsid w:val="005B628E"/>
    <w:rsid w:val="005B68E4"/>
    <w:rsid w:val="005B6EFC"/>
    <w:rsid w:val="005B7279"/>
    <w:rsid w:val="005B79CA"/>
    <w:rsid w:val="005B7F0D"/>
    <w:rsid w:val="005C023A"/>
    <w:rsid w:val="005C02E9"/>
    <w:rsid w:val="005C02F9"/>
    <w:rsid w:val="005C0539"/>
    <w:rsid w:val="005C0575"/>
    <w:rsid w:val="005C069C"/>
    <w:rsid w:val="005C0CB4"/>
    <w:rsid w:val="005C1226"/>
    <w:rsid w:val="005C1254"/>
    <w:rsid w:val="005C1273"/>
    <w:rsid w:val="005C1A82"/>
    <w:rsid w:val="005C1FAE"/>
    <w:rsid w:val="005C2388"/>
    <w:rsid w:val="005C28F1"/>
    <w:rsid w:val="005C2CAC"/>
    <w:rsid w:val="005C2EB8"/>
    <w:rsid w:val="005C2FAB"/>
    <w:rsid w:val="005C2FC7"/>
    <w:rsid w:val="005C32C5"/>
    <w:rsid w:val="005C3BB5"/>
    <w:rsid w:val="005C4410"/>
    <w:rsid w:val="005C49AA"/>
    <w:rsid w:val="005C4AC6"/>
    <w:rsid w:val="005C4DDE"/>
    <w:rsid w:val="005C53ED"/>
    <w:rsid w:val="005C55F5"/>
    <w:rsid w:val="005C5AE1"/>
    <w:rsid w:val="005C5CF0"/>
    <w:rsid w:val="005C6215"/>
    <w:rsid w:val="005C6BFF"/>
    <w:rsid w:val="005C6CC4"/>
    <w:rsid w:val="005C716A"/>
    <w:rsid w:val="005C7CD5"/>
    <w:rsid w:val="005C7D0E"/>
    <w:rsid w:val="005C7FD5"/>
    <w:rsid w:val="005D0994"/>
    <w:rsid w:val="005D0AC0"/>
    <w:rsid w:val="005D0B52"/>
    <w:rsid w:val="005D0B94"/>
    <w:rsid w:val="005D0BCF"/>
    <w:rsid w:val="005D107A"/>
    <w:rsid w:val="005D10ED"/>
    <w:rsid w:val="005D122F"/>
    <w:rsid w:val="005D1302"/>
    <w:rsid w:val="005D1B1E"/>
    <w:rsid w:val="005D2391"/>
    <w:rsid w:val="005D3119"/>
    <w:rsid w:val="005D3800"/>
    <w:rsid w:val="005D3E1A"/>
    <w:rsid w:val="005D4553"/>
    <w:rsid w:val="005D45CE"/>
    <w:rsid w:val="005D49E1"/>
    <w:rsid w:val="005D4AC2"/>
    <w:rsid w:val="005D4C70"/>
    <w:rsid w:val="005D4EF0"/>
    <w:rsid w:val="005D50E9"/>
    <w:rsid w:val="005D53B0"/>
    <w:rsid w:val="005D5F2B"/>
    <w:rsid w:val="005D6352"/>
    <w:rsid w:val="005D63D9"/>
    <w:rsid w:val="005D65A6"/>
    <w:rsid w:val="005D6651"/>
    <w:rsid w:val="005D66AE"/>
    <w:rsid w:val="005D6D0B"/>
    <w:rsid w:val="005D7034"/>
    <w:rsid w:val="005D73C2"/>
    <w:rsid w:val="005D7719"/>
    <w:rsid w:val="005D7FB1"/>
    <w:rsid w:val="005E005C"/>
    <w:rsid w:val="005E02EE"/>
    <w:rsid w:val="005E08F8"/>
    <w:rsid w:val="005E0B26"/>
    <w:rsid w:val="005E0C22"/>
    <w:rsid w:val="005E0FAE"/>
    <w:rsid w:val="005E0FCE"/>
    <w:rsid w:val="005E1BEE"/>
    <w:rsid w:val="005E2071"/>
    <w:rsid w:val="005E28CB"/>
    <w:rsid w:val="005E28E7"/>
    <w:rsid w:val="005E2B20"/>
    <w:rsid w:val="005E39AE"/>
    <w:rsid w:val="005E3BAC"/>
    <w:rsid w:val="005E3C60"/>
    <w:rsid w:val="005E3D95"/>
    <w:rsid w:val="005E3F2F"/>
    <w:rsid w:val="005E3FC1"/>
    <w:rsid w:val="005E41AA"/>
    <w:rsid w:val="005E421D"/>
    <w:rsid w:val="005E4595"/>
    <w:rsid w:val="005E5362"/>
    <w:rsid w:val="005E5918"/>
    <w:rsid w:val="005E67B8"/>
    <w:rsid w:val="005E67DA"/>
    <w:rsid w:val="005E6C26"/>
    <w:rsid w:val="005E6C98"/>
    <w:rsid w:val="005E6E81"/>
    <w:rsid w:val="005E70C0"/>
    <w:rsid w:val="005E72A8"/>
    <w:rsid w:val="005E765F"/>
    <w:rsid w:val="005E76A9"/>
    <w:rsid w:val="005E76B7"/>
    <w:rsid w:val="005E7A6F"/>
    <w:rsid w:val="005F01CB"/>
    <w:rsid w:val="005F0E49"/>
    <w:rsid w:val="005F0FE9"/>
    <w:rsid w:val="005F1264"/>
    <w:rsid w:val="005F208A"/>
    <w:rsid w:val="005F20D2"/>
    <w:rsid w:val="005F2913"/>
    <w:rsid w:val="005F2962"/>
    <w:rsid w:val="005F2EEE"/>
    <w:rsid w:val="005F300B"/>
    <w:rsid w:val="005F34A8"/>
    <w:rsid w:val="005F354D"/>
    <w:rsid w:val="005F364A"/>
    <w:rsid w:val="005F3B36"/>
    <w:rsid w:val="005F3CB4"/>
    <w:rsid w:val="005F3ED7"/>
    <w:rsid w:val="005F3F20"/>
    <w:rsid w:val="005F4392"/>
    <w:rsid w:val="005F4453"/>
    <w:rsid w:val="005F4694"/>
    <w:rsid w:val="005F4774"/>
    <w:rsid w:val="005F47A6"/>
    <w:rsid w:val="005F4A4E"/>
    <w:rsid w:val="005F4B02"/>
    <w:rsid w:val="005F4BFC"/>
    <w:rsid w:val="005F4E85"/>
    <w:rsid w:val="005F4FA8"/>
    <w:rsid w:val="005F5559"/>
    <w:rsid w:val="005F582D"/>
    <w:rsid w:val="005F58C0"/>
    <w:rsid w:val="005F5B10"/>
    <w:rsid w:val="005F5BF9"/>
    <w:rsid w:val="005F6844"/>
    <w:rsid w:val="0060009A"/>
    <w:rsid w:val="006003CA"/>
    <w:rsid w:val="006006C5"/>
    <w:rsid w:val="00600C53"/>
    <w:rsid w:val="00600D41"/>
    <w:rsid w:val="00601023"/>
    <w:rsid w:val="0060140B"/>
    <w:rsid w:val="00601E4B"/>
    <w:rsid w:val="0060293D"/>
    <w:rsid w:val="00602C1E"/>
    <w:rsid w:val="00602FF8"/>
    <w:rsid w:val="00603265"/>
    <w:rsid w:val="006033D7"/>
    <w:rsid w:val="00603CFD"/>
    <w:rsid w:val="006043B1"/>
    <w:rsid w:val="00604405"/>
    <w:rsid w:val="00604BA5"/>
    <w:rsid w:val="00604C02"/>
    <w:rsid w:val="00604C3D"/>
    <w:rsid w:val="00604C52"/>
    <w:rsid w:val="00605128"/>
    <w:rsid w:val="00605148"/>
    <w:rsid w:val="0060535F"/>
    <w:rsid w:val="00605520"/>
    <w:rsid w:val="006057CD"/>
    <w:rsid w:val="00605A3A"/>
    <w:rsid w:val="00605EFB"/>
    <w:rsid w:val="00606636"/>
    <w:rsid w:val="00606948"/>
    <w:rsid w:val="00606BD4"/>
    <w:rsid w:val="00606DFD"/>
    <w:rsid w:val="0060703B"/>
    <w:rsid w:val="00607737"/>
    <w:rsid w:val="00607C10"/>
    <w:rsid w:val="006111D4"/>
    <w:rsid w:val="00611F4C"/>
    <w:rsid w:val="00612301"/>
    <w:rsid w:val="00612392"/>
    <w:rsid w:val="00612433"/>
    <w:rsid w:val="00612948"/>
    <w:rsid w:val="00612EC1"/>
    <w:rsid w:val="006132F7"/>
    <w:rsid w:val="006133D9"/>
    <w:rsid w:val="00613712"/>
    <w:rsid w:val="006139AC"/>
    <w:rsid w:val="00613A14"/>
    <w:rsid w:val="00613B71"/>
    <w:rsid w:val="00613F72"/>
    <w:rsid w:val="00614184"/>
    <w:rsid w:val="006141D0"/>
    <w:rsid w:val="00614716"/>
    <w:rsid w:val="006154B8"/>
    <w:rsid w:val="00615625"/>
    <w:rsid w:val="00615642"/>
    <w:rsid w:val="006156BF"/>
    <w:rsid w:val="006157AA"/>
    <w:rsid w:val="00615853"/>
    <w:rsid w:val="00615C76"/>
    <w:rsid w:val="006168A7"/>
    <w:rsid w:val="00616E2E"/>
    <w:rsid w:val="0061707F"/>
    <w:rsid w:val="006177A6"/>
    <w:rsid w:val="00617A8C"/>
    <w:rsid w:val="00617AB7"/>
    <w:rsid w:val="00617B35"/>
    <w:rsid w:val="00617E2B"/>
    <w:rsid w:val="0062053B"/>
    <w:rsid w:val="00620B0A"/>
    <w:rsid w:val="0062193A"/>
    <w:rsid w:val="00621CF8"/>
    <w:rsid w:val="00622AF9"/>
    <w:rsid w:val="00622D32"/>
    <w:rsid w:val="006230E3"/>
    <w:rsid w:val="00623843"/>
    <w:rsid w:val="006239D0"/>
    <w:rsid w:val="00623B55"/>
    <w:rsid w:val="00623B64"/>
    <w:rsid w:val="00623C8A"/>
    <w:rsid w:val="00623DE0"/>
    <w:rsid w:val="0062473C"/>
    <w:rsid w:val="00624C1D"/>
    <w:rsid w:val="00625300"/>
    <w:rsid w:val="0062596F"/>
    <w:rsid w:val="00625FD5"/>
    <w:rsid w:val="0062605D"/>
    <w:rsid w:val="00626682"/>
    <w:rsid w:val="006275D3"/>
    <w:rsid w:val="00630237"/>
    <w:rsid w:val="006307CB"/>
    <w:rsid w:val="00630B74"/>
    <w:rsid w:val="006310A5"/>
    <w:rsid w:val="00631619"/>
    <w:rsid w:val="006319BF"/>
    <w:rsid w:val="00631D60"/>
    <w:rsid w:val="0063231A"/>
    <w:rsid w:val="00632B06"/>
    <w:rsid w:val="00632E58"/>
    <w:rsid w:val="00632E90"/>
    <w:rsid w:val="00632F0B"/>
    <w:rsid w:val="0063336D"/>
    <w:rsid w:val="00633A89"/>
    <w:rsid w:val="00633B84"/>
    <w:rsid w:val="00634096"/>
    <w:rsid w:val="0063433E"/>
    <w:rsid w:val="006345CF"/>
    <w:rsid w:val="006345D0"/>
    <w:rsid w:val="00634A78"/>
    <w:rsid w:val="00635166"/>
    <w:rsid w:val="006358E9"/>
    <w:rsid w:val="00635D24"/>
    <w:rsid w:val="0063635F"/>
    <w:rsid w:val="00636650"/>
    <w:rsid w:val="0063678B"/>
    <w:rsid w:val="00636F44"/>
    <w:rsid w:val="0063777C"/>
    <w:rsid w:val="006379A8"/>
    <w:rsid w:val="00637C11"/>
    <w:rsid w:val="00637F68"/>
    <w:rsid w:val="00640471"/>
    <w:rsid w:val="0064072B"/>
    <w:rsid w:val="00640B57"/>
    <w:rsid w:val="00640E36"/>
    <w:rsid w:val="006414D7"/>
    <w:rsid w:val="0064230A"/>
    <w:rsid w:val="00642312"/>
    <w:rsid w:val="00642327"/>
    <w:rsid w:val="00642536"/>
    <w:rsid w:val="006430EA"/>
    <w:rsid w:val="0064365E"/>
    <w:rsid w:val="00643A55"/>
    <w:rsid w:val="00644295"/>
    <w:rsid w:val="00644300"/>
    <w:rsid w:val="0064436E"/>
    <w:rsid w:val="006444F0"/>
    <w:rsid w:val="00644D33"/>
    <w:rsid w:val="00644E76"/>
    <w:rsid w:val="00645113"/>
    <w:rsid w:val="00645B07"/>
    <w:rsid w:val="00645C99"/>
    <w:rsid w:val="00646205"/>
    <w:rsid w:val="0064643E"/>
    <w:rsid w:val="00646838"/>
    <w:rsid w:val="00646BC0"/>
    <w:rsid w:val="00646D57"/>
    <w:rsid w:val="00647261"/>
    <w:rsid w:val="00647371"/>
    <w:rsid w:val="006474ED"/>
    <w:rsid w:val="00647A10"/>
    <w:rsid w:val="00647BF5"/>
    <w:rsid w:val="00647C84"/>
    <w:rsid w:val="0065035E"/>
    <w:rsid w:val="0065057D"/>
    <w:rsid w:val="00650F04"/>
    <w:rsid w:val="00651385"/>
    <w:rsid w:val="00651542"/>
    <w:rsid w:val="006516CD"/>
    <w:rsid w:val="00651759"/>
    <w:rsid w:val="00651855"/>
    <w:rsid w:val="0065245E"/>
    <w:rsid w:val="00652675"/>
    <w:rsid w:val="006529C2"/>
    <w:rsid w:val="00652A48"/>
    <w:rsid w:val="00653608"/>
    <w:rsid w:val="00653907"/>
    <w:rsid w:val="00653A74"/>
    <w:rsid w:val="00654061"/>
    <w:rsid w:val="00654307"/>
    <w:rsid w:val="006549B7"/>
    <w:rsid w:val="006549B8"/>
    <w:rsid w:val="006552A1"/>
    <w:rsid w:val="0065547B"/>
    <w:rsid w:val="0065598B"/>
    <w:rsid w:val="00655A94"/>
    <w:rsid w:val="00655B30"/>
    <w:rsid w:val="00655CDB"/>
    <w:rsid w:val="0065707F"/>
    <w:rsid w:val="00657966"/>
    <w:rsid w:val="00657977"/>
    <w:rsid w:val="0066024C"/>
    <w:rsid w:val="00660704"/>
    <w:rsid w:val="00660FDA"/>
    <w:rsid w:val="006616D0"/>
    <w:rsid w:val="00661C89"/>
    <w:rsid w:val="00661EBB"/>
    <w:rsid w:val="00661F94"/>
    <w:rsid w:val="006625B8"/>
    <w:rsid w:val="00662738"/>
    <w:rsid w:val="006633AF"/>
    <w:rsid w:val="006633F1"/>
    <w:rsid w:val="00663832"/>
    <w:rsid w:val="00663B4B"/>
    <w:rsid w:val="00664595"/>
    <w:rsid w:val="00665106"/>
    <w:rsid w:val="006651C0"/>
    <w:rsid w:val="00665444"/>
    <w:rsid w:val="006655BB"/>
    <w:rsid w:val="00666044"/>
    <w:rsid w:val="00666565"/>
    <w:rsid w:val="00666C9B"/>
    <w:rsid w:val="006675F0"/>
    <w:rsid w:val="006702B1"/>
    <w:rsid w:val="00670405"/>
    <w:rsid w:val="006704F7"/>
    <w:rsid w:val="0067095E"/>
    <w:rsid w:val="00670B15"/>
    <w:rsid w:val="00670CC4"/>
    <w:rsid w:val="00671093"/>
    <w:rsid w:val="006716C6"/>
    <w:rsid w:val="00671A28"/>
    <w:rsid w:val="00671A8E"/>
    <w:rsid w:val="00671B51"/>
    <w:rsid w:val="00671BE8"/>
    <w:rsid w:val="00671DAC"/>
    <w:rsid w:val="00671DBB"/>
    <w:rsid w:val="0067223F"/>
    <w:rsid w:val="00672467"/>
    <w:rsid w:val="006725C8"/>
    <w:rsid w:val="00672746"/>
    <w:rsid w:val="006729F0"/>
    <w:rsid w:val="00672E31"/>
    <w:rsid w:val="006733A0"/>
    <w:rsid w:val="006734A9"/>
    <w:rsid w:val="006734DC"/>
    <w:rsid w:val="00673A83"/>
    <w:rsid w:val="00674753"/>
    <w:rsid w:val="0067496A"/>
    <w:rsid w:val="00674DE2"/>
    <w:rsid w:val="00674FD1"/>
    <w:rsid w:val="00675226"/>
    <w:rsid w:val="006756E9"/>
    <w:rsid w:val="00675A72"/>
    <w:rsid w:val="006760F7"/>
    <w:rsid w:val="00676259"/>
    <w:rsid w:val="006769C3"/>
    <w:rsid w:val="00676B8A"/>
    <w:rsid w:val="00677322"/>
    <w:rsid w:val="00677398"/>
    <w:rsid w:val="00677F41"/>
    <w:rsid w:val="00677FE3"/>
    <w:rsid w:val="00680482"/>
    <w:rsid w:val="00680489"/>
    <w:rsid w:val="00680575"/>
    <w:rsid w:val="00680725"/>
    <w:rsid w:val="00680EDA"/>
    <w:rsid w:val="00680FD3"/>
    <w:rsid w:val="00681836"/>
    <w:rsid w:val="006818E4"/>
    <w:rsid w:val="00681971"/>
    <w:rsid w:val="00681C58"/>
    <w:rsid w:val="00682139"/>
    <w:rsid w:val="006821E0"/>
    <w:rsid w:val="006822EE"/>
    <w:rsid w:val="0068234C"/>
    <w:rsid w:val="006823E0"/>
    <w:rsid w:val="0068254B"/>
    <w:rsid w:val="0068300E"/>
    <w:rsid w:val="0068334D"/>
    <w:rsid w:val="00683B73"/>
    <w:rsid w:val="00684231"/>
    <w:rsid w:val="00684D9B"/>
    <w:rsid w:val="00685992"/>
    <w:rsid w:val="00686742"/>
    <w:rsid w:val="006867A7"/>
    <w:rsid w:val="00686812"/>
    <w:rsid w:val="00686CB9"/>
    <w:rsid w:val="00686DF8"/>
    <w:rsid w:val="00690563"/>
    <w:rsid w:val="00690F37"/>
    <w:rsid w:val="0069155E"/>
    <w:rsid w:val="006919EA"/>
    <w:rsid w:val="00691C83"/>
    <w:rsid w:val="00691DB5"/>
    <w:rsid w:val="00692619"/>
    <w:rsid w:val="00692B3B"/>
    <w:rsid w:val="00693360"/>
    <w:rsid w:val="00693516"/>
    <w:rsid w:val="0069433A"/>
    <w:rsid w:val="006946E9"/>
    <w:rsid w:val="00694EA2"/>
    <w:rsid w:val="006950E9"/>
    <w:rsid w:val="0069555D"/>
    <w:rsid w:val="0069583D"/>
    <w:rsid w:val="00695911"/>
    <w:rsid w:val="0069649D"/>
    <w:rsid w:val="006966B2"/>
    <w:rsid w:val="00696902"/>
    <w:rsid w:val="00696DD1"/>
    <w:rsid w:val="00696DE7"/>
    <w:rsid w:val="0069715C"/>
    <w:rsid w:val="006974EE"/>
    <w:rsid w:val="00697993"/>
    <w:rsid w:val="00697E09"/>
    <w:rsid w:val="006A01E6"/>
    <w:rsid w:val="006A0205"/>
    <w:rsid w:val="006A0408"/>
    <w:rsid w:val="006A0608"/>
    <w:rsid w:val="006A075A"/>
    <w:rsid w:val="006A0ADC"/>
    <w:rsid w:val="006A0B06"/>
    <w:rsid w:val="006A0C81"/>
    <w:rsid w:val="006A0D6B"/>
    <w:rsid w:val="006A105D"/>
    <w:rsid w:val="006A1144"/>
    <w:rsid w:val="006A1212"/>
    <w:rsid w:val="006A1A83"/>
    <w:rsid w:val="006A1D2C"/>
    <w:rsid w:val="006A2ADC"/>
    <w:rsid w:val="006A2BB3"/>
    <w:rsid w:val="006A2C4A"/>
    <w:rsid w:val="006A2D48"/>
    <w:rsid w:val="006A2E0D"/>
    <w:rsid w:val="006A33E7"/>
    <w:rsid w:val="006A35DD"/>
    <w:rsid w:val="006A3720"/>
    <w:rsid w:val="006A45FF"/>
    <w:rsid w:val="006A4C88"/>
    <w:rsid w:val="006A4D25"/>
    <w:rsid w:val="006A4EC6"/>
    <w:rsid w:val="006A5286"/>
    <w:rsid w:val="006A5548"/>
    <w:rsid w:val="006A5693"/>
    <w:rsid w:val="006A5756"/>
    <w:rsid w:val="006A5796"/>
    <w:rsid w:val="006A6A6A"/>
    <w:rsid w:val="006A7000"/>
    <w:rsid w:val="006A7624"/>
    <w:rsid w:val="006A76D4"/>
    <w:rsid w:val="006B0337"/>
    <w:rsid w:val="006B05B5"/>
    <w:rsid w:val="006B0667"/>
    <w:rsid w:val="006B08C0"/>
    <w:rsid w:val="006B0997"/>
    <w:rsid w:val="006B0FC9"/>
    <w:rsid w:val="006B1173"/>
    <w:rsid w:val="006B1FD6"/>
    <w:rsid w:val="006B22CB"/>
    <w:rsid w:val="006B23A9"/>
    <w:rsid w:val="006B29D0"/>
    <w:rsid w:val="006B2A97"/>
    <w:rsid w:val="006B33E1"/>
    <w:rsid w:val="006B3709"/>
    <w:rsid w:val="006B3816"/>
    <w:rsid w:val="006B3E41"/>
    <w:rsid w:val="006B44A7"/>
    <w:rsid w:val="006B4FED"/>
    <w:rsid w:val="006B512A"/>
    <w:rsid w:val="006B54A8"/>
    <w:rsid w:val="006B5649"/>
    <w:rsid w:val="006B5A54"/>
    <w:rsid w:val="006B61D7"/>
    <w:rsid w:val="006B6438"/>
    <w:rsid w:val="006B65F2"/>
    <w:rsid w:val="006B6862"/>
    <w:rsid w:val="006B6877"/>
    <w:rsid w:val="006B6DE3"/>
    <w:rsid w:val="006B6F10"/>
    <w:rsid w:val="006B7099"/>
    <w:rsid w:val="006B7349"/>
    <w:rsid w:val="006C002F"/>
    <w:rsid w:val="006C00FD"/>
    <w:rsid w:val="006C027F"/>
    <w:rsid w:val="006C06AF"/>
    <w:rsid w:val="006C18A9"/>
    <w:rsid w:val="006C24CB"/>
    <w:rsid w:val="006C2798"/>
    <w:rsid w:val="006C279E"/>
    <w:rsid w:val="006C2922"/>
    <w:rsid w:val="006C2A86"/>
    <w:rsid w:val="006C2D00"/>
    <w:rsid w:val="006C30CE"/>
    <w:rsid w:val="006C34D1"/>
    <w:rsid w:val="006C37A5"/>
    <w:rsid w:val="006C3935"/>
    <w:rsid w:val="006C3BF7"/>
    <w:rsid w:val="006C3DD9"/>
    <w:rsid w:val="006C3E6A"/>
    <w:rsid w:val="006C4BDA"/>
    <w:rsid w:val="006C4F52"/>
    <w:rsid w:val="006C5332"/>
    <w:rsid w:val="006C54D6"/>
    <w:rsid w:val="006C658C"/>
    <w:rsid w:val="006C7686"/>
    <w:rsid w:val="006C7E94"/>
    <w:rsid w:val="006D0394"/>
    <w:rsid w:val="006D0456"/>
    <w:rsid w:val="006D0CDB"/>
    <w:rsid w:val="006D0D62"/>
    <w:rsid w:val="006D0F74"/>
    <w:rsid w:val="006D163A"/>
    <w:rsid w:val="006D1731"/>
    <w:rsid w:val="006D175C"/>
    <w:rsid w:val="006D1C41"/>
    <w:rsid w:val="006D1D35"/>
    <w:rsid w:val="006D1D9F"/>
    <w:rsid w:val="006D27B8"/>
    <w:rsid w:val="006D321A"/>
    <w:rsid w:val="006D3265"/>
    <w:rsid w:val="006D343B"/>
    <w:rsid w:val="006D3A85"/>
    <w:rsid w:val="006D4422"/>
    <w:rsid w:val="006D45B0"/>
    <w:rsid w:val="006D4A13"/>
    <w:rsid w:val="006D4CAD"/>
    <w:rsid w:val="006D5181"/>
    <w:rsid w:val="006D56A8"/>
    <w:rsid w:val="006D5B00"/>
    <w:rsid w:val="006D5BF7"/>
    <w:rsid w:val="006D60C0"/>
    <w:rsid w:val="006D62A5"/>
    <w:rsid w:val="006D6A3A"/>
    <w:rsid w:val="006D6CAC"/>
    <w:rsid w:val="006D6CAD"/>
    <w:rsid w:val="006D71C0"/>
    <w:rsid w:val="006E020C"/>
    <w:rsid w:val="006E0372"/>
    <w:rsid w:val="006E0433"/>
    <w:rsid w:val="006E0E6A"/>
    <w:rsid w:val="006E12E5"/>
    <w:rsid w:val="006E1459"/>
    <w:rsid w:val="006E1501"/>
    <w:rsid w:val="006E1A3F"/>
    <w:rsid w:val="006E1AB7"/>
    <w:rsid w:val="006E2725"/>
    <w:rsid w:val="006E2C68"/>
    <w:rsid w:val="006E358C"/>
    <w:rsid w:val="006E35FB"/>
    <w:rsid w:val="006E367B"/>
    <w:rsid w:val="006E3FE1"/>
    <w:rsid w:val="006E4208"/>
    <w:rsid w:val="006E4969"/>
    <w:rsid w:val="006E4AB2"/>
    <w:rsid w:val="006E4CE1"/>
    <w:rsid w:val="006E4F9F"/>
    <w:rsid w:val="006E5010"/>
    <w:rsid w:val="006E5E77"/>
    <w:rsid w:val="006E65E7"/>
    <w:rsid w:val="006E682C"/>
    <w:rsid w:val="006E6BFF"/>
    <w:rsid w:val="006E6FE4"/>
    <w:rsid w:val="006E70B9"/>
    <w:rsid w:val="006E7B10"/>
    <w:rsid w:val="006E7CE2"/>
    <w:rsid w:val="006E7F67"/>
    <w:rsid w:val="006F0083"/>
    <w:rsid w:val="006F016E"/>
    <w:rsid w:val="006F03AD"/>
    <w:rsid w:val="006F0627"/>
    <w:rsid w:val="006F19AB"/>
    <w:rsid w:val="006F1B7D"/>
    <w:rsid w:val="006F1E1D"/>
    <w:rsid w:val="006F22F7"/>
    <w:rsid w:val="006F2D8B"/>
    <w:rsid w:val="006F2FBB"/>
    <w:rsid w:val="006F302C"/>
    <w:rsid w:val="006F308D"/>
    <w:rsid w:val="006F3261"/>
    <w:rsid w:val="006F3C1A"/>
    <w:rsid w:val="006F3F34"/>
    <w:rsid w:val="006F3F71"/>
    <w:rsid w:val="006F40E0"/>
    <w:rsid w:val="006F4412"/>
    <w:rsid w:val="006F44BB"/>
    <w:rsid w:val="006F55AE"/>
    <w:rsid w:val="006F59FC"/>
    <w:rsid w:val="006F5B07"/>
    <w:rsid w:val="006F64FC"/>
    <w:rsid w:val="006F673B"/>
    <w:rsid w:val="006F69C6"/>
    <w:rsid w:val="006F69E8"/>
    <w:rsid w:val="006F6D5F"/>
    <w:rsid w:val="006F6F1B"/>
    <w:rsid w:val="006F7027"/>
    <w:rsid w:val="006F75E8"/>
    <w:rsid w:val="006F773C"/>
    <w:rsid w:val="006F78E9"/>
    <w:rsid w:val="0070073B"/>
    <w:rsid w:val="00700B13"/>
    <w:rsid w:val="00700DBD"/>
    <w:rsid w:val="00700DC8"/>
    <w:rsid w:val="007015EA"/>
    <w:rsid w:val="0070183B"/>
    <w:rsid w:val="007018D7"/>
    <w:rsid w:val="00701918"/>
    <w:rsid w:val="00701F23"/>
    <w:rsid w:val="00702160"/>
    <w:rsid w:val="007022FA"/>
    <w:rsid w:val="00702540"/>
    <w:rsid w:val="00702CFD"/>
    <w:rsid w:val="0070316A"/>
    <w:rsid w:val="00703BA8"/>
    <w:rsid w:val="00703BF5"/>
    <w:rsid w:val="00703D11"/>
    <w:rsid w:val="00703D42"/>
    <w:rsid w:val="00704094"/>
    <w:rsid w:val="0070423C"/>
    <w:rsid w:val="00704930"/>
    <w:rsid w:val="00704DBA"/>
    <w:rsid w:val="007058B4"/>
    <w:rsid w:val="00705AA0"/>
    <w:rsid w:val="00705F7F"/>
    <w:rsid w:val="00706835"/>
    <w:rsid w:val="0070684A"/>
    <w:rsid w:val="007069E7"/>
    <w:rsid w:val="00706CAF"/>
    <w:rsid w:val="00707CC8"/>
    <w:rsid w:val="00710681"/>
    <w:rsid w:val="00710962"/>
    <w:rsid w:val="00710E29"/>
    <w:rsid w:val="00710EE4"/>
    <w:rsid w:val="0071116F"/>
    <w:rsid w:val="00711189"/>
    <w:rsid w:val="007112A1"/>
    <w:rsid w:val="00711493"/>
    <w:rsid w:val="007115B9"/>
    <w:rsid w:val="0071219C"/>
    <w:rsid w:val="0071289E"/>
    <w:rsid w:val="00712B87"/>
    <w:rsid w:val="007134EC"/>
    <w:rsid w:val="007136C0"/>
    <w:rsid w:val="00713845"/>
    <w:rsid w:val="0071388B"/>
    <w:rsid w:val="0071390A"/>
    <w:rsid w:val="00713EF0"/>
    <w:rsid w:val="00713FF2"/>
    <w:rsid w:val="0071465C"/>
    <w:rsid w:val="00715136"/>
    <w:rsid w:val="007151B5"/>
    <w:rsid w:val="0071581C"/>
    <w:rsid w:val="00715A87"/>
    <w:rsid w:val="00715EEE"/>
    <w:rsid w:val="00716AC7"/>
    <w:rsid w:val="00716EF1"/>
    <w:rsid w:val="00716F82"/>
    <w:rsid w:val="007170A5"/>
    <w:rsid w:val="007171A5"/>
    <w:rsid w:val="007171F1"/>
    <w:rsid w:val="00717206"/>
    <w:rsid w:val="007174C4"/>
    <w:rsid w:val="00717731"/>
    <w:rsid w:val="00717E78"/>
    <w:rsid w:val="00717F3F"/>
    <w:rsid w:val="00720A40"/>
    <w:rsid w:val="00720ABB"/>
    <w:rsid w:val="00720D59"/>
    <w:rsid w:val="00720E00"/>
    <w:rsid w:val="00720FB0"/>
    <w:rsid w:val="007212DF"/>
    <w:rsid w:val="00721342"/>
    <w:rsid w:val="007218AE"/>
    <w:rsid w:val="00722674"/>
    <w:rsid w:val="00722DC3"/>
    <w:rsid w:val="00722DE3"/>
    <w:rsid w:val="00723361"/>
    <w:rsid w:val="0072346E"/>
    <w:rsid w:val="00723A2E"/>
    <w:rsid w:val="00723D17"/>
    <w:rsid w:val="00723D54"/>
    <w:rsid w:val="00723DFE"/>
    <w:rsid w:val="0072424D"/>
    <w:rsid w:val="00724732"/>
    <w:rsid w:val="00724B49"/>
    <w:rsid w:val="00724BB8"/>
    <w:rsid w:val="00724F2D"/>
    <w:rsid w:val="00724F3A"/>
    <w:rsid w:val="00724F59"/>
    <w:rsid w:val="0072529B"/>
    <w:rsid w:val="007256E4"/>
    <w:rsid w:val="007259B5"/>
    <w:rsid w:val="00725D30"/>
    <w:rsid w:val="007260F1"/>
    <w:rsid w:val="0072680D"/>
    <w:rsid w:val="00726BAD"/>
    <w:rsid w:val="00726C59"/>
    <w:rsid w:val="0072766D"/>
    <w:rsid w:val="00727699"/>
    <w:rsid w:val="00727CE2"/>
    <w:rsid w:val="00730499"/>
    <w:rsid w:val="00730753"/>
    <w:rsid w:val="0073091B"/>
    <w:rsid w:val="00730C82"/>
    <w:rsid w:val="00730D7A"/>
    <w:rsid w:val="0073110C"/>
    <w:rsid w:val="00731168"/>
    <w:rsid w:val="00731A7D"/>
    <w:rsid w:val="00731D19"/>
    <w:rsid w:val="00731E98"/>
    <w:rsid w:val="00732079"/>
    <w:rsid w:val="00732087"/>
    <w:rsid w:val="007323DF"/>
    <w:rsid w:val="00732863"/>
    <w:rsid w:val="007328A4"/>
    <w:rsid w:val="00732A2F"/>
    <w:rsid w:val="00732A86"/>
    <w:rsid w:val="00732CF1"/>
    <w:rsid w:val="00732E0D"/>
    <w:rsid w:val="00733617"/>
    <w:rsid w:val="00734223"/>
    <w:rsid w:val="00734E33"/>
    <w:rsid w:val="00735582"/>
    <w:rsid w:val="00735A3B"/>
    <w:rsid w:val="00735F3A"/>
    <w:rsid w:val="00735FDD"/>
    <w:rsid w:val="00736192"/>
    <w:rsid w:val="007361BB"/>
    <w:rsid w:val="0073682D"/>
    <w:rsid w:val="007369EC"/>
    <w:rsid w:val="007371D3"/>
    <w:rsid w:val="007371F8"/>
    <w:rsid w:val="0073721C"/>
    <w:rsid w:val="00737408"/>
    <w:rsid w:val="007374E5"/>
    <w:rsid w:val="007379E8"/>
    <w:rsid w:val="00737A7A"/>
    <w:rsid w:val="00737C06"/>
    <w:rsid w:val="00737C7D"/>
    <w:rsid w:val="0074042E"/>
    <w:rsid w:val="007405C7"/>
    <w:rsid w:val="00740815"/>
    <w:rsid w:val="00740881"/>
    <w:rsid w:val="00740F1E"/>
    <w:rsid w:val="007410CE"/>
    <w:rsid w:val="0074117B"/>
    <w:rsid w:val="007417DC"/>
    <w:rsid w:val="00741D93"/>
    <w:rsid w:val="00742138"/>
    <w:rsid w:val="00742153"/>
    <w:rsid w:val="007421B1"/>
    <w:rsid w:val="00742648"/>
    <w:rsid w:val="007426C5"/>
    <w:rsid w:val="00742E27"/>
    <w:rsid w:val="00744578"/>
    <w:rsid w:val="007467B1"/>
    <w:rsid w:val="00746823"/>
    <w:rsid w:val="00746AFD"/>
    <w:rsid w:val="00746D39"/>
    <w:rsid w:val="00746F14"/>
    <w:rsid w:val="00747592"/>
    <w:rsid w:val="0074770D"/>
    <w:rsid w:val="00747A61"/>
    <w:rsid w:val="00747D04"/>
    <w:rsid w:val="00750CCA"/>
    <w:rsid w:val="00750DD9"/>
    <w:rsid w:val="007510FD"/>
    <w:rsid w:val="00751219"/>
    <w:rsid w:val="0075173A"/>
    <w:rsid w:val="007518BF"/>
    <w:rsid w:val="00751B10"/>
    <w:rsid w:val="00751D55"/>
    <w:rsid w:val="00752334"/>
    <w:rsid w:val="00752AB0"/>
    <w:rsid w:val="00752B61"/>
    <w:rsid w:val="00752B8B"/>
    <w:rsid w:val="00752B94"/>
    <w:rsid w:val="00753095"/>
    <w:rsid w:val="007531CA"/>
    <w:rsid w:val="0075347B"/>
    <w:rsid w:val="00753A52"/>
    <w:rsid w:val="00753AC3"/>
    <w:rsid w:val="00753D11"/>
    <w:rsid w:val="00754551"/>
    <w:rsid w:val="00754A0E"/>
    <w:rsid w:val="00755303"/>
    <w:rsid w:val="00755349"/>
    <w:rsid w:val="007555B0"/>
    <w:rsid w:val="00755667"/>
    <w:rsid w:val="00755921"/>
    <w:rsid w:val="007560F3"/>
    <w:rsid w:val="0075668C"/>
    <w:rsid w:val="00756BDD"/>
    <w:rsid w:val="00756D0E"/>
    <w:rsid w:val="0075732A"/>
    <w:rsid w:val="0075738E"/>
    <w:rsid w:val="00757A0A"/>
    <w:rsid w:val="007602E7"/>
    <w:rsid w:val="0076075C"/>
    <w:rsid w:val="0076092B"/>
    <w:rsid w:val="0076187C"/>
    <w:rsid w:val="00761D6D"/>
    <w:rsid w:val="00761FBD"/>
    <w:rsid w:val="007620B7"/>
    <w:rsid w:val="00762642"/>
    <w:rsid w:val="00762920"/>
    <w:rsid w:val="00762B8D"/>
    <w:rsid w:val="00762F8F"/>
    <w:rsid w:val="0076391D"/>
    <w:rsid w:val="00763A69"/>
    <w:rsid w:val="007640AF"/>
    <w:rsid w:val="00764159"/>
    <w:rsid w:val="007641CB"/>
    <w:rsid w:val="00764565"/>
    <w:rsid w:val="007648F4"/>
    <w:rsid w:val="00764958"/>
    <w:rsid w:val="00764CEB"/>
    <w:rsid w:val="00765D22"/>
    <w:rsid w:val="00765E00"/>
    <w:rsid w:val="007660DE"/>
    <w:rsid w:val="00766295"/>
    <w:rsid w:val="0076681A"/>
    <w:rsid w:val="00766953"/>
    <w:rsid w:val="00766DC5"/>
    <w:rsid w:val="00766DCE"/>
    <w:rsid w:val="00767079"/>
    <w:rsid w:val="007674FA"/>
    <w:rsid w:val="007676C4"/>
    <w:rsid w:val="00767A8B"/>
    <w:rsid w:val="00767B07"/>
    <w:rsid w:val="00767E13"/>
    <w:rsid w:val="0077012A"/>
    <w:rsid w:val="007704EB"/>
    <w:rsid w:val="007705C8"/>
    <w:rsid w:val="00770A55"/>
    <w:rsid w:val="00771C2E"/>
    <w:rsid w:val="00771DED"/>
    <w:rsid w:val="0077321C"/>
    <w:rsid w:val="007736DF"/>
    <w:rsid w:val="00773C5A"/>
    <w:rsid w:val="00773FCD"/>
    <w:rsid w:val="0077461C"/>
    <w:rsid w:val="00775146"/>
    <w:rsid w:val="00775511"/>
    <w:rsid w:val="00776ED2"/>
    <w:rsid w:val="00777300"/>
    <w:rsid w:val="007773AE"/>
    <w:rsid w:val="007778C7"/>
    <w:rsid w:val="00777B1A"/>
    <w:rsid w:val="00780635"/>
    <w:rsid w:val="00780AA6"/>
    <w:rsid w:val="00780C11"/>
    <w:rsid w:val="00780E8F"/>
    <w:rsid w:val="00781A72"/>
    <w:rsid w:val="00781C79"/>
    <w:rsid w:val="0078212E"/>
    <w:rsid w:val="00782185"/>
    <w:rsid w:val="00783414"/>
    <w:rsid w:val="00783E41"/>
    <w:rsid w:val="00784980"/>
    <w:rsid w:val="00784A28"/>
    <w:rsid w:val="0078515B"/>
    <w:rsid w:val="007857F9"/>
    <w:rsid w:val="007858E0"/>
    <w:rsid w:val="00785B1D"/>
    <w:rsid w:val="00785B5E"/>
    <w:rsid w:val="00785F7F"/>
    <w:rsid w:val="007860A8"/>
    <w:rsid w:val="007863A4"/>
    <w:rsid w:val="00786837"/>
    <w:rsid w:val="00786A78"/>
    <w:rsid w:val="00786ACB"/>
    <w:rsid w:val="007874A1"/>
    <w:rsid w:val="00787545"/>
    <w:rsid w:val="00787D27"/>
    <w:rsid w:val="00787EE9"/>
    <w:rsid w:val="007908A3"/>
    <w:rsid w:val="00790B62"/>
    <w:rsid w:val="00790C7A"/>
    <w:rsid w:val="00790DEB"/>
    <w:rsid w:val="00790FAB"/>
    <w:rsid w:val="007913A9"/>
    <w:rsid w:val="00791DC1"/>
    <w:rsid w:val="007920D8"/>
    <w:rsid w:val="007924FC"/>
    <w:rsid w:val="00792B1D"/>
    <w:rsid w:val="00793537"/>
    <w:rsid w:val="007938FF"/>
    <w:rsid w:val="00794752"/>
    <w:rsid w:val="007947BB"/>
    <w:rsid w:val="00794AFE"/>
    <w:rsid w:val="00794F35"/>
    <w:rsid w:val="00794F79"/>
    <w:rsid w:val="00794FAE"/>
    <w:rsid w:val="007951F6"/>
    <w:rsid w:val="007957CA"/>
    <w:rsid w:val="007961C1"/>
    <w:rsid w:val="00796DD3"/>
    <w:rsid w:val="00796E71"/>
    <w:rsid w:val="007973E9"/>
    <w:rsid w:val="0079760E"/>
    <w:rsid w:val="007979B4"/>
    <w:rsid w:val="00797A95"/>
    <w:rsid w:val="00797D92"/>
    <w:rsid w:val="007A015D"/>
    <w:rsid w:val="007A01EE"/>
    <w:rsid w:val="007A042D"/>
    <w:rsid w:val="007A0540"/>
    <w:rsid w:val="007A0F93"/>
    <w:rsid w:val="007A11BE"/>
    <w:rsid w:val="007A160B"/>
    <w:rsid w:val="007A16B7"/>
    <w:rsid w:val="007A174A"/>
    <w:rsid w:val="007A1C6C"/>
    <w:rsid w:val="007A210C"/>
    <w:rsid w:val="007A2271"/>
    <w:rsid w:val="007A2771"/>
    <w:rsid w:val="007A2AE0"/>
    <w:rsid w:val="007A2E3E"/>
    <w:rsid w:val="007A3166"/>
    <w:rsid w:val="007A32EC"/>
    <w:rsid w:val="007A34D9"/>
    <w:rsid w:val="007A3AEA"/>
    <w:rsid w:val="007A3BE8"/>
    <w:rsid w:val="007A3CEB"/>
    <w:rsid w:val="007A3D62"/>
    <w:rsid w:val="007A3E58"/>
    <w:rsid w:val="007A45C1"/>
    <w:rsid w:val="007A4B52"/>
    <w:rsid w:val="007A4BA2"/>
    <w:rsid w:val="007A4E0A"/>
    <w:rsid w:val="007A504C"/>
    <w:rsid w:val="007A50A0"/>
    <w:rsid w:val="007A52F9"/>
    <w:rsid w:val="007A55F1"/>
    <w:rsid w:val="007A5814"/>
    <w:rsid w:val="007A61FF"/>
    <w:rsid w:val="007A6746"/>
    <w:rsid w:val="007A6B4D"/>
    <w:rsid w:val="007A7C7D"/>
    <w:rsid w:val="007B00DF"/>
    <w:rsid w:val="007B0949"/>
    <w:rsid w:val="007B0D09"/>
    <w:rsid w:val="007B0ED7"/>
    <w:rsid w:val="007B11A9"/>
    <w:rsid w:val="007B11D2"/>
    <w:rsid w:val="007B12E6"/>
    <w:rsid w:val="007B13FE"/>
    <w:rsid w:val="007B1AFC"/>
    <w:rsid w:val="007B1E07"/>
    <w:rsid w:val="007B1E82"/>
    <w:rsid w:val="007B23C0"/>
    <w:rsid w:val="007B246E"/>
    <w:rsid w:val="007B2706"/>
    <w:rsid w:val="007B285B"/>
    <w:rsid w:val="007B2FA8"/>
    <w:rsid w:val="007B3104"/>
    <w:rsid w:val="007B3277"/>
    <w:rsid w:val="007B3510"/>
    <w:rsid w:val="007B3700"/>
    <w:rsid w:val="007B395D"/>
    <w:rsid w:val="007B3C0F"/>
    <w:rsid w:val="007B3DB3"/>
    <w:rsid w:val="007B4759"/>
    <w:rsid w:val="007B4913"/>
    <w:rsid w:val="007B508C"/>
    <w:rsid w:val="007B5BFD"/>
    <w:rsid w:val="007B5D67"/>
    <w:rsid w:val="007B5E1D"/>
    <w:rsid w:val="007B6029"/>
    <w:rsid w:val="007B6513"/>
    <w:rsid w:val="007B6C8A"/>
    <w:rsid w:val="007B71C9"/>
    <w:rsid w:val="007B7367"/>
    <w:rsid w:val="007B7F82"/>
    <w:rsid w:val="007C005B"/>
    <w:rsid w:val="007C0786"/>
    <w:rsid w:val="007C099E"/>
    <w:rsid w:val="007C0B5F"/>
    <w:rsid w:val="007C0C04"/>
    <w:rsid w:val="007C2009"/>
    <w:rsid w:val="007C21AE"/>
    <w:rsid w:val="007C23A2"/>
    <w:rsid w:val="007C310C"/>
    <w:rsid w:val="007C315D"/>
    <w:rsid w:val="007C3323"/>
    <w:rsid w:val="007C3347"/>
    <w:rsid w:val="007C3687"/>
    <w:rsid w:val="007C396E"/>
    <w:rsid w:val="007C3B6C"/>
    <w:rsid w:val="007C3E2B"/>
    <w:rsid w:val="007C3FDC"/>
    <w:rsid w:val="007C48B3"/>
    <w:rsid w:val="007C4BEB"/>
    <w:rsid w:val="007C4C9C"/>
    <w:rsid w:val="007C508B"/>
    <w:rsid w:val="007C538A"/>
    <w:rsid w:val="007C679D"/>
    <w:rsid w:val="007C69A2"/>
    <w:rsid w:val="007C69B9"/>
    <w:rsid w:val="007C6EF2"/>
    <w:rsid w:val="007C7785"/>
    <w:rsid w:val="007C7BCE"/>
    <w:rsid w:val="007C7FA8"/>
    <w:rsid w:val="007C7FB9"/>
    <w:rsid w:val="007D0811"/>
    <w:rsid w:val="007D0BD8"/>
    <w:rsid w:val="007D0E8F"/>
    <w:rsid w:val="007D1340"/>
    <w:rsid w:val="007D19C1"/>
    <w:rsid w:val="007D2038"/>
    <w:rsid w:val="007D24B0"/>
    <w:rsid w:val="007D2579"/>
    <w:rsid w:val="007D2733"/>
    <w:rsid w:val="007D29ED"/>
    <w:rsid w:val="007D2F96"/>
    <w:rsid w:val="007D325A"/>
    <w:rsid w:val="007D328D"/>
    <w:rsid w:val="007D3DA4"/>
    <w:rsid w:val="007D4550"/>
    <w:rsid w:val="007D4B73"/>
    <w:rsid w:val="007D5531"/>
    <w:rsid w:val="007D5AC6"/>
    <w:rsid w:val="007D5C03"/>
    <w:rsid w:val="007D5EF8"/>
    <w:rsid w:val="007D5F65"/>
    <w:rsid w:val="007D5FEE"/>
    <w:rsid w:val="007D6233"/>
    <w:rsid w:val="007D69E5"/>
    <w:rsid w:val="007D6E10"/>
    <w:rsid w:val="007D73ED"/>
    <w:rsid w:val="007D7BE5"/>
    <w:rsid w:val="007E0046"/>
    <w:rsid w:val="007E08E1"/>
    <w:rsid w:val="007E0D3B"/>
    <w:rsid w:val="007E1220"/>
    <w:rsid w:val="007E1271"/>
    <w:rsid w:val="007E17E9"/>
    <w:rsid w:val="007E19CF"/>
    <w:rsid w:val="007E258E"/>
    <w:rsid w:val="007E29CC"/>
    <w:rsid w:val="007E2C0B"/>
    <w:rsid w:val="007E2CCC"/>
    <w:rsid w:val="007E34E0"/>
    <w:rsid w:val="007E3774"/>
    <w:rsid w:val="007E3B0D"/>
    <w:rsid w:val="007E43F2"/>
    <w:rsid w:val="007E45F6"/>
    <w:rsid w:val="007E4B35"/>
    <w:rsid w:val="007E5124"/>
    <w:rsid w:val="007E5391"/>
    <w:rsid w:val="007E5538"/>
    <w:rsid w:val="007E5544"/>
    <w:rsid w:val="007E57CA"/>
    <w:rsid w:val="007E5E46"/>
    <w:rsid w:val="007E68D1"/>
    <w:rsid w:val="007E6CEF"/>
    <w:rsid w:val="007E6EA5"/>
    <w:rsid w:val="007E719C"/>
    <w:rsid w:val="007E734E"/>
    <w:rsid w:val="007E75A3"/>
    <w:rsid w:val="007E76DA"/>
    <w:rsid w:val="007F0083"/>
    <w:rsid w:val="007F02AE"/>
    <w:rsid w:val="007F02DD"/>
    <w:rsid w:val="007F080F"/>
    <w:rsid w:val="007F0B64"/>
    <w:rsid w:val="007F0DB1"/>
    <w:rsid w:val="007F0EAC"/>
    <w:rsid w:val="007F106C"/>
    <w:rsid w:val="007F11D8"/>
    <w:rsid w:val="007F154A"/>
    <w:rsid w:val="007F1A46"/>
    <w:rsid w:val="007F1AD7"/>
    <w:rsid w:val="007F1BC5"/>
    <w:rsid w:val="007F1C01"/>
    <w:rsid w:val="007F1F19"/>
    <w:rsid w:val="007F1FE4"/>
    <w:rsid w:val="007F28BD"/>
    <w:rsid w:val="007F298D"/>
    <w:rsid w:val="007F30CD"/>
    <w:rsid w:val="007F3709"/>
    <w:rsid w:val="007F41BE"/>
    <w:rsid w:val="007F42A4"/>
    <w:rsid w:val="007F4DDC"/>
    <w:rsid w:val="007F5257"/>
    <w:rsid w:val="007F57C2"/>
    <w:rsid w:val="007F5816"/>
    <w:rsid w:val="007F5A6E"/>
    <w:rsid w:val="007F5B2E"/>
    <w:rsid w:val="007F5D6E"/>
    <w:rsid w:val="007F613F"/>
    <w:rsid w:val="007F6DC8"/>
    <w:rsid w:val="007F7099"/>
    <w:rsid w:val="007F737F"/>
    <w:rsid w:val="007F78EC"/>
    <w:rsid w:val="007F7D74"/>
    <w:rsid w:val="00800029"/>
    <w:rsid w:val="008001C9"/>
    <w:rsid w:val="008005F2"/>
    <w:rsid w:val="00800C5F"/>
    <w:rsid w:val="00800CBC"/>
    <w:rsid w:val="00800E39"/>
    <w:rsid w:val="00800ED5"/>
    <w:rsid w:val="0080139F"/>
    <w:rsid w:val="008015D9"/>
    <w:rsid w:val="00801728"/>
    <w:rsid w:val="008017A0"/>
    <w:rsid w:val="00801896"/>
    <w:rsid w:val="008018D2"/>
    <w:rsid w:val="00801B6C"/>
    <w:rsid w:val="008021B7"/>
    <w:rsid w:val="00802217"/>
    <w:rsid w:val="008022C9"/>
    <w:rsid w:val="008026DC"/>
    <w:rsid w:val="0080299E"/>
    <w:rsid w:val="00802BD3"/>
    <w:rsid w:val="00802FA5"/>
    <w:rsid w:val="008032E0"/>
    <w:rsid w:val="008039CA"/>
    <w:rsid w:val="00803CBE"/>
    <w:rsid w:val="0080437C"/>
    <w:rsid w:val="008043C1"/>
    <w:rsid w:val="008045E4"/>
    <w:rsid w:val="00804637"/>
    <w:rsid w:val="008047F5"/>
    <w:rsid w:val="0080498B"/>
    <w:rsid w:val="00804CEE"/>
    <w:rsid w:val="00805856"/>
    <w:rsid w:val="00805ACC"/>
    <w:rsid w:val="00805C32"/>
    <w:rsid w:val="00805DD5"/>
    <w:rsid w:val="00805F0C"/>
    <w:rsid w:val="00806561"/>
    <w:rsid w:val="00807643"/>
    <w:rsid w:val="008078D1"/>
    <w:rsid w:val="00807B32"/>
    <w:rsid w:val="00807C17"/>
    <w:rsid w:val="00810329"/>
    <w:rsid w:val="008105D3"/>
    <w:rsid w:val="00811029"/>
    <w:rsid w:val="008116D1"/>
    <w:rsid w:val="00811702"/>
    <w:rsid w:val="00811842"/>
    <w:rsid w:val="0081184B"/>
    <w:rsid w:val="00811857"/>
    <w:rsid w:val="008127DB"/>
    <w:rsid w:val="008130CC"/>
    <w:rsid w:val="00813495"/>
    <w:rsid w:val="0081361B"/>
    <w:rsid w:val="00814A56"/>
    <w:rsid w:val="00814D1B"/>
    <w:rsid w:val="00815142"/>
    <w:rsid w:val="008153CC"/>
    <w:rsid w:val="00815B54"/>
    <w:rsid w:val="0081648D"/>
    <w:rsid w:val="00816CF6"/>
    <w:rsid w:val="0081703A"/>
    <w:rsid w:val="0081729A"/>
    <w:rsid w:val="00817627"/>
    <w:rsid w:val="00817C1C"/>
    <w:rsid w:val="00817CB8"/>
    <w:rsid w:val="00817E2E"/>
    <w:rsid w:val="00820692"/>
    <w:rsid w:val="0082085B"/>
    <w:rsid w:val="00820D5D"/>
    <w:rsid w:val="00821120"/>
    <w:rsid w:val="00821159"/>
    <w:rsid w:val="008216BE"/>
    <w:rsid w:val="00821824"/>
    <w:rsid w:val="00821DB1"/>
    <w:rsid w:val="00821EE3"/>
    <w:rsid w:val="00822069"/>
    <w:rsid w:val="0082226E"/>
    <w:rsid w:val="00822E56"/>
    <w:rsid w:val="00822F36"/>
    <w:rsid w:val="008234C1"/>
    <w:rsid w:val="00823533"/>
    <w:rsid w:val="0082356F"/>
    <w:rsid w:val="008235B5"/>
    <w:rsid w:val="008237D6"/>
    <w:rsid w:val="00823851"/>
    <w:rsid w:val="0082387C"/>
    <w:rsid w:val="00823C60"/>
    <w:rsid w:val="00823D79"/>
    <w:rsid w:val="008245F2"/>
    <w:rsid w:val="0082468F"/>
    <w:rsid w:val="00824709"/>
    <w:rsid w:val="00824BA4"/>
    <w:rsid w:val="0082514C"/>
    <w:rsid w:val="00825D31"/>
    <w:rsid w:val="00825E49"/>
    <w:rsid w:val="00825F55"/>
    <w:rsid w:val="00825F71"/>
    <w:rsid w:val="00826882"/>
    <w:rsid w:val="00826F6C"/>
    <w:rsid w:val="008270C5"/>
    <w:rsid w:val="00827387"/>
    <w:rsid w:val="00827E29"/>
    <w:rsid w:val="00830665"/>
    <w:rsid w:val="00830E1D"/>
    <w:rsid w:val="0083173B"/>
    <w:rsid w:val="008317E6"/>
    <w:rsid w:val="00831BAC"/>
    <w:rsid w:val="008323BB"/>
    <w:rsid w:val="00832646"/>
    <w:rsid w:val="00832849"/>
    <w:rsid w:val="00832BA7"/>
    <w:rsid w:val="00832BF1"/>
    <w:rsid w:val="00832F3C"/>
    <w:rsid w:val="0083309B"/>
    <w:rsid w:val="008332F5"/>
    <w:rsid w:val="00833AE5"/>
    <w:rsid w:val="00833AE9"/>
    <w:rsid w:val="00833C8A"/>
    <w:rsid w:val="00833E90"/>
    <w:rsid w:val="0083413B"/>
    <w:rsid w:val="00834A99"/>
    <w:rsid w:val="00834F9F"/>
    <w:rsid w:val="0083518E"/>
    <w:rsid w:val="00835273"/>
    <w:rsid w:val="008356DB"/>
    <w:rsid w:val="0083578C"/>
    <w:rsid w:val="008358B2"/>
    <w:rsid w:val="00836068"/>
    <w:rsid w:val="00836B1A"/>
    <w:rsid w:val="00836D58"/>
    <w:rsid w:val="00837003"/>
    <w:rsid w:val="008373FC"/>
    <w:rsid w:val="008377D6"/>
    <w:rsid w:val="00837802"/>
    <w:rsid w:val="00837A7B"/>
    <w:rsid w:val="00837B39"/>
    <w:rsid w:val="00837F19"/>
    <w:rsid w:val="008400E9"/>
    <w:rsid w:val="008404BB"/>
    <w:rsid w:val="008408C5"/>
    <w:rsid w:val="00840985"/>
    <w:rsid w:val="00840EAE"/>
    <w:rsid w:val="008411BD"/>
    <w:rsid w:val="0084141D"/>
    <w:rsid w:val="00841549"/>
    <w:rsid w:val="0084224B"/>
    <w:rsid w:val="008426CB"/>
    <w:rsid w:val="008428DE"/>
    <w:rsid w:val="00842B9A"/>
    <w:rsid w:val="00842E00"/>
    <w:rsid w:val="00843905"/>
    <w:rsid w:val="00844129"/>
    <w:rsid w:val="0084498A"/>
    <w:rsid w:val="008449F2"/>
    <w:rsid w:val="00844C86"/>
    <w:rsid w:val="00845484"/>
    <w:rsid w:val="0084564C"/>
    <w:rsid w:val="0084597A"/>
    <w:rsid w:val="00845A42"/>
    <w:rsid w:val="00845B08"/>
    <w:rsid w:val="00845EC4"/>
    <w:rsid w:val="0084622A"/>
    <w:rsid w:val="0084684A"/>
    <w:rsid w:val="008469D4"/>
    <w:rsid w:val="00846ADD"/>
    <w:rsid w:val="00847445"/>
    <w:rsid w:val="008479AF"/>
    <w:rsid w:val="00847EBF"/>
    <w:rsid w:val="00850CD0"/>
    <w:rsid w:val="00850E12"/>
    <w:rsid w:val="00851675"/>
    <w:rsid w:val="008518CA"/>
    <w:rsid w:val="0085254B"/>
    <w:rsid w:val="00853003"/>
    <w:rsid w:val="00853266"/>
    <w:rsid w:val="0085493C"/>
    <w:rsid w:val="008549E0"/>
    <w:rsid w:val="00854D14"/>
    <w:rsid w:val="00854F1B"/>
    <w:rsid w:val="008552BC"/>
    <w:rsid w:val="00855511"/>
    <w:rsid w:val="00855830"/>
    <w:rsid w:val="008558BF"/>
    <w:rsid w:val="00856704"/>
    <w:rsid w:val="00856B1D"/>
    <w:rsid w:val="00856BAE"/>
    <w:rsid w:val="00857ACC"/>
    <w:rsid w:val="00860562"/>
    <w:rsid w:val="00860596"/>
    <w:rsid w:val="00860AE2"/>
    <w:rsid w:val="00860B7E"/>
    <w:rsid w:val="00860D33"/>
    <w:rsid w:val="00861197"/>
    <w:rsid w:val="008616B8"/>
    <w:rsid w:val="008622D0"/>
    <w:rsid w:val="00862902"/>
    <w:rsid w:val="0086309C"/>
    <w:rsid w:val="0086309E"/>
    <w:rsid w:val="00863107"/>
    <w:rsid w:val="00863319"/>
    <w:rsid w:val="00863504"/>
    <w:rsid w:val="00863C74"/>
    <w:rsid w:val="00863E5B"/>
    <w:rsid w:val="00863E93"/>
    <w:rsid w:val="00863EB6"/>
    <w:rsid w:val="008642E3"/>
    <w:rsid w:val="008644C6"/>
    <w:rsid w:val="008645E3"/>
    <w:rsid w:val="00864B40"/>
    <w:rsid w:val="00865036"/>
    <w:rsid w:val="00865679"/>
    <w:rsid w:val="0086574D"/>
    <w:rsid w:val="00865DBA"/>
    <w:rsid w:val="00866246"/>
    <w:rsid w:val="008664F5"/>
    <w:rsid w:val="0086743F"/>
    <w:rsid w:val="00867567"/>
    <w:rsid w:val="00867A36"/>
    <w:rsid w:val="00867ECE"/>
    <w:rsid w:val="008703B4"/>
    <w:rsid w:val="008703B8"/>
    <w:rsid w:val="008708AF"/>
    <w:rsid w:val="00870CDE"/>
    <w:rsid w:val="008711BC"/>
    <w:rsid w:val="008716E6"/>
    <w:rsid w:val="00871BF1"/>
    <w:rsid w:val="00871FC1"/>
    <w:rsid w:val="00871FC8"/>
    <w:rsid w:val="00872141"/>
    <w:rsid w:val="00872383"/>
    <w:rsid w:val="008726E0"/>
    <w:rsid w:val="00872773"/>
    <w:rsid w:val="00872AE7"/>
    <w:rsid w:val="00872BCC"/>
    <w:rsid w:val="00872BD6"/>
    <w:rsid w:val="00872CFA"/>
    <w:rsid w:val="00872F00"/>
    <w:rsid w:val="008733CF"/>
    <w:rsid w:val="00873601"/>
    <w:rsid w:val="00873C25"/>
    <w:rsid w:val="00873ED7"/>
    <w:rsid w:val="0087437C"/>
    <w:rsid w:val="008748D9"/>
    <w:rsid w:val="00874A16"/>
    <w:rsid w:val="00874AA3"/>
    <w:rsid w:val="0087526D"/>
    <w:rsid w:val="0087564F"/>
    <w:rsid w:val="00875D7E"/>
    <w:rsid w:val="0087647B"/>
    <w:rsid w:val="00876EF3"/>
    <w:rsid w:val="008774B7"/>
    <w:rsid w:val="0087752C"/>
    <w:rsid w:val="008776D7"/>
    <w:rsid w:val="00877B49"/>
    <w:rsid w:val="00877DF2"/>
    <w:rsid w:val="0088007A"/>
    <w:rsid w:val="0088059C"/>
    <w:rsid w:val="00880685"/>
    <w:rsid w:val="008806D1"/>
    <w:rsid w:val="00880B68"/>
    <w:rsid w:val="00881431"/>
    <w:rsid w:val="0088154D"/>
    <w:rsid w:val="00881552"/>
    <w:rsid w:val="0088175E"/>
    <w:rsid w:val="008822F6"/>
    <w:rsid w:val="0088237A"/>
    <w:rsid w:val="00882574"/>
    <w:rsid w:val="00882CFA"/>
    <w:rsid w:val="00882D4E"/>
    <w:rsid w:val="00883829"/>
    <w:rsid w:val="008839F1"/>
    <w:rsid w:val="0088415F"/>
    <w:rsid w:val="008849BB"/>
    <w:rsid w:val="00884A7A"/>
    <w:rsid w:val="0088513E"/>
    <w:rsid w:val="008851FB"/>
    <w:rsid w:val="0088597B"/>
    <w:rsid w:val="00885EBB"/>
    <w:rsid w:val="00885F64"/>
    <w:rsid w:val="008861D4"/>
    <w:rsid w:val="0088629F"/>
    <w:rsid w:val="008870C3"/>
    <w:rsid w:val="008878F1"/>
    <w:rsid w:val="00887934"/>
    <w:rsid w:val="008879DD"/>
    <w:rsid w:val="00887A78"/>
    <w:rsid w:val="00887DE1"/>
    <w:rsid w:val="00890124"/>
    <w:rsid w:val="00890404"/>
    <w:rsid w:val="008909D6"/>
    <w:rsid w:val="00890A22"/>
    <w:rsid w:val="00890A55"/>
    <w:rsid w:val="00891C41"/>
    <w:rsid w:val="00891D29"/>
    <w:rsid w:val="00891D76"/>
    <w:rsid w:val="00891F61"/>
    <w:rsid w:val="00891F8F"/>
    <w:rsid w:val="00892137"/>
    <w:rsid w:val="00892323"/>
    <w:rsid w:val="0089282B"/>
    <w:rsid w:val="00892838"/>
    <w:rsid w:val="00892967"/>
    <w:rsid w:val="008929D7"/>
    <w:rsid w:val="00892A06"/>
    <w:rsid w:val="008933F4"/>
    <w:rsid w:val="0089355D"/>
    <w:rsid w:val="008935F3"/>
    <w:rsid w:val="008937BF"/>
    <w:rsid w:val="00893949"/>
    <w:rsid w:val="00893990"/>
    <w:rsid w:val="00893BAB"/>
    <w:rsid w:val="00893EB8"/>
    <w:rsid w:val="00893FAD"/>
    <w:rsid w:val="00893FC9"/>
    <w:rsid w:val="008943D5"/>
    <w:rsid w:val="0089472F"/>
    <w:rsid w:val="00894884"/>
    <w:rsid w:val="00894AC1"/>
    <w:rsid w:val="00894C4A"/>
    <w:rsid w:val="008951A0"/>
    <w:rsid w:val="00895778"/>
    <w:rsid w:val="0089582F"/>
    <w:rsid w:val="0089591C"/>
    <w:rsid w:val="00896467"/>
    <w:rsid w:val="00897159"/>
    <w:rsid w:val="008974C0"/>
    <w:rsid w:val="0089755E"/>
    <w:rsid w:val="008977F1"/>
    <w:rsid w:val="00897AFA"/>
    <w:rsid w:val="00897E36"/>
    <w:rsid w:val="00897F01"/>
    <w:rsid w:val="008A00B5"/>
    <w:rsid w:val="008A03C7"/>
    <w:rsid w:val="008A0C78"/>
    <w:rsid w:val="008A1171"/>
    <w:rsid w:val="008A1325"/>
    <w:rsid w:val="008A1726"/>
    <w:rsid w:val="008A19D1"/>
    <w:rsid w:val="008A2485"/>
    <w:rsid w:val="008A24A1"/>
    <w:rsid w:val="008A24F0"/>
    <w:rsid w:val="008A2BAC"/>
    <w:rsid w:val="008A2BBE"/>
    <w:rsid w:val="008A300E"/>
    <w:rsid w:val="008A3132"/>
    <w:rsid w:val="008A325F"/>
    <w:rsid w:val="008A34E1"/>
    <w:rsid w:val="008A35F4"/>
    <w:rsid w:val="008A3937"/>
    <w:rsid w:val="008A40EF"/>
    <w:rsid w:val="008A41C5"/>
    <w:rsid w:val="008A4556"/>
    <w:rsid w:val="008A4843"/>
    <w:rsid w:val="008A4B30"/>
    <w:rsid w:val="008A4ED1"/>
    <w:rsid w:val="008A57C8"/>
    <w:rsid w:val="008A610D"/>
    <w:rsid w:val="008A623A"/>
    <w:rsid w:val="008A631E"/>
    <w:rsid w:val="008A6696"/>
    <w:rsid w:val="008A6AED"/>
    <w:rsid w:val="008A6E6E"/>
    <w:rsid w:val="008A70E0"/>
    <w:rsid w:val="008A73A5"/>
    <w:rsid w:val="008A76C4"/>
    <w:rsid w:val="008B04AB"/>
    <w:rsid w:val="008B0559"/>
    <w:rsid w:val="008B05BF"/>
    <w:rsid w:val="008B0C6F"/>
    <w:rsid w:val="008B0E99"/>
    <w:rsid w:val="008B0E9E"/>
    <w:rsid w:val="008B168E"/>
    <w:rsid w:val="008B1D95"/>
    <w:rsid w:val="008B20BB"/>
    <w:rsid w:val="008B2324"/>
    <w:rsid w:val="008B2760"/>
    <w:rsid w:val="008B2DD8"/>
    <w:rsid w:val="008B2EA6"/>
    <w:rsid w:val="008B310A"/>
    <w:rsid w:val="008B380C"/>
    <w:rsid w:val="008B3E89"/>
    <w:rsid w:val="008B4384"/>
    <w:rsid w:val="008B4DF0"/>
    <w:rsid w:val="008B50FE"/>
    <w:rsid w:val="008B5593"/>
    <w:rsid w:val="008B5610"/>
    <w:rsid w:val="008B5ED7"/>
    <w:rsid w:val="008B61FF"/>
    <w:rsid w:val="008B6B17"/>
    <w:rsid w:val="008B6CF8"/>
    <w:rsid w:val="008B7072"/>
    <w:rsid w:val="008B73D6"/>
    <w:rsid w:val="008B741A"/>
    <w:rsid w:val="008B7462"/>
    <w:rsid w:val="008B786B"/>
    <w:rsid w:val="008B7939"/>
    <w:rsid w:val="008B7A58"/>
    <w:rsid w:val="008B7B2C"/>
    <w:rsid w:val="008C01D7"/>
    <w:rsid w:val="008C08CA"/>
    <w:rsid w:val="008C0B36"/>
    <w:rsid w:val="008C16A6"/>
    <w:rsid w:val="008C1935"/>
    <w:rsid w:val="008C1DE2"/>
    <w:rsid w:val="008C1E92"/>
    <w:rsid w:val="008C21C8"/>
    <w:rsid w:val="008C2D5E"/>
    <w:rsid w:val="008C2E99"/>
    <w:rsid w:val="008C3701"/>
    <w:rsid w:val="008C370A"/>
    <w:rsid w:val="008C3B2B"/>
    <w:rsid w:val="008C4356"/>
    <w:rsid w:val="008C48E9"/>
    <w:rsid w:val="008C522B"/>
    <w:rsid w:val="008C5A1E"/>
    <w:rsid w:val="008C5F11"/>
    <w:rsid w:val="008C6279"/>
    <w:rsid w:val="008C639F"/>
    <w:rsid w:val="008C65FD"/>
    <w:rsid w:val="008C6CAE"/>
    <w:rsid w:val="008C708D"/>
    <w:rsid w:val="008C71B0"/>
    <w:rsid w:val="008C736A"/>
    <w:rsid w:val="008C74AE"/>
    <w:rsid w:val="008C7CDD"/>
    <w:rsid w:val="008C7F71"/>
    <w:rsid w:val="008D0323"/>
    <w:rsid w:val="008D0527"/>
    <w:rsid w:val="008D0F47"/>
    <w:rsid w:val="008D1043"/>
    <w:rsid w:val="008D18E2"/>
    <w:rsid w:val="008D195A"/>
    <w:rsid w:val="008D1D3B"/>
    <w:rsid w:val="008D26CE"/>
    <w:rsid w:val="008D28B5"/>
    <w:rsid w:val="008D2DE5"/>
    <w:rsid w:val="008D2F0E"/>
    <w:rsid w:val="008D300C"/>
    <w:rsid w:val="008D39A3"/>
    <w:rsid w:val="008D3B00"/>
    <w:rsid w:val="008D3DC4"/>
    <w:rsid w:val="008D3E0C"/>
    <w:rsid w:val="008D42C5"/>
    <w:rsid w:val="008D4AEF"/>
    <w:rsid w:val="008D4D64"/>
    <w:rsid w:val="008D4F0F"/>
    <w:rsid w:val="008D4F78"/>
    <w:rsid w:val="008D509E"/>
    <w:rsid w:val="008D538B"/>
    <w:rsid w:val="008D560D"/>
    <w:rsid w:val="008D5804"/>
    <w:rsid w:val="008D5C58"/>
    <w:rsid w:val="008D5F13"/>
    <w:rsid w:val="008D5F6D"/>
    <w:rsid w:val="008D61B7"/>
    <w:rsid w:val="008D6BCE"/>
    <w:rsid w:val="008D6EE6"/>
    <w:rsid w:val="008D700C"/>
    <w:rsid w:val="008D7154"/>
    <w:rsid w:val="008D798D"/>
    <w:rsid w:val="008D7D4A"/>
    <w:rsid w:val="008D7E3B"/>
    <w:rsid w:val="008D7F06"/>
    <w:rsid w:val="008E047D"/>
    <w:rsid w:val="008E05F6"/>
    <w:rsid w:val="008E1651"/>
    <w:rsid w:val="008E16E9"/>
    <w:rsid w:val="008E1DC1"/>
    <w:rsid w:val="008E1E89"/>
    <w:rsid w:val="008E24E8"/>
    <w:rsid w:val="008E255A"/>
    <w:rsid w:val="008E2DB1"/>
    <w:rsid w:val="008E3BD7"/>
    <w:rsid w:val="008E3C38"/>
    <w:rsid w:val="008E3EE8"/>
    <w:rsid w:val="008E405A"/>
    <w:rsid w:val="008E44A8"/>
    <w:rsid w:val="008E4802"/>
    <w:rsid w:val="008E4B77"/>
    <w:rsid w:val="008E4F61"/>
    <w:rsid w:val="008E5513"/>
    <w:rsid w:val="008E5CE9"/>
    <w:rsid w:val="008E5DF6"/>
    <w:rsid w:val="008E6268"/>
    <w:rsid w:val="008E6CD8"/>
    <w:rsid w:val="008F05DF"/>
    <w:rsid w:val="008F0882"/>
    <w:rsid w:val="008F0DFE"/>
    <w:rsid w:val="008F0E8D"/>
    <w:rsid w:val="008F1460"/>
    <w:rsid w:val="008F15D7"/>
    <w:rsid w:val="008F1917"/>
    <w:rsid w:val="008F296C"/>
    <w:rsid w:val="008F2DF8"/>
    <w:rsid w:val="008F34A4"/>
    <w:rsid w:val="008F358B"/>
    <w:rsid w:val="008F374F"/>
    <w:rsid w:val="008F37B5"/>
    <w:rsid w:val="008F3DA9"/>
    <w:rsid w:val="008F4153"/>
    <w:rsid w:val="008F49D1"/>
    <w:rsid w:val="008F4A33"/>
    <w:rsid w:val="008F4C7B"/>
    <w:rsid w:val="008F4F84"/>
    <w:rsid w:val="008F50D6"/>
    <w:rsid w:val="008F5493"/>
    <w:rsid w:val="008F5522"/>
    <w:rsid w:val="008F5684"/>
    <w:rsid w:val="008F57B6"/>
    <w:rsid w:val="008F6472"/>
    <w:rsid w:val="008F6B8D"/>
    <w:rsid w:val="008F6CE2"/>
    <w:rsid w:val="008F6CE7"/>
    <w:rsid w:val="008F741B"/>
    <w:rsid w:val="008F7983"/>
    <w:rsid w:val="008F7B02"/>
    <w:rsid w:val="008F7BFE"/>
    <w:rsid w:val="008F7DB9"/>
    <w:rsid w:val="008F7E87"/>
    <w:rsid w:val="00901083"/>
    <w:rsid w:val="00901A54"/>
    <w:rsid w:val="0090237B"/>
    <w:rsid w:val="00902484"/>
    <w:rsid w:val="009025A1"/>
    <w:rsid w:val="009026BB"/>
    <w:rsid w:val="009027EE"/>
    <w:rsid w:val="0090288E"/>
    <w:rsid w:val="0090292A"/>
    <w:rsid w:val="009029DE"/>
    <w:rsid w:val="00902B6C"/>
    <w:rsid w:val="00902C8B"/>
    <w:rsid w:val="00902F3C"/>
    <w:rsid w:val="00903381"/>
    <w:rsid w:val="009033FA"/>
    <w:rsid w:val="009037CE"/>
    <w:rsid w:val="009038EA"/>
    <w:rsid w:val="009041DF"/>
    <w:rsid w:val="009043D6"/>
    <w:rsid w:val="009046FB"/>
    <w:rsid w:val="00904DAF"/>
    <w:rsid w:val="00905B62"/>
    <w:rsid w:val="0090623B"/>
    <w:rsid w:val="00906766"/>
    <w:rsid w:val="00906AF0"/>
    <w:rsid w:val="00906FDA"/>
    <w:rsid w:val="00907431"/>
    <w:rsid w:val="009075C0"/>
    <w:rsid w:val="00907778"/>
    <w:rsid w:val="00907C03"/>
    <w:rsid w:val="00907D6E"/>
    <w:rsid w:val="00907ECC"/>
    <w:rsid w:val="00910435"/>
    <w:rsid w:val="00910C8D"/>
    <w:rsid w:val="00910D4C"/>
    <w:rsid w:val="009115DA"/>
    <w:rsid w:val="00911A92"/>
    <w:rsid w:val="00911EC0"/>
    <w:rsid w:val="0091233F"/>
    <w:rsid w:val="009125EA"/>
    <w:rsid w:val="009127FE"/>
    <w:rsid w:val="00912F23"/>
    <w:rsid w:val="0091301D"/>
    <w:rsid w:val="0091364E"/>
    <w:rsid w:val="00913769"/>
    <w:rsid w:val="00913867"/>
    <w:rsid w:val="00913B92"/>
    <w:rsid w:val="00913D51"/>
    <w:rsid w:val="00913DD8"/>
    <w:rsid w:val="00913FA8"/>
    <w:rsid w:val="00914031"/>
    <w:rsid w:val="0091438A"/>
    <w:rsid w:val="00914572"/>
    <w:rsid w:val="00914649"/>
    <w:rsid w:val="009149A5"/>
    <w:rsid w:val="00914A1A"/>
    <w:rsid w:val="00914EAD"/>
    <w:rsid w:val="0091582B"/>
    <w:rsid w:val="009159BB"/>
    <w:rsid w:val="00915B5F"/>
    <w:rsid w:val="00915B80"/>
    <w:rsid w:val="00915FD8"/>
    <w:rsid w:val="0091601A"/>
    <w:rsid w:val="0091621B"/>
    <w:rsid w:val="00916836"/>
    <w:rsid w:val="0091694F"/>
    <w:rsid w:val="00916A90"/>
    <w:rsid w:val="00916B2B"/>
    <w:rsid w:val="009172CE"/>
    <w:rsid w:val="0091754D"/>
    <w:rsid w:val="009176AA"/>
    <w:rsid w:val="00917755"/>
    <w:rsid w:val="0091783B"/>
    <w:rsid w:val="009203AA"/>
    <w:rsid w:val="009205F7"/>
    <w:rsid w:val="00920627"/>
    <w:rsid w:val="0092077B"/>
    <w:rsid w:val="0092084C"/>
    <w:rsid w:val="00921316"/>
    <w:rsid w:val="00921CCD"/>
    <w:rsid w:val="00922CB1"/>
    <w:rsid w:val="00922E86"/>
    <w:rsid w:val="009235AA"/>
    <w:rsid w:val="0092360A"/>
    <w:rsid w:val="00923729"/>
    <w:rsid w:val="00923F51"/>
    <w:rsid w:val="009240AC"/>
    <w:rsid w:val="009243CD"/>
    <w:rsid w:val="00924EC0"/>
    <w:rsid w:val="00924FAB"/>
    <w:rsid w:val="009257BD"/>
    <w:rsid w:val="009257D8"/>
    <w:rsid w:val="00925C83"/>
    <w:rsid w:val="00925D78"/>
    <w:rsid w:val="00925DD1"/>
    <w:rsid w:val="00925E11"/>
    <w:rsid w:val="00925FB5"/>
    <w:rsid w:val="00926BDC"/>
    <w:rsid w:val="00926CF9"/>
    <w:rsid w:val="00926D0D"/>
    <w:rsid w:val="00927115"/>
    <w:rsid w:val="00927165"/>
    <w:rsid w:val="009271EA"/>
    <w:rsid w:val="00927AE5"/>
    <w:rsid w:val="00927CE8"/>
    <w:rsid w:val="00927E99"/>
    <w:rsid w:val="009304F4"/>
    <w:rsid w:val="0093059F"/>
    <w:rsid w:val="00931163"/>
    <w:rsid w:val="00931836"/>
    <w:rsid w:val="00931D3B"/>
    <w:rsid w:val="009321FB"/>
    <w:rsid w:val="0093284B"/>
    <w:rsid w:val="00932A30"/>
    <w:rsid w:val="00932A7D"/>
    <w:rsid w:val="00933147"/>
    <w:rsid w:val="0093329B"/>
    <w:rsid w:val="00933AAF"/>
    <w:rsid w:val="00933C4B"/>
    <w:rsid w:val="00933ECA"/>
    <w:rsid w:val="00933F93"/>
    <w:rsid w:val="009347A1"/>
    <w:rsid w:val="00935501"/>
    <w:rsid w:val="009361CE"/>
    <w:rsid w:val="00936334"/>
    <w:rsid w:val="009368F9"/>
    <w:rsid w:val="00936D9D"/>
    <w:rsid w:val="009377EF"/>
    <w:rsid w:val="00937C85"/>
    <w:rsid w:val="0094012C"/>
    <w:rsid w:val="00940372"/>
    <w:rsid w:val="0094059C"/>
    <w:rsid w:val="009405A0"/>
    <w:rsid w:val="00940735"/>
    <w:rsid w:val="009412F4"/>
    <w:rsid w:val="00941E31"/>
    <w:rsid w:val="0094246E"/>
    <w:rsid w:val="009427B1"/>
    <w:rsid w:val="00942C68"/>
    <w:rsid w:val="00942E99"/>
    <w:rsid w:val="00943A72"/>
    <w:rsid w:val="009441D9"/>
    <w:rsid w:val="0094438B"/>
    <w:rsid w:val="0094472C"/>
    <w:rsid w:val="00944A72"/>
    <w:rsid w:val="00944F46"/>
    <w:rsid w:val="0094503C"/>
    <w:rsid w:val="009451E7"/>
    <w:rsid w:val="00945282"/>
    <w:rsid w:val="00945383"/>
    <w:rsid w:val="00946AB0"/>
    <w:rsid w:val="00946EA3"/>
    <w:rsid w:val="00947202"/>
    <w:rsid w:val="00947D24"/>
    <w:rsid w:val="00947E3A"/>
    <w:rsid w:val="0095003B"/>
    <w:rsid w:val="009508FE"/>
    <w:rsid w:val="00950EF5"/>
    <w:rsid w:val="00951285"/>
    <w:rsid w:val="0095169F"/>
    <w:rsid w:val="009516BB"/>
    <w:rsid w:val="009519F8"/>
    <w:rsid w:val="00951D82"/>
    <w:rsid w:val="00952ACB"/>
    <w:rsid w:val="00952D83"/>
    <w:rsid w:val="00952E14"/>
    <w:rsid w:val="00953789"/>
    <w:rsid w:val="009538DC"/>
    <w:rsid w:val="00953E30"/>
    <w:rsid w:val="00953E64"/>
    <w:rsid w:val="00954099"/>
    <w:rsid w:val="009547CF"/>
    <w:rsid w:val="00954BA2"/>
    <w:rsid w:val="0095558C"/>
    <w:rsid w:val="00955906"/>
    <w:rsid w:val="00955C10"/>
    <w:rsid w:val="009561DA"/>
    <w:rsid w:val="00956CC2"/>
    <w:rsid w:val="009575F1"/>
    <w:rsid w:val="00957777"/>
    <w:rsid w:val="00957A31"/>
    <w:rsid w:val="00957C9E"/>
    <w:rsid w:val="00960476"/>
    <w:rsid w:val="0096088E"/>
    <w:rsid w:val="00961115"/>
    <w:rsid w:val="00961539"/>
    <w:rsid w:val="00961826"/>
    <w:rsid w:val="00962062"/>
    <w:rsid w:val="00962724"/>
    <w:rsid w:val="00962B5A"/>
    <w:rsid w:val="009631C5"/>
    <w:rsid w:val="00963567"/>
    <w:rsid w:val="0096373A"/>
    <w:rsid w:val="00963913"/>
    <w:rsid w:val="00963924"/>
    <w:rsid w:val="00963F8D"/>
    <w:rsid w:val="00964381"/>
    <w:rsid w:val="00964CC9"/>
    <w:rsid w:val="0096563D"/>
    <w:rsid w:val="009656C8"/>
    <w:rsid w:val="009656F3"/>
    <w:rsid w:val="00965E69"/>
    <w:rsid w:val="00966427"/>
    <w:rsid w:val="00966F87"/>
    <w:rsid w:val="009670CF"/>
    <w:rsid w:val="009678EA"/>
    <w:rsid w:val="00967A59"/>
    <w:rsid w:val="00967B11"/>
    <w:rsid w:val="00967BE8"/>
    <w:rsid w:val="00967C31"/>
    <w:rsid w:val="009700D3"/>
    <w:rsid w:val="009707D0"/>
    <w:rsid w:val="009707F7"/>
    <w:rsid w:val="00970AEB"/>
    <w:rsid w:val="009710E8"/>
    <w:rsid w:val="00971DC4"/>
    <w:rsid w:val="009721D7"/>
    <w:rsid w:val="009725AC"/>
    <w:rsid w:val="00972B71"/>
    <w:rsid w:val="00972DB0"/>
    <w:rsid w:val="00973EBC"/>
    <w:rsid w:val="00973FCF"/>
    <w:rsid w:val="00974BB3"/>
    <w:rsid w:val="00974CA5"/>
    <w:rsid w:val="00974E8E"/>
    <w:rsid w:val="0097557C"/>
    <w:rsid w:val="00975CDA"/>
    <w:rsid w:val="00975CF8"/>
    <w:rsid w:val="00975FA9"/>
    <w:rsid w:val="009761B1"/>
    <w:rsid w:val="009764A2"/>
    <w:rsid w:val="00977010"/>
    <w:rsid w:val="0097733D"/>
    <w:rsid w:val="00977F2B"/>
    <w:rsid w:val="009801B5"/>
    <w:rsid w:val="009802D8"/>
    <w:rsid w:val="009806CD"/>
    <w:rsid w:val="009806F9"/>
    <w:rsid w:val="0098073F"/>
    <w:rsid w:val="00980E05"/>
    <w:rsid w:val="00980FA3"/>
    <w:rsid w:val="009810A3"/>
    <w:rsid w:val="0098134A"/>
    <w:rsid w:val="009817E4"/>
    <w:rsid w:val="00981955"/>
    <w:rsid w:val="00981A44"/>
    <w:rsid w:val="00981C04"/>
    <w:rsid w:val="00981E12"/>
    <w:rsid w:val="00981E34"/>
    <w:rsid w:val="0098224B"/>
    <w:rsid w:val="00982681"/>
    <w:rsid w:val="00982DD9"/>
    <w:rsid w:val="0098334E"/>
    <w:rsid w:val="00983434"/>
    <w:rsid w:val="009834BB"/>
    <w:rsid w:val="00983874"/>
    <w:rsid w:val="00983C0F"/>
    <w:rsid w:val="00983CB9"/>
    <w:rsid w:val="00984A20"/>
    <w:rsid w:val="00984D9E"/>
    <w:rsid w:val="00984FEE"/>
    <w:rsid w:val="009850F0"/>
    <w:rsid w:val="00985324"/>
    <w:rsid w:val="0098583A"/>
    <w:rsid w:val="00985906"/>
    <w:rsid w:val="00985A19"/>
    <w:rsid w:val="00985E06"/>
    <w:rsid w:val="00986E09"/>
    <w:rsid w:val="00986F0D"/>
    <w:rsid w:val="00986F61"/>
    <w:rsid w:val="009874F8"/>
    <w:rsid w:val="00987555"/>
    <w:rsid w:val="0098784B"/>
    <w:rsid w:val="00987E38"/>
    <w:rsid w:val="009900D3"/>
    <w:rsid w:val="0099032C"/>
    <w:rsid w:val="00990413"/>
    <w:rsid w:val="0099053F"/>
    <w:rsid w:val="00990735"/>
    <w:rsid w:val="00990BE4"/>
    <w:rsid w:val="00991119"/>
    <w:rsid w:val="00991766"/>
    <w:rsid w:val="00991DC9"/>
    <w:rsid w:val="0099225C"/>
    <w:rsid w:val="00992293"/>
    <w:rsid w:val="009927EA"/>
    <w:rsid w:val="00993A4D"/>
    <w:rsid w:val="00993B84"/>
    <w:rsid w:val="00993BF0"/>
    <w:rsid w:val="00993C4F"/>
    <w:rsid w:val="00993E4B"/>
    <w:rsid w:val="00994E84"/>
    <w:rsid w:val="00994F21"/>
    <w:rsid w:val="00995515"/>
    <w:rsid w:val="0099561A"/>
    <w:rsid w:val="009957C2"/>
    <w:rsid w:val="00995CA0"/>
    <w:rsid w:val="0099612D"/>
    <w:rsid w:val="009964DD"/>
    <w:rsid w:val="00996ACB"/>
    <w:rsid w:val="00996BD7"/>
    <w:rsid w:val="00996DDC"/>
    <w:rsid w:val="00996F64"/>
    <w:rsid w:val="00996FC2"/>
    <w:rsid w:val="00997BFC"/>
    <w:rsid w:val="009A015C"/>
    <w:rsid w:val="009A026D"/>
    <w:rsid w:val="009A03B7"/>
    <w:rsid w:val="009A09C8"/>
    <w:rsid w:val="009A09F0"/>
    <w:rsid w:val="009A0AA7"/>
    <w:rsid w:val="009A1744"/>
    <w:rsid w:val="009A199A"/>
    <w:rsid w:val="009A1A01"/>
    <w:rsid w:val="009A27B4"/>
    <w:rsid w:val="009A2AEB"/>
    <w:rsid w:val="009A2D19"/>
    <w:rsid w:val="009A3153"/>
    <w:rsid w:val="009A3157"/>
    <w:rsid w:val="009A34E0"/>
    <w:rsid w:val="009A365D"/>
    <w:rsid w:val="009A386A"/>
    <w:rsid w:val="009A4174"/>
    <w:rsid w:val="009A4E7C"/>
    <w:rsid w:val="009A5153"/>
    <w:rsid w:val="009A515F"/>
    <w:rsid w:val="009A5900"/>
    <w:rsid w:val="009A5DDE"/>
    <w:rsid w:val="009A6283"/>
    <w:rsid w:val="009A644D"/>
    <w:rsid w:val="009A6709"/>
    <w:rsid w:val="009A68AC"/>
    <w:rsid w:val="009A6B45"/>
    <w:rsid w:val="009A6EF2"/>
    <w:rsid w:val="009A7264"/>
    <w:rsid w:val="009A7270"/>
    <w:rsid w:val="009A72AF"/>
    <w:rsid w:val="009A7635"/>
    <w:rsid w:val="009A7761"/>
    <w:rsid w:val="009A7EE3"/>
    <w:rsid w:val="009B0700"/>
    <w:rsid w:val="009B0A1A"/>
    <w:rsid w:val="009B1164"/>
    <w:rsid w:val="009B13B3"/>
    <w:rsid w:val="009B1481"/>
    <w:rsid w:val="009B1DC1"/>
    <w:rsid w:val="009B2004"/>
    <w:rsid w:val="009B2297"/>
    <w:rsid w:val="009B2982"/>
    <w:rsid w:val="009B2B70"/>
    <w:rsid w:val="009B2E73"/>
    <w:rsid w:val="009B3004"/>
    <w:rsid w:val="009B31C4"/>
    <w:rsid w:val="009B3D1D"/>
    <w:rsid w:val="009B4004"/>
    <w:rsid w:val="009B42B9"/>
    <w:rsid w:val="009B46A1"/>
    <w:rsid w:val="009B4969"/>
    <w:rsid w:val="009B5082"/>
    <w:rsid w:val="009B5117"/>
    <w:rsid w:val="009B5789"/>
    <w:rsid w:val="009B579D"/>
    <w:rsid w:val="009B58E1"/>
    <w:rsid w:val="009B5946"/>
    <w:rsid w:val="009B5B88"/>
    <w:rsid w:val="009B5BD1"/>
    <w:rsid w:val="009B5E96"/>
    <w:rsid w:val="009B62AB"/>
    <w:rsid w:val="009B6488"/>
    <w:rsid w:val="009B67AE"/>
    <w:rsid w:val="009B6BFD"/>
    <w:rsid w:val="009B6CC1"/>
    <w:rsid w:val="009B6F71"/>
    <w:rsid w:val="009B7656"/>
    <w:rsid w:val="009B76D1"/>
    <w:rsid w:val="009B7D7F"/>
    <w:rsid w:val="009B7FB4"/>
    <w:rsid w:val="009C033C"/>
    <w:rsid w:val="009C0529"/>
    <w:rsid w:val="009C118D"/>
    <w:rsid w:val="009C1384"/>
    <w:rsid w:val="009C16A2"/>
    <w:rsid w:val="009C16DA"/>
    <w:rsid w:val="009C1F75"/>
    <w:rsid w:val="009C28DE"/>
    <w:rsid w:val="009C300E"/>
    <w:rsid w:val="009C3484"/>
    <w:rsid w:val="009C3771"/>
    <w:rsid w:val="009C38EC"/>
    <w:rsid w:val="009C3CEB"/>
    <w:rsid w:val="009C3F3D"/>
    <w:rsid w:val="009C4216"/>
    <w:rsid w:val="009C4353"/>
    <w:rsid w:val="009C47BB"/>
    <w:rsid w:val="009C5BED"/>
    <w:rsid w:val="009C61BD"/>
    <w:rsid w:val="009C6D7A"/>
    <w:rsid w:val="009C7548"/>
    <w:rsid w:val="009C78E1"/>
    <w:rsid w:val="009C79DB"/>
    <w:rsid w:val="009D01D3"/>
    <w:rsid w:val="009D0819"/>
    <w:rsid w:val="009D087F"/>
    <w:rsid w:val="009D08DC"/>
    <w:rsid w:val="009D0F65"/>
    <w:rsid w:val="009D0FC5"/>
    <w:rsid w:val="009D127D"/>
    <w:rsid w:val="009D16E9"/>
    <w:rsid w:val="009D1D36"/>
    <w:rsid w:val="009D22E5"/>
    <w:rsid w:val="009D2538"/>
    <w:rsid w:val="009D268E"/>
    <w:rsid w:val="009D2866"/>
    <w:rsid w:val="009D29F4"/>
    <w:rsid w:val="009D2F5A"/>
    <w:rsid w:val="009D2FA7"/>
    <w:rsid w:val="009D3024"/>
    <w:rsid w:val="009D35C1"/>
    <w:rsid w:val="009D3946"/>
    <w:rsid w:val="009D3B23"/>
    <w:rsid w:val="009D3BEE"/>
    <w:rsid w:val="009D3FDD"/>
    <w:rsid w:val="009D406E"/>
    <w:rsid w:val="009D4071"/>
    <w:rsid w:val="009D45D1"/>
    <w:rsid w:val="009D4A95"/>
    <w:rsid w:val="009D4B90"/>
    <w:rsid w:val="009D4D3E"/>
    <w:rsid w:val="009D5287"/>
    <w:rsid w:val="009D551A"/>
    <w:rsid w:val="009D5F22"/>
    <w:rsid w:val="009D5F4A"/>
    <w:rsid w:val="009D6020"/>
    <w:rsid w:val="009D60B4"/>
    <w:rsid w:val="009D6137"/>
    <w:rsid w:val="009D6542"/>
    <w:rsid w:val="009D6E00"/>
    <w:rsid w:val="009D6F41"/>
    <w:rsid w:val="009D768B"/>
    <w:rsid w:val="009D7C51"/>
    <w:rsid w:val="009D7DE6"/>
    <w:rsid w:val="009E02FA"/>
    <w:rsid w:val="009E0DCF"/>
    <w:rsid w:val="009E1125"/>
    <w:rsid w:val="009E20A6"/>
    <w:rsid w:val="009E266A"/>
    <w:rsid w:val="009E3133"/>
    <w:rsid w:val="009E3348"/>
    <w:rsid w:val="009E3CF9"/>
    <w:rsid w:val="009E406C"/>
    <w:rsid w:val="009E4149"/>
    <w:rsid w:val="009E44DB"/>
    <w:rsid w:val="009E454B"/>
    <w:rsid w:val="009E4681"/>
    <w:rsid w:val="009E46BF"/>
    <w:rsid w:val="009E46FF"/>
    <w:rsid w:val="009E48D1"/>
    <w:rsid w:val="009E4AC2"/>
    <w:rsid w:val="009E4D7D"/>
    <w:rsid w:val="009E508C"/>
    <w:rsid w:val="009E5278"/>
    <w:rsid w:val="009E5545"/>
    <w:rsid w:val="009E5930"/>
    <w:rsid w:val="009E61B6"/>
    <w:rsid w:val="009E64A8"/>
    <w:rsid w:val="009E6B7A"/>
    <w:rsid w:val="009E6EE5"/>
    <w:rsid w:val="009E6F2A"/>
    <w:rsid w:val="009E731A"/>
    <w:rsid w:val="009E7616"/>
    <w:rsid w:val="009E7C82"/>
    <w:rsid w:val="009E7E1E"/>
    <w:rsid w:val="009F0386"/>
    <w:rsid w:val="009F0493"/>
    <w:rsid w:val="009F04B5"/>
    <w:rsid w:val="009F057B"/>
    <w:rsid w:val="009F08D9"/>
    <w:rsid w:val="009F0C72"/>
    <w:rsid w:val="009F0CA9"/>
    <w:rsid w:val="009F0E10"/>
    <w:rsid w:val="009F1116"/>
    <w:rsid w:val="009F170C"/>
    <w:rsid w:val="009F1A1C"/>
    <w:rsid w:val="009F1C36"/>
    <w:rsid w:val="009F1E57"/>
    <w:rsid w:val="009F1FCE"/>
    <w:rsid w:val="009F251A"/>
    <w:rsid w:val="009F27E5"/>
    <w:rsid w:val="009F2E8B"/>
    <w:rsid w:val="009F3016"/>
    <w:rsid w:val="009F35B8"/>
    <w:rsid w:val="009F3DAA"/>
    <w:rsid w:val="009F454D"/>
    <w:rsid w:val="009F47D5"/>
    <w:rsid w:val="009F483C"/>
    <w:rsid w:val="009F52E0"/>
    <w:rsid w:val="009F5943"/>
    <w:rsid w:val="009F5BE4"/>
    <w:rsid w:val="009F6932"/>
    <w:rsid w:val="009F6FD8"/>
    <w:rsid w:val="009F700F"/>
    <w:rsid w:val="009F761F"/>
    <w:rsid w:val="009F7D19"/>
    <w:rsid w:val="00A01733"/>
    <w:rsid w:val="00A0177D"/>
    <w:rsid w:val="00A0189C"/>
    <w:rsid w:val="00A01F97"/>
    <w:rsid w:val="00A0295E"/>
    <w:rsid w:val="00A02CC2"/>
    <w:rsid w:val="00A0309B"/>
    <w:rsid w:val="00A033CD"/>
    <w:rsid w:val="00A0349F"/>
    <w:rsid w:val="00A034A1"/>
    <w:rsid w:val="00A041AD"/>
    <w:rsid w:val="00A0435C"/>
    <w:rsid w:val="00A0445F"/>
    <w:rsid w:val="00A04D39"/>
    <w:rsid w:val="00A04E97"/>
    <w:rsid w:val="00A04F14"/>
    <w:rsid w:val="00A051C1"/>
    <w:rsid w:val="00A05572"/>
    <w:rsid w:val="00A05B5B"/>
    <w:rsid w:val="00A05E30"/>
    <w:rsid w:val="00A06283"/>
    <w:rsid w:val="00A062CF"/>
    <w:rsid w:val="00A06E88"/>
    <w:rsid w:val="00A06F7F"/>
    <w:rsid w:val="00A07113"/>
    <w:rsid w:val="00A07307"/>
    <w:rsid w:val="00A07455"/>
    <w:rsid w:val="00A07872"/>
    <w:rsid w:val="00A07F49"/>
    <w:rsid w:val="00A10259"/>
    <w:rsid w:val="00A1092E"/>
    <w:rsid w:val="00A10A7E"/>
    <w:rsid w:val="00A1100D"/>
    <w:rsid w:val="00A11B71"/>
    <w:rsid w:val="00A11C0C"/>
    <w:rsid w:val="00A11E63"/>
    <w:rsid w:val="00A12A14"/>
    <w:rsid w:val="00A12E3C"/>
    <w:rsid w:val="00A131F6"/>
    <w:rsid w:val="00A1362D"/>
    <w:rsid w:val="00A13A3F"/>
    <w:rsid w:val="00A13E14"/>
    <w:rsid w:val="00A1431C"/>
    <w:rsid w:val="00A147F9"/>
    <w:rsid w:val="00A148DB"/>
    <w:rsid w:val="00A149FE"/>
    <w:rsid w:val="00A14DC9"/>
    <w:rsid w:val="00A14DE4"/>
    <w:rsid w:val="00A1573D"/>
    <w:rsid w:val="00A1574F"/>
    <w:rsid w:val="00A15756"/>
    <w:rsid w:val="00A157D8"/>
    <w:rsid w:val="00A1598E"/>
    <w:rsid w:val="00A159F4"/>
    <w:rsid w:val="00A15F52"/>
    <w:rsid w:val="00A161BF"/>
    <w:rsid w:val="00A16235"/>
    <w:rsid w:val="00A16712"/>
    <w:rsid w:val="00A1689E"/>
    <w:rsid w:val="00A16C20"/>
    <w:rsid w:val="00A16E5F"/>
    <w:rsid w:val="00A16E9C"/>
    <w:rsid w:val="00A17B35"/>
    <w:rsid w:val="00A17CB1"/>
    <w:rsid w:val="00A17E53"/>
    <w:rsid w:val="00A2039C"/>
    <w:rsid w:val="00A20997"/>
    <w:rsid w:val="00A20BAA"/>
    <w:rsid w:val="00A20E4B"/>
    <w:rsid w:val="00A21091"/>
    <w:rsid w:val="00A2132D"/>
    <w:rsid w:val="00A2156E"/>
    <w:rsid w:val="00A216A0"/>
    <w:rsid w:val="00A21D56"/>
    <w:rsid w:val="00A21F76"/>
    <w:rsid w:val="00A223A8"/>
    <w:rsid w:val="00A2241E"/>
    <w:rsid w:val="00A224E9"/>
    <w:rsid w:val="00A22B58"/>
    <w:rsid w:val="00A23010"/>
    <w:rsid w:val="00A23081"/>
    <w:rsid w:val="00A23813"/>
    <w:rsid w:val="00A23A67"/>
    <w:rsid w:val="00A23E59"/>
    <w:rsid w:val="00A24748"/>
    <w:rsid w:val="00A250E7"/>
    <w:rsid w:val="00A25D7E"/>
    <w:rsid w:val="00A2642D"/>
    <w:rsid w:val="00A26A9B"/>
    <w:rsid w:val="00A26E61"/>
    <w:rsid w:val="00A26F8B"/>
    <w:rsid w:val="00A272D9"/>
    <w:rsid w:val="00A277D7"/>
    <w:rsid w:val="00A278A0"/>
    <w:rsid w:val="00A2792C"/>
    <w:rsid w:val="00A27C8A"/>
    <w:rsid w:val="00A30049"/>
    <w:rsid w:val="00A30375"/>
    <w:rsid w:val="00A30C5C"/>
    <w:rsid w:val="00A30D86"/>
    <w:rsid w:val="00A30EB9"/>
    <w:rsid w:val="00A30FF6"/>
    <w:rsid w:val="00A3109D"/>
    <w:rsid w:val="00A31D9E"/>
    <w:rsid w:val="00A320BA"/>
    <w:rsid w:val="00A32466"/>
    <w:rsid w:val="00A324CB"/>
    <w:rsid w:val="00A32C9F"/>
    <w:rsid w:val="00A3305C"/>
    <w:rsid w:val="00A3324B"/>
    <w:rsid w:val="00A33460"/>
    <w:rsid w:val="00A33CC5"/>
    <w:rsid w:val="00A34372"/>
    <w:rsid w:val="00A346E2"/>
    <w:rsid w:val="00A347F4"/>
    <w:rsid w:val="00A34B0B"/>
    <w:rsid w:val="00A34D2C"/>
    <w:rsid w:val="00A34F99"/>
    <w:rsid w:val="00A35143"/>
    <w:rsid w:val="00A358CB"/>
    <w:rsid w:val="00A35AB0"/>
    <w:rsid w:val="00A35CE5"/>
    <w:rsid w:val="00A35E4A"/>
    <w:rsid w:val="00A3611A"/>
    <w:rsid w:val="00A36372"/>
    <w:rsid w:val="00A3673B"/>
    <w:rsid w:val="00A367AE"/>
    <w:rsid w:val="00A36C26"/>
    <w:rsid w:val="00A36CFD"/>
    <w:rsid w:val="00A37331"/>
    <w:rsid w:val="00A37B18"/>
    <w:rsid w:val="00A37B6D"/>
    <w:rsid w:val="00A40535"/>
    <w:rsid w:val="00A408BB"/>
    <w:rsid w:val="00A4126B"/>
    <w:rsid w:val="00A414F6"/>
    <w:rsid w:val="00A4170F"/>
    <w:rsid w:val="00A41CDF"/>
    <w:rsid w:val="00A41FED"/>
    <w:rsid w:val="00A427CA"/>
    <w:rsid w:val="00A428AD"/>
    <w:rsid w:val="00A42C0B"/>
    <w:rsid w:val="00A430A8"/>
    <w:rsid w:val="00A4338E"/>
    <w:rsid w:val="00A434E5"/>
    <w:rsid w:val="00A43726"/>
    <w:rsid w:val="00A4488E"/>
    <w:rsid w:val="00A44BCE"/>
    <w:rsid w:val="00A44DC6"/>
    <w:rsid w:val="00A45026"/>
    <w:rsid w:val="00A4510E"/>
    <w:rsid w:val="00A458BF"/>
    <w:rsid w:val="00A45C8B"/>
    <w:rsid w:val="00A45F63"/>
    <w:rsid w:val="00A46245"/>
    <w:rsid w:val="00A46610"/>
    <w:rsid w:val="00A467A9"/>
    <w:rsid w:val="00A468D5"/>
    <w:rsid w:val="00A46C2D"/>
    <w:rsid w:val="00A46CE5"/>
    <w:rsid w:val="00A476BA"/>
    <w:rsid w:val="00A47B83"/>
    <w:rsid w:val="00A47FF7"/>
    <w:rsid w:val="00A503C4"/>
    <w:rsid w:val="00A50E95"/>
    <w:rsid w:val="00A514EE"/>
    <w:rsid w:val="00A51803"/>
    <w:rsid w:val="00A5180D"/>
    <w:rsid w:val="00A51B2E"/>
    <w:rsid w:val="00A52073"/>
    <w:rsid w:val="00A5216A"/>
    <w:rsid w:val="00A52383"/>
    <w:rsid w:val="00A52695"/>
    <w:rsid w:val="00A526A8"/>
    <w:rsid w:val="00A52C7A"/>
    <w:rsid w:val="00A53174"/>
    <w:rsid w:val="00A531E2"/>
    <w:rsid w:val="00A535E3"/>
    <w:rsid w:val="00A535E5"/>
    <w:rsid w:val="00A5379D"/>
    <w:rsid w:val="00A537AC"/>
    <w:rsid w:val="00A5385F"/>
    <w:rsid w:val="00A53BFA"/>
    <w:rsid w:val="00A53C1F"/>
    <w:rsid w:val="00A53CA3"/>
    <w:rsid w:val="00A53F38"/>
    <w:rsid w:val="00A541A1"/>
    <w:rsid w:val="00A54419"/>
    <w:rsid w:val="00A54B04"/>
    <w:rsid w:val="00A54EFB"/>
    <w:rsid w:val="00A552BB"/>
    <w:rsid w:val="00A554E1"/>
    <w:rsid w:val="00A55E47"/>
    <w:rsid w:val="00A56121"/>
    <w:rsid w:val="00A56695"/>
    <w:rsid w:val="00A56845"/>
    <w:rsid w:val="00A56FC9"/>
    <w:rsid w:val="00A571CD"/>
    <w:rsid w:val="00A5725B"/>
    <w:rsid w:val="00A57571"/>
    <w:rsid w:val="00A609F6"/>
    <w:rsid w:val="00A613DC"/>
    <w:rsid w:val="00A6157E"/>
    <w:rsid w:val="00A6203A"/>
    <w:rsid w:val="00A620A0"/>
    <w:rsid w:val="00A628CF"/>
    <w:rsid w:val="00A630C4"/>
    <w:rsid w:val="00A63515"/>
    <w:rsid w:val="00A63A3B"/>
    <w:rsid w:val="00A63B05"/>
    <w:rsid w:val="00A63DDB"/>
    <w:rsid w:val="00A64018"/>
    <w:rsid w:val="00A640C4"/>
    <w:rsid w:val="00A6457E"/>
    <w:rsid w:val="00A64AEB"/>
    <w:rsid w:val="00A64C38"/>
    <w:rsid w:val="00A64C78"/>
    <w:rsid w:val="00A64CDD"/>
    <w:rsid w:val="00A65296"/>
    <w:rsid w:val="00A6573D"/>
    <w:rsid w:val="00A65AE8"/>
    <w:rsid w:val="00A65FF3"/>
    <w:rsid w:val="00A66749"/>
    <w:rsid w:val="00A66916"/>
    <w:rsid w:val="00A66ACD"/>
    <w:rsid w:val="00A67007"/>
    <w:rsid w:val="00A67183"/>
    <w:rsid w:val="00A67486"/>
    <w:rsid w:val="00A67BBE"/>
    <w:rsid w:val="00A7010D"/>
    <w:rsid w:val="00A708CA"/>
    <w:rsid w:val="00A7097C"/>
    <w:rsid w:val="00A709BE"/>
    <w:rsid w:val="00A70C12"/>
    <w:rsid w:val="00A71939"/>
    <w:rsid w:val="00A71977"/>
    <w:rsid w:val="00A71B55"/>
    <w:rsid w:val="00A71B63"/>
    <w:rsid w:val="00A726E0"/>
    <w:rsid w:val="00A72B55"/>
    <w:rsid w:val="00A72DCD"/>
    <w:rsid w:val="00A72F05"/>
    <w:rsid w:val="00A732DC"/>
    <w:rsid w:val="00A7337F"/>
    <w:rsid w:val="00A733FA"/>
    <w:rsid w:val="00A7366E"/>
    <w:rsid w:val="00A738E6"/>
    <w:rsid w:val="00A7394B"/>
    <w:rsid w:val="00A740B2"/>
    <w:rsid w:val="00A74897"/>
    <w:rsid w:val="00A748BF"/>
    <w:rsid w:val="00A748D8"/>
    <w:rsid w:val="00A74BAA"/>
    <w:rsid w:val="00A74CCD"/>
    <w:rsid w:val="00A74D20"/>
    <w:rsid w:val="00A74DEA"/>
    <w:rsid w:val="00A74F34"/>
    <w:rsid w:val="00A75302"/>
    <w:rsid w:val="00A754EA"/>
    <w:rsid w:val="00A7552B"/>
    <w:rsid w:val="00A75820"/>
    <w:rsid w:val="00A75B1F"/>
    <w:rsid w:val="00A75C76"/>
    <w:rsid w:val="00A75CFD"/>
    <w:rsid w:val="00A75F9F"/>
    <w:rsid w:val="00A76710"/>
    <w:rsid w:val="00A77107"/>
    <w:rsid w:val="00A77502"/>
    <w:rsid w:val="00A77CEE"/>
    <w:rsid w:val="00A77ED8"/>
    <w:rsid w:val="00A77F77"/>
    <w:rsid w:val="00A77F99"/>
    <w:rsid w:val="00A80344"/>
    <w:rsid w:val="00A80345"/>
    <w:rsid w:val="00A80C98"/>
    <w:rsid w:val="00A81121"/>
    <w:rsid w:val="00A811D4"/>
    <w:rsid w:val="00A817DD"/>
    <w:rsid w:val="00A819B1"/>
    <w:rsid w:val="00A81CF5"/>
    <w:rsid w:val="00A81E4B"/>
    <w:rsid w:val="00A8218C"/>
    <w:rsid w:val="00A8226B"/>
    <w:rsid w:val="00A826F3"/>
    <w:rsid w:val="00A82C7C"/>
    <w:rsid w:val="00A82DDB"/>
    <w:rsid w:val="00A834FA"/>
    <w:rsid w:val="00A84152"/>
    <w:rsid w:val="00A84297"/>
    <w:rsid w:val="00A84801"/>
    <w:rsid w:val="00A84B8A"/>
    <w:rsid w:val="00A84D5E"/>
    <w:rsid w:val="00A84DF6"/>
    <w:rsid w:val="00A84F4E"/>
    <w:rsid w:val="00A85D2C"/>
    <w:rsid w:val="00A862B8"/>
    <w:rsid w:val="00A86612"/>
    <w:rsid w:val="00A86C61"/>
    <w:rsid w:val="00A86FE0"/>
    <w:rsid w:val="00A877A8"/>
    <w:rsid w:val="00A87CE4"/>
    <w:rsid w:val="00A9010C"/>
    <w:rsid w:val="00A90161"/>
    <w:rsid w:val="00A901B4"/>
    <w:rsid w:val="00A90247"/>
    <w:rsid w:val="00A908AF"/>
    <w:rsid w:val="00A916E6"/>
    <w:rsid w:val="00A91D71"/>
    <w:rsid w:val="00A92498"/>
    <w:rsid w:val="00A92686"/>
    <w:rsid w:val="00A927C8"/>
    <w:rsid w:val="00A92890"/>
    <w:rsid w:val="00A92AB7"/>
    <w:rsid w:val="00A93AFF"/>
    <w:rsid w:val="00A93E0A"/>
    <w:rsid w:val="00A9419B"/>
    <w:rsid w:val="00A9450D"/>
    <w:rsid w:val="00A94708"/>
    <w:rsid w:val="00A94851"/>
    <w:rsid w:val="00A95919"/>
    <w:rsid w:val="00A95C14"/>
    <w:rsid w:val="00A95C36"/>
    <w:rsid w:val="00A95E86"/>
    <w:rsid w:val="00A96270"/>
    <w:rsid w:val="00A96B1E"/>
    <w:rsid w:val="00A96D2A"/>
    <w:rsid w:val="00A97181"/>
    <w:rsid w:val="00A97879"/>
    <w:rsid w:val="00A97AFA"/>
    <w:rsid w:val="00A97B85"/>
    <w:rsid w:val="00A97D82"/>
    <w:rsid w:val="00A97E78"/>
    <w:rsid w:val="00AA09CE"/>
    <w:rsid w:val="00AA0ABD"/>
    <w:rsid w:val="00AA0C66"/>
    <w:rsid w:val="00AA0DC9"/>
    <w:rsid w:val="00AA0DFF"/>
    <w:rsid w:val="00AA105B"/>
    <w:rsid w:val="00AA13CF"/>
    <w:rsid w:val="00AA18D5"/>
    <w:rsid w:val="00AA2424"/>
    <w:rsid w:val="00AA2998"/>
    <w:rsid w:val="00AA2C4F"/>
    <w:rsid w:val="00AA2FF2"/>
    <w:rsid w:val="00AA33B4"/>
    <w:rsid w:val="00AA367F"/>
    <w:rsid w:val="00AA3822"/>
    <w:rsid w:val="00AA3C30"/>
    <w:rsid w:val="00AA401A"/>
    <w:rsid w:val="00AA4496"/>
    <w:rsid w:val="00AA4981"/>
    <w:rsid w:val="00AA4D2A"/>
    <w:rsid w:val="00AA54A7"/>
    <w:rsid w:val="00AA5547"/>
    <w:rsid w:val="00AA5964"/>
    <w:rsid w:val="00AA598C"/>
    <w:rsid w:val="00AA60A1"/>
    <w:rsid w:val="00AA768E"/>
    <w:rsid w:val="00AA77F6"/>
    <w:rsid w:val="00AA7B45"/>
    <w:rsid w:val="00AA7F47"/>
    <w:rsid w:val="00AB049D"/>
    <w:rsid w:val="00AB0574"/>
    <w:rsid w:val="00AB0AFA"/>
    <w:rsid w:val="00AB0B04"/>
    <w:rsid w:val="00AB0C2C"/>
    <w:rsid w:val="00AB1A3C"/>
    <w:rsid w:val="00AB1E83"/>
    <w:rsid w:val="00AB2045"/>
    <w:rsid w:val="00AB228E"/>
    <w:rsid w:val="00AB2C4E"/>
    <w:rsid w:val="00AB3237"/>
    <w:rsid w:val="00AB3392"/>
    <w:rsid w:val="00AB351F"/>
    <w:rsid w:val="00AB3BA0"/>
    <w:rsid w:val="00AB3C0C"/>
    <w:rsid w:val="00AB3C55"/>
    <w:rsid w:val="00AB3F44"/>
    <w:rsid w:val="00AB4064"/>
    <w:rsid w:val="00AB407B"/>
    <w:rsid w:val="00AB45C4"/>
    <w:rsid w:val="00AB48FE"/>
    <w:rsid w:val="00AB491B"/>
    <w:rsid w:val="00AB4AA7"/>
    <w:rsid w:val="00AB4AFD"/>
    <w:rsid w:val="00AB52B9"/>
    <w:rsid w:val="00AB53D4"/>
    <w:rsid w:val="00AB5709"/>
    <w:rsid w:val="00AB68D4"/>
    <w:rsid w:val="00AB6CA9"/>
    <w:rsid w:val="00AB6EA6"/>
    <w:rsid w:val="00AB7337"/>
    <w:rsid w:val="00AC0332"/>
    <w:rsid w:val="00AC05FB"/>
    <w:rsid w:val="00AC0BEB"/>
    <w:rsid w:val="00AC0E06"/>
    <w:rsid w:val="00AC0F2D"/>
    <w:rsid w:val="00AC12C9"/>
    <w:rsid w:val="00AC14C8"/>
    <w:rsid w:val="00AC161C"/>
    <w:rsid w:val="00AC19BE"/>
    <w:rsid w:val="00AC1ED2"/>
    <w:rsid w:val="00AC1F59"/>
    <w:rsid w:val="00AC2167"/>
    <w:rsid w:val="00AC2B6B"/>
    <w:rsid w:val="00AC324C"/>
    <w:rsid w:val="00AC32F2"/>
    <w:rsid w:val="00AC41A4"/>
    <w:rsid w:val="00AC43F1"/>
    <w:rsid w:val="00AC4CD9"/>
    <w:rsid w:val="00AC4DF7"/>
    <w:rsid w:val="00AC5873"/>
    <w:rsid w:val="00AC5FA9"/>
    <w:rsid w:val="00AC60AF"/>
    <w:rsid w:val="00AC674E"/>
    <w:rsid w:val="00AC67B0"/>
    <w:rsid w:val="00AC6BE0"/>
    <w:rsid w:val="00AC724D"/>
    <w:rsid w:val="00AC7526"/>
    <w:rsid w:val="00AC7DF3"/>
    <w:rsid w:val="00AC7E2E"/>
    <w:rsid w:val="00AD03AA"/>
    <w:rsid w:val="00AD0790"/>
    <w:rsid w:val="00AD0C83"/>
    <w:rsid w:val="00AD1635"/>
    <w:rsid w:val="00AD177F"/>
    <w:rsid w:val="00AD1809"/>
    <w:rsid w:val="00AD1928"/>
    <w:rsid w:val="00AD195D"/>
    <w:rsid w:val="00AD1DEE"/>
    <w:rsid w:val="00AD226D"/>
    <w:rsid w:val="00AD27FA"/>
    <w:rsid w:val="00AD2BFB"/>
    <w:rsid w:val="00AD3041"/>
    <w:rsid w:val="00AD39CC"/>
    <w:rsid w:val="00AD39F6"/>
    <w:rsid w:val="00AD3E43"/>
    <w:rsid w:val="00AD436B"/>
    <w:rsid w:val="00AD4389"/>
    <w:rsid w:val="00AD43C4"/>
    <w:rsid w:val="00AD4508"/>
    <w:rsid w:val="00AD45CC"/>
    <w:rsid w:val="00AD470E"/>
    <w:rsid w:val="00AD4748"/>
    <w:rsid w:val="00AD506D"/>
    <w:rsid w:val="00AD507A"/>
    <w:rsid w:val="00AD5E58"/>
    <w:rsid w:val="00AD63BF"/>
    <w:rsid w:val="00AD6985"/>
    <w:rsid w:val="00AD6B44"/>
    <w:rsid w:val="00AD6BDE"/>
    <w:rsid w:val="00AD6E16"/>
    <w:rsid w:val="00AD7056"/>
    <w:rsid w:val="00AD74F0"/>
    <w:rsid w:val="00AD7FDB"/>
    <w:rsid w:val="00AE03A5"/>
    <w:rsid w:val="00AE05AE"/>
    <w:rsid w:val="00AE0A77"/>
    <w:rsid w:val="00AE0F0F"/>
    <w:rsid w:val="00AE1394"/>
    <w:rsid w:val="00AE2034"/>
    <w:rsid w:val="00AE261C"/>
    <w:rsid w:val="00AE262E"/>
    <w:rsid w:val="00AE3945"/>
    <w:rsid w:val="00AE3C9E"/>
    <w:rsid w:val="00AE3DB7"/>
    <w:rsid w:val="00AE3F6D"/>
    <w:rsid w:val="00AE43B6"/>
    <w:rsid w:val="00AE5158"/>
    <w:rsid w:val="00AE5DA5"/>
    <w:rsid w:val="00AE602F"/>
    <w:rsid w:val="00AE6CA7"/>
    <w:rsid w:val="00AE6CE6"/>
    <w:rsid w:val="00AE70C4"/>
    <w:rsid w:val="00AE7CCB"/>
    <w:rsid w:val="00AF02D6"/>
    <w:rsid w:val="00AF038D"/>
    <w:rsid w:val="00AF089D"/>
    <w:rsid w:val="00AF12A9"/>
    <w:rsid w:val="00AF16E8"/>
    <w:rsid w:val="00AF1CBD"/>
    <w:rsid w:val="00AF2453"/>
    <w:rsid w:val="00AF253F"/>
    <w:rsid w:val="00AF29EB"/>
    <w:rsid w:val="00AF2A19"/>
    <w:rsid w:val="00AF2A6C"/>
    <w:rsid w:val="00AF2B7E"/>
    <w:rsid w:val="00AF32A8"/>
    <w:rsid w:val="00AF37BB"/>
    <w:rsid w:val="00AF3868"/>
    <w:rsid w:val="00AF4083"/>
    <w:rsid w:val="00AF40CE"/>
    <w:rsid w:val="00AF4991"/>
    <w:rsid w:val="00AF4CE7"/>
    <w:rsid w:val="00AF56CD"/>
    <w:rsid w:val="00AF6243"/>
    <w:rsid w:val="00AF627A"/>
    <w:rsid w:val="00AF67D8"/>
    <w:rsid w:val="00AF69F3"/>
    <w:rsid w:val="00AF6D0B"/>
    <w:rsid w:val="00AF7286"/>
    <w:rsid w:val="00AF740C"/>
    <w:rsid w:val="00AF79EE"/>
    <w:rsid w:val="00AF7B4E"/>
    <w:rsid w:val="00AF7FE0"/>
    <w:rsid w:val="00B00114"/>
    <w:rsid w:val="00B003CC"/>
    <w:rsid w:val="00B003FD"/>
    <w:rsid w:val="00B007A7"/>
    <w:rsid w:val="00B010CB"/>
    <w:rsid w:val="00B012D0"/>
    <w:rsid w:val="00B01A60"/>
    <w:rsid w:val="00B01D4A"/>
    <w:rsid w:val="00B01DB3"/>
    <w:rsid w:val="00B01F10"/>
    <w:rsid w:val="00B02096"/>
    <w:rsid w:val="00B0218E"/>
    <w:rsid w:val="00B022D7"/>
    <w:rsid w:val="00B025C8"/>
    <w:rsid w:val="00B02754"/>
    <w:rsid w:val="00B02AF5"/>
    <w:rsid w:val="00B02ED6"/>
    <w:rsid w:val="00B033C8"/>
    <w:rsid w:val="00B03471"/>
    <w:rsid w:val="00B03712"/>
    <w:rsid w:val="00B03A86"/>
    <w:rsid w:val="00B03E2A"/>
    <w:rsid w:val="00B041FC"/>
    <w:rsid w:val="00B04299"/>
    <w:rsid w:val="00B04336"/>
    <w:rsid w:val="00B04421"/>
    <w:rsid w:val="00B044B2"/>
    <w:rsid w:val="00B050C7"/>
    <w:rsid w:val="00B0544D"/>
    <w:rsid w:val="00B05738"/>
    <w:rsid w:val="00B057C8"/>
    <w:rsid w:val="00B05962"/>
    <w:rsid w:val="00B05EAC"/>
    <w:rsid w:val="00B062A2"/>
    <w:rsid w:val="00B06378"/>
    <w:rsid w:val="00B065B0"/>
    <w:rsid w:val="00B065BC"/>
    <w:rsid w:val="00B06BF5"/>
    <w:rsid w:val="00B07806"/>
    <w:rsid w:val="00B079AF"/>
    <w:rsid w:val="00B07BFB"/>
    <w:rsid w:val="00B07DD0"/>
    <w:rsid w:val="00B07E69"/>
    <w:rsid w:val="00B07E78"/>
    <w:rsid w:val="00B102C0"/>
    <w:rsid w:val="00B102EF"/>
    <w:rsid w:val="00B10AE0"/>
    <w:rsid w:val="00B110CC"/>
    <w:rsid w:val="00B11CFF"/>
    <w:rsid w:val="00B1227C"/>
    <w:rsid w:val="00B1239B"/>
    <w:rsid w:val="00B123CB"/>
    <w:rsid w:val="00B12833"/>
    <w:rsid w:val="00B12DC7"/>
    <w:rsid w:val="00B12F54"/>
    <w:rsid w:val="00B134A3"/>
    <w:rsid w:val="00B13623"/>
    <w:rsid w:val="00B136B8"/>
    <w:rsid w:val="00B136BB"/>
    <w:rsid w:val="00B13A99"/>
    <w:rsid w:val="00B13CFA"/>
    <w:rsid w:val="00B13DA7"/>
    <w:rsid w:val="00B13E9E"/>
    <w:rsid w:val="00B1450A"/>
    <w:rsid w:val="00B14654"/>
    <w:rsid w:val="00B14A2C"/>
    <w:rsid w:val="00B14A39"/>
    <w:rsid w:val="00B14B0B"/>
    <w:rsid w:val="00B14F35"/>
    <w:rsid w:val="00B15123"/>
    <w:rsid w:val="00B151FB"/>
    <w:rsid w:val="00B154C2"/>
    <w:rsid w:val="00B1561F"/>
    <w:rsid w:val="00B15CFF"/>
    <w:rsid w:val="00B15DCD"/>
    <w:rsid w:val="00B15E08"/>
    <w:rsid w:val="00B16059"/>
    <w:rsid w:val="00B16726"/>
    <w:rsid w:val="00B173D3"/>
    <w:rsid w:val="00B17589"/>
    <w:rsid w:val="00B20695"/>
    <w:rsid w:val="00B20D82"/>
    <w:rsid w:val="00B2139B"/>
    <w:rsid w:val="00B21452"/>
    <w:rsid w:val="00B2175C"/>
    <w:rsid w:val="00B21A8A"/>
    <w:rsid w:val="00B21ADD"/>
    <w:rsid w:val="00B21AFF"/>
    <w:rsid w:val="00B21CAB"/>
    <w:rsid w:val="00B21F03"/>
    <w:rsid w:val="00B2201A"/>
    <w:rsid w:val="00B2223C"/>
    <w:rsid w:val="00B224B7"/>
    <w:rsid w:val="00B23825"/>
    <w:rsid w:val="00B2394E"/>
    <w:rsid w:val="00B23D34"/>
    <w:rsid w:val="00B240A1"/>
    <w:rsid w:val="00B24902"/>
    <w:rsid w:val="00B249B8"/>
    <w:rsid w:val="00B24CC6"/>
    <w:rsid w:val="00B24E31"/>
    <w:rsid w:val="00B256B8"/>
    <w:rsid w:val="00B258E7"/>
    <w:rsid w:val="00B2593F"/>
    <w:rsid w:val="00B25A03"/>
    <w:rsid w:val="00B25F05"/>
    <w:rsid w:val="00B25FC5"/>
    <w:rsid w:val="00B2645E"/>
    <w:rsid w:val="00B26BB4"/>
    <w:rsid w:val="00B26DCC"/>
    <w:rsid w:val="00B26DE3"/>
    <w:rsid w:val="00B26EF5"/>
    <w:rsid w:val="00B26FF7"/>
    <w:rsid w:val="00B27118"/>
    <w:rsid w:val="00B27849"/>
    <w:rsid w:val="00B27C5C"/>
    <w:rsid w:val="00B3002F"/>
    <w:rsid w:val="00B30D51"/>
    <w:rsid w:val="00B3227B"/>
    <w:rsid w:val="00B32295"/>
    <w:rsid w:val="00B322EC"/>
    <w:rsid w:val="00B32565"/>
    <w:rsid w:val="00B3296F"/>
    <w:rsid w:val="00B32A18"/>
    <w:rsid w:val="00B32BA7"/>
    <w:rsid w:val="00B32D99"/>
    <w:rsid w:val="00B32EF0"/>
    <w:rsid w:val="00B33070"/>
    <w:rsid w:val="00B332A5"/>
    <w:rsid w:val="00B33A6D"/>
    <w:rsid w:val="00B33C14"/>
    <w:rsid w:val="00B33C54"/>
    <w:rsid w:val="00B33E7A"/>
    <w:rsid w:val="00B33EC8"/>
    <w:rsid w:val="00B3445B"/>
    <w:rsid w:val="00B34636"/>
    <w:rsid w:val="00B34C84"/>
    <w:rsid w:val="00B35734"/>
    <w:rsid w:val="00B35BEC"/>
    <w:rsid w:val="00B35E66"/>
    <w:rsid w:val="00B35F8B"/>
    <w:rsid w:val="00B37409"/>
    <w:rsid w:val="00B374BB"/>
    <w:rsid w:val="00B37982"/>
    <w:rsid w:val="00B37D23"/>
    <w:rsid w:val="00B40048"/>
    <w:rsid w:val="00B40450"/>
    <w:rsid w:val="00B40AB6"/>
    <w:rsid w:val="00B40AD9"/>
    <w:rsid w:val="00B40D53"/>
    <w:rsid w:val="00B414D5"/>
    <w:rsid w:val="00B41590"/>
    <w:rsid w:val="00B415C5"/>
    <w:rsid w:val="00B416F5"/>
    <w:rsid w:val="00B4174C"/>
    <w:rsid w:val="00B41964"/>
    <w:rsid w:val="00B41A2C"/>
    <w:rsid w:val="00B42420"/>
    <w:rsid w:val="00B432A6"/>
    <w:rsid w:val="00B4337E"/>
    <w:rsid w:val="00B433EE"/>
    <w:rsid w:val="00B4363C"/>
    <w:rsid w:val="00B437B3"/>
    <w:rsid w:val="00B437BC"/>
    <w:rsid w:val="00B43808"/>
    <w:rsid w:val="00B439C6"/>
    <w:rsid w:val="00B43C31"/>
    <w:rsid w:val="00B442F5"/>
    <w:rsid w:val="00B4491A"/>
    <w:rsid w:val="00B449DA"/>
    <w:rsid w:val="00B4503F"/>
    <w:rsid w:val="00B45104"/>
    <w:rsid w:val="00B4510C"/>
    <w:rsid w:val="00B452DB"/>
    <w:rsid w:val="00B45AD7"/>
    <w:rsid w:val="00B45ADC"/>
    <w:rsid w:val="00B46700"/>
    <w:rsid w:val="00B469F1"/>
    <w:rsid w:val="00B46B39"/>
    <w:rsid w:val="00B47054"/>
    <w:rsid w:val="00B471AE"/>
    <w:rsid w:val="00B47375"/>
    <w:rsid w:val="00B4769A"/>
    <w:rsid w:val="00B4791E"/>
    <w:rsid w:val="00B47C06"/>
    <w:rsid w:val="00B500DF"/>
    <w:rsid w:val="00B503AA"/>
    <w:rsid w:val="00B511E7"/>
    <w:rsid w:val="00B51697"/>
    <w:rsid w:val="00B516BF"/>
    <w:rsid w:val="00B518B1"/>
    <w:rsid w:val="00B51BFA"/>
    <w:rsid w:val="00B523F7"/>
    <w:rsid w:val="00B524B1"/>
    <w:rsid w:val="00B525B0"/>
    <w:rsid w:val="00B528F0"/>
    <w:rsid w:val="00B52C42"/>
    <w:rsid w:val="00B52E58"/>
    <w:rsid w:val="00B52FE8"/>
    <w:rsid w:val="00B53388"/>
    <w:rsid w:val="00B535CC"/>
    <w:rsid w:val="00B53D5B"/>
    <w:rsid w:val="00B53E3A"/>
    <w:rsid w:val="00B54886"/>
    <w:rsid w:val="00B54E9C"/>
    <w:rsid w:val="00B5512E"/>
    <w:rsid w:val="00B554D2"/>
    <w:rsid w:val="00B55647"/>
    <w:rsid w:val="00B557CA"/>
    <w:rsid w:val="00B55854"/>
    <w:rsid w:val="00B55A46"/>
    <w:rsid w:val="00B55A60"/>
    <w:rsid w:val="00B55ACF"/>
    <w:rsid w:val="00B563F4"/>
    <w:rsid w:val="00B5685C"/>
    <w:rsid w:val="00B56A3C"/>
    <w:rsid w:val="00B56BA9"/>
    <w:rsid w:val="00B56E33"/>
    <w:rsid w:val="00B5706E"/>
    <w:rsid w:val="00B57506"/>
    <w:rsid w:val="00B57525"/>
    <w:rsid w:val="00B577BD"/>
    <w:rsid w:val="00B57D02"/>
    <w:rsid w:val="00B60147"/>
    <w:rsid w:val="00B6025A"/>
    <w:rsid w:val="00B60545"/>
    <w:rsid w:val="00B609DD"/>
    <w:rsid w:val="00B60ABD"/>
    <w:rsid w:val="00B60CB2"/>
    <w:rsid w:val="00B60CB6"/>
    <w:rsid w:val="00B60D8B"/>
    <w:rsid w:val="00B6298C"/>
    <w:rsid w:val="00B62B5D"/>
    <w:rsid w:val="00B62E7D"/>
    <w:rsid w:val="00B62ED3"/>
    <w:rsid w:val="00B62F33"/>
    <w:rsid w:val="00B62F68"/>
    <w:rsid w:val="00B62FC1"/>
    <w:rsid w:val="00B63B5C"/>
    <w:rsid w:val="00B643A1"/>
    <w:rsid w:val="00B64460"/>
    <w:rsid w:val="00B64627"/>
    <w:rsid w:val="00B65A20"/>
    <w:rsid w:val="00B66472"/>
    <w:rsid w:val="00B66573"/>
    <w:rsid w:val="00B66908"/>
    <w:rsid w:val="00B66D67"/>
    <w:rsid w:val="00B66DA9"/>
    <w:rsid w:val="00B66F9F"/>
    <w:rsid w:val="00B67400"/>
    <w:rsid w:val="00B677F5"/>
    <w:rsid w:val="00B679AF"/>
    <w:rsid w:val="00B679EA"/>
    <w:rsid w:val="00B67A8B"/>
    <w:rsid w:val="00B71C99"/>
    <w:rsid w:val="00B7266A"/>
    <w:rsid w:val="00B72697"/>
    <w:rsid w:val="00B72E01"/>
    <w:rsid w:val="00B7312D"/>
    <w:rsid w:val="00B731EB"/>
    <w:rsid w:val="00B73233"/>
    <w:rsid w:val="00B73319"/>
    <w:rsid w:val="00B73883"/>
    <w:rsid w:val="00B73ADD"/>
    <w:rsid w:val="00B73B9C"/>
    <w:rsid w:val="00B73E44"/>
    <w:rsid w:val="00B74209"/>
    <w:rsid w:val="00B745DF"/>
    <w:rsid w:val="00B7472C"/>
    <w:rsid w:val="00B749FF"/>
    <w:rsid w:val="00B74C13"/>
    <w:rsid w:val="00B751E4"/>
    <w:rsid w:val="00B75517"/>
    <w:rsid w:val="00B755B4"/>
    <w:rsid w:val="00B75A8B"/>
    <w:rsid w:val="00B76318"/>
    <w:rsid w:val="00B76907"/>
    <w:rsid w:val="00B77350"/>
    <w:rsid w:val="00B77810"/>
    <w:rsid w:val="00B80001"/>
    <w:rsid w:val="00B805BA"/>
    <w:rsid w:val="00B80693"/>
    <w:rsid w:val="00B81260"/>
    <w:rsid w:val="00B82895"/>
    <w:rsid w:val="00B82ABF"/>
    <w:rsid w:val="00B82E62"/>
    <w:rsid w:val="00B835A7"/>
    <w:rsid w:val="00B83804"/>
    <w:rsid w:val="00B83C24"/>
    <w:rsid w:val="00B83C26"/>
    <w:rsid w:val="00B84712"/>
    <w:rsid w:val="00B84BA3"/>
    <w:rsid w:val="00B85288"/>
    <w:rsid w:val="00B8541A"/>
    <w:rsid w:val="00B8564D"/>
    <w:rsid w:val="00B856AB"/>
    <w:rsid w:val="00B860B8"/>
    <w:rsid w:val="00B86B9C"/>
    <w:rsid w:val="00B87679"/>
    <w:rsid w:val="00B878CB"/>
    <w:rsid w:val="00B878DA"/>
    <w:rsid w:val="00B87CC4"/>
    <w:rsid w:val="00B91425"/>
    <w:rsid w:val="00B91ABA"/>
    <w:rsid w:val="00B91AE9"/>
    <w:rsid w:val="00B91E70"/>
    <w:rsid w:val="00B91EFA"/>
    <w:rsid w:val="00B91F23"/>
    <w:rsid w:val="00B92643"/>
    <w:rsid w:val="00B927FD"/>
    <w:rsid w:val="00B92EF1"/>
    <w:rsid w:val="00B9369F"/>
    <w:rsid w:val="00B93839"/>
    <w:rsid w:val="00B93D42"/>
    <w:rsid w:val="00B940DD"/>
    <w:rsid w:val="00B94438"/>
    <w:rsid w:val="00B94DE0"/>
    <w:rsid w:val="00B9520B"/>
    <w:rsid w:val="00B9596D"/>
    <w:rsid w:val="00B95EC9"/>
    <w:rsid w:val="00B96717"/>
    <w:rsid w:val="00B96903"/>
    <w:rsid w:val="00B977BF"/>
    <w:rsid w:val="00B97A67"/>
    <w:rsid w:val="00BA02D2"/>
    <w:rsid w:val="00BA0422"/>
    <w:rsid w:val="00BA0EF4"/>
    <w:rsid w:val="00BA1879"/>
    <w:rsid w:val="00BA213C"/>
    <w:rsid w:val="00BA32B6"/>
    <w:rsid w:val="00BA344C"/>
    <w:rsid w:val="00BA3BB8"/>
    <w:rsid w:val="00BA3F15"/>
    <w:rsid w:val="00BA484B"/>
    <w:rsid w:val="00BA536C"/>
    <w:rsid w:val="00BA53F4"/>
    <w:rsid w:val="00BA5C83"/>
    <w:rsid w:val="00BA5CE5"/>
    <w:rsid w:val="00BA60FB"/>
    <w:rsid w:val="00BA67AB"/>
    <w:rsid w:val="00BA69F5"/>
    <w:rsid w:val="00BA6E6B"/>
    <w:rsid w:val="00BA724F"/>
    <w:rsid w:val="00BA73D5"/>
    <w:rsid w:val="00BA74ED"/>
    <w:rsid w:val="00BB03C1"/>
    <w:rsid w:val="00BB03C5"/>
    <w:rsid w:val="00BB05EC"/>
    <w:rsid w:val="00BB09A4"/>
    <w:rsid w:val="00BB0B31"/>
    <w:rsid w:val="00BB0C41"/>
    <w:rsid w:val="00BB0DF8"/>
    <w:rsid w:val="00BB1B21"/>
    <w:rsid w:val="00BB1C90"/>
    <w:rsid w:val="00BB1DEC"/>
    <w:rsid w:val="00BB2CCF"/>
    <w:rsid w:val="00BB2CE6"/>
    <w:rsid w:val="00BB333A"/>
    <w:rsid w:val="00BB36A6"/>
    <w:rsid w:val="00BB3879"/>
    <w:rsid w:val="00BB39BB"/>
    <w:rsid w:val="00BB48E6"/>
    <w:rsid w:val="00BB4AF2"/>
    <w:rsid w:val="00BB57FD"/>
    <w:rsid w:val="00BB5BD6"/>
    <w:rsid w:val="00BB5F75"/>
    <w:rsid w:val="00BB7E91"/>
    <w:rsid w:val="00BB7FCF"/>
    <w:rsid w:val="00BC0357"/>
    <w:rsid w:val="00BC0360"/>
    <w:rsid w:val="00BC0824"/>
    <w:rsid w:val="00BC094C"/>
    <w:rsid w:val="00BC0A68"/>
    <w:rsid w:val="00BC0CFD"/>
    <w:rsid w:val="00BC1968"/>
    <w:rsid w:val="00BC1B73"/>
    <w:rsid w:val="00BC30A9"/>
    <w:rsid w:val="00BC3AF1"/>
    <w:rsid w:val="00BC3D71"/>
    <w:rsid w:val="00BC3E05"/>
    <w:rsid w:val="00BC4169"/>
    <w:rsid w:val="00BC4792"/>
    <w:rsid w:val="00BC4899"/>
    <w:rsid w:val="00BC4F0A"/>
    <w:rsid w:val="00BC4F48"/>
    <w:rsid w:val="00BC5AFA"/>
    <w:rsid w:val="00BC5CA8"/>
    <w:rsid w:val="00BC628E"/>
    <w:rsid w:val="00BC6751"/>
    <w:rsid w:val="00BD1B65"/>
    <w:rsid w:val="00BD1BA5"/>
    <w:rsid w:val="00BD1BDC"/>
    <w:rsid w:val="00BD1DA4"/>
    <w:rsid w:val="00BD1EC4"/>
    <w:rsid w:val="00BD1ED8"/>
    <w:rsid w:val="00BD2134"/>
    <w:rsid w:val="00BD22C4"/>
    <w:rsid w:val="00BD2856"/>
    <w:rsid w:val="00BD299C"/>
    <w:rsid w:val="00BD30B0"/>
    <w:rsid w:val="00BD3274"/>
    <w:rsid w:val="00BD3B28"/>
    <w:rsid w:val="00BD3B89"/>
    <w:rsid w:val="00BD3BC5"/>
    <w:rsid w:val="00BD4C52"/>
    <w:rsid w:val="00BD4ECC"/>
    <w:rsid w:val="00BD58C5"/>
    <w:rsid w:val="00BD5903"/>
    <w:rsid w:val="00BD6081"/>
    <w:rsid w:val="00BD60CB"/>
    <w:rsid w:val="00BD6653"/>
    <w:rsid w:val="00BD673D"/>
    <w:rsid w:val="00BD6FA8"/>
    <w:rsid w:val="00BD7139"/>
    <w:rsid w:val="00BD76C4"/>
    <w:rsid w:val="00BE01D6"/>
    <w:rsid w:val="00BE022B"/>
    <w:rsid w:val="00BE06AC"/>
    <w:rsid w:val="00BE06C5"/>
    <w:rsid w:val="00BE0C2B"/>
    <w:rsid w:val="00BE13D7"/>
    <w:rsid w:val="00BE1831"/>
    <w:rsid w:val="00BE1B4B"/>
    <w:rsid w:val="00BE1EB6"/>
    <w:rsid w:val="00BE20F2"/>
    <w:rsid w:val="00BE2787"/>
    <w:rsid w:val="00BE284E"/>
    <w:rsid w:val="00BE2BCE"/>
    <w:rsid w:val="00BE2F29"/>
    <w:rsid w:val="00BE34A3"/>
    <w:rsid w:val="00BE37B3"/>
    <w:rsid w:val="00BE3A9E"/>
    <w:rsid w:val="00BE3AA7"/>
    <w:rsid w:val="00BE3BA4"/>
    <w:rsid w:val="00BE3E60"/>
    <w:rsid w:val="00BE3E6D"/>
    <w:rsid w:val="00BE3FE3"/>
    <w:rsid w:val="00BE40D9"/>
    <w:rsid w:val="00BE44BF"/>
    <w:rsid w:val="00BE4D1A"/>
    <w:rsid w:val="00BE4E33"/>
    <w:rsid w:val="00BE58D3"/>
    <w:rsid w:val="00BE5D7D"/>
    <w:rsid w:val="00BE65E7"/>
    <w:rsid w:val="00BE66FC"/>
    <w:rsid w:val="00BE7835"/>
    <w:rsid w:val="00BF0197"/>
    <w:rsid w:val="00BF021F"/>
    <w:rsid w:val="00BF0F05"/>
    <w:rsid w:val="00BF11A1"/>
    <w:rsid w:val="00BF1782"/>
    <w:rsid w:val="00BF1B18"/>
    <w:rsid w:val="00BF216F"/>
    <w:rsid w:val="00BF2466"/>
    <w:rsid w:val="00BF2595"/>
    <w:rsid w:val="00BF2DE3"/>
    <w:rsid w:val="00BF3354"/>
    <w:rsid w:val="00BF34AB"/>
    <w:rsid w:val="00BF3876"/>
    <w:rsid w:val="00BF3FCE"/>
    <w:rsid w:val="00BF45E3"/>
    <w:rsid w:val="00BF4B21"/>
    <w:rsid w:val="00BF4D8A"/>
    <w:rsid w:val="00BF4F9D"/>
    <w:rsid w:val="00BF5964"/>
    <w:rsid w:val="00BF5BDE"/>
    <w:rsid w:val="00BF612B"/>
    <w:rsid w:val="00BF617B"/>
    <w:rsid w:val="00BF61BB"/>
    <w:rsid w:val="00BF657B"/>
    <w:rsid w:val="00BF6580"/>
    <w:rsid w:val="00BF66D8"/>
    <w:rsid w:val="00BF7834"/>
    <w:rsid w:val="00C003FD"/>
    <w:rsid w:val="00C0049C"/>
    <w:rsid w:val="00C00B6C"/>
    <w:rsid w:val="00C00D9D"/>
    <w:rsid w:val="00C018E1"/>
    <w:rsid w:val="00C01A51"/>
    <w:rsid w:val="00C01A80"/>
    <w:rsid w:val="00C022E5"/>
    <w:rsid w:val="00C027D9"/>
    <w:rsid w:val="00C02E6E"/>
    <w:rsid w:val="00C032BC"/>
    <w:rsid w:val="00C0335A"/>
    <w:rsid w:val="00C037EF"/>
    <w:rsid w:val="00C038A8"/>
    <w:rsid w:val="00C0390B"/>
    <w:rsid w:val="00C03914"/>
    <w:rsid w:val="00C0397E"/>
    <w:rsid w:val="00C03CF1"/>
    <w:rsid w:val="00C04B3B"/>
    <w:rsid w:val="00C04C2E"/>
    <w:rsid w:val="00C04CF7"/>
    <w:rsid w:val="00C04E59"/>
    <w:rsid w:val="00C05125"/>
    <w:rsid w:val="00C0534A"/>
    <w:rsid w:val="00C0582D"/>
    <w:rsid w:val="00C065FA"/>
    <w:rsid w:val="00C06B10"/>
    <w:rsid w:val="00C06BCA"/>
    <w:rsid w:val="00C06D90"/>
    <w:rsid w:val="00C06FC3"/>
    <w:rsid w:val="00C07E52"/>
    <w:rsid w:val="00C10765"/>
    <w:rsid w:val="00C109CE"/>
    <w:rsid w:val="00C10E5B"/>
    <w:rsid w:val="00C116AE"/>
    <w:rsid w:val="00C11B18"/>
    <w:rsid w:val="00C11E27"/>
    <w:rsid w:val="00C1203D"/>
    <w:rsid w:val="00C12946"/>
    <w:rsid w:val="00C12AB1"/>
    <w:rsid w:val="00C13099"/>
    <w:rsid w:val="00C137B1"/>
    <w:rsid w:val="00C139F0"/>
    <w:rsid w:val="00C13E0C"/>
    <w:rsid w:val="00C146F9"/>
    <w:rsid w:val="00C148D7"/>
    <w:rsid w:val="00C15020"/>
    <w:rsid w:val="00C1537A"/>
    <w:rsid w:val="00C156BB"/>
    <w:rsid w:val="00C15758"/>
    <w:rsid w:val="00C1592E"/>
    <w:rsid w:val="00C16114"/>
    <w:rsid w:val="00C1622E"/>
    <w:rsid w:val="00C163F1"/>
    <w:rsid w:val="00C16687"/>
    <w:rsid w:val="00C167FF"/>
    <w:rsid w:val="00C169EA"/>
    <w:rsid w:val="00C16F68"/>
    <w:rsid w:val="00C170CA"/>
    <w:rsid w:val="00C17312"/>
    <w:rsid w:val="00C17B68"/>
    <w:rsid w:val="00C17E7A"/>
    <w:rsid w:val="00C2024A"/>
    <w:rsid w:val="00C2030E"/>
    <w:rsid w:val="00C20FF0"/>
    <w:rsid w:val="00C21128"/>
    <w:rsid w:val="00C22697"/>
    <w:rsid w:val="00C22744"/>
    <w:rsid w:val="00C22837"/>
    <w:rsid w:val="00C22BC5"/>
    <w:rsid w:val="00C22E91"/>
    <w:rsid w:val="00C23490"/>
    <w:rsid w:val="00C23A0F"/>
    <w:rsid w:val="00C24731"/>
    <w:rsid w:val="00C24847"/>
    <w:rsid w:val="00C248BF"/>
    <w:rsid w:val="00C24D78"/>
    <w:rsid w:val="00C250BF"/>
    <w:rsid w:val="00C25402"/>
    <w:rsid w:val="00C25628"/>
    <w:rsid w:val="00C256B0"/>
    <w:rsid w:val="00C25A1C"/>
    <w:rsid w:val="00C260E8"/>
    <w:rsid w:val="00C26267"/>
    <w:rsid w:val="00C2668D"/>
    <w:rsid w:val="00C26692"/>
    <w:rsid w:val="00C26860"/>
    <w:rsid w:val="00C26B42"/>
    <w:rsid w:val="00C26B96"/>
    <w:rsid w:val="00C27593"/>
    <w:rsid w:val="00C279BF"/>
    <w:rsid w:val="00C27E81"/>
    <w:rsid w:val="00C30462"/>
    <w:rsid w:val="00C3078C"/>
    <w:rsid w:val="00C308E4"/>
    <w:rsid w:val="00C30DE4"/>
    <w:rsid w:val="00C30FD4"/>
    <w:rsid w:val="00C31242"/>
    <w:rsid w:val="00C312AB"/>
    <w:rsid w:val="00C31B5C"/>
    <w:rsid w:val="00C31FEB"/>
    <w:rsid w:val="00C3275E"/>
    <w:rsid w:val="00C32EBE"/>
    <w:rsid w:val="00C32F96"/>
    <w:rsid w:val="00C3309A"/>
    <w:rsid w:val="00C33215"/>
    <w:rsid w:val="00C33224"/>
    <w:rsid w:val="00C335A7"/>
    <w:rsid w:val="00C33C18"/>
    <w:rsid w:val="00C34040"/>
    <w:rsid w:val="00C34306"/>
    <w:rsid w:val="00C34638"/>
    <w:rsid w:val="00C3480E"/>
    <w:rsid w:val="00C349FD"/>
    <w:rsid w:val="00C3560E"/>
    <w:rsid w:val="00C35D72"/>
    <w:rsid w:val="00C35E1C"/>
    <w:rsid w:val="00C3643D"/>
    <w:rsid w:val="00C36448"/>
    <w:rsid w:val="00C367E0"/>
    <w:rsid w:val="00C368CB"/>
    <w:rsid w:val="00C36AAD"/>
    <w:rsid w:val="00C377D8"/>
    <w:rsid w:val="00C37BFA"/>
    <w:rsid w:val="00C40759"/>
    <w:rsid w:val="00C410B5"/>
    <w:rsid w:val="00C41124"/>
    <w:rsid w:val="00C41168"/>
    <w:rsid w:val="00C411C1"/>
    <w:rsid w:val="00C4152B"/>
    <w:rsid w:val="00C4155C"/>
    <w:rsid w:val="00C41AAA"/>
    <w:rsid w:val="00C423DB"/>
    <w:rsid w:val="00C426EF"/>
    <w:rsid w:val="00C42E15"/>
    <w:rsid w:val="00C42EA5"/>
    <w:rsid w:val="00C43A08"/>
    <w:rsid w:val="00C43B74"/>
    <w:rsid w:val="00C441C2"/>
    <w:rsid w:val="00C44211"/>
    <w:rsid w:val="00C45352"/>
    <w:rsid w:val="00C456CB"/>
    <w:rsid w:val="00C456FB"/>
    <w:rsid w:val="00C45E19"/>
    <w:rsid w:val="00C46A61"/>
    <w:rsid w:val="00C46BBD"/>
    <w:rsid w:val="00C4734B"/>
    <w:rsid w:val="00C4761A"/>
    <w:rsid w:val="00C5039E"/>
    <w:rsid w:val="00C50512"/>
    <w:rsid w:val="00C509C6"/>
    <w:rsid w:val="00C50F19"/>
    <w:rsid w:val="00C511CE"/>
    <w:rsid w:val="00C51316"/>
    <w:rsid w:val="00C51333"/>
    <w:rsid w:val="00C52C23"/>
    <w:rsid w:val="00C52E50"/>
    <w:rsid w:val="00C52ED7"/>
    <w:rsid w:val="00C5304B"/>
    <w:rsid w:val="00C531B7"/>
    <w:rsid w:val="00C531B8"/>
    <w:rsid w:val="00C534FE"/>
    <w:rsid w:val="00C53763"/>
    <w:rsid w:val="00C53AE8"/>
    <w:rsid w:val="00C544A2"/>
    <w:rsid w:val="00C545FD"/>
    <w:rsid w:val="00C547B4"/>
    <w:rsid w:val="00C55064"/>
    <w:rsid w:val="00C552F3"/>
    <w:rsid w:val="00C556C1"/>
    <w:rsid w:val="00C556C5"/>
    <w:rsid w:val="00C5571E"/>
    <w:rsid w:val="00C557BB"/>
    <w:rsid w:val="00C5596E"/>
    <w:rsid w:val="00C55D51"/>
    <w:rsid w:val="00C56263"/>
    <w:rsid w:val="00C563FB"/>
    <w:rsid w:val="00C56E7A"/>
    <w:rsid w:val="00C56F77"/>
    <w:rsid w:val="00C57269"/>
    <w:rsid w:val="00C572A4"/>
    <w:rsid w:val="00C57759"/>
    <w:rsid w:val="00C57802"/>
    <w:rsid w:val="00C57A77"/>
    <w:rsid w:val="00C57E56"/>
    <w:rsid w:val="00C6052B"/>
    <w:rsid w:val="00C607F9"/>
    <w:rsid w:val="00C60A2F"/>
    <w:rsid w:val="00C60C52"/>
    <w:rsid w:val="00C61270"/>
    <w:rsid w:val="00C6128F"/>
    <w:rsid w:val="00C61778"/>
    <w:rsid w:val="00C61790"/>
    <w:rsid w:val="00C618AA"/>
    <w:rsid w:val="00C6190D"/>
    <w:rsid w:val="00C61A0D"/>
    <w:rsid w:val="00C61A77"/>
    <w:rsid w:val="00C62163"/>
    <w:rsid w:val="00C62425"/>
    <w:rsid w:val="00C62604"/>
    <w:rsid w:val="00C62A25"/>
    <w:rsid w:val="00C63CB2"/>
    <w:rsid w:val="00C63CD9"/>
    <w:rsid w:val="00C640CE"/>
    <w:rsid w:val="00C641A9"/>
    <w:rsid w:val="00C646DB"/>
    <w:rsid w:val="00C646E4"/>
    <w:rsid w:val="00C64F57"/>
    <w:rsid w:val="00C65412"/>
    <w:rsid w:val="00C65C9B"/>
    <w:rsid w:val="00C662D4"/>
    <w:rsid w:val="00C663DD"/>
    <w:rsid w:val="00C66507"/>
    <w:rsid w:val="00C66C68"/>
    <w:rsid w:val="00C67336"/>
    <w:rsid w:val="00C67494"/>
    <w:rsid w:val="00C679E5"/>
    <w:rsid w:val="00C67D12"/>
    <w:rsid w:val="00C702AD"/>
    <w:rsid w:val="00C70463"/>
    <w:rsid w:val="00C70CF1"/>
    <w:rsid w:val="00C7135B"/>
    <w:rsid w:val="00C71F70"/>
    <w:rsid w:val="00C72AD1"/>
    <w:rsid w:val="00C733AD"/>
    <w:rsid w:val="00C73772"/>
    <w:rsid w:val="00C73895"/>
    <w:rsid w:val="00C74044"/>
    <w:rsid w:val="00C74708"/>
    <w:rsid w:val="00C74A04"/>
    <w:rsid w:val="00C74C6C"/>
    <w:rsid w:val="00C75E9A"/>
    <w:rsid w:val="00C76523"/>
    <w:rsid w:val="00C76B3D"/>
    <w:rsid w:val="00C7735E"/>
    <w:rsid w:val="00C7774C"/>
    <w:rsid w:val="00C77757"/>
    <w:rsid w:val="00C778F8"/>
    <w:rsid w:val="00C77D59"/>
    <w:rsid w:val="00C77E1F"/>
    <w:rsid w:val="00C800A0"/>
    <w:rsid w:val="00C80987"/>
    <w:rsid w:val="00C80A1F"/>
    <w:rsid w:val="00C80BAF"/>
    <w:rsid w:val="00C80DA3"/>
    <w:rsid w:val="00C8122D"/>
    <w:rsid w:val="00C81423"/>
    <w:rsid w:val="00C815E6"/>
    <w:rsid w:val="00C8190C"/>
    <w:rsid w:val="00C819B4"/>
    <w:rsid w:val="00C828BB"/>
    <w:rsid w:val="00C82C35"/>
    <w:rsid w:val="00C82F25"/>
    <w:rsid w:val="00C83133"/>
    <w:rsid w:val="00C83D76"/>
    <w:rsid w:val="00C84A39"/>
    <w:rsid w:val="00C850C6"/>
    <w:rsid w:val="00C85480"/>
    <w:rsid w:val="00C8548F"/>
    <w:rsid w:val="00C857E9"/>
    <w:rsid w:val="00C86C07"/>
    <w:rsid w:val="00C87662"/>
    <w:rsid w:val="00C90045"/>
    <w:rsid w:val="00C90305"/>
    <w:rsid w:val="00C9047A"/>
    <w:rsid w:val="00C9061A"/>
    <w:rsid w:val="00C90873"/>
    <w:rsid w:val="00C90CEA"/>
    <w:rsid w:val="00C90DDA"/>
    <w:rsid w:val="00C90FE8"/>
    <w:rsid w:val="00C9133A"/>
    <w:rsid w:val="00C914A0"/>
    <w:rsid w:val="00C91557"/>
    <w:rsid w:val="00C91604"/>
    <w:rsid w:val="00C91B70"/>
    <w:rsid w:val="00C92506"/>
    <w:rsid w:val="00C92920"/>
    <w:rsid w:val="00C92B95"/>
    <w:rsid w:val="00C933E6"/>
    <w:rsid w:val="00C93EA4"/>
    <w:rsid w:val="00C93FFD"/>
    <w:rsid w:val="00C9425F"/>
    <w:rsid w:val="00C9437E"/>
    <w:rsid w:val="00C944DC"/>
    <w:rsid w:val="00C94553"/>
    <w:rsid w:val="00C94E18"/>
    <w:rsid w:val="00C94EF3"/>
    <w:rsid w:val="00C952F4"/>
    <w:rsid w:val="00C9543B"/>
    <w:rsid w:val="00C95766"/>
    <w:rsid w:val="00C957F1"/>
    <w:rsid w:val="00C95E46"/>
    <w:rsid w:val="00C969AE"/>
    <w:rsid w:val="00C96B50"/>
    <w:rsid w:val="00C96C15"/>
    <w:rsid w:val="00C96C6E"/>
    <w:rsid w:val="00C96F22"/>
    <w:rsid w:val="00C970B1"/>
    <w:rsid w:val="00C974E7"/>
    <w:rsid w:val="00C9755D"/>
    <w:rsid w:val="00C97AF3"/>
    <w:rsid w:val="00CA00F7"/>
    <w:rsid w:val="00CA065D"/>
    <w:rsid w:val="00CA0BE1"/>
    <w:rsid w:val="00CA0F64"/>
    <w:rsid w:val="00CA11D9"/>
    <w:rsid w:val="00CA1A20"/>
    <w:rsid w:val="00CA210A"/>
    <w:rsid w:val="00CA2802"/>
    <w:rsid w:val="00CA2D38"/>
    <w:rsid w:val="00CA2EE1"/>
    <w:rsid w:val="00CA316C"/>
    <w:rsid w:val="00CA31EB"/>
    <w:rsid w:val="00CA34FA"/>
    <w:rsid w:val="00CA3544"/>
    <w:rsid w:val="00CA37EC"/>
    <w:rsid w:val="00CA384E"/>
    <w:rsid w:val="00CA38D0"/>
    <w:rsid w:val="00CA3F29"/>
    <w:rsid w:val="00CA4883"/>
    <w:rsid w:val="00CA4975"/>
    <w:rsid w:val="00CA4A34"/>
    <w:rsid w:val="00CA5068"/>
    <w:rsid w:val="00CA5CAA"/>
    <w:rsid w:val="00CA64CF"/>
    <w:rsid w:val="00CA65CB"/>
    <w:rsid w:val="00CA66E3"/>
    <w:rsid w:val="00CA6A14"/>
    <w:rsid w:val="00CA769F"/>
    <w:rsid w:val="00CA77F5"/>
    <w:rsid w:val="00CB0280"/>
    <w:rsid w:val="00CB081F"/>
    <w:rsid w:val="00CB0E57"/>
    <w:rsid w:val="00CB1058"/>
    <w:rsid w:val="00CB13EA"/>
    <w:rsid w:val="00CB1F27"/>
    <w:rsid w:val="00CB24FD"/>
    <w:rsid w:val="00CB2ACA"/>
    <w:rsid w:val="00CB2FDB"/>
    <w:rsid w:val="00CB3095"/>
    <w:rsid w:val="00CB335E"/>
    <w:rsid w:val="00CB36CC"/>
    <w:rsid w:val="00CB38F6"/>
    <w:rsid w:val="00CB3965"/>
    <w:rsid w:val="00CB414C"/>
    <w:rsid w:val="00CB48F4"/>
    <w:rsid w:val="00CB4DDD"/>
    <w:rsid w:val="00CB56A7"/>
    <w:rsid w:val="00CB59A4"/>
    <w:rsid w:val="00CB5D5B"/>
    <w:rsid w:val="00CB5E4F"/>
    <w:rsid w:val="00CB5F5F"/>
    <w:rsid w:val="00CB6A42"/>
    <w:rsid w:val="00CB6F5D"/>
    <w:rsid w:val="00CB710B"/>
    <w:rsid w:val="00CB7187"/>
    <w:rsid w:val="00CB71E8"/>
    <w:rsid w:val="00CB72BB"/>
    <w:rsid w:val="00CB7465"/>
    <w:rsid w:val="00CB7615"/>
    <w:rsid w:val="00CB7D89"/>
    <w:rsid w:val="00CC09B2"/>
    <w:rsid w:val="00CC0B56"/>
    <w:rsid w:val="00CC17AC"/>
    <w:rsid w:val="00CC1910"/>
    <w:rsid w:val="00CC2358"/>
    <w:rsid w:val="00CC236C"/>
    <w:rsid w:val="00CC29E7"/>
    <w:rsid w:val="00CC2C3E"/>
    <w:rsid w:val="00CC3891"/>
    <w:rsid w:val="00CC38A5"/>
    <w:rsid w:val="00CC3AD9"/>
    <w:rsid w:val="00CC3F9D"/>
    <w:rsid w:val="00CC428F"/>
    <w:rsid w:val="00CC4907"/>
    <w:rsid w:val="00CC63F6"/>
    <w:rsid w:val="00CC6622"/>
    <w:rsid w:val="00CC6931"/>
    <w:rsid w:val="00CC69AE"/>
    <w:rsid w:val="00CC6C5D"/>
    <w:rsid w:val="00CC7607"/>
    <w:rsid w:val="00CC770A"/>
    <w:rsid w:val="00CC7723"/>
    <w:rsid w:val="00CC78AD"/>
    <w:rsid w:val="00CC7925"/>
    <w:rsid w:val="00CC7A58"/>
    <w:rsid w:val="00CC7B61"/>
    <w:rsid w:val="00CC7B6E"/>
    <w:rsid w:val="00CC7CB7"/>
    <w:rsid w:val="00CC7F1C"/>
    <w:rsid w:val="00CD0C14"/>
    <w:rsid w:val="00CD0D2A"/>
    <w:rsid w:val="00CD0EE6"/>
    <w:rsid w:val="00CD1199"/>
    <w:rsid w:val="00CD145E"/>
    <w:rsid w:val="00CD1D79"/>
    <w:rsid w:val="00CD21CE"/>
    <w:rsid w:val="00CD2610"/>
    <w:rsid w:val="00CD2720"/>
    <w:rsid w:val="00CD27ED"/>
    <w:rsid w:val="00CD2ACF"/>
    <w:rsid w:val="00CD2B3C"/>
    <w:rsid w:val="00CD2FC5"/>
    <w:rsid w:val="00CD3067"/>
    <w:rsid w:val="00CD3081"/>
    <w:rsid w:val="00CD30C1"/>
    <w:rsid w:val="00CD31D6"/>
    <w:rsid w:val="00CD32D1"/>
    <w:rsid w:val="00CD346A"/>
    <w:rsid w:val="00CD3A99"/>
    <w:rsid w:val="00CD441E"/>
    <w:rsid w:val="00CD4788"/>
    <w:rsid w:val="00CD4E95"/>
    <w:rsid w:val="00CD4F24"/>
    <w:rsid w:val="00CD5045"/>
    <w:rsid w:val="00CD518B"/>
    <w:rsid w:val="00CD531B"/>
    <w:rsid w:val="00CD554F"/>
    <w:rsid w:val="00CD58C8"/>
    <w:rsid w:val="00CD5CD3"/>
    <w:rsid w:val="00CD6436"/>
    <w:rsid w:val="00CD6827"/>
    <w:rsid w:val="00CD70DB"/>
    <w:rsid w:val="00CD75DC"/>
    <w:rsid w:val="00CD798C"/>
    <w:rsid w:val="00CD7EC4"/>
    <w:rsid w:val="00CD7F4E"/>
    <w:rsid w:val="00CE0020"/>
    <w:rsid w:val="00CE037E"/>
    <w:rsid w:val="00CE0681"/>
    <w:rsid w:val="00CE0B0F"/>
    <w:rsid w:val="00CE0BEB"/>
    <w:rsid w:val="00CE0CEF"/>
    <w:rsid w:val="00CE0F18"/>
    <w:rsid w:val="00CE126B"/>
    <w:rsid w:val="00CE1271"/>
    <w:rsid w:val="00CE12F1"/>
    <w:rsid w:val="00CE17F8"/>
    <w:rsid w:val="00CE1CF0"/>
    <w:rsid w:val="00CE2BAE"/>
    <w:rsid w:val="00CE312F"/>
    <w:rsid w:val="00CE352C"/>
    <w:rsid w:val="00CE3760"/>
    <w:rsid w:val="00CE3BE0"/>
    <w:rsid w:val="00CE4456"/>
    <w:rsid w:val="00CE45BB"/>
    <w:rsid w:val="00CE48DE"/>
    <w:rsid w:val="00CE5006"/>
    <w:rsid w:val="00CE53A7"/>
    <w:rsid w:val="00CE5BD3"/>
    <w:rsid w:val="00CE6094"/>
    <w:rsid w:val="00CE60CE"/>
    <w:rsid w:val="00CE676B"/>
    <w:rsid w:val="00CE6B17"/>
    <w:rsid w:val="00CE7184"/>
    <w:rsid w:val="00CE7822"/>
    <w:rsid w:val="00CE7A45"/>
    <w:rsid w:val="00CE7C19"/>
    <w:rsid w:val="00CE7EB0"/>
    <w:rsid w:val="00CE7F4B"/>
    <w:rsid w:val="00CF0127"/>
    <w:rsid w:val="00CF02C7"/>
    <w:rsid w:val="00CF08AA"/>
    <w:rsid w:val="00CF0972"/>
    <w:rsid w:val="00CF0AB8"/>
    <w:rsid w:val="00CF1143"/>
    <w:rsid w:val="00CF117E"/>
    <w:rsid w:val="00CF1326"/>
    <w:rsid w:val="00CF1388"/>
    <w:rsid w:val="00CF1919"/>
    <w:rsid w:val="00CF193D"/>
    <w:rsid w:val="00CF1DD3"/>
    <w:rsid w:val="00CF1E31"/>
    <w:rsid w:val="00CF22E9"/>
    <w:rsid w:val="00CF2810"/>
    <w:rsid w:val="00CF330E"/>
    <w:rsid w:val="00CF34A5"/>
    <w:rsid w:val="00CF462D"/>
    <w:rsid w:val="00CF47DA"/>
    <w:rsid w:val="00CF4956"/>
    <w:rsid w:val="00CF4A03"/>
    <w:rsid w:val="00CF5145"/>
    <w:rsid w:val="00CF540C"/>
    <w:rsid w:val="00CF587B"/>
    <w:rsid w:val="00CF5934"/>
    <w:rsid w:val="00CF6024"/>
    <w:rsid w:val="00CF6249"/>
    <w:rsid w:val="00CF66D0"/>
    <w:rsid w:val="00CF687B"/>
    <w:rsid w:val="00CF689F"/>
    <w:rsid w:val="00CF6940"/>
    <w:rsid w:val="00CF6AC3"/>
    <w:rsid w:val="00CF6C67"/>
    <w:rsid w:val="00CF6CB0"/>
    <w:rsid w:val="00CF6F20"/>
    <w:rsid w:val="00CF7105"/>
    <w:rsid w:val="00CF76E4"/>
    <w:rsid w:val="00CF77D0"/>
    <w:rsid w:val="00CF789D"/>
    <w:rsid w:val="00CF7B89"/>
    <w:rsid w:val="00D00732"/>
    <w:rsid w:val="00D007D9"/>
    <w:rsid w:val="00D00AC7"/>
    <w:rsid w:val="00D00B88"/>
    <w:rsid w:val="00D00DFC"/>
    <w:rsid w:val="00D00F48"/>
    <w:rsid w:val="00D01018"/>
    <w:rsid w:val="00D01076"/>
    <w:rsid w:val="00D0156C"/>
    <w:rsid w:val="00D019E4"/>
    <w:rsid w:val="00D01AEF"/>
    <w:rsid w:val="00D029EE"/>
    <w:rsid w:val="00D02A66"/>
    <w:rsid w:val="00D02CA1"/>
    <w:rsid w:val="00D02E6F"/>
    <w:rsid w:val="00D02EA9"/>
    <w:rsid w:val="00D03230"/>
    <w:rsid w:val="00D03B92"/>
    <w:rsid w:val="00D0451C"/>
    <w:rsid w:val="00D04BD4"/>
    <w:rsid w:val="00D05065"/>
    <w:rsid w:val="00D05559"/>
    <w:rsid w:val="00D05615"/>
    <w:rsid w:val="00D05670"/>
    <w:rsid w:val="00D0583E"/>
    <w:rsid w:val="00D05A06"/>
    <w:rsid w:val="00D05AE2"/>
    <w:rsid w:val="00D06D37"/>
    <w:rsid w:val="00D07117"/>
    <w:rsid w:val="00D07AC2"/>
    <w:rsid w:val="00D07D79"/>
    <w:rsid w:val="00D10A5E"/>
    <w:rsid w:val="00D10C71"/>
    <w:rsid w:val="00D10FE2"/>
    <w:rsid w:val="00D110D7"/>
    <w:rsid w:val="00D11869"/>
    <w:rsid w:val="00D11B46"/>
    <w:rsid w:val="00D11ED9"/>
    <w:rsid w:val="00D1247C"/>
    <w:rsid w:val="00D129A2"/>
    <w:rsid w:val="00D13D0B"/>
    <w:rsid w:val="00D14572"/>
    <w:rsid w:val="00D145D7"/>
    <w:rsid w:val="00D148B9"/>
    <w:rsid w:val="00D14B76"/>
    <w:rsid w:val="00D15254"/>
    <w:rsid w:val="00D15410"/>
    <w:rsid w:val="00D15459"/>
    <w:rsid w:val="00D15710"/>
    <w:rsid w:val="00D15E66"/>
    <w:rsid w:val="00D16098"/>
    <w:rsid w:val="00D16D10"/>
    <w:rsid w:val="00D17004"/>
    <w:rsid w:val="00D1710D"/>
    <w:rsid w:val="00D173DB"/>
    <w:rsid w:val="00D175C9"/>
    <w:rsid w:val="00D17A8B"/>
    <w:rsid w:val="00D17CBF"/>
    <w:rsid w:val="00D17D09"/>
    <w:rsid w:val="00D2075E"/>
    <w:rsid w:val="00D20C14"/>
    <w:rsid w:val="00D20E45"/>
    <w:rsid w:val="00D2135F"/>
    <w:rsid w:val="00D218DB"/>
    <w:rsid w:val="00D21E18"/>
    <w:rsid w:val="00D2208B"/>
    <w:rsid w:val="00D22093"/>
    <w:rsid w:val="00D224B4"/>
    <w:rsid w:val="00D22954"/>
    <w:rsid w:val="00D22DCD"/>
    <w:rsid w:val="00D23360"/>
    <w:rsid w:val="00D2369E"/>
    <w:rsid w:val="00D2398D"/>
    <w:rsid w:val="00D23CC3"/>
    <w:rsid w:val="00D245B3"/>
    <w:rsid w:val="00D248FD"/>
    <w:rsid w:val="00D25513"/>
    <w:rsid w:val="00D25517"/>
    <w:rsid w:val="00D2587C"/>
    <w:rsid w:val="00D262C0"/>
    <w:rsid w:val="00D26552"/>
    <w:rsid w:val="00D26672"/>
    <w:rsid w:val="00D2668A"/>
    <w:rsid w:val="00D266E7"/>
    <w:rsid w:val="00D276BD"/>
    <w:rsid w:val="00D303A4"/>
    <w:rsid w:val="00D30BC5"/>
    <w:rsid w:val="00D30FB4"/>
    <w:rsid w:val="00D31435"/>
    <w:rsid w:val="00D31952"/>
    <w:rsid w:val="00D31CDE"/>
    <w:rsid w:val="00D31FDB"/>
    <w:rsid w:val="00D322AB"/>
    <w:rsid w:val="00D32FE4"/>
    <w:rsid w:val="00D3391A"/>
    <w:rsid w:val="00D347AC"/>
    <w:rsid w:val="00D34A2B"/>
    <w:rsid w:val="00D3509B"/>
    <w:rsid w:val="00D353B5"/>
    <w:rsid w:val="00D35DBF"/>
    <w:rsid w:val="00D35EA8"/>
    <w:rsid w:val="00D35EB9"/>
    <w:rsid w:val="00D3632B"/>
    <w:rsid w:val="00D36567"/>
    <w:rsid w:val="00D3669E"/>
    <w:rsid w:val="00D366C1"/>
    <w:rsid w:val="00D36804"/>
    <w:rsid w:val="00D36A76"/>
    <w:rsid w:val="00D36B22"/>
    <w:rsid w:val="00D36DD7"/>
    <w:rsid w:val="00D36F1F"/>
    <w:rsid w:val="00D37093"/>
    <w:rsid w:val="00D37739"/>
    <w:rsid w:val="00D3795D"/>
    <w:rsid w:val="00D37A05"/>
    <w:rsid w:val="00D37D9E"/>
    <w:rsid w:val="00D40A49"/>
    <w:rsid w:val="00D41670"/>
    <w:rsid w:val="00D421BC"/>
    <w:rsid w:val="00D424B6"/>
    <w:rsid w:val="00D428D2"/>
    <w:rsid w:val="00D43427"/>
    <w:rsid w:val="00D43439"/>
    <w:rsid w:val="00D4379D"/>
    <w:rsid w:val="00D438E0"/>
    <w:rsid w:val="00D43B03"/>
    <w:rsid w:val="00D43F93"/>
    <w:rsid w:val="00D44278"/>
    <w:rsid w:val="00D444DA"/>
    <w:rsid w:val="00D44861"/>
    <w:rsid w:val="00D44A91"/>
    <w:rsid w:val="00D44DBE"/>
    <w:rsid w:val="00D450CC"/>
    <w:rsid w:val="00D457C6"/>
    <w:rsid w:val="00D45BE0"/>
    <w:rsid w:val="00D45E11"/>
    <w:rsid w:val="00D46971"/>
    <w:rsid w:val="00D46A0F"/>
    <w:rsid w:val="00D46A71"/>
    <w:rsid w:val="00D46A84"/>
    <w:rsid w:val="00D47734"/>
    <w:rsid w:val="00D47742"/>
    <w:rsid w:val="00D47FBE"/>
    <w:rsid w:val="00D5002C"/>
    <w:rsid w:val="00D50D2E"/>
    <w:rsid w:val="00D50E82"/>
    <w:rsid w:val="00D5128F"/>
    <w:rsid w:val="00D512D9"/>
    <w:rsid w:val="00D5159E"/>
    <w:rsid w:val="00D51958"/>
    <w:rsid w:val="00D519A6"/>
    <w:rsid w:val="00D51E1C"/>
    <w:rsid w:val="00D52A92"/>
    <w:rsid w:val="00D52CDF"/>
    <w:rsid w:val="00D52D92"/>
    <w:rsid w:val="00D53433"/>
    <w:rsid w:val="00D535D4"/>
    <w:rsid w:val="00D53773"/>
    <w:rsid w:val="00D5381E"/>
    <w:rsid w:val="00D53B82"/>
    <w:rsid w:val="00D53C37"/>
    <w:rsid w:val="00D54147"/>
    <w:rsid w:val="00D5430E"/>
    <w:rsid w:val="00D549FF"/>
    <w:rsid w:val="00D54B33"/>
    <w:rsid w:val="00D54F22"/>
    <w:rsid w:val="00D553D8"/>
    <w:rsid w:val="00D5546C"/>
    <w:rsid w:val="00D55523"/>
    <w:rsid w:val="00D5554A"/>
    <w:rsid w:val="00D5570B"/>
    <w:rsid w:val="00D5600E"/>
    <w:rsid w:val="00D56196"/>
    <w:rsid w:val="00D562DD"/>
    <w:rsid w:val="00D568E3"/>
    <w:rsid w:val="00D56DE0"/>
    <w:rsid w:val="00D572F0"/>
    <w:rsid w:val="00D578C3"/>
    <w:rsid w:val="00D57963"/>
    <w:rsid w:val="00D57C62"/>
    <w:rsid w:val="00D57FCD"/>
    <w:rsid w:val="00D600BD"/>
    <w:rsid w:val="00D60206"/>
    <w:rsid w:val="00D602E7"/>
    <w:rsid w:val="00D60719"/>
    <w:rsid w:val="00D60891"/>
    <w:rsid w:val="00D609FB"/>
    <w:rsid w:val="00D60F71"/>
    <w:rsid w:val="00D61064"/>
    <w:rsid w:val="00D61863"/>
    <w:rsid w:val="00D61B73"/>
    <w:rsid w:val="00D61E84"/>
    <w:rsid w:val="00D622C0"/>
    <w:rsid w:val="00D62C59"/>
    <w:rsid w:val="00D62C6E"/>
    <w:rsid w:val="00D63131"/>
    <w:rsid w:val="00D63273"/>
    <w:rsid w:val="00D637FE"/>
    <w:rsid w:val="00D63EC4"/>
    <w:rsid w:val="00D64139"/>
    <w:rsid w:val="00D6438E"/>
    <w:rsid w:val="00D65692"/>
    <w:rsid w:val="00D65713"/>
    <w:rsid w:val="00D65B73"/>
    <w:rsid w:val="00D65B96"/>
    <w:rsid w:val="00D65C3C"/>
    <w:rsid w:val="00D65C5E"/>
    <w:rsid w:val="00D65DEF"/>
    <w:rsid w:val="00D65EBF"/>
    <w:rsid w:val="00D6659D"/>
    <w:rsid w:val="00D667DC"/>
    <w:rsid w:val="00D670D2"/>
    <w:rsid w:val="00D67391"/>
    <w:rsid w:val="00D67720"/>
    <w:rsid w:val="00D67A5A"/>
    <w:rsid w:val="00D67BDA"/>
    <w:rsid w:val="00D67C3F"/>
    <w:rsid w:val="00D70137"/>
    <w:rsid w:val="00D7034F"/>
    <w:rsid w:val="00D706F2"/>
    <w:rsid w:val="00D70A16"/>
    <w:rsid w:val="00D70A7D"/>
    <w:rsid w:val="00D70BF7"/>
    <w:rsid w:val="00D70C39"/>
    <w:rsid w:val="00D70EAD"/>
    <w:rsid w:val="00D7191F"/>
    <w:rsid w:val="00D71F44"/>
    <w:rsid w:val="00D72134"/>
    <w:rsid w:val="00D721AC"/>
    <w:rsid w:val="00D7231C"/>
    <w:rsid w:val="00D723A4"/>
    <w:rsid w:val="00D7340B"/>
    <w:rsid w:val="00D735F7"/>
    <w:rsid w:val="00D7374E"/>
    <w:rsid w:val="00D73824"/>
    <w:rsid w:val="00D73B57"/>
    <w:rsid w:val="00D73CD1"/>
    <w:rsid w:val="00D744E6"/>
    <w:rsid w:val="00D74AB4"/>
    <w:rsid w:val="00D75164"/>
    <w:rsid w:val="00D75317"/>
    <w:rsid w:val="00D762F2"/>
    <w:rsid w:val="00D764C5"/>
    <w:rsid w:val="00D76548"/>
    <w:rsid w:val="00D76563"/>
    <w:rsid w:val="00D76762"/>
    <w:rsid w:val="00D76C01"/>
    <w:rsid w:val="00D77078"/>
    <w:rsid w:val="00D77173"/>
    <w:rsid w:val="00D77679"/>
    <w:rsid w:val="00D7785B"/>
    <w:rsid w:val="00D77C85"/>
    <w:rsid w:val="00D80923"/>
    <w:rsid w:val="00D80B96"/>
    <w:rsid w:val="00D80C8B"/>
    <w:rsid w:val="00D81118"/>
    <w:rsid w:val="00D81158"/>
    <w:rsid w:val="00D81274"/>
    <w:rsid w:val="00D815D7"/>
    <w:rsid w:val="00D818B5"/>
    <w:rsid w:val="00D818EA"/>
    <w:rsid w:val="00D81EEA"/>
    <w:rsid w:val="00D82089"/>
    <w:rsid w:val="00D82126"/>
    <w:rsid w:val="00D831E1"/>
    <w:rsid w:val="00D831F2"/>
    <w:rsid w:val="00D8349E"/>
    <w:rsid w:val="00D838CC"/>
    <w:rsid w:val="00D83A20"/>
    <w:rsid w:val="00D83AF4"/>
    <w:rsid w:val="00D84176"/>
    <w:rsid w:val="00D8465A"/>
    <w:rsid w:val="00D84831"/>
    <w:rsid w:val="00D8499E"/>
    <w:rsid w:val="00D84A94"/>
    <w:rsid w:val="00D84C2C"/>
    <w:rsid w:val="00D85536"/>
    <w:rsid w:val="00D85FDE"/>
    <w:rsid w:val="00D86A00"/>
    <w:rsid w:val="00D87483"/>
    <w:rsid w:val="00D875EC"/>
    <w:rsid w:val="00D87D8F"/>
    <w:rsid w:val="00D87E8D"/>
    <w:rsid w:val="00D90653"/>
    <w:rsid w:val="00D90FB5"/>
    <w:rsid w:val="00D91E75"/>
    <w:rsid w:val="00D91F2F"/>
    <w:rsid w:val="00D920CF"/>
    <w:rsid w:val="00D92140"/>
    <w:rsid w:val="00D92171"/>
    <w:rsid w:val="00D9245D"/>
    <w:rsid w:val="00D92725"/>
    <w:rsid w:val="00D927A5"/>
    <w:rsid w:val="00D928D2"/>
    <w:rsid w:val="00D92FEA"/>
    <w:rsid w:val="00D93012"/>
    <w:rsid w:val="00D93259"/>
    <w:rsid w:val="00D93926"/>
    <w:rsid w:val="00D93B1C"/>
    <w:rsid w:val="00D94051"/>
    <w:rsid w:val="00D9438F"/>
    <w:rsid w:val="00D9444E"/>
    <w:rsid w:val="00D94482"/>
    <w:rsid w:val="00D9597F"/>
    <w:rsid w:val="00D96539"/>
    <w:rsid w:val="00D965D6"/>
    <w:rsid w:val="00D96B9E"/>
    <w:rsid w:val="00D96F4C"/>
    <w:rsid w:val="00D972E3"/>
    <w:rsid w:val="00D97624"/>
    <w:rsid w:val="00D97B01"/>
    <w:rsid w:val="00D97D42"/>
    <w:rsid w:val="00DA053C"/>
    <w:rsid w:val="00DA0626"/>
    <w:rsid w:val="00DA0698"/>
    <w:rsid w:val="00DA0938"/>
    <w:rsid w:val="00DA10CF"/>
    <w:rsid w:val="00DA110C"/>
    <w:rsid w:val="00DA1166"/>
    <w:rsid w:val="00DA1617"/>
    <w:rsid w:val="00DA1F32"/>
    <w:rsid w:val="00DA2B0D"/>
    <w:rsid w:val="00DA2C6D"/>
    <w:rsid w:val="00DA2F8D"/>
    <w:rsid w:val="00DA31AB"/>
    <w:rsid w:val="00DA3418"/>
    <w:rsid w:val="00DA3470"/>
    <w:rsid w:val="00DA3E47"/>
    <w:rsid w:val="00DA4352"/>
    <w:rsid w:val="00DA4581"/>
    <w:rsid w:val="00DA47BD"/>
    <w:rsid w:val="00DA5224"/>
    <w:rsid w:val="00DA5535"/>
    <w:rsid w:val="00DA5953"/>
    <w:rsid w:val="00DA5BC6"/>
    <w:rsid w:val="00DA5C0E"/>
    <w:rsid w:val="00DA5F8C"/>
    <w:rsid w:val="00DA61E4"/>
    <w:rsid w:val="00DA6378"/>
    <w:rsid w:val="00DA6531"/>
    <w:rsid w:val="00DA65A6"/>
    <w:rsid w:val="00DA687C"/>
    <w:rsid w:val="00DA6F17"/>
    <w:rsid w:val="00DA71E5"/>
    <w:rsid w:val="00DA744A"/>
    <w:rsid w:val="00DA7854"/>
    <w:rsid w:val="00DB009B"/>
    <w:rsid w:val="00DB0155"/>
    <w:rsid w:val="00DB0A1A"/>
    <w:rsid w:val="00DB0E9A"/>
    <w:rsid w:val="00DB1DDA"/>
    <w:rsid w:val="00DB1F2A"/>
    <w:rsid w:val="00DB2061"/>
    <w:rsid w:val="00DB2692"/>
    <w:rsid w:val="00DB2E91"/>
    <w:rsid w:val="00DB31A3"/>
    <w:rsid w:val="00DB3648"/>
    <w:rsid w:val="00DB3720"/>
    <w:rsid w:val="00DB39CF"/>
    <w:rsid w:val="00DB3DF1"/>
    <w:rsid w:val="00DB4932"/>
    <w:rsid w:val="00DB59A7"/>
    <w:rsid w:val="00DB5D11"/>
    <w:rsid w:val="00DB6145"/>
    <w:rsid w:val="00DB6E54"/>
    <w:rsid w:val="00DB716A"/>
    <w:rsid w:val="00DB7488"/>
    <w:rsid w:val="00DB766D"/>
    <w:rsid w:val="00DB7723"/>
    <w:rsid w:val="00DC0A83"/>
    <w:rsid w:val="00DC0D0E"/>
    <w:rsid w:val="00DC0F16"/>
    <w:rsid w:val="00DC11BA"/>
    <w:rsid w:val="00DC1FCD"/>
    <w:rsid w:val="00DC20A3"/>
    <w:rsid w:val="00DC2157"/>
    <w:rsid w:val="00DC25A5"/>
    <w:rsid w:val="00DC2762"/>
    <w:rsid w:val="00DC2903"/>
    <w:rsid w:val="00DC2A9E"/>
    <w:rsid w:val="00DC2B37"/>
    <w:rsid w:val="00DC2E56"/>
    <w:rsid w:val="00DC2E8B"/>
    <w:rsid w:val="00DC2FA5"/>
    <w:rsid w:val="00DC3296"/>
    <w:rsid w:val="00DC3BE0"/>
    <w:rsid w:val="00DC40AE"/>
    <w:rsid w:val="00DC4475"/>
    <w:rsid w:val="00DC4735"/>
    <w:rsid w:val="00DC4E4D"/>
    <w:rsid w:val="00DC5AB8"/>
    <w:rsid w:val="00DC5B40"/>
    <w:rsid w:val="00DC5D09"/>
    <w:rsid w:val="00DC6ED2"/>
    <w:rsid w:val="00DC6EDA"/>
    <w:rsid w:val="00DC72CA"/>
    <w:rsid w:val="00DC7548"/>
    <w:rsid w:val="00DC7AA3"/>
    <w:rsid w:val="00DC7F62"/>
    <w:rsid w:val="00DD020C"/>
    <w:rsid w:val="00DD07CB"/>
    <w:rsid w:val="00DD0846"/>
    <w:rsid w:val="00DD10A9"/>
    <w:rsid w:val="00DD116A"/>
    <w:rsid w:val="00DD1C52"/>
    <w:rsid w:val="00DD20F7"/>
    <w:rsid w:val="00DD2418"/>
    <w:rsid w:val="00DD2BEE"/>
    <w:rsid w:val="00DD312F"/>
    <w:rsid w:val="00DD3865"/>
    <w:rsid w:val="00DD3A8C"/>
    <w:rsid w:val="00DD3BF6"/>
    <w:rsid w:val="00DD3DD8"/>
    <w:rsid w:val="00DD3E0C"/>
    <w:rsid w:val="00DD3F48"/>
    <w:rsid w:val="00DD41E1"/>
    <w:rsid w:val="00DD4567"/>
    <w:rsid w:val="00DD460A"/>
    <w:rsid w:val="00DD461C"/>
    <w:rsid w:val="00DD464F"/>
    <w:rsid w:val="00DD46BF"/>
    <w:rsid w:val="00DD480B"/>
    <w:rsid w:val="00DD4AC6"/>
    <w:rsid w:val="00DD4BAF"/>
    <w:rsid w:val="00DD4EFF"/>
    <w:rsid w:val="00DD4F6D"/>
    <w:rsid w:val="00DD6149"/>
    <w:rsid w:val="00DD74B5"/>
    <w:rsid w:val="00DD75E2"/>
    <w:rsid w:val="00DE0150"/>
    <w:rsid w:val="00DE071D"/>
    <w:rsid w:val="00DE0BAE"/>
    <w:rsid w:val="00DE20B6"/>
    <w:rsid w:val="00DE2557"/>
    <w:rsid w:val="00DE2DB2"/>
    <w:rsid w:val="00DE2EE2"/>
    <w:rsid w:val="00DE2F16"/>
    <w:rsid w:val="00DE3156"/>
    <w:rsid w:val="00DE3A33"/>
    <w:rsid w:val="00DE3ADE"/>
    <w:rsid w:val="00DE3D19"/>
    <w:rsid w:val="00DE4284"/>
    <w:rsid w:val="00DE428C"/>
    <w:rsid w:val="00DE45F5"/>
    <w:rsid w:val="00DE4CFB"/>
    <w:rsid w:val="00DE51DB"/>
    <w:rsid w:val="00DE5A39"/>
    <w:rsid w:val="00DE64D1"/>
    <w:rsid w:val="00DE652A"/>
    <w:rsid w:val="00DE6B28"/>
    <w:rsid w:val="00DE6BDA"/>
    <w:rsid w:val="00DE6C8F"/>
    <w:rsid w:val="00DE6FAE"/>
    <w:rsid w:val="00DE716F"/>
    <w:rsid w:val="00DE72A6"/>
    <w:rsid w:val="00DE7E67"/>
    <w:rsid w:val="00DF0024"/>
    <w:rsid w:val="00DF0197"/>
    <w:rsid w:val="00DF0284"/>
    <w:rsid w:val="00DF07E4"/>
    <w:rsid w:val="00DF0FEF"/>
    <w:rsid w:val="00DF1A9E"/>
    <w:rsid w:val="00DF1EE5"/>
    <w:rsid w:val="00DF21E1"/>
    <w:rsid w:val="00DF2243"/>
    <w:rsid w:val="00DF24EB"/>
    <w:rsid w:val="00DF2731"/>
    <w:rsid w:val="00DF2D14"/>
    <w:rsid w:val="00DF2D46"/>
    <w:rsid w:val="00DF37C7"/>
    <w:rsid w:val="00DF3DFF"/>
    <w:rsid w:val="00DF44BE"/>
    <w:rsid w:val="00DF4579"/>
    <w:rsid w:val="00DF498E"/>
    <w:rsid w:val="00DF53CB"/>
    <w:rsid w:val="00DF5690"/>
    <w:rsid w:val="00DF57E1"/>
    <w:rsid w:val="00DF5BD2"/>
    <w:rsid w:val="00DF5C49"/>
    <w:rsid w:val="00DF5C65"/>
    <w:rsid w:val="00DF5E40"/>
    <w:rsid w:val="00DF5EBA"/>
    <w:rsid w:val="00DF5F7E"/>
    <w:rsid w:val="00DF61B7"/>
    <w:rsid w:val="00DF6468"/>
    <w:rsid w:val="00DF6475"/>
    <w:rsid w:val="00DF6580"/>
    <w:rsid w:val="00DF6B6C"/>
    <w:rsid w:val="00DF6F94"/>
    <w:rsid w:val="00DF746E"/>
    <w:rsid w:val="00DF7589"/>
    <w:rsid w:val="00DF7851"/>
    <w:rsid w:val="00DF7E6C"/>
    <w:rsid w:val="00E002B5"/>
    <w:rsid w:val="00E0046F"/>
    <w:rsid w:val="00E00514"/>
    <w:rsid w:val="00E00AD1"/>
    <w:rsid w:val="00E00D0C"/>
    <w:rsid w:val="00E01397"/>
    <w:rsid w:val="00E01CE0"/>
    <w:rsid w:val="00E0234F"/>
    <w:rsid w:val="00E0236E"/>
    <w:rsid w:val="00E023A7"/>
    <w:rsid w:val="00E025AE"/>
    <w:rsid w:val="00E02C12"/>
    <w:rsid w:val="00E03132"/>
    <w:rsid w:val="00E0317A"/>
    <w:rsid w:val="00E0393A"/>
    <w:rsid w:val="00E03A52"/>
    <w:rsid w:val="00E03EF6"/>
    <w:rsid w:val="00E04CC5"/>
    <w:rsid w:val="00E04F9A"/>
    <w:rsid w:val="00E0504A"/>
    <w:rsid w:val="00E0507E"/>
    <w:rsid w:val="00E05178"/>
    <w:rsid w:val="00E0537E"/>
    <w:rsid w:val="00E05613"/>
    <w:rsid w:val="00E05CAA"/>
    <w:rsid w:val="00E05EED"/>
    <w:rsid w:val="00E060B1"/>
    <w:rsid w:val="00E06781"/>
    <w:rsid w:val="00E0683B"/>
    <w:rsid w:val="00E06ADA"/>
    <w:rsid w:val="00E0714B"/>
    <w:rsid w:val="00E07778"/>
    <w:rsid w:val="00E07784"/>
    <w:rsid w:val="00E07B62"/>
    <w:rsid w:val="00E07CD1"/>
    <w:rsid w:val="00E1026B"/>
    <w:rsid w:val="00E10886"/>
    <w:rsid w:val="00E10A0D"/>
    <w:rsid w:val="00E10D9D"/>
    <w:rsid w:val="00E10FB8"/>
    <w:rsid w:val="00E110EF"/>
    <w:rsid w:val="00E11689"/>
    <w:rsid w:val="00E117E7"/>
    <w:rsid w:val="00E118BE"/>
    <w:rsid w:val="00E118C9"/>
    <w:rsid w:val="00E11A16"/>
    <w:rsid w:val="00E11A99"/>
    <w:rsid w:val="00E11FE9"/>
    <w:rsid w:val="00E12028"/>
    <w:rsid w:val="00E12089"/>
    <w:rsid w:val="00E12324"/>
    <w:rsid w:val="00E1256A"/>
    <w:rsid w:val="00E12AA7"/>
    <w:rsid w:val="00E1341E"/>
    <w:rsid w:val="00E13463"/>
    <w:rsid w:val="00E13CFC"/>
    <w:rsid w:val="00E1454D"/>
    <w:rsid w:val="00E15545"/>
    <w:rsid w:val="00E1562B"/>
    <w:rsid w:val="00E15665"/>
    <w:rsid w:val="00E156ED"/>
    <w:rsid w:val="00E1638C"/>
    <w:rsid w:val="00E16867"/>
    <w:rsid w:val="00E16B63"/>
    <w:rsid w:val="00E16C19"/>
    <w:rsid w:val="00E16C2E"/>
    <w:rsid w:val="00E16E7E"/>
    <w:rsid w:val="00E17518"/>
    <w:rsid w:val="00E175B9"/>
    <w:rsid w:val="00E17C21"/>
    <w:rsid w:val="00E207B5"/>
    <w:rsid w:val="00E20C6D"/>
    <w:rsid w:val="00E217D6"/>
    <w:rsid w:val="00E217DC"/>
    <w:rsid w:val="00E21A65"/>
    <w:rsid w:val="00E21F60"/>
    <w:rsid w:val="00E22286"/>
    <w:rsid w:val="00E22A1F"/>
    <w:rsid w:val="00E238F1"/>
    <w:rsid w:val="00E24510"/>
    <w:rsid w:val="00E24A8B"/>
    <w:rsid w:val="00E2500F"/>
    <w:rsid w:val="00E25405"/>
    <w:rsid w:val="00E256E6"/>
    <w:rsid w:val="00E25858"/>
    <w:rsid w:val="00E262CF"/>
    <w:rsid w:val="00E26356"/>
    <w:rsid w:val="00E27102"/>
    <w:rsid w:val="00E2731D"/>
    <w:rsid w:val="00E27553"/>
    <w:rsid w:val="00E276F7"/>
    <w:rsid w:val="00E27869"/>
    <w:rsid w:val="00E2799A"/>
    <w:rsid w:val="00E279D0"/>
    <w:rsid w:val="00E27CEC"/>
    <w:rsid w:val="00E3046F"/>
    <w:rsid w:val="00E306E8"/>
    <w:rsid w:val="00E308DA"/>
    <w:rsid w:val="00E30B58"/>
    <w:rsid w:val="00E31210"/>
    <w:rsid w:val="00E31B21"/>
    <w:rsid w:val="00E32853"/>
    <w:rsid w:val="00E32D0F"/>
    <w:rsid w:val="00E33025"/>
    <w:rsid w:val="00E3329F"/>
    <w:rsid w:val="00E336C6"/>
    <w:rsid w:val="00E33BAF"/>
    <w:rsid w:val="00E33D86"/>
    <w:rsid w:val="00E346B2"/>
    <w:rsid w:val="00E347D5"/>
    <w:rsid w:val="00E3496F"/>
    <w:rsid w:val="00E34BF8"/>
    <w:rsid w:val="00E354BF"/>
    <w:rsid w:val="00E35BEB"/>
    <w:rsid w:val="00E35E36"/>
    <w:rsid w:val="00E36117"/>
    <w:rsid w:val="00E36235"/>
    <w:rsid w:val="00E362C2"/>
    <w:rsid w:val="00E362E8"/>
    <w:rsid w:val="00E3666F"/>
    <w:rsid w:val="00E367CF"/>
    <w:rsid w:val="00E369C7"/>
    <w:rsid w:val="00E374EA"/>
    <w:rsid w:val="00E401FA"/>
    <w:rsid w:val="00E40200"/>
    <w:rsid w:val="00E40D4C"/>
    <w:rsid w:val="00E40F9C"/>
    <w:rsid w:val="00E41D87"/>
    <w:rsid w:val="00E4233F"/>
    <w:rsid w:val="00E4283D"/>
    <w:rsid w:val="00E43644"/>
    <w:rsid w:val="00E437E3"/>
    <w:rsid w:val="00E43837"/>
    <w:rsid w:val="00E43B9A"/>
    <w:rsid w:val="00E44877"/>
    <w:rsid w:val="00E452A6"/>
    <w:rsid w:val="00E45E49"/>
    <w:rsid w:val="00E462C9"/>
    <w:rsid w:val="00E46C41"/>
    <w:rsid w:val="00E47C80"/>
    <w:rsid w:val="00E47FC2"/>
    <w:rsid w:val="00E50250"/>
    <w:rsid w:val="00E505DC"/>
    <w:rsid w:val="00E5181A"/>
    <w:rsid w:val="00E51D6C"/>
    <w:rsid w:val="00E51DBC"/>
    <w:rsid w:val="00E524A0"/>
    <w:rsid w:val="00E5254B"/>
    <w:rsid w:val="00E52627"/>
    <w:rsid w:val="00E52D07"/>
    <w:rsid w:val="00E53344"/>
    <w:rsid w:val="00E533ED"/>
    <w:rsid w:val="00E539B4"/>
    <w:rsid w:val="00E53BE9"/>
    <w:rsid w:val="00E53CEA"/>
    <w:rsid w:val="00E53DB2"/>
    <w:rsid w:val="00E53E04"/>
    <w:rsid w:val="00E53F61"/>
    <w:rsid w:val="00E54972"/>
    <w:rsid w:val="00E54C8E"/>
    <w:rsid w:val="00E54DA0"/>
    <w:rsid w:val="00E54DC4"/>
    <w:rsid w:val="00E55CF2"/>
    <w:rsid w:val="00E55EDA"/>
    <w:rsid w:val="00E56265"/>
    <w:rsid w:val="00E5662C"/>
    <w:rsid w:val="00E56BAC"/>
    <w:rsid w:val="00E56BE6"/>
    <w:rsid w:val="00E56DB6"/>
    <w:rsid w:val="00E57505"/>
    <w:rsid w:val="00E5750C"/>
    <w:rsid w:val="00E57677"/>
    <w:rsid w:val="00E577CA"/>
    <w:rsid w:val="00E605B1"/>
    <w:rsid w:val="00E605E3"/>
    <w:rsid w:val="00E60865"/>
    <w:rsid w:val="00E609EF"/>
    <w:rsid w:val="00E60E91"/>
    <w:rsid w:val="00E60FAF"/>
    <w:rsid w:val="00E60FBC"/>
    <w:rsid w:val="00E6182A"/>
    <w:rsid w:val="00E61C6A"/>
    <w:rsid w:val="00E61EDE"/>
    <w:rsid w:val="00E622C1"/>
    <w:rsid w:val="00E623B9"/>
    <w:rsid w:val="00E62491"/>
    <w:rsid w:val="00E634FC"/>
    <w:rsid w:val="00E63517"/>
    <w:rsid w:val="00E636D4"/>
    <w:rsid w:val="00E63709"/>
    <w:rsid w:val="00E63C7D"/>
    <w:rsid w:val="00E64096"/>
    <w:rsid w:val="00E645C1"/>
    <w:rsid w:val="00E648DC"/>
    <w:rsid w:val="00E6496B"/>
    <w:rsid w:val="00E649CD"/>
    <w:rsid w:val="00E656DC"/>
    <w:rsid w:val="00E658C4"/>
    <w:rsid w:val="00E6593A"/>
    <w:rsid w:val="00E65FB0"/>
    <w:rsid w:val="00E65FB8"/>
    <w:rsid w:val="00E66A5A"/>
    <w:rsid w:val="00E66A87"/>
    <w:rsid w:val="00E66AA4"/>
    <w:rsid w:val="00E66B19"/>
    <w:rsid w:val="00E66FFA"/>
    <w:rsid w:val="00E67871"/>
    <w:rsid w:val="00E67C39"/>
    <w:rsid w:val="00E67EDF"/>
    <w:rsid w:val="00E70168"/>
    <w:rsid w:val="00E71564"/>
    <w:rsid w:val="00E716D1"/>
    <w:rsid w:val="00E717D5"/>
    <w:rsid w:val="00E71911"/>
    <w:rsid w:val="00E71E97"/>
    <w:rsid w:val="00E72093"/>
    <w:rsid w:val="00E721B8"/>
    <w:rsid w:val="00E72328"/>
    <w:rsid w:val="00E7252E"/>
    <w:rsid w:val="00E72741"/>
    <w:rsid w:val="00E72AC1"/>
    <w:rsid w:val="00E7308E"/>
    <w:rsid w:val="00E73B47"/>
    <w:rsid w:val="00E73C86"/>
    <w:rsid w:val="00E73CB4"/>
    <w:rsid w:val="00E7432A"/>
    <w:rsid w:val="00E74E63"/>
    <w:rsid w:val="00E756BE"/>
    <w:rsid w:val="00E7574E"/>
    <w:rsid w:val="00E76753"/>
    <w:rsid w:val="00E76A15"/>
    <w:rsid w:val="00E76A3C"/>
    <w:rsid w:val="00E76A7A"/>
    <w:rsid w:val="00E76AE1"/>
    <w:rsid w:val="00E7711C"/>
    <w:rsid w:val="00E772D3"/>
    <w:rsid w:val="00E77496"/>
    <w:rsid w:val="00E775C3"/>
    <w:rsid w:val="00E77B99"/>
    <w:rsid w:val="00E77F7A"/>
    <w:rsid w:val="00E8036F"/>
    <w:rsid w:val="00E809DB"/>
    <w:rsid w:val="00E80CAC"/>
    <w:rsid w:val="00E80E92"/>
    <w:rsid w:val="00E81585"/>
    <w:rsid w:val="00E81CE8"/>
    <w:rsid w:val="00E81E86"/>
    <w:rsid w:val="00E81F63"/>
    <w:rsid w:val="00E82202"/>
    <w:rsid w:val="00E822E6"/>
    <w:rsid w:val="00E8286B"/>
    <w:rsid w:val="00E82CE7"/>
    <w:rsid w:val="00E8304E"/>
    <w:rsid w:val="00E830B3"/>
    <w:rsid w:val="00E83312"/>
    <w:rsid w:val="00E833FB"/>
    <w:rsid w:val="00E8395F"/>
    <w:rsid w:val="00E83B71"/>
    <w:rsid w:val="00E8432B"/>
    <w:rsid w:val="00E85C1E"/>
    <w:rsid w:val="00E85DFD"/>
    <w:rsid w:val="00E86429"/>
    <w:rsid w:val="00E86682"/>
    <w:rsid w:val="00E866C1"/>
    <w:rsid w:val="00E86E73"/>
    <w:rsid w:val="00E86E82"/>
    <w:rsid w:val="00E86FB1"/>
    <w:rsid w:val="00E87005"/>
    <w:rsid w:val="00E871CB"/>
    <w:rsid w:val="00E872BD"/>
    <w:rsid w:val="00E87844"/>
    <w:rsid w:val="00E907D5"/>
    <w:rsid w:val="00E90916"/>
    <w:rsid w:val="00E90AB8"/>
    <w:rsid w:val="00E90F20"/>
    <w:rsid w:val="00E915EA"/>
    <w:rsid w:val="00E92362"/>
    <w:rsid w:val="00E92700"/>
    <w:rsid w:val="00E92722"/>
    <w:rsid w:val="00E9297F"/>
    <w:rsid w:val="00E92BC1"/>
    <w:rsid w:val="00E93386"/>
    <w:rsid w:val="00E9345F"/>
    <w:rsid w:val="00E9366F"/>
    <w:rsid w:val="00E93735"/>
    <w:rsid w:val="00E93780"/>
    <w:rsid w:val="00E93E2F"/>
    <w:rsid w:val="00E940BB"/>
    <w:rsid w:val="00E94361"/>
    <w:rsid w:val="00E943AB"/>
    <w:rsid w:val="00E94E8E"/>
    <w:rsid w:val="00E9519A"/>
    <w:rsid w:val="00E954DE"/>
    <w:rsid w:val="00E95679"/>
    <w:rsid w:val="00E9589A"/>
    <w:rsid w:val="00E95AF8"/>
    <w:rsid w:val="00E96095"/>
    <w:rsid w:val="00E960BD"/>
    <w:rsid w:val="00E965D8"/>
    <w:rsid w:val="00E96BF2"/>
    <w:rsid w:val="00E96F47"/>
    <w:rsid w:val="00E96F70"/>
    <w:rsid w:val="00EA036C"/>
    <w:rsid w:val="00EA0455"/>
    <w:rsid w:val="00EA0725"/>
    <w:rsid w:val="00EA0E4A"/>
    <w:rsid w:val="00EA0EAD"/>
    <w:rsid w:val="00EA1076"/>
    <w:rsid w:val="00EA1137"/>
    <w:rsid w:val="00EA147C"/>
    <w:rsid w:val="00EA1514"/>
    <w:rsid w:val="00EA1A3A"/>
    <w:rsid w:val="00EA2008"/>
    <w:rsid w:val="00EA277B"/>
    <w:rsid w:val="00EA28DC"/>
    <w:rsid w:val="00EA2972"/>
    <w:rsid w:val="00EA2F3E"/>
    <w:rsid w:val="00EA3795"/>
    <w:rsid w:val="00EA382A"/>
    <w:rsid w:val="00EA392D"/>
    <w:rsid w:val="00EA3B12"/>
    <w:rsid w:val="00EA402D"/>
    <w:rsid w:val="00EA41EE"/>
    <w:rsid w:val="00EA44CD"/>
    <w:rsid w:val="00EA49EE"/>
    <w:rsid w:val="00EA4CCC"/>
    <w:rsid w:val="00EA4E27"/>
    <w:rsid w:val="00EA53AB"/>
    <w:rsid w:val="00EA562D"/>
    <w:rsid w:val="00EA594F"/>
    <w:rsid w:val="00EA5BB5"/>
    <w:rsid w:val="00EA5CE4"/>
    <w:rsid w:val="00EA64D6"/>
    <w:rsid w:val="00EA6BE1"/>
    <w:rsid w:val="00EA6C31"/>
    <w:rsid w:val="00EA6D44"/>
    <w:rsid w:val="00EA7002"/>
    <w:rsid w:val="00EA756E"/>
    <w:rsid w:val="00EB0423"/>
    <w:rsid w:val="00EB0745"/>
    <w:rsid w:val="00EB08A3"/>
    <w:rsid w:val="00EB0DE2"/>
    <w:rsid w:val="00EB0ED6"/>
    <w:rsid w:val="00EB1139"/>
    <w:rsid w:val="00EB119D"/>
    <w:rsid w:val="00EB1988"/>
    <w:rsid w:val="00EB1CD4"/>
    <w:rsid w:val="00EB1DC8"/>
    <w:rsid w:val="00EB21B4"/>
    <w:rsid w:val="00EB2644"/>
    <w:rsid w:val="00EB2A53"/>
    <w:rsid w:val="00EB373D"/>
    <w:rsid w:val="00EB3B3E"/>
    <w:rsid w:val="00EB3E6E"/>
    <w:rsid w:val="00EB3F02"/>
    <w:rsid w:val="00EB3F56"/>
    <w:rsid w:val="00EB430C"/>
    <w:rsid w:val="00EB46F1"/>
    <w:rsid w:val="00EB4CAE"/>
    <w:rsid w:val="00EB58D8"/>
    <w:rsid w:val="00EB5C01"/>
    <w:rsid w:val="00EB5D28"/>
    <w:rsid w:val="00EB6451"/>
    <w:rsid w:val="00EB67ED"/>
    <w:rsid w:val="00EB6BC6"/>
    <w:rsid w:val="00EB6BE6"/>
    <w:rsid w:val="00EB6C63"/>
    <w:rsid w:val="00EB6D61"/>
    <w:rsid w:val="00EB7303"/>
    <w:rsid w:val="00EB7313"/>
    <w:rsid w:val="00EB7892"/>
    <w:rsid w:val="00EC05C3"/>
    <w:rsid w:val="00EC06BB"/>
    <w:rsid w:val="00EC06DD"/>
    <w:rsid w:val="00EC0855"/>
    <w:rsid w:val="00EC08DD"/>
    <w:rsid w:val="00EC0D0E"/>
    <w:rsid w:val="00EC1001"/>
    <w:rsid w:val="00EC14AB"/>
    <w:rsid w:val="00EC14E6"/>
    <w:rsid w:val="00EC15C3"/>
    <w:rsid w:val="00EC19F6"/>
    <w:rsid w:val="00EC1EE1"/>
    <w:rsid w:val="00EC2333"/>
    <w:rsid w:val="00EC2753"/>
    <w:rsid w:val="00EC284C"/>
    <w:rsid w:val="00EC3081"/>
    <w:rsid w:val="00EC32A2"/>
    <w:rsid w:val="00EC3B16"/>
    <w:rsid w:val="00EC4407"/>
    <w:rsid w:val="00EC4E5C"/>
    <w:rsid w:val="00EC50DD"/>
    <w:rsid w:val="00EC52C0"/>
    <w:rsid w:val="00EC594F"/>
    <w:rsid w:val="00EC5F73"/>
    <w:rsid w:val="00EC6625"/>
    <w:rsid w:val="00EC6A15"/>
    <w:rsid w:val="00EC6E40"/>
    <w:rsid w:val="00EC76B8"/>
    <w:rsid w:val="00EC7AC3"/>
    <w:rsid w:val="00ED0092"/>
    <w:rsid w:val="00ED00F5"/>
    <w:rsid w:val="00ED044F"/>
    <w:rsid w:val="00ED060B"/>
    <w:rsid w:val="00ED1025"/>
    <w:rsid w:val="00ED14DE"/>
    <w:rsid w:val="00ED164D"/>
    <w:rsid w:val="00ED19CA"/>
    <w:rsid w:val="00ED1D56"/>
    <w:rsid w:val="00ED1FE8"/>
    <w:rsid w:val="00ED22EE"/>
    <w:rsid w:val="00ED2650"/>
    <w:rsid w:val="00ED26C1"/>
    <w:rsid w:val="00ED2702"/>
    <w:rsid w:val="00ED27F5"/>
    <w:rsid w:val="00ED2859"/>
    <w:rsid w:val="00ED2ABD"/>
    <w:rsid w:val="00ED2B0B"/>
    <w:rsid w:val="00ED2B6F"/>
    <w:rsid w:val="00ED2BD9"/>
    <w:rsid w:val="00ED2E04"/>
    <w:rsid w:val="00ED30E7"/>
    <w:rsid w:val="00ED31AB"/>
    <w:rsid w:val="00ED3652"/>
    <w:rsid w:val="00ED49A0"/>
    <w:rsid w:val="00ED4C44"/>
    <w:rsid w:val="00ED4F9E"/>
    <w:rsid w:val="00ED5450"/>
    <w:rsid w:val="00ED5650"/>
    <w:rsid w:val="00ED5CE7"/>
    <w:rsid w:val="00ED61BF"/>
    <w:rsid w:val="00ED61E1"/>
    <w:rsid w:val="00ED6AD4"/>
    <w:rsid w:val="00ED6F6F"/>
    <w:rsid w:val="00ED774C"/>
    <w:rsid w:val="00ED7788"/>
    <w:rsid w:val="00ED7AA3"/>
    <w:rsid w:val="00ED7D60"/>
    <w:rsid w:val="00ED7E5F"/>
    <w:rsid w:val="00EE09B8"/>
    <w:rsid w:val="00EE0CB4"/>
    <w:rsid w:val="00EE0EDA"/>
    <w:rsid w:val="00EE0EE2"/>
    <w:rsid w:val="00EE157B"/>
    <w:rsid w:val="00EE1632"/>
    <w:rsid w:val="00EE1AEC"/>
    <w:rsid w:val="00EE1E81"/>
    <w:rsid w:val="00EE1ECC"/>
    <w:rsid w:val="00EE2424"/>
    <w:rsid w:val="00EE2777"/>
    <w:rsid w:val="00EE27AA"/>
    <w:rsid w:val="00EE28A8"/>
    <w:rsid w:val="00EE2A00"/>
    <w:rsid w:val="00EE2FEA"/>
    <w:rsid w:val="00EE3F8F"/>
    <w:rsid w:val="00EE3FEE"/>
    <w:rsid w:val="00EE4D0B"/>
    <w:rsid w:val="00EE4D35"/>
    <w:rsid w:val="00EE4E2D"/>
    <w:rsid w:val="00EE4FCA"/>
    <w:rsid w:val="00EE526B"/>
    <w:rsid w:val="00EE5DF2"/>
    <w:rsid w:val="00EE61FC"/>
    <w:rsid w:val="00EE688C"/>
    <w:rsid w:val="00EE6C3D"/>
    <w:rsid w:val="00EE7246"/>
    <w:rsid w:val="00EE751A"/>
    <w:rsid w:val="00EE7AAC"/>
    <w:rsid w:val="00EE7D3F"/>
    <w:rsid w:val="00EE7EAA"/>
    <w:rsid w:val="00EF0267"/>
    <w:rsid w:val="00EF09ED"/>
    <w:rsid w:val="00EF10FD"/>
    <w:rsid w:val="00EF182C"/>
    <w:rsid w:val="00EF1903"/>
    <w:rsid w:val="00EF1BB3"/>
    <w:rsid w:val="00EF1DF2"/>
    <w:rsid w:val="00EF238B"/>
    <w:rsid w:val="00EF2876"/>
    <w:rsid w:val="00EF29DC"/>
    <w:rsid w:val="00EF2A53"/>
    <w:rsid w:val="00EF3609"/>
    <w:rsid w:val="00EF36DD"/>
    <w:rsid w:val="00EF38EF"/>
    <w:rsid w:val="00EF3BA4"/>
    <w:rsid w:val="00EF3BBD"/>
    <w:rsid w:val="00EF43AD"/>
    <w:rsid w:val="00EF536E"/>
    <w:rsid w:val="00EF5868"/>
    <w:rsid w:val="00EF5C70"/>
    <w:rsid w:val="00EF5D39"/>
    <w:rsid w:val="00EF6208"/>
    <w:rsid w:val="00EF726D"/>
    <w:rsid w:val="00EF750B"/>
    <w:rsid w:val="00EF75E1"/>
    <w:rsid w:val="00F00BBF"/>
    <w:rsid w:val="00F01238"/>
    <w:rsid w:val="00F01522"/>
    <w:rsid w:val="00F01B16"/>
    <w:rsid w:val="00F01BEE"/>
    <w:rsid w:val="00F022A2"/>
    <w:rsid w:val="00F028CA"/>
    <w:rsid w:val="00F02AA2"/>
    <w:rsid w:val="00F02B00"/>
    <w:rsid w:val="00F02C1C"/>
    <w:rsid w:val="00F03045"/>
    <w:rsid w:val="00F030AB"/>
    <w:rsid w:val="00F03764"/>
    <w:rsid w:val="00F03A34"/>
    <w:rsid w:val="00F03B3A"/>
    <w:rsid w:val="00F03C1F"/>
    <w:rsid w:val="00F04021"/>
    <w:rsid w:val="00F04D66"/>
    <w:rsid w:val="00F0512F"/>
    <w:rsid w:val="00F053A8"/>
    <w:rsid w:val="00F053B9"/>
    <w:rsid w:val="00F05838"/>
    <w:rsid w:val="00F058F7"/>
    <w:rsid w:val="00F05C2C"/>
    <w:rsid w:val="00F05D1E"/>
    <w:rsid w:val="00F05D98"/>
    <w:rsid w:val="00F0601D"/>
    <w:rsid w:val="00F066F9"/>
    <w:rsid w:val="00F06814"/>
    <w:rsid w:val="00F06CFC"/>
    <w:rsid w:val="00F06D07"/>
    <w:rsid w:val="00F077B5"/>
    <w:rsid w:val="00F102FB"/>
    <w:rsid w:val="00F10904"/>
    <w:rsid w:val="00F11259"/>
    <w:rsid w:val="00F1162D"/>
    <w:rsid w:val="00F118B9"/>
    <w:rsid w:val="00F119B3"/>
    <w:rsid w:val="00F11D45"/>
    <w:rsid w:val="00F12AD5"/>
    <w:rsid w:val="00F12DBA"/>
    <w:rsid w:val="00F13C39"/>
    <w:rsid w:val="00F13EF9"/>
    <w:rsid w:val="00F1498E"/>
    <w:rsid w:val="00F14E7C"/>
    <w:rsid w:val="00F150FC"/>
    <w:rsid w:val="00F15638"/>
    <w:rsid w:val="00F15797"/>
    <w:rsid w:val="00F15A3E"/>
    <w:rsid w:val="00F15B11"/>
    <w:rsid w:val="00F15BDD"/>
    <w:rsid w:val="00F15D7B"/>
    <w:rsid w:val="00F16033"/>
    <w:rsid w:val="00F16357"/>
    <w:rsid w:val="00F1661E"/>
    <w:rsid w:val="00F167CC"/>
    <w:rsid w:val="00F173E2"/>
    <w:rsid w:val="00F1748C"/>
    <w:rsid w:val="00F175C7"/>
    <w:rsid w:val="00F17C4C"/>
    <w:rsid w:val="00F17F36"/>
    <w:rsid w:val="00F2030F"/>
    <w:rsid w:val="00F2071E"/>
    <w:rsid w:val="00F208A7"/>
    <w:rsid w:val="00F20BA2"/>
    <w:rsid w:val="00F2101B"/>
    <w:rsid w:val="00F21602"/>
    <w:rsid w:val="00F216F0"/>
    <w:rsid w:val="00F217AB"/>
    <w:rsid w:val="00F21CA3"/>
    <w:rsid w:val="00F21D20"/>
    <w:rsid w:val="00F224DA"/>
    <w:rsid w:val="00F2287B"/>
    <w:rsid w:val="00F22C9D"/>
    <w:rsid w:val="00F22E23"/>
    <w:rsid w:val="00F2332B"/>
    <w:rsid w:val="00F2399C"/>
    <w:rsid w:val="00F23A82"/>
    <w:rsid w:val="00F23AE7"/>
    <w:rsid w:val="00F23C6D"/>
    <w:rsid w:val="00F23E41"/>
    <w:rsid w:val="00F24468"/>
    <w:rsid w:val="00F24510"/>
    <w:rsid w:val="00F24636"/>
    <w:rsid w:val="00F248E5"/>
    <w:rsid w:val="00F2534A"/>
    <w:rsid w:val="00F255E0"/>
    <w:rsid w:val="00F25E83"/>
    <w:rsid w:val="00F26189"/>
    <w:rsid w:val="00F264E9"/>
    <w:rsid w:val="00F26566"/>
    <w:rsid w:val="00F26862"/>
    <w:rsid w:val="00F27307"/>
    <w:rsid w:val="00F27331"/>
    <w:rsid w:val="00F27746"/>
    <w:rsid w:val="00F2798B"/>
    <w:rsid w:val="00F27DB0"/>
    <w:rsid w:val="00F27FBD"/>
    <w:rsid w:val="00F30A5C"/>
    <w:rsid w:val="00F312DA"/>
    <w:rsid w:val="00F322FD"/>
    <w:rsid w:val="00F3246E"/>
    <w:rsid w:val="00F32623"/>
    <w:rsid w:val="00F32645"/>
    <w:rsid w:val="00F32813"/>
    <w:rsid w:val="00F33008"/>
    <w:rsid w:val="00F330FC"/>
    <w:rsid w:val="00F339BB"/>
    <w:rsid w:val="00F34D53"/>
    <w:rsid w:val="00F35506"/>
    <w:rsid w:val="00F35E3E"/>
    <w:rsid w:val="00F36601"/>
    <w:rsid w:val="00F36B84"/>
    <w:rsid w:val="00F36E65"/>
    <w:rsid w:val="00F37089"/>
    <w:rsid w:val="00F373E0"/>
    <w:rsid w:val="00F37F4E"/>
    <w:rsid w:val="00F40022"/>
    <w:rsid w:val="00F4060A"/>
    <w:rsid w:val="00F40DAD"/>
    <w:rsid w:val="00F412F4"/>
    <w:rsid w:val="00F4130F"/>
    <w:rsid w:val="00F41463"/>
    <w:rsid w:val="00F41828"/>
    <w:rsid w:val="00F41C2D"/>
    <w:rsid w:val="00F4205C"/>
    <w:rsid w:val="00F42144"/>
    <w:rsid w:val="00F424FA"/>
    <w:rsid w:val="00F42EF4"/>
    <w:rsid w:val="00F433EA"/>
    <w:rsid w:val="00F43847"/>
    <w:rsid w:val="00F43B4E"/>
    <w:rsid w:val="00F44067"/>
    <w:rsid w:val="00F4413B"/>
    <w:rsid w:val="00F443B3"/>
    <w:rsid w:val="00F4444C"/>
    <w:rsid w:val="00F4479A"/>
    <w:rsid w:val="00F45456"/>
    <w:rsid w:val="00F454FF"/>
    <w:rsid w:val="00F45C35"/>
    <w:rsid w:val="00F45F89"/>
    <w:rsid w:val="00F46180"/>
    <w:rsid w:val="00F4648E"/>
    <w:rsid w:val="00F464B5"/>
    <w:rsid w:val="00F46B70"/>
    <w:rsid w:val="00F46D17"/>
    <w:rsid w:val="00F46D33"/>
    <w:rsid w:val="00F46F8D"/>
    <w:rsid w:val="00F473C6"/>
    <w:rsid w:val="00F474B5"/>
    <w:rsid w:val="00F474E2"/>
    <w:rsid w:val="00F479CE"/>
    <w:rsid w:val="00F479DB"/>
    <w:rsid w:val="00F47F9B"/>
    <w:rsid w:val="00F503CC"/>
    <w:rsid w:val="00F5040F"/>
    <w:rsid w:val="00F50412"/>
    <w:rsid w:val="00F5052A"/>
    <w:rsid w:val="00F50677"/>
    <w:rsid w:val="00F506F0"/>
    <w:rsid w:val="00F50D4F"/>
    <w:rsid w:val="00F50DDB"/>
    <w:rsid w:val="00F512D6"/>
    <w:rsid w:val="00F51527"/>
    <w:rsid w:val="00F51ABE"/>
    <w:rsid w:val="00F51E41"/>
    <w:rsid w:val="00F51ECD"/>
    <w:rsid w:val="00F53051"/>
    <w:rsid w:val="00F530CE"/>
    <w:rsid w:val="00F53648"/>
    <w:rsid w:val="00F53BF3"/>
    <w:rsid w:val="00F53D80"/>
    <w:rsid w:val="00F541BA"/>
    <w:rsid w:val="00F54370"/>
    <w:rsid w:val="00F545F4"/>
    <w:rsid w:val="00F5469D"/>
    <w:rsid w:val="00F54A62"/>
    <w:rsid w:val="00F5501C"/>
    <w:rsid w:val="00F55823"/>
    <w:rsid w:val="00F55ABB"/>
    <w:rsid w:val="00F55FA1"/>
    <w:rsid w:val="00F56228"/>
    <w:rsid w:val="00F56E5E"/>
    <w:rsid w:val="00F57567"/>
    <w:rsid w:val="00F57655"/>
    <w:rsid w:val="00F57A81"/>
    <w:rsid w:val="00F57B94"/>
    <w:rsid w:val="00F57F3F"/>
    <w:rsid w:val="00F601EC"/>
    <w:rsid w:val="00F6045D"/>
    <w:rsid w:val="00F6072C"/>
    <w:rsid w:val="00F60754"/>
    <w:rsid w:val="00F60DC8"/>
    <w:rsid w:val="00F610AE"/>
    <w:rsid w:val="00F611F2"/>
    <w:rsid w:val="00F61A33"/>
    <w:rsid w:val="00F61C67"/>
    <w:rsid w:val="00F62191"/>
    <w:rsid w:val="00F624D1"/>
    <w:rsid w:val="00F62A92"/>
    <w:rsid w:val="00F63076"/>
    <w:rsid w:val="00F632FD"/>
    <w:rsid w:val="00F6382F"/>
    <w:rsid w:val="00F63C73"/>
    <w:rsid w:val="00F63DC7"/>
    <w:rsid w:val="00F64AC1"/>
    <w:rsid w:val="00F64C7C"/>
    <w:rsid w:val="00F64CAB"/>
    <w:rsid w:val="00F651A5"/>
    <w:rsid w:val="00F65784"/>
    <w:rsid w:val="00F65CF3"/>
    <w:rsid w:val="00F6623D"/>
    <w:rsid w:val="00F663A8"/>
    <w:rsid w:val="00F67510"/>
    <w:rsid w:val="00F70ACD"/>
    <w:rsid w:val="00F70B92"/>
    <w:rsid w:val="00F71096"/>
    <w:rsid w:val="00F716E2"/>
    <w:rsid w:val="00F7172F"/>
    <w:rsid w:val="00F7189D"/>
    <w:rsid w:val="00F718DE"/>
    <w:rsid w:val="00F71BF9"/>
    <w:rsid w:val="00F71CD1"/>
    <w:rsid w:val="00F721B8"/>
    <w:rsid w:val="00F73381"/>
    <w:rsid w:val="00F73AAE"/>
    <w:rsid w:val="00F7425E"/>
    <w:rsid w:val="00F744D6"/>
    <w:rsid w:val="00F74A1C"/>
    <w:rsid w:val="00F74E59"/>
    <w:rsid w:val="00F7512F"/>
    <w:rsid w:val="00F75381"/>
    <w:rsid w:val="00F753BC"/>
    <w:rsid w:val="00F755FF"/>
    <w:rsid w:val="00F75F31"/>
    <w:rsid w:val="00F765A6"/>
    <w:rsid w:val="00F76A7F"/>
    <w:rsid w:val="00F76B43"/>
    <w:rsid w:val="00F76D10"/>
    <w:rsid w:val="00F776E1"/>
    <w:rsid w:val="00F7778B"/>
    <w:rsid w:val="00F80049"/>
    <w:rsid w:val="00F805A3"/>
    <w:rsid w:val="00F80687"/>
    <w:rsid w:val="00F807A2"/>
    <w:rsid w:val="00F80875"/>
    <w:rsid w:val="00F808E6"/>
    <w:rsid w:val="00F80BE8"/>
    <w:rsid w:val="00F811D1"/>
    <w:rsid w:val="00F8136F"/>
    <w:rsid w:val="00F81C7A"/>
    <w:rsid w:val="00F81D84"/>
    <w:rsid w:val="00F81FED"/>
    <w:rsid w:val="00F8217F"/>
    <w:rsid w:val="00F8234F"/>
    <w:rsid w:val="00F82467"/>
    <w:rsid w:val="00F825C3"/>
    <w:rsid w:val="00F8260F"/>
    <w:rsid w:val="00F82E75"/>
    <w:rsid w:val="00F82FED"/>
    <w:rsid w:val="00F83300"/>
    <w:rsid w:val="00F837DF"/>
    <w:rsid w:val="00F83853"/>
    <w:rsid w:val="00F84179"/>
    <w:rsid w:val="00F84297"/>
    <w:rsid w:val="00F844CF"/>
    <w:rsid w:val="00F849CB"/>
    <w:rsid w:val="00F8506F"/>
    <w:rsid w:val="00F853E7"/>
    <w:rsid w:val="00F858EB"/>
    <w:rsid w:val="00F85CE3"/>
    <w:rsid w:val="00F86826"/>
    <w:rsid w:val="00F86D2A"/>
    <w:rsid w:val="00F86DFA"/>
    <w:rsid w:val="00F86F4A"/>
    <w:rsid w:val="00F86F8E"/>
    <w:rsid w:val="00F90265"/>
    <w:rsid w:val="00F9090E"/>
    <w:rsid w:val="00F911E0"/>
    <w:rsid w:val="00F91215"/>
    <w:rsid w:val="00F914CD"/>
    <w:rsid w:val="00F91BB6"/>
    <w:rsid w:val="00F92DD5"/>
    <w:rsid w:val="00F93989"/>
    <w:rsid w:val="00F93E66"/>
    <w:rsid w:val="00F94628"/>
    <w:rsid w:val="00F95063"/>
    <w:rsid w:val="00F951C4"/>
    <w:rsid w:val="00F95268"/>
    <w:rsid w:val="00F952DA"/>
    <w:rsid w:val="00F952EE"/>
    <w:rsid w:val="00F957D2"/>
    <w:rsid w:val="00F95CB8"/>
    <w:rsid w:val="00F967CC"/>
    <w:rsid w:val="00F9754B"/>
    <w:rsid w:val="00F97729"/>
    <w:rsid w:val="00F97A0B"/>
    <w:rsid w:val="00F97D26"/>
    <w:rsid w:val="00FA1252"/>
    <w:rsid w:val="00FA133B"/>
    <w:rsid w:val="00FA2212"/>
    <w:rsid w:val="00FA28FD"/>
    <w:rsid w:val="00FA2C73"/>
    <w:rsid w:val="00FA2F13"/>
    <w:rsid w:val="00FA34B8"/>
    <w:rsid w:val="00FA34CE"/>
    <w:rsid w:val="00FA3530"/>
    <w:rsid w:val="00FA376A"/>
    <w:rsid w:val="00FA3C60"/>
    <w:rsid w:val="00FA3CB8"/>
    <w:rsid w:val="00FA4B98"/>
    <w:rsid w:val="00FA5429"/>
    <w:rsid w:val="00FA5B5B"/>
    <w:rsid w:val="00FA5C5F"/>
    <w:rsid w:val="00FA5E14"/>
    <w:rsid w:val="00FA5E71"/>
    <w:rsid w:val="00FA5FF0"/>
    <w:rsid w:val="00FA6080"/>
    <w:rsid w:val="00FA6179"/>
    <w:rsid w:val="00FA63C8"/>
    <w:rsid w:val="00FA66E4"/>
    <w:rsid w:val="00FA6864"/>
    <w:rsid w:val="00FA6DB7"/>
    <w:rsid w:val="00FA7369"/>
    <w:rsid w:val="00FA75B0"/>
    <w:rsid w:val="00FA75D1"/>
    <w:rsid w:val="00FA77B9"/>
    <w:rsid w:val="00FA78FD"/>
    <w:rsid w:val="00FA7F8C"/>
    <w:rsid w:val="00FB0098"/>
    <w:rsid w:val="00FB0483"/>
    <w:rsid w:val="00FB04D2"/>
    <w:rsid w:val="00FB0612"/>
    <w:rsid w:val="00FB06E8"/>
    <w:rsid w:val="00FB0811"/>
    <w:rsid w:val="00FB0A00"/>
    <w:rsid w:val="00FB0AAA"/>
    <w:rsid w:val="00FB12F4"/>
    <w:rsid w:val="00FB1493"/>
    <w:rsid w:val="00FB167C"/>
    <w:rsid w:val="00FB1802"/>
    <w:rsid w:val="00FB1A39"/>
    <w:rsid w:val="00FB1B2A"/>
    <w:rsid w:val="00FB1C35"/>
    <w:rsid w:val="00FB1C43"/>
    <w:rsid w:val="00FB1D7C"/>
    <w:rsid w:val="00FB1E17"/>
    <w:rsid w:val="00FB1ED0"/>
    <w:rsid w:val="00FB1FEA"/>
    <w:rsid w:val="00FB2695"/>
    <w:rsid w:val="00FB2826"/>
    <w:rsid w:val="00FB2882"/>
    <w:rsid w:val="00FB29B8"/>
    <w:rsid w:val="00FB2D3A"/>
    <w:rsid w:val="00FB31CE"/>
    <w:rsid w:val="00FB340E"/>
    <w:rsid w:val="00FB39D6"/>
    <w:rsid w:val="00FB3BCE"/>
    <w:rsid w:val="00FB3C79"/>
    <w:rsid w:val="00FB41AA"/>
    <w:rsid w:val="00FB45A0"/>
    <w:rsid w:val="00FB486D"/>
    <w:rsid w:val="00FB4FC2"/>
    <w:rsid w:val="00FB50CD"/>
    <w:rsid w:val="00FB57E9"/>
    <w:rsid w:val="00FB5887"/>
    <w:rsid w:val="00FB5DC5"/>
    <w:rsid w:val="00FB5E58"/>
    <w:rsid w:val="00FB68C4"/>
    <w:rsid w:val="00FB7308"/>
    <w:rsid w:val="00FB7AC8"/>
    <w:rsid w:val="00FB7B1B"/>
    <w:rsid w:val="00FB7ECB"/>
    <w:rsid w:val="00FB7F6F"/>
    <w:rsid w:val="00FC0A27"/>
    <w:rsid w:val="00FC1000"/>
    <w:rsid w:val="00FC1631"/>
    <w:rsid w:val="00FC16F0"/>
    <w:rsid w:val="00FC185B"/>
    <w:rsid w:val="00FC1BB2"/>
    <w:rsid w:val="00FC295D"/>
    <w:rsid w:val="00FC3909"/>
    <w:rsid w:val="00FC443B"/>
    <w:rsid w:val="00FC4741"/>
    <w:rsid w:val="00FC484C"/>
    <w:rsid w:val="00FC496D"/>
    <w:rsid w:val="00FC4EAF"/>
    <w:rsid w:val="00FC4FDE"/>
    <w:rsid w:val="00FC527C"/>
    <w:rsid w:val="00FC56E5"/>
    <w:rsid w:val="00FC6231"/>
    <w:rsid w:val="00FC6445"/>
    <w:rsid w:val="00FC686B"/>
    <w:rsid w:val="00FC6FF5"/>
    <w:rsid w:val="00FC75E1"/>
    <w:rsid w:val="00FC75F5"/>
    <w:rsid w:val="00FC785D"/>
    <w:rsid w:val="00FC7A0C"/>
    <w:rsid w:val="00FC7A93"/>
    <w:rsid w:val="00FC7E40"/>
    <w:rsid w:val="00FC7FC2"/>
    <w:rsid w:val="00FD0A83"/>
    <w:rsid w:val="00FD13CE"/>
    <w:rsid w:val="00FD13E0"/>
    <w:rsid w:val="00FD14F1"/>
    <w:rsid w:val="00FD184E"/>
    <w:rsid w:val="00FD1876"/>
    <w:rsid w:val="00FD2285"/>
    <w:rsid w:val="00FD2363"/>
    <w:rsid w:val="00FD2C50"/>
    <w:rsid w:val="00FD3403"/>
    <w:rsid w:val="00FD35EA"/>
    <w:rsid w:val="00FD3DD6"/>
    <w:rsid w:val="00FD41F3"/>
    <w:rsid w:val="00FD4BB1"/>
    <w:rsid w:val="00FD4F33"/>
    <w:rsid w:val="00FD5A46"/>
    <w:rsid w:val="00FD5CB6"/>
    <w:rsid w:val="00FD6507"/>
    <w:rsid w:val="00FD6D32"/>
    <w:rsid w:val="00FD6E9D"/>
    <w:rsid w:val="00FD7035"/>
    <w:rsid w:val="00FD7102"/>
    <w:rsid w:val="00FD7739"/>
    <w:rsid w:val="00FE0A15"/>
    <w:rsid w:val="00FE0D2E"/>
    <w:rsid w:val="00FE0FA1"/>
    <w:rsid w:val="00FE105E"/>
    <w:rsid w:val="00FE1136"/>
    <w:rsid w:val="00FE117B"/>
    <w:rsid w:val="00FE1595"/>
    <w:rsid w:val="00FE1718"/>
    <w:rsid w:val="00FE179E"/>
    <w:rsid w:val="00FE184A"/>
    <w:rsid w:val="00FE1B59"/>
    <w:rsid w:val="00FE208D"/>
    <w:rsid w:val="00FE2760"/>
    <w:rsid w:val="00FE2CF2"/>
    <w:rsid w:val="00FE3A91"/>
    <w:rsid w:val="00FE3CD9"/>
    <w:rsid w:val="00FE4314"/>
    <w:rsid w:val="00FE44BA"/>
    <w:rsid w:val="00FE4DBA"/>
    <w:rsid w:val="00FE544D"/>
    <w:rsid w:val="00FE570F"/>
    <w:rsid w:val="00FE5843"/>
    <w:rsid w:val="00FE6235"/>
    <w:rsid w:val="00FE6883"/>
    <w:rsid w:val="00FE6A6E"/>
    <w:rsid w:val="00FE7621"/>
    <w:rsid w:val="00FE76A1"/>
    <w:rsid w:val="00FE7BB3"/>
    <w:rsid w:val="00FE7CEE"/>
    <w:rsid w:val="00FF017A"/>
    <w:rsid w:val="00FF0264"/>
    <w:rsid w:val="00FF038C"/>
    <w:rsid w:val="00FF05A4"/>
    <w:rsid w:val="00FF09BB"/>
    <w:rsid w:val="00FF1108"/>
    <w:rsid w:val="00FF1461"/>
    <w:rsid w:val="00FF162F"/>
    <w:rsid w:val="00FF1936"/>
    <w:rsid w:val="00FF1D89"/>
    <w:rsid w:val="00FF1E13"/>
    <w:rsid w:val="00FF1E6F"/>
    <w:rsid w:val="00FF23C0"/>
    <w:rsid w:val="00FF33A1"/>
    <w:rsid w:val="00FF36C1"/>
    <w:rsid w:val="00FF3920"/>
    <w:rsid w:val="00FF393C"/>
    <w:rsid w:val="00FF3C3B"/>
    <w:rsid w:val="00FF42C0"/>
    <w:rsid w:val="00FF4F7C"/>
    <w:rsid w:val="00FF50B4"/>
    <w:rsid w:val="00FF53EC"/>
    <w:rsid w:val="00FF554D"/>
    <w:rsid w:val="00FF572E"/>
    <w:rsid w:val="00FF60A0"/>
    <w:rsid w:val="00FF6382"/>
    <w:rsid w:val="00FF63D1"/>
    <w:rsid w:val="00FF6447"/>
    <w:rsid w:val="00FF64CE"/>
    <w:rsid w:val="00FF6D61"/>
    <w:rsid w:val="00FF7699"/>
    <w:rsid w:val="02045051"/>
    <w:rsid w:val="02A227A1"/>
    <w:rsid w:val="02CB4A92"/>
    <w:rsid w:val="031608C0"/>
    <w:rsid w:val="0327233C"/>
    <w:rsid w:val="034902E8"/>
    <w:rsid w:val="05646135"/>
    <w:rsid w:val="0575454E"/>
    <w:rsid w:val="05E10B73"/>
    <w:rsid w:val="066E6509"/>
    <w:rsid w:val="06D67390"/>
    <w:rsid w:val="09F17A4A"/>
    <w:rsid w:val="0A5F60FC"/>
    <w:rsid w:val="0AF50DCB"/>
    <w:rsid w:val="0B554854"/>
    <w:rsid w:val="0B7A0303"/>
    <w:rsid w:val="0B7D4545"/>
    <w:rsid w:val="0B8B007F"/>
    <w:rsid w:val="0CA25E95"/>
    <w:rsid w:val="0CE91598"/>
    <w:rsid w:val="0DFC36AD"/>
    <w:rsid w:val="0E043C75"/>
    <w:rsid w:val="0E100F06"/>
    <w:rsid w:val="0E8F2C8D"/>
    <w:rsid w:val="0F7C3A18"/>
    <w:rsid w:val="0F9549B6"/>
    <w:rsid w:val="0FEC63AA"/>
    <w:rsid w:val="0FF40680"/>
    <w:rsid w:val="103A053A"/>
    <w:rsid w:val="10633BB0"/>
    <w:rsid w:val="106D2276"/>
    <w:rsid w:val="12354E64"/>
    <w:rsid w:val="130D3C66"/>
    <w:rsid w:val="136B4AF2"/>
    <w:rsid w:val="14265C62"/>
    <w:rsid w:val="14495172"/>
    <w:rsid w:val="1508157E"/>
    <w:rsid w:val="151648B6"/>
    <w:rsid w:val="155451AA"/>
    <w:rsid w:val="15552914"/>
    <w:rsid w:val="15CE3B81"/>
    <w:rsid w:val="15DE1FB1"/>
    <w:rsid w:val="15E1443D"/>
    <w:rsid w:val="162B4B2F"/>
    <w:rsid w:val="166D59E0"/>
    <w:rsid w:val="167F1268"/>
    <w:rsid w:val="1711111B"/>
    <w:rsid w:val="176756C6"/>
    <w:rsid w:val="17954365"/>
    <w:rsid w:val="17C658F7"/>
    <w:rsid w:val="17CD3BC5"/>
    <w:rsid w:val="18042F94"/>
    <w:rsid w:val="191A0E8B"/>
    <w:rsid w:val="19411A03"/>
    <w:rsid w:val="19F57352"/>
    <w:rsid w:val="1A10776C"/>
    <w:rsid w:val="1ADE2976"/>
    <w:rsid w:val="1B622997"/>
    <w:rsid w:val="1BA905B1"/>
    <w:rsid w:val="1BC752FA"/>
    <w:rsid w:val="1BC872C4"/>
    <w:rsid w:val="1C8738F9"/>
    <w:rsid w:val="1CCC06EE"/>
    <w:rsid w:val="1D9236E6"/>
    <w:rsid w:val="1DDF18E3"/>
    <w:rsid w:val="1DE4576C"/>
    <w:rsid w:val="1E18008F"/>
    <w:rsid w:val="1E673822"/>
    <w:rsid w:val="1EAE09F3"/>
    <w:rsid w:val="1F0305CC"/>
    <w:rsid w:val="200827DE"/>
    <w:rsid w:val="2020770C"/>
    <w:rsid w:val="212C3E51"/>
    <w:rsid w:val="217D081A"/>
    <w:rsid w:val="22274D44"/>
    <w:rsid w:val="223264FE"/>
    <w:rsid w:val="224E5D7E"/>
    <w:rsid w:val="22EA2851"/>
    <w:rsid w:val="22EF5136"/>
    <w:rsid w:val="237D69AD"/>
    <w:rsid w:val="246711AA"/>
    <w:rsid w:val="24CD6DA6"/>
    <w:rsid w:val="24CE59D6"/>
    <w:rsid w:val="2506265F"/>
    <w:rsid w:val="2534387A"/>
    <w:rsid w:val="2542042D"/>
    <w:rsid w:val="257D2C18"/>
    <w:rsid w:val="2582242A"/>
    <w:rsid w:val="259A3A7F"/>
    <w:rsid w:val="260706D6"/>
    <w:rsid w:val="269B780E"/>
    <w:rsid w:val="272070B9"/>
    <w:rsid w:val="27455D51"/>
    <w:rsid w:val="27457A1B"/>
    <w:rsid w:val="277E586A"/>
    <w:rsid w:val="27D03788"/>
    <w:rsid w:val="27F81470"/>
    <w:rsid w:val="29B25F64"/>
    <w:rsid w:val="2A083DD6"/>
    <w:rsid w:val="2A512846"/>
    <w:rsid w:val="2B09146C"/>
    <w:rsid w:val="2B8866CE"/>
    <w:rsid w:val="2BD4747E"/>
    <w:rsid w:val="2C7A372D"/>
    <w:rsid w:val="2C7B3D75"/>
    <w:rsid w:val="2CE0279E"/>
    <w:rsid w:val="2D476D33"/>
    <w:rsid w:val="2D7F5D78"/>
    <w:rsid w:val="2DA66C98"/>
    <w:rsid w:val="2DDF7C50"/>
    <w:rsid w:val="2EAA290E"/>
    <w:rsid w:val="2F5F232A"/>
    <w:rsid w:val="2F671976"/>
    <w:rsid w:val="2F75206B"/>
    <w:rsid w:val="2F830261"/>
    <w:rsid w:val="2F944666"/>
    <w:rsid w:val="2FC052B7"/>
    <w:rsid w:val="30F723AE"/>
    <w:rsid w:val="3165566F"/>
    <w:rsid w:val="320830A0"/>
    <w:rsid w:val="3218353A"/>
    <w:rsid w:val="323C082B"/>
    <w:rsid w:val="341F00B6"/>
    <w:rsid w:val="34387E31"/>
    <w:rsid w:val="3447542F"/>
    <w:rsid w:val="35223342"/>
    <w:rsid w:val="358608BB"/>
    <w:rsid w:val="36BB3856"/>
    <w:rsid w:val="36CA4985"/>
    <w:rsid w:val="377338A1"/>
    <w:rsid w:val="37DD63AF"/>
    <w:rsid w:val="391B682D"/>
    <w:rsid w:val="3944555E"/>
    <w:rsid w:val="39661179"/>
    <w:rsid w:val="3A285A1B"/>
    <w:rsid w:val="3A6423A0"/>
    <w:rsid w:val="3A9E583E"/>
    <w:rsid w:val="3AF37A62"/>
    <w:rsid w:val="3B441F41"/>
    <w:rsid w:val="3BE65813"/>
    <w:rsid w:val="3C4D63A0"/>
    <w:rsid w:val="3CC54061"/>
    <w:rsid w:val="3CC93ACC"/>
    <w:rsid w:val="3CF03A6F"/>
    <w:rsid w:val="3D71285F"/>
    <w:rsid w:val="3D9D1F07"/>
    <w:rsid w:val="3E3913D7"/>
    <w:rsid w:val="3E573E64"/>
    <w:rsid w:val="3EEC1A99"/>
    <w:rsid w:val="3EF4406E"/>
    <w:rsid w:val="410C7118"/>
    <w:rsid w:val="41AE72A3"/>
    <w:rsid w:val="41CC5867"/>
    <w:rsid w:val="42384DAE"/>
    <w:rsid w:val="4250579A"/>
    <w:rsid w:val="42B12F69"/>
    <w:rsid w:val="430810B7"/>
    <w:rsid w:val="43324E9F"/>
    <w:rsid w:val="439F6030"/>
    <w:rsid w:val="43D61CCF"/>
    <w:rsid w:val="45DD7FEF"/>
    <w:rsid w:val="46641814"/>
    <w:rsid w:val="47547E30"/>
    <w:rsid w:val="477F4C5C"/>
    <w:rsid w:val="4840552B"/>
    <w:rsid w:val="48566E51"/>
    <w:rsid w:val="4AD056CA"/>
    <w:rsid w:val="4C244E56"/>
    <w:rsid w:val="4C5B5467"/>
    <w:rsid w:val="4D8F2644"/>
    <w:rsid w:val="4D9B13E3"/>
    <w:rsid w:val="4DC42979"/>
    <w:rsid w:val="4E532C7B"/>
    <w:rsid w:val="4E540FF7"/>
    <w:rsid w:val="4EB81DB3"/>
    <w:rsid w:val="4ED2683D"/>
    <w:rsid w:val="4F42244E"/>
    <w:rsid w:val="4F4B3214"/>
    <w:rsid w:val="4F7335D4"/>
    <w:rsid w:val="4FEA789C"/>
    <w:rsid w:val="50477F78"/>
    <w:rsid w:val="50A13664"/>
    <w:rsid w:val="51273B6A"/>
    <w:rsid w:val="5183569C"/>
    <w:rsid w:val="51A0505C"/>
    <w:rsid w:val="51E85654"/>
    <w:rsid w:val="5268443A"/>
    <w:rsid w:val="537779EB"/>
    <w:rsid w:val="53B86CFB"/>
    <w:rsid w:val="540E32DE"/>
    <w:rsid w:val="54B837A4"/>
    <w:rsid w:val="5505747D"/>
    <w:rsid w:val="564A39F3"/>
    <w:rsid w:val="56745F16"/>
    <w:rsid w:val="56886A86"/>
    <w:rsid w:val="56F315BC"/>
    <w:rsid w:val="57004BFE"/>
    <w:rsid w:val="57746665"/>
    <w:rsid w:val="57EC54E9"/>
    <w:rsid w:val="588B0E82"/>
    <w:rsid w:val="58DD7423"/>
    <w:rsid w:val="58F509F1"/>
    <w:rsid w:val="591879EF"/>
    <w:rsid w:val="59511F66"/>
    <w:rsid w:val="595E182C"/>
    <w:rsid w:val="597D7C36"/>
    <w:rsid w:val="598F6E8B"/>
    <w:rsid w:val="5A2A2EC3"/>
    <w:rsid w:val="5AB238D3"/>
    <w:rsid w:val="5B6606D2"/>
    <w:rsid w:val="5BF62AB6"/>
    <w:rsid w:val="5BF97742"/>
    <w:rsid w:val="5C2B73DF"/>
    <w:rsid w:val="5CDE0015"/>
    <w:rsid w:val="5D4F371B"/>
    <w:rsid w:val="5DA053AB"/>
    <w:rsid w:val="5DBB371D"/>
    <w:rsid w:val="5E7E33B8"/>
    <w:rsid w:val="5ECD382D"/>
    <w:rsid w:val="5F8C786F"/>
    <w:rsid w:val="5FC2575C"/>
    <w:rsid w:val="600D6F2E"/>
    <w:rsid w:val="60285A78"/>
    <w:rsid w:val="60AE4D5F"/>
    <w:rsid w:val="611675E2"/>
    <w:rsid w:val="61927263"/>
    <w:rsid w:val="61D65677"/>
    <w:rsid w:val="645E0EBD"/>
    <w:rsid w:val="64A33F1F"/>
    <w:rsid w:val="658109D9"/>
    <w:rsid w:val="65DD0843"/>
    <w:rsid w:val="66476177"/>
    <w:rsid w:val="66A820EC"/>
    <w:rsid w:val="672A2270"/>
    <w:rsid w:val="674B6276"/>
    <w:rsid w:val="67AC4D6D"/>
    <w:rsid w:val="680F52F2"/>
    <w:rsid w:val="68190258"/>
    <w:rsid w:val="687A3C85"/>
    <w:rsid w:val="68880F3A"/>
    <w:rsid w:val="69064A75"/>
    <w:rsid w:val="69AC48B8"/>
    <w:rsid w:val="69B0699A"/>
    <w:rsid w:val="6A6432E1"/>
    <w:rsid w:val="6AF93CAF"/>
    <w:rsid w:val="6B2879FE"/>
    <w:rsid w:val="6B2D5DC9"/>
    <w:rsid w:val="6B377E4E"/>
    <w:rsid w:val="6BB767C8"/>
    <w:rsid w:val="6BF63127"/>
    <w:rsid w:val="6C2D6C9C"/>
    <w:rsid w:val="6C730D9D"/>
    <w:rsid w:val="6DBB76BC"/>
    <w:rsid w:val="6E8D259C"/>
    <w:rsid w:val="6E8E401E"/>
    <w:rsid w:val="6EA30BB1"/>
    <w:rsid w:val="6F154668"/>
    <w:rsid w:val="6F4F5F57"/>
    <w:rsid w:val="6F617319"/>
    <w:rsid w:val="6F857F00"/>
    <w:rsid w:val="6FAF3458"/>
    <w:rsid w:val="6FB72056"/>
    <w:rsid w:val="6FBD2D10"/>
    <w:rsid w:val="6FF173C5"/>
    <w:rsid w:val="70145506"/>
    <w:rsid w:val="70473489"/>
    <w:rsid w:val="70954D97"/>
    <w:rsid w:val="712612F0"/>
    <w:rsid w:val="7170379C"/>
    <w:rsid w:val="7190152E"/>
    <w:rsid w:val="71A0522F"/>
    <w:rsid w:val="71D11F1B"/>
    <w:rsid w:val="72AA6425"/>
    <w:rsid w:val="73F100BA"/>
    <w:rsid w:val="73FF5B1D"/>
    <w:rsid w:val="74B674FE"/>
    <w:rsid w:val="74C07627"/>
    <w:rsid w:val="74E50557"/>
    <w:rsid w:val="751003F6"/>
    <w:rsid w:val="754C32EF"/>
    <w:rsid w:val="7564266B"/>
    <w:rsid w:val="75B53D66"/>
    <w:rsid w:val="75F74224"/>
    <w:rsid w:val="769159E6"/>
    <w:rsid w:val="77507311"/>
    <w:rsid w:val="777D6759"/>
    <w:rsid w:val="77A975C3"/>
    <w:rsid w:val="77BA7EBD"/>
    <w:rsid w:val="77BC7F2D"/>
    <w:rsid w:val="77FA49F9"/>
    <w:rsid w:val="7A41363F"/>
    <w:rsid w:val="7B253193"/>
    <w:rsid w:val="7B601FFD"/>
    <w:rsid w:val="7BA339B9"/>
    <w:rsid w:val="7C6F7FEF"/>
    <w:rsid w:val="7D493FD8"/>
    <w:rsid w:val="7E10366D"/>
    <w:rsid w:val="7EC42148"/>
    <w:rsid w:val="7EDFACE3"/>
    <w:rsid w:val="7EFB3A49"/>
    <w:rsid w:val="7F8A37EF"/>
    <w:rsid w:val="7FCF5D3B"/>
    <w:rsid w:val="7FEC39ED"/>
    <w:rsid w:val="EFFD1F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99" w:name="heading 7"/>
    <w:lsdException w:qFormat="1" w:uiPriority="99" w:name="heading 8"/>
    <w:lsdException w:qFormat="1"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unhideWhenUsed="0" w:uiPriority="0"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0" w:name="List"/>
    <w:lsdException w:uiPriority="99" w:name="List Bullet"/>
    <w:lsdException w:uiPriority="99" w:name="List Number"/>
    <w:lsdException w:qFormat="1" w:uiPriority="0" w:name="List 2"/>
    <w:lsdException w:qFormat="1"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qFormat="1" w:unhideWhenUsed="0" w:uiPriority="0" w:semiHidden="0" w:name="Body Text First Indent 2"/>
    <w:lsdException w:qFormat="1" w:uiPriority="0" w:name="Note Heading"/>
    <w:lsdException w:qFormat="1" w:uiPriority="99" w:semiHidden="0" w:name="Body Text 2"/>
    <w:lsdException w:qFormat="1" w:uiPriority="0" w:name="Body Text 3"/>
    <w:lsdException w:qFormat="1" w:unhideWhenUsed="0" w:uiPriority="0" w:semiHidden="0" w:name="Body Text Indent 2"/>
    <w:lsdException w:qFormat="1" w:uiPriority="0" w:name="Body Text Indent 3"/>
    <w:lsdException w:qFormat="1" w:uiPriority="0" w:semiHidden="0" w:name="Block Text"/>
    <w:lsdException w:unhideWhenUsed="0" w:uiPriority="0" w:semiHidden="0" w:name="Hyperlink"/>
    <w:lsdException w:qFormat="1" w:uiPriority="99" w:name="FollowedHyperlink"/>
    <w:lsdException w:qFormat="1" w:unhideWhenUsed="0" w:uiPriority="0" w:semiHidden="0" w:name="Strong"/>
    <w:lsdException w:qFormat="1" w:unhideWhenUsed="0" w:uiPriority="20" w:semiHidden="0" w:name="Emphasis"/>
    <w:lsdException w:qFormat="1"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qFormat="1" w:uiPriority="0"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iPriority="0" w:name="Table Grid 1"/>
    <w:lsdException w:uiPriority="99" w:name="Table Grid 2"/>
    <w:lsdException w:uiPriority="99" w:name="Table Grid 3"/>
    <w:lsdException w:uiPriority="99" w:name="Table Grid 4"/>
    <w:lsdException w:uiPriority="99" w:name="Table Grid 5"/>
    <w:lsdException w:qFormat="1"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64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30"/>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31"/>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32"/>
    <w:unhideWhenUsed/>
    <w:qFormat/>
    <w:uiPriority w:val="0"/>
    <w:pPr>
      <w:keepNext/>
      <w:keepLines/>
      <w:spacing w:before="260" w:after="260" w:line="416" w:lineRule="atLeast"/>
      <w:ind w:firstLine="425" w:firstLineChars="177"/>
      <w:outlineLvl w:val="2"/>
    </w:pPr>
    <w:rPr>
      <w:rFonts w:ascii="宋体" w:hAnsi="宋体" w:cs="宋体"/>
      <w:sz w:val="32"/>
      <w:szCs w:val="32"/>
    </w:rPr>
  </w:style>
  <w:style w:type="paragraph" w:styleId="6">
    <w:name w:val="heading 4"/>
    <w:basedOn w:val="1"/>
    <w:next w:val="1"/>
    <w:link w:val="33"/>
    <w:unhideWhenUsed/>
    <w:qFormat/>
    <w:uiPriority w:val="0"/>
    <w:pPr>
      <w:keepNext/>
      <w:keepLines/>
      <w:spacing w:after="200" w:line="500" w:lineRule="exact"/>
      <w:outlineLvl w:val="3"/>
    </w:pPr>
    <w:rPr>
      <w:rFonts w:eastAsia="宋体" w:asciiTheme="majorAscii" w:hAnsiTheme="majorAscii" w:cstheme="majorBidi"/>
      <w:b/>
      <w:bCs/>
      <w:szCs w:val="28"/>
    </w:rPr>
  </w:style>
  <w:style w:type="paragraph" w:styleId="7">
    <w:name w:val="heading 5"/>
    <w:basedOn w:val="1"/>
    <w:next w:val="1"/>
    <w:link w:val="34"/>
    <w:semiHidden/>
    <w:unhideWhenUsed/>
    <w:qFormat/>
    <w:uiPriority w:val="0"/>
    <w:pPr>
      <w:keepNext/>
      <w:keepLines/>
      <w:widowControl/>
      <w:spacing w:before="280" w:after="290" w:line="372" w:lineRule="auto"/>
      <w:ind w:firstLine="425" w:firstLineChars="177"/>
      <w:outlineLvl w:val="4"/>
    </w:pPr>
    <w:rPr>
      <w:color w:val="000000"/>
      <w:kern w:val="0"/>
      <w:sz w:val="28"/>
      <w:szCs w:val="28"/>
    </w:rPr>
  </w:style>
  <w:style w:type="paragraph" w:styleId="8">
    <w:name w:val="heading 6"/>
    <w:basedOn w:val="1"/>
    <w:next w:val="1"/>
    <w:link w:val="35"/>
    <w:semiHidden/>
    <w:unhideWhenUsed/>
    <w:qFormat/>
    <w:uiPriority w:val="0"/>
    <w:pPr>
      <w:keepNext/>
      <w:keepLines/>
      <w:widowControl/>
      <w:spacing w:before="240" w:after="64" w:line="316" w:lineRule="auto"/>
      <w:ind w:firstLine="425" w:firstLineChars="177"/>
      <w:outlineLvl w:val="5"/>
    </w:pPr>
    <w:rPr>
      <w:rFonts w:ascii="Arial" w:hAnsi="Arial" w:eastAsia="黑体"/>
      <w:color w:val="000000"/>
      <w:kern w:val="0"/>
      <w:sz w:val="24"/>
    </w:rPr>
  </w:style>
  <w:style w:type="paragraph" w:styleId="9">
    <w:name w:val="heading 7"/>
    <w:basedOn w:val="3"/>
    <w:next w:val="1"/>
    <w:link w:val="36"/>
    <w:semiHidden/>
    <w:unhideWhenUsed/>
    <w:qFormat/>
    <w:uiPriority w:val="99"/>
    <w:pPr>
      <w:widowControl/>
      <w:spacing w:before="240" w:after="64" w:line="316" w:lineRule="auto"/>
      <w:ind w:firstLine="425" w:firstLineChars="177"/>
      <w:outlineLvl w:val="6"/>
    </w:pPr>
    <w:rPr>
      <w:color w:val="000000"/>
      <w:kern w:val="0"/>
      <w:sz w:val="24"/>
      <w:szCs w:val="24"/>
    </w:rPr>
  </w:style>
  <w:style w:type="paragraph" w:styleId="10">
    <w:name w:val="heading 8"/>
    <w:basedOn w:val="3"/>
    <w:next w:val="1"/>
    <w:link w:val="37"/>
    <w:semiHidden/>
    <w:unhideWhenUsed/>
    <w:qFormat/>
    <w:uiPriority w:val="99"/>
    <w:pPr>
      <w:widowControl/>
      <w:spacing w:before="240" w:after="64" w:line="316" w:lineRule="auto"/>
      <w:ind w:firstLine="425" w:firstLineChars="177"/>
      <w:outlineLvl w:val="7"/>
    </w:pPr>
    <w:rPr>
      <w:rFonts w:ascii="Arial" w:hAnsi="Arial" w:eastAsia="黑体"/>
      <w:b w:val="0"/>
      <w:bCs w:val="0"/>
      <w:color w:val="000000"/>
      <w:kern w:val="0"/>
      <w:sz w:val="24"/>
      <w:szCs w:val="24"/>
    </w:rPr>
  </w:style>
  <w:style w:type="paragraph" w:styleId="11">
    <w:name w:val="heading 9"/>
    <w:basedOn w:val="3"/>
    <w:next w:val="1"/>
    <w:link w:val="38"/>
    <w:semiHidden/>
    <w:unhideWhenUsed/>
    <w:qFormat/>
    <w:uiPriority w:val="99"/>
    <w:pPr>
      <w:widowControl/>
      <w:spacing w:beforeLines="50" w:after="64" w:line="400" w:lineRule="exact"/>
      <w:ind w:firstLine="425" w:firstLineChars="177"/>
      <w:jc w:val="center"/>
      <w:outlineLvl w:val="8"/>
    </w:pPr>
    <w:rPr>
      <w:b w:val="0"/>
      <w:bCs w:val="0"/>
      <w:color w:val="000000"/>
      <w:kern w:val="0"/>
      <w:sz w:val="24"/>
      <w:szCs w:val="21"/>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unhideWhenUsed/>
    <w:qFormat/>
    <w:uiPriority w:val="39"/>
    <w:pPr>
      <w:ind w:left="420" w:leftChars="200"/>
    </w:pPr>
  </w:style>
  <w:style w:type="paragraph" w:styleId="12">
    <w:name w:val="Normal Indent"/>
    <w:basedOn w:val="1"/>
    <w:qFormat/>
    <w:uiPriority w:val="0"/>
    <w:pPr>
      <w:spacing w:line="460" w:lineRule="atLeast"/>
      <w:ind w:firstLine="420"/>
    </w:pPr>
    <w:rPr>
      <w:sz w:val="24"/>
    </w:rPr>
  </w:style>
  <w:style w:type="paragraph" w:styleId="13">
    <w:name w:val="annotation text"/>
    <w:basedOn w:val="1"/>
    <w:qFormat/>
    <w:uiPriority w:val="0"/>
    <w:pPr>
      <w:jc w:val="left"/>
    </w:pPr>
  </w:style>
  <w:style w:type="paragraph" w:styleId="14">
    <w:name w:val="Body Text"/>
    <w:basedOn w:val="1"/>
    <w:next w:val="15"/>
    <w:unhideWhenUsed/>
    <w:qFormat/>
    <w:uiPriority w:val="0"/>
    <w:pPr>
      <w:spacing w:after="120"/>
    </w:pPr>
  </w:style>
  <w:style w:type="paragraph" w:customStyle="1" w:styleId="15">
    <w:name w:val="Normal (Web)1"/>
    <w:next w:val="16"/>
    <w:qFormat/>
    <w:uiPriority w:val="0"/>
    <w:pPr>
      <w:jc w:val="both"/>
    </w:pPr>
    <w:rPr>
      <w:rFonts w:ascii="宋体" w:hAnsi="Times New Roman" w:eastAsia="宋体" w:cs="Times New Roman"/>
      <w:kern w:val="2"/>
      <w:sz w:val="24"/>
      <w:szCs w:val="21"/>
      <w:lang w:val="en-US" w:eastAsia="zh-CN" w:bidi="ar-SA"/>
    </w:rPr>
  </w:style>
  <w:style w:type="paragraph" w:customStyle="1" w:styleId="16">
    <w:name w:val="Date1"/>
    <w:basedOn w:val="3"/>
    <w:next w:val="1"/>
    <w:qFormat/>
    <w:uiPriority w:val="99"/>
    <w:pPr>
      <w:keepNext w:val="0"/>
      <w:keepLines w:val="0"/>
      <w:adjustRightInd w:val="0"/>
      <w:spacing w:before="0" w:after="0" w:line="500" w:lineRule="atLeast"/>
      <w:ind w:firstLine="425" w:firstLineChars="177"/>
      <w:outlineLvl w:val="9"/>
    </w:pPr>
    <w:rPr>
      <w:b w:val="0"/>
      <w:bCs w:val="0"/>
      <w:kern w:val="2"/>
      <w:sz w:val="24"/>
      <w:szCs w:val="20"/>
    </w:rPr>
  </w:style>
  <w:style w:type="paragraph" w:styleId="17">
    <w:name w:val="Body Text Indent"/>
    <w:basedOn w:val="1"/>
    <w:qFormat/>
    <w:uiPriority w:val="0"/>
    <w:pPr>
      <w:spacing w:before="100" w:line="240" w:lineRule="atLeast"/>
      <w:ind w:left="91" w:firstLine="561"/>
    </w:pPr>
    <w:rPr>
      <w:rFonts w:ascii="仿宋_GB2312" w:eastAsia="仿宋_GB2312"/>
      <w:sz w:val="24"/>
    </w:rPr>
  </w:style>
  <w:style w:type="paragraph" w:styleId="18">
    <w:name w:val="Plain Text"/>
    <w:basedOn w:val="1"/>
    <w:qFormat/>
    <w:uiPriority w:val="0"/>
    <w:rPr>
      <w:rFonts w:ascii="宋体" w:hAnsi="Courier New"/>
      <w:sz w:val="21"/>
      <w:szCs w:val="20"/>
    </w:rPr>
  </w:style>
  <w:style w:type="paragraph" w:styleId="19">
    <w:name w:val="Body Text Indent 2"/>
    <w:basedOn w:val="1"/>
    <w:next w:val="1"/>
    <w:qFormat/>
    <w:uiPriority w:val="0"/>
    <w:pPr>
      <w:spacing w:after="120" w:line="480" w:lineRule="auto"/>
      <w:ind w:left="420" w:leftChars="200"/>
    </w:pPr>
  </w:style>
  <w:style w:type="paragraph" w:styleId="20">
    <w:name w:val="toc 1"/>
    <w:basedOn w:val="1"/>
    <w:next w:val="1"/>
    <w:unhideWhenUsed/>
    <w:qFormat/>
    <w:uiPriority w:val="39"/>
  </w:style>
  <w:style w:type="paragraph" w:styleId="21">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2">
    <w:name w:val="Body Text First Indent"/>
    <w:basedOn w:val="14"/>
    <w:next w:val="1"/>
    <w:qFormat/>
    <w:uiPriority w:val="0"/>
    <w:pPr>
      <w:widowControl w:val="0"/>
      <w:spacing w:after="120" w:afterLines="0" w:line="588" w:lineRule="exact"/>
      <w:ind w:firstLine="880" w:firstLineChars="200"/>
      <w:jc w:val="both"/>
    </w:pPr>
    <w:rPr>
      <w:rFonts w:ascii="Times New Roman" w:hAnsi="Times New Roman" w:cs="Times New Roman"/>
      <w:kern w:val="2"/>
      <w:sz w:val="32"/>
      <w:szCs w:val="32"/>
    </w:rPr>
  </w:style>
  <w:style w:type="paragraph" w:styleId="23">
    <w:name w:val="Body Text First Indent 2"/>
    <w:basedOn w:val="17"/>
    <w:qFormat/>
    <w:uiPriority w:val="0"/>
    <w:pPr>
      <w:spacing w:before="0" w:after="120" w:line="240" w:lineRule="auto"/>
      <w:ind w:left="420" w:leftChars="200" w:firstLine="420"/>
    </w:pPr>
    <w:rPr>
      <w:rFonts w:eastAsia="宋体"/>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
    <w:name w:val="f【正文】"/>
    <w:basedOn w:val="1"/>
    <w:link w:val="28"/>
    <w:qFormat/>
    <w:uiPriority w:val="0"/>
    <w:pPr>
      <w:widowControl/>
      <w:adjustRightInd w:val="0"/>
      <w:snapToGrid w:val="0"/>
      <w:spacing w:line="360" w:lineRule="auto"/>
      <w:ind w:firstLine="200" w:firstLineChars="200"/>
    </w:pPr>
    <w:rPr>
      <w:rFonts w:cstheme="minorBidi"/>
    </w:rPr>
  </w:style>
  <w:style w:type="character" w:customStyle="1" w:styleId="28">
    <w:name w:val="【正文】 Char"/>
    <w:basedOn w:val="26"/>
    <w:link w:val="27"/>
    <w:qFormat/>
    <w:locked/>
    <w:uiPriority w:val="0"/>
    <w:rPr>
      <w:rFonts w:ascii="Times New Roman" w:hAnsi="Times New Roman" w:eastAsia="宋体" w:cstheme="minorBidi"/>
      <w:kern w:val="2"/>
      <w:sz w:val="24"/>
      <w:szCs w:val="24"/>
    </w:rPr>
  </w:style>
  <w:style w:type="paragraph" w:customStyle="1" w:styleId="29">
    <w:name w:val="f-表头"/>
    <w:basedOn w:val="1"/>
    <w:next w:val="1"/>
    <w:link w:val="39"/>
    <w:qFormat/>
    <w:uiPriority w:val="0"/>
    <w:pPr>
      <w:adjustRightInd w:val="0"/>
      <w:jc w:val="center"/>
    </w:pPr>
    <w:rPr>
      <w:b/>
      <w:kern w:val="0"/>
      <w:sz w:val="21"/>
      <w:szCs w:val="20"/>
    </w:rPr>
  </w:style>
  <w:style w:type="character" w:customStyle="1" w:styleId="30">
    <w:name w:val="标题 1 字符"/>
    <w:basedOn w:val="26"/>
    <w:link w:val="3"/>
    <w:qFormat/>
    <w:uiPriority w:val="0"/>
    <w:rPr>
      <w:rFonts w:ascii="Times New Roman" w:hAnsi="Times New Roman" w:eastAsia="宋体" w:cs="Times New Roman"/>
      <w:b/>
      <w:bCs/>
      <w:kern w:val="44"/>
      <w:sz w:val="44"/>
      <w:szCs w:val="44"/>
    </w:rPr>
  </w:style>
  <w:style w:type="character" w:customStyle="1" w:styleId="31">
    <w:name w:val="标题 2 字符"/>
    <w:basedOn w:val="26"/>
    <w:link w:val="4"/>
    <w:qFormat/>
    <w:uiPriority w:val="0"/>
    <w:rPr>
      <w:rFonts w:asciiTheme="majorHAnsi" w:hAnsiTheme="majorHAnsi" w:eastAsiaTheme="majorEastAsia" w:cstheme="majorBidi"/>
      <w:b/>
      <w:bCs/>
      <w:sz w:val="32"/>
      <w:szCs w:val="32"/>
    </w:rPr>
  </w:style>
  <w:style w:type="character" w:customStyle="1" w:styleId="32">
    <w:name w:val="标题 3 字符"/>
    <w:basedOn w:val="26"/>
    <w:link w:val="5"/>
    <w:qFormat/>
    <w:uiPriority w:val="0"/>
    <w:rPr>
      <w:rFonts w:ascii="宋体" w:hAnsi="宋体" w:eastAsia="宋体" w:cs="宋体"/>
      <w:sz w:val="32"/>
      <w:szCs w:val="32"/>
    </w:rPr>
  </w:style>
  <w:style w:type="character" w:customStyle="1" w:styleId="33">
    <w:name w:val="标题 4 字符"/>
    <w:basedOn w:val="26"/>
    <w:link w:val="6"/>
    <w:qFormat/>
    <w:uiPriority w:val="0"/>
    <w:rPr>
      <w:rFonts w:eastAsia="宋体" w:asciiTheme="majorAscii" w:hAnsiTheme="majorAscii" w:cstheme="majorBidi"/>
      <w:b/>
      <w:bCs/>
      <w:kern w:val="2"/>
      <w:sz w:val="24"/>
      <w:szCs w:val="28"/>
    </w:rPr>
  </w:style>
  <w:style w:type="character" w:customStyle="1" w:styleId="34">
    <w:name w:val="标题 5 字符"/>
    <w:basedOn w:val="26"/>
    <w:link w:val="7"/>
    <w:semiHidden/>
    <w:qFormat/>
    <w:uiPriority w:val="0"/>
    <w:rPr>
      <w:rFonts w:ascii="Times New Roman" w:hAnsi="Times New Roman" w:eastAsia="宋体" w:cs="Times New Roman"/>
      <w:color w:val="000000"/>
      <w:kern w:val="0"/>
      <w:sz w:val="28"/>
      <w:szCs w:val="28"/>
    </w:rPr>
  </w:style>
  <w:style w:type="character" w:customStyle="1" w:styleId="35">
    <w:name w:val="标题 6 字符"/>
    <w:basedOn w:val="26"/>
    <w:link w:val="8"/>
    <w:semiHidden/>
    <w:qFormat/>
    <w:uiPriority w:val="0"/>
    <w:rPr>
      <w:rFonts w:ascii="Arial" w:hAnsi="Arial" w:eastAsia="黑体" w:cs="Times New Roman"/>
      <w:color w:val="000000"/>
      <w:kern w:val="0"/>
      <w:sz w:val="24"/>
      <w:szCs w:val="24"/>
    </w:rPr>
  </w:style>
  <w:style w:type="character" w:customStyle="1" w:styleId="36">
    <w:name w:val="标题 7 字符"/>
    <w:basedOn w:val="26"/>
    <w:link w:val="9"/>
    <w:semiHidden/>
    <w:qFormat/>
    <w:uiPriority w:val="99"/>
    <w:rPr>
      <w:rFonts w:ascii="Times New Roman" w:hAnsi="Times New Roman" w:eastAsia="宋体" w:cs="Times New Roman"/>
      <w:b/>
      <w:bCs/>
      <w:color w:val="000000"/>
      <w:kern w:val="0"/>
      <w:sz w:val="24"/>
      <w:szCs w:val="24"/>
    </w:rPr>
  </w:style>
  <w:style w:type="character" w:customStyle="1" w:styleId="37">
    <w:name w:val="标题 8 字符"/>
    <w:basedOn w:val="26"/>
    <w:link w:val="10"/>
    <w:semiHidden/>
    <w:qFormat/>
    <w:uiPriority w:val="99"/>
    <w:rPr>
      <w:rFonts w:ascii="Arial" w:hAnsi="Arial" w:eastAsia="黑体" w:cs="Times New Roman"/>
      <w:color w:val="000000"/>
      <w:kern w:val="0"/>
      <w:sz w:val="24"/>
      <w:szCs w:val="24"/>
    </w:rPr>
  </w:style>
  <w:style w:type="character" w:customStyle="1" w:styleId="38">
    <w:name w:val="标题 9 字符"/>
    <w:basedOn w:val="26"/>
    <w:link w:val="11"/>
    <w:semiHidden/>
    <w:qFormat/>
    <w:uiPriority w:val="99"/>
    <w:rPr>
      <w:rFonts w:ascii="Times New Roman" w:hAnsi="Times New Roman" w:eastAsia="宋体" w:cs="Times New Roman"/>
      <w:color w:val="000000"/>
      <w:kern w:val="0"/>
      <w:sz w:val="24"/>
      <w:szCs w:val="21"/>
    </w:rPr>
  </w:style>
  <w:style w:type="character" w:customStyle="1" w:styleId="39">
    <w:name w:val="表格 Char"/>
    <w:link w:val="29"/>
    <w:qFormat/>
    <w:locked/>
    <w:uiPriority w:val="0"/>
    <w:rPr>
      <w:rFonts w:ascii="Times New Roman" w:hAnsi="Times New Roman" w:eastAsia="宋体" w:cs="Times New Roman"/>
      <w:b/>
      <w:kern w:val="0"/>
      <w:sz w:val="21"/>
      <w:szCs w:val="20"/>
    </w:rPr>
  </w:style>
  <w:style w:type="character" w:customStyle="1" w:styleId="40">
    <w:name w:val="【标题3】 Char Char"/>
    <w:link w:val="41"/>
    <w:qFormat/>
    <w:locked/>
    <w:uiPriority w:val="0"/>
    <w:rPr>
      <w:rFonts w:ascii="Times New Roman" w:hAnsi="Times New Roman" w:eastAsia="宋体" w:cstheme="minorBidi"/>
      <w:b/>
      <w:bCs/>
      <w:kern w:val="2"/>
      <w:sz w:val="24"/>
      <w:szCs w:val="22"/>
    </w:rPr>
  </w:style>
  <w:style w:type="paragraph" w:customStyle="1" w:styleId="41">
    <w:name w:val="f【标题3】"/>
    <w:basedOn w:val="5"/>
    <w:next w:val="1"/>
    <w:link w:val="40"/>
    <w:qFormat/>
    <w:uiPriority w:val="0"/>
    <w:pPr>
      <w:keepNext w:val="0"/>
      <w:adjustRightInd w:val="0"/>
      <w:snapToGrid w:val="0"/>
      <w:spacing w:before="0" w:after="200" w:line="500" w:lineRule="exact"/>
      <w:ind w:firstLine="640" w:firstLineChars="200"/>
    </w:pPr>
    <w:rPr>
      <w:rFonts w:ascii="Times New Roman" w:hAnsi="Times New Roman" w:eastAsia="宋体" w:cstheme="minorBidi"/>
      <w:b/>
      <w:bCs/>
      <w:sz w:val="24"/>
      <w:szCs w:val="22"/>
    </w:rPr>
  </w:style>
  <w:style w:type="character" w:customStyle="1" w:styleId="42">
    <w:name w:val="【标题2】 Char Char"/>
    <w:link w:val="43"/>
    <w:qFormat/>
    <w:locked/>
    <w:uiPriority w:val="0"/>
    <w:rPr>
      <w:rFonts w:ascii="Times New Roman" w:hAnsi="Times New Roman" w:eastAsia="宋体" w:cstheme="minorBidi"/>
      <w:b/>
      <w:bCs/>
      <w:kern w:val="2"/>
      <w:sz w:val="28"/>
      <w:szCs w:val="22"/>
    </w:rPr>
  </w:style>
  <w:style w:type="paragraph" w:customStyle="1" w:styleId="43">
    <w:name w:val="f【标题2】"/>
    <w:basedOn w:val="4"/>
    <w:next w:val="1"/>
    <w:link w:val="42"/>
    <w:qFormat/>
    <w:uiPriority w:val="0"/>
    <w:pPr>
      <w:keepNext w:val="0"/>
      <w:tabs>
        <w:tab w:val="left" w:pos="720"/>
      </w:tabs>
      <w:adjustRightInd w:val="0"/>
      <w:snapToGrid w:val="0"/>
      <w:spacing w:before="0" w:after="200" w:line="500" w:lineRule="exact"/>
    </w:pPr>
    <w:rPr>
      <w:rFonts w:ascii="Times New Roman" w:hAnsi="Times New Roman" w:eastAsia="宋体" w:cstheme="minorBidi"/>
      <w:sz w:val="28"/>
      <w:szCs w:val="22"/>
    </w:rPr>
  </w:style>
  <w:style w:type="paragraph" w:customStyle="1" w:styleId="44">
    <w:name w:val="f【标题1】"/>
    <w:basedOn w:val="1"/>
    <w:link w:val="45"/>
    <w:qFormat/>
    <w:uiPriority w:val="0"/>
    <w:pPr>
      <w:widowControl/>
      <w:tabs>
        <w:tab w:val="left" w:leader="middleDot" w:pos="7371"/>
      </w:tabs>
      <w:adjustRightInd w:val="0"/>
      <w:snapToGrid w:val="0"/>
      <w:spacing w:after="200" w:line="500" w:lineRule="exact"/>
      <w:outlineLvl w:val="0"/>
    </w:pPr>
    <w:rPr>
      <w:rFonts w:ascii="Times New Roman" w:hAnsi="Times New Roman" w:eastAsia="宋体"/>
      <w:b/>
      <w:color w:val="000000" w:themeColor="text1"/>
      <w:kern w:val="0"/>
      <w:sz w:val="32"/>
      <w:szCs w:val="32"/>
      <w14:textFill>
        <w14:solidFill>
          <w14:schemeClr w14:val="tx1"/>
        </w14:solidFill>
      </w14:textFill>
    </w:rPr>
  </w:style>
  <w:style w:type="character" w:customStyle="1" w:styleId="45">
    <w:name w:val="【标题1】 字符"/>
    <w:basedOn w:val="26"/>
    <w:link w:val="44"/>
    <w:qFormat/>
    <w:uiPriority w:val="0"/>
    <w:rPr>
      <w:rFonts w:ascii="Times New Roman" w:hAnsi="Times New Roman" w:eastAsia="宋体"/>
      <w:b/>
      <w:color w:val="000000" w:themeColor="text1"/>
      <w:sz w:val="32"/>
      <w:szCs w:val="32"/>
      <w14:textFill>
        <w14:solidFill>
          <w14:schemeClr w14:val="tx1"/>
        </w14:solidFill>
      </w14:textFill>
    </w:rPr>
  </w:style>
  <w:style w:type="paragraph" w:customStyle="1" w:styleId="46">
    <w:name w:val="f-表内"/>
    <w:basedOn w:val="1"/>
    <w:qFormat/>
    <w:uiPriority w:val="0"/>
    <w:pPr>
      <w:adjustRightInd w:val="0"/>
      <w:spacing w:line="240" w:lineRule="auto"/>
      <w:ind w:firstLine="0" w:firstLineChars="0"/>
      <w:jc w:val="center"/>
    </w:pPr>
    <w:rPr>
      <w:kern w:val="0"/>
      <w:sz w:val="21"/>
      <w:szCs w:val="20"/>
    </w:rPr>
  </w:style>
  <w:style w:type="paragraph" w:customStyle="1" w:styleId="47">
    <w:name w:val="【表头】"/>
    <w:basedOn w:val="1"/>
    <w:qFormat/>
    <w:uiPriority w:val="0"/>
    <w:pPr>
      <w:adjustRightInd w:val="0"/>
      <w:snapToGrid w:val="0"/>
      <w:spacing w:line="500" w:lineRule="exact"/>
      <w:jc w:val="center"/>
    </w:pPr>
    <w:rPr>
      <w:rFonts w:eastAsia="黑体" w:cstheme="minorBidi"/>
      <w:sz w:val="24"/>
      <w:szCs w:val="21"/>
    </w:rPr>
  </w:style>
  <w:style w:type="paragraph" w:customStyle="1" w:styleId="48">
    <w:name w:val="【正文】"/>
    <w:basedOn w:val="1"/>
    <w:link w:val="68"/>
    <w:qFormat/>
    <w:uiPriority w:val="0"/>
    <w:pPr>
      <w:widowControl/>
      <w:adjustRightInd w:val="0"/>
      <w:snapToGrid w:val="0"/>
      <w:spacing w:line="500" w:lineRule="exact"/>
      <w:ind w:firstLine="200" w:firstLineChars="200"/>
    </w:pPr>
    <w:rPr>
      <w:rFonts w:cstheme="minorBidi"/>
      <w:sz w:val="24"/>
    </w:rPr>
  </w:style>
  <w:style w:type="table" w:customStyle="1" w:styleId="49">
    <w:name w:val="[表格样式]42"/>
    <w:basedOn w:val="24"/>
    <w:qFormat/>
    <w:uiPriority w:val="99"/>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50">
    <w:name w:val="【表中文字】"/>
    <w:basedOn w:val="1"/>
    <w:qFormat/>
    <w:uiPriority w:val="0"/>
    <w:pPr>
      <w:adjustRightInd w:val="0"/>
      <w:snapToGrid w:val="0"/>
      <w:jc w:val="center"/>
    </w:pPr>
    <w:rPr>
      <w:szCs w:val="21"/>
    </w:rPr>
  </w:style>
  <w:style w:type="character" w:customStyle="1" w:styleId="51">
    <w:name w:val="【表中文字】 Char"/>
    <w:qFormat/>
    <w:locked/>
    <w:uiPriority w:val="0"/>
    <w:rPr>
      <w:rFonts w:ascii="Times New Roman" w:hAnsi="Times New Roman" w:cs="Times New Roman"/>
    </w:rPr>
  </w:style>
  <w:style w:type="table" w:customStyle="1" w:styleId="52">
    <w:name w:val="网格型111"/>
    <w:basedOn w:val="24"/>
    <w:qFormat/>
    <w:uiPriority w:val="59"/>
    <w:pPr>
      <w:jc w:val="center"/>
    </w:pPr>
    <w:rPr>
      <w:rFonts w:ascii="Calibri" w:hAnsi="Calibri"/>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53">
    <w:name w:val="环评表格1"/>
    <w:basedOn w:val="24"/>
    <w:qFormat/>
    <w:uiPriority w:val="0"/>
    <w:pPr>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54">
    <w:name w:val="表格中文字"/>
    <w:basedOn w:val="1"/>
    <w:qFormat/>
    <w:uiPriority w:val="0"/>
    <w:pPr>
      <w:spacing w:line="360" w:lineRule="exact"/>
      <w:ind w:firstLine="0" w:firstLineChars="0"/>
      <w:jc w:val="center"/>
    </w:pPr>
    <w:rPr>
      <w:rFonts w:ascii="Times New Roman" w:hAnsi="Times New Roman"/>
      <w:color w:val="auto"/>
      <w:kern w:val="0"/>
      <w:sz w:val="21"/>
      <w:szCs w:val="21"/>
    </w:rPr>
  </w:style>
  <w:style w:type="character" w:customStyle="1" w:styleId="55">
    <w:name w:val="font21"/>
    <w:basedOn w:val="26"/>
    <w:qFormat/>
    <w:uiPriority w:val="0"/>
    <w:rPr>
      <w:rFonts w:hint="default" w:ascii="Times New Roman" w:hAnsi="Times New Roman" w:cs="Times New Roman"/>
      <w:b/>
      <w:bCs/>
      <w:color w:val="FF0000"/>
      <w:sz w:val="21"/>
      <w:szCs w:val="21"/>
      <w:u w:val="none"/>
    </w:rPr>
  </w:style>
  <w:style w:type="character" w:customStyle="1" w:styleId="56">
    <w:name w:val="font61"/>
    <w:basedOn w:val="26"/>
    <w:qFormat/>
    <w:uiPriority w:val="0"/>
    <w:rPr>
      <w:rFonts w:hint="default" w:ascii="Times New Roman" w:hAnsi="Times New Roman" w:cs="Times New Roman"/>
      <w:b/>
      <w:bCs/>
      <w:color w:val="FF0000"/>
      <w:sz w:val="21"/>
      <w:szCs w:val="21"/>
      <w:u w:val="none"/>
      <w:vertAlign w:val="superscript"/>
    </w:rPr>
  </w:style>
  <w:style w:type="character" w:customStyle="1" w:styleId="57">
    <w:name w:val="font71"/>
    <w:basedOn w:val="26"/>
    <w:qFormat/>
    <w:uiPriority w:val="0"/>
    <w:rPr>
      <w:rFonts w:hint="default" w:ascii="Times New Roman" w:hAnsi="Times New Roman" w:cs="Times New Roman"/>
      <w:b/>
      <w:bCs/>
      <w:color w:val="FF0000"/>
      <w:sz w:val="21"/>
      <w:szCs w:val="21"/>
      <w:u w:val="none"/>
      <w:vertAlign w:val="subscript"/>
    </w:rPr>
  </w:style>
  <w:style w:type="character" w:customStyle="1" w:styleId="58">
    <w:name w:val="font41"/>
    <w:basedOn w:val="26"/>
    <w:qFormat/>
    <w:uiPriority w:val="0"/>
    <w:rPr>
      <w:rFonts w:hint="eastAsia" w:ascii="宋体" w:hAnsi="宋体" w:eastAsia="宋体" w:cs="宋体"/>
      <w:color w:val="FF0000"/>
      <w:sz w:val="21"/>
      <w:szCs w:val="21"/>
      <w:u w:val="none"/>
    </w:rPr>
  </w:style>
  <w:style w:type="character" w:customStyle="1" w:styleId="59">
    <w:name w:val="font31"/>
    <w:basedOn w:val="26"/>
    <w:qFormat/>
    <w:uiPriority w:val="0"/>
    <w:rPr>
      <w:rFonts w:hint="default" w:ascii="Times New Roman" w:hAnsi="Times New Roman" w:cs="Times New Roman"/>
      <w:color w:val="FF0000"/>
      <w:sz w:val="21"/>
      <w:szCs w:val="21"/>
      <w:u w:val="none"/>
    </w:rPr>
  </w:style>
  <w:style w:type="character" w:customStyle="1" w:styleId="60">
    <w:name w:val="font11"/>
    <w:basedOn w:val="26"/>
    <w:qFormat/>
    <w:uiPriority w:val="0"/>
    <w:rPr>
      <w:rFonts w:hint="default" w:ascii="Times New Roman" w:hAnsi="Times New Roman" w:cs="Times New Roman"/>
      <w:b/>
      <w:bCs/>
      <w:color w:val="FF0000"/>
      <w:sz w:val="21"/>
      <w:szCs w:val="21"/>
      <w:u w:val="none"/>
    </w:rPr>
  </w:style>
  <w:style w:type="table" w:customStyle="1" w:styleId="61">
    <w:name w:val="网格型1111"/>
    <w:basedOn w:val="24"/>
    <w:qFormat/>
    <w:uiPriority w:val="59"/>
    <w:pPr>
      <w:jc w:val="center"/>
    </w:pPr>
    <w:rPr>
      <w:rFonts w:ascii="Calibri" w:hAnsi="Calibri"/>
    </w:rPr>
    <w:tblPr>
      <w:tblBorders>
        <w:top w:val="single" w:color="auto" w:sz="12" w:space="0"/>
        <w:bottom w:val="single" w:color="auto" w:sz="12" w:space="0"/>
        <w:insideH w:val="single" w:color="auto" w:sz="4" w:space="0"/>
        <w:insideV w:val="single" w:color="auto" w:sz="4" w:space="0"/>
      </w:tblBorders>
    </w:tblPr>
    <w:tcPr>
      <w:vAlign w:val="center"/>
    </w:tcPr>
  </w:style>
  <w:style w:type="paragraph" w:styleId="62">
    <w:name w:val="List Paragraph"/>
    <w:basedOn w:val="1"/>
    <w:qFormat/>
    <w:uiPriority w:val="34"/>
    <w:pPr>
      <w:ind w:firstLine="420" w:firstLineChars="200"/>
    </w:pPr>
  </w:style>
  <w:style w:type="paragraph" w:customStyle="1" w:styleId="63">
    <w:name w:val="Default"/>
    <w:qFormat/>
    <w:uiPriority w:val="0"/>
    <w:pPr>
      <w:widowControl w:val="0"/>
      <w:autoSpaceDE w:val="0"/>
      <w:autoSpaceDN w:val="0"/>
      <w:adjustRightInd w:val="0"/>
    </w:pPr>
    <w:rPr>
      <w:rFonts w:ascii="Times New Roman" w:hAnsi="Times New Roman" w:eastAsia="宋体" w:cs="Times New Roman"/>
      <w:color w:val="000000"/>
      <w:kern w:val="2"/>
      <w:sz w:val="24"/>
      <w:szCs w:val="24"/>
      <w:lang w:val="en-US" w:eastAsia="zh-CN" w:bidi="ar-SA"/>
    </w:rPr>
  </w:style>
  <w:style w:type="paragraph" w:customStyle="1" w:styleId="64">
    <w:name w:val="图表名"/>
    <w:basedOn w:val="1"/>
    <w:qFormat/>
    <w:uiPriority w:val="0"/>
    <w:pPr>
      <w:spacing w:line="240" w:lineRule="auto"/>
      <w:ind w:firstLine="0" w:firstLineChars="0"/>
      <w:jc w:val="center"/>
    </w:pPr>
    <w:rPr>
      <w:rFonts w:hint="eastAsia"/>
      <w:b/>
    </w:rPr>
  </w:style>
  <w:style w:type="paragraph" w:customStyle="1" w:styleId="65">
    <w:name w:val="表中文字"/>
    <w:basedOn w:val="1"/>
    <w:qFormat/>
    <w:uiPriority w:val="0"/>
    <w:pPr>
      <w:spacing w:line="240" w:lineRule="auto"/>
      <w:ind w:firstLine="0" w:firstLineChars="0"/>
      <w:jc w:val="center"/>
    </w:pPr>
    <w:rPr>
      <w:sz w:val="21"/>
      <w:szCs w:val="21"/>
    </w:rPr>
  </w:style>
  <w:style w:type="paragraph" w:customStyle="1" w:styleId="66">
    <w:name w:val="报告书正文"/>
    <w:basedOn w:val="1"/>
    <w:qFormat/>
    <w:uiPriority w:val="0"/>
    <w:pPr>
      <w:spacing w:line="360" w:lineRule="auto"/>
      <w:ind w:firstLine="420" w:firstLineChars="200"/>
      <w:jc w:val="both"/>
    </w:pPr>
    <w:rPr>
      <w:rFonts w:ascii="Times New Roman" w:hAnsi="Times New Roman" w:cs="Times New Roman"/>
      <w:kern w:val="2"/>
      <w:lang w:bidi="ar-SA"/>
    </w:rPr>
  </w:style>
  <w:style w:type="paragraph" w:customStyle="1" w:styleId="67">
    <w:name w:val="【标题4】"/>
    <w:basedOn w:val="3"/>
    <w:next w:val="1"/>
    <w:autoRedefine/>
    <w:qFormat/>
    <w:uiPriority w:val="0"/>
    <w:pPr>
      <w:keepNext w:val="0"/>
      <w:adjustRightInd w:val="0"/>
      <w:snapToGrid w:val="0"/>
      <w:spacing w:before="0" w:after="0" w:line="500" w:lineRule="exact"/>
      <w:outlineLvl w:val="3"/>
    </w:pPr>
    <w:rPr>
      <w:b w:val="0"/>
      <w:kern w:val="2"/>
      <w:sz w:val="24"/>
      <w:szCs w:val="22"/>
    </w:rPr>
  </w:style>
  <w:style w:type="character" w:customStyle="1" w:styleId="68">
    <w:name w:val="【正文】 Char1"/>
    <w:link w:val="48"/>
    <w:qFormat/>
    <w:uiPriority w:val="0"/>
    <w:rPr>
      <w:rFonts w:cstheme="minorBidi"/>
      <w:sz w:val="24"/>
    </w:rPr>
  </w:style>
  <w:style w:type="paragraph" w:customStyle="1" w:styleId="69">
    <w:name w:val="表中的文字"/>
    <w:basedOn w:val="65"/>
    <w:qFormat/>
    <w:uiPriority w:val="0"/>
    <w:pPr>
      <w:spacing w:line="440" w:lineRule="exact"/>
      <w:ind w:firstLine="0" w:firstLineChars="0"/>
    </w:pPr>
    <w:rPr>
      <w:rFonts w:eastAsia="仿宋_GB2312"/>
      <w:bCs/>
      <w:color w:val="000000"/>
      <w:kern w:val="0"/>
      <w:sz w:val="21"/>
      <w:szCs w:val="21"/>
    </w:rPr>
  </w:style>
  <w:style w:type="paragraph" w:customStyle="1" w:styleId="70">
    <w:name w:val="表头文字"/>
    <w:basedOn w:val="1"/>
    <w:qFormat/>
    <w:uiPriority w:val="0"/>
    <w:pPr>
      <w:adjustRightInd w:val="0"/>
      <w:ind w:firstLine="0" w:firstLineChars="0"/>
      <w:jc w:val="center"/>
    </w:pPr>
    <w:rPr>
      <w:color w:val="auto"/>
      <w:sz w:val="28"/>
      <w:szCs w:val="20"/>
    </w:rPr>
  </w:style>
  <w:style w:type="paragraph" w:customStyle="1" w:styleId="71">
    <w:name w:val="表格"/>
    <w:basedOn w:val="12"/>
    <w:next w:val="1"/>
    <w:qFormat/>
    <w:uiPriority w:val="0"/>
    <w:pPr>
      <w:jc w:val="center"/>
    </w:pPr>
    <w:rPr>
      <w:sz w:val="24"/>
    </w:rPr>
  </w:style>
  <w:style w:type="paragraph" w:customStyle="1" w:styleId="72">
    <w:name w:val="Body Text 22"/>
    <w:basedOn w:val="1"/>
    <w:qFormat/>
    <w:uiPriority w:val="0"/>
    <w:pPr>
      <w:adjustRightInd w:val="0"/>
      <w:spacing w:line="440" w:lineRule="atLeast"/>
      <w:ind w:firstLine="480"/>
      <w:textAlignment w:val="baseline"/>
    </w:pPr>
    <w:rPr>
      <w:rFonts w:ascii="Times New Roman" w:hAnsi="Times New Roman" w:eastAsia="仿宋_GB2312" w:cs="Times New Roman"/>
      <w:sz w:val="24"/>
      <w:szCs w:val="20"/>
    </w:rPr>
  </w:style>
  <w:style w:type="paragraph" w:customStyle="1" w:styleId="73">
    <w:name w:val="正文00"/>
    <w:basedOn w:val="1"/>
    <w:next w:val="74"/>
    <w:qFormat/>
    <w:uiPriority w:val="0"/>
    <w:pPr>
      <w:widowControl/>
      <w:spacing w:line="425" w:lineRule="atLeast"/>
      <w:ind w:left="107" w:leftChars="51" w:right="124" w:rightChars="59" w:firstLine="480"/>
      <w:textAlignment w:val="baseline"/>
    </w:pPr>
    <w:rPr>
      <w:kern w:val="0"/>
      <w:sz w:val="28"/>
      <w:szCs w:val="24"/>
    </w:rPr>
  </w:style>
  <w:style w:type="paragraph" w:customStyle="1" w:styleId="74">
    <w:name w:val="样式 Times New Roman 五号 居中1"/>
    <w:basedOn w:val="1"/>
    <w:next w:val="75"/>
    <w:qFormat/>
    <w:uiPriority w:val="0"/>
    <w:pPr>
      <w:jc w:val="center"/>
    </w:pPr>
    <w:rPr>
      <w:rFonts w:eastAsia="宋体" w:cs="宋体"/>
      <w:szCs w:val="20"/>
    </w:rPr>
  </w:style>
  <w:style w:type="paragraph" w:customStyle="1" w:styleId="75">
    <w:name w:val="表头"/>
    <w:basedOn w:val="2"/>
    <w:next w:val="1"/>
    <w:qFormat/>
    <w:uiPriority w:val="0"/>
    <w:pPr>
      <w:tabs>
        <w:tab w:val="right" w:leader="dot" w:pos="8720"/>
      </w:tabs>
      <w:spacing w:before="50" w:beforeLines="0" w:line="240" w:lineRule="atLeast"/>
      <w:ind w:firstLine="200"/>
      <w:jc w:val="center"/>
    </w:pPr>
    <w:rPr>
      <w:rFonts w:ascii="宋体" w:hAnsi="宋体"/>
      <w:b/>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5.jpeg"/><Relationship Id="rId98" Type="http://schemas.openxmlformats.org/officeDocument/2006/relationships/image" Target="media/image84.jpeg"/><Relationship Id="rId97" Type="http://schemas.openxmlformats.org/officeDocument/2006/relationships/image" Target="media/image83.jpeg"/><Relationship Id="rId96" Type="http://schemas.openxmlformats.org/officeDocument/2006/relationships/image" Target="media/image82.jpeg"/><Relationship Id="rId95" Type="http://schemas.openxmlformats.org/officeDocument/2006/relationships/image" Target="media/image81.jpeg"/><Relationship Id="rId94" Type="http://schemas.openxmlformats.org/officeDocument/2006/relationships/image" Target="media/image80.jpeg"/><Relationship Id="rId93" Type="http://schemas.openxmlformats.org/officeDocument/2006/relationships/image" Target="media/image79.jpeg"/><Relationship Id="rId92" Type="http://schemas.openxmlformats.org/officeDocument/2006/relationships/image" Target="media/image78.jpeg"/><Relationship Id="rId91" Type="http://schemas.openxmlformats.org/officeDocument/2006/relationships/image" Target="media/image77.jpeg"/><Relationship Id="rId90" Type="http://schemas.openxmlformats.org/officeDocument/2006/relationships/image" Target="media/image76.jpeg"/><Relationship Id="rId9" Type="http://schemas.openxmlformats.org/officeDocument/2006/relationships/header" Target="header3.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jpeg"/><Relationship Id="rId83" Type="http://schemas.openxmlformats.org/officeDocument/2006/relationships/image" Target="media/image69.jpeg"/><Relationship Id="rId82" Type="http://schemas.openxmlformats.org/officeDocument/2006/relationships/image" Target="media/image68.jpe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2.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jpe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jpe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2.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wmf"/><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jpe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png"/><Relationship Id="rId25" Type="http://schemas.openxmlformats.org/officeDocument/2006/relationships/image" Target="media/image11.emf"/><Relationship Id="rId24" Type="http://schemas.openxmlformats.org/officeDocument/2006/relationships/oleObject" Target="embeddings/oleObject1.bin"/><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1" Type="http://schemas.openxmlformats.org/officeDocument/2006/relationships/fontTable" Target="fontTable.xml"/><Relationship Id="rId170" Type="http://schemas.openxmlformats.org/officeDocument/2006/relationships/numbering" Target="numbering.xml"/><Relationship Id="rId17" Type="http://schemas.openxmlformats.org/officeDocument/2006/relationships/image" Target="media/image4.png"/><Relationship Id="rId169" Type="http://schemas.openxmlformats.org/officeDocument/2006/relationships/customXml" Target="../customXml/item1.xml"/><Relationship Id="rId168" Type="http://schemas.openxmlformats.org/officeDocument/2006/relationships/image" Target="media/image154.png"/><Relationship Id="rId167" Type="http://schemas.openxmlformats.org/officeDocument/2006/relationships/image" Target="media/image153.jpeg"/><Relationship Id="rId166" Type="http://schemas.openxmlformats.org/officeDocument/2006/relationships/image" Target="media/image152.jpeg"/><Relationship Id="rId165" Type="http://schemas.openxmlformats.org/officeDocument/2006/relationships/image" Target="media/image151.jpeg"/><Relationship Id="rId164" Type="http://schemas.openxmlformats.org/officeDocument/2006/relationships/image" Target="media/image150.jpeg"/><Relationship Id="rId163" Type="http://schemas.openxmlformats.org/officeDocument/2006/relationships/image" Target="media/image149.jpeg"/><Relationship Id="rId162" Type="http://schemas.openxmlformats.org/officeDocument/2006/relationships/image" Target="media/image148.jpeg"/><Relationship Id="rId161" Type="http://schemas.openxmlformats.org/officeDocument/2006/relationships/image" Target="media/image147.jpeg"/><Relationship Id="rId160" Type="http://schemas.openxmlformats.org/officeDocument/2006/relationships/image" Target="media/image146.jpeg"/><Relationship Id="rId16" Type="http://schemas.openxmlformats.org/officeDocument/2006/relationships/image" Target="media/image3.png"/><Relationship Id="rId159" Type="http://schemas.openxmlformats.org/officeDocument/2006/relationships/image" Target="media/image145.jpeg"/><Relationship Id="rId158" Type="http://schemas.openxmlformats.org/officeDocument/2006/relationships/image" Target="media/image144.jpeg"/><Relationship Id="rId157" Type="http://schemas.openxmlformats.org/officeDocument/2006/relationships/image" Target="media/image143.jpeg"/><Relationship Id="rId156" Type="http://schemas.openxmlformats.org/officeDocument/2006/relationships/image" Target="media/image142.jpeg"/><Relationship Id="rId155" Type="http://schemas.openxmlformats.org/officeDocument/2006/relationships/image" Target="media/image141.jpeg"/><Relationship Id="rId154" Type="http://schemas.openxmlformats.org/officeDocument/2006/relationships/image" Target="media/image140.jpeg"/><Relationship Id="rId153" Type="http://schemas.openxmlformats.org/officeDocument/2006/relationships/image" Target="media/image139.jpeg"/><Relationship Id="rId152" Type="http://schemas.openxmlformats.org/officeDocument/2006/relationships/image" Target="media/image138.jpeg"/><Relationship Id="rId151" Type="http://schemas.openxmlformats.org/officeDocument/2006/relationships/image" Target="media/image137.jpeg"/><Relationship Id="rId150" Type="http://schemas.openxmlformats.org/officeDocument/2006/relationships/image" Target="media/image136.jpeg"/><Relationship Id="rId15" Type="http://schemas.openxmlformats.org/officeDocument/2006/relationships/image" Target="media/image2.png"/><Relationship Id="rId149" Type="http://schemas.openxmlformats.org/officeDocument/2006/relationships/image" Target="media/image135.jpeg"/><Relationship Id="rId148" Type="http://schemas.openxmlformats.org/officeDocument/2006/relationships/image" Target="media/image134.png"/><Relationship Id="rId147" Type="http://schemas.openxmlformats.org/officeDocument/2006/relationships/image" Target="media/image133.jpeg"/><Relationship Id="rId146" Type="http://schemas.openxmlformats.org/officeDocument/2006/relationships/image" Target="media/image132.jpeg"/><Relationship Id="rId145" Type="http://schemas.openxmlformats.org/officeDocument/2006/relationships/image" Target="media/image131.jpeg"/><Relationship Id="rId144" Type="http://schemas.openxmlformats.org/officeDocument/2006/relationships/image" Target="media/image130.jpeg"/><Relationship Id="rId143" Type="http://schemas.openxmlformats.org/officeDocument/2006/relationships/image" Target="media/image129.jpeg"/><Relationship Id="rId142" Type="http://schemas.openxmlformats.org/officeDocument/2006/relationships/image" Target="media/image128.jpeg"/><Relationship Id="rId141" Type="http://schemas.openxmlformats.org/officeDocument/2006/relationships/image" Target="media/image127.jpeg"/><Relationship Id="rId140" Type="http://schemas.openxmlformats.org/officeDocument/2006/relationships/image" Target="media/image126.jpeg"/><Relationship Id="rId14" Type="http://schemas.openxmlformats.org/officeDocument/2006/relationships/image" Target="media/image1.png"/><Relationship Id="rId139" Type="http://schemas.openxmlformats.org/officeDocument/2006/relationships/image" Target="media/image125.jpeg"/><Relationship Id="rId138" Type="http://schemas.openxmlformats.org/officeDocument/2006/relationships/image" Target="media/image124.jpeg"/><Relationship Id="rId137" Type="http://schemas.openxmlformats.org/officeDocument/2006/relationships/image" Target="media/image123.jpeg"/><Relationship Id="rId136" Type="http://schemas.openxmlformats.org/officeDocument/2006/relationships/image" Target="media/image122.jpeg"/><Relationship Id="rId135" Type="http://schemas.openxmlformats.org/officeDocument/2006/relationships/image" Target="media/image121.jpeg"/><Relationship Id="rId134" Type="http://schemas.openxmlformats.org/officeDocument/2006/relationships/image" Target="media/image120.jpeg"/><Relationship Id="rId133" Type="http://schemas.openxmlformats.org/officeDocument/2006/relationships/image" Target="media/image119.jpeg"/><Relationship Id="rId132" Type="http://schemas.openxmlformats.org/officeDocument/2006/relationships/image" Target="media/image118.jpeg"/><Relationship Id="rId131" Type="http://schemas.openxmlformats.org/officeDocument/2006/relationships/image" Target="media/image117.jpeg"/><Relationship Id="rId130" Type="http://schemas.openxmlformats.org/officeDocument/2006/relationships/image" Target="media/image116.jpeg"/><Relationship Id="rId13" Type="http://schemas.openxmlformats.org/officeDocument/2006/relationships/theme" Target="theme/theme1.xml"/><Relationship Id="rId129" Type="http://schemas.openxmlformats.org/officeDocument/2006/relationships/image" Target="media/image115.jpeg"/><Relationship Id="rId128" Type="http://schemas.openxmlformats.org/officeDocument/2006/relationships/image" Target="media/image114.jpeg"/><Relationship Id="rId127" Type="http://schemas.openxmlformats.org/officeDocument/2006/relationships/image" Target="media/image113.jpeg"/><Relationship Id="rId126" Type="http://schemas.openxmlformats.org/officeDocument/2006/relationships/image" Target="media/image112.jpeg"/><Relationship Id="rId125" Type="http://schemas.openxmlformats.org/officeDocument/2006/relationships/image" Target="media/image111.jpeg"/><Relationship Id="rId124" Type="http://schemas.openxmlformats.org/officeDocument/2006/relationships/image" Target="media/image110.jpeg"/><Relationship Id="rId123" Type="http://schemas.openxmlformats.org/officeDocument/2006/relationships/image" Target="media/image109.jpeg"/><Relationship Id="rId122" Type="http://schemas.openxmlformats.org/officeDocument/2006/relationships/image" Target="media/image108.jpeg"/><Relationship Id="rId121" Type="http://schemas.openxmlformats.org/officeDocument/2006/relationships/image" Target="media/image107.jpeg"/><Relationship Id="rId120" Type="http://schemas.openxmlformats.org/officeDocument/2006/relationships/image" Target="media/image106.jpeg"/><Relationship Id="rId12" Type="http://schemas.openxmlformats.org/officeDocument/2006/relationships/footer" Target="footer4.xml"/><Relationship Id="rId119" Type="http://schemas.openxmlformats.org/officeDocument/2006/relationships/image" Target="media/image105.jpeg"/><Relationship Id="rId118" Type="http://schemas.openxmlformats.org/officeDocument/2006/relationships/image" Target="media/image104.jpeg"/><Relationship Id="rId117" Type="http://schemas.openxmlformats.org/officeDocument/2006/relationships/image" Target="media/image103.jpeg"/><Relationship Id="rId116" Type="http://schemas.openxmlformats.org/officeDocument/2006/relationships/image" Target="media/image102.jpeg"/><Relationship Id="rId115" Type="http://schemas.openxmlformats.org/officeDocument/2006/relationships/image" Target="media/image101.jpeg"/><Relationship Id="rId114" Type="http://schemas.openxmlformats.org/officeDocument/2006/relationships/image" Target="media/image100.jpeg"/><Relationship Id="rId113" Type="http://schemas.openxmlformats.org/officeDocument/2006/relationships/image" Target="media/image99.jpeg"/><Relationship Id="rId112" Type="http://schemas.openxmlformats.org/officeDocument/2006/relationships/image" Target="media/image98.jpeg"/><Relationship Id="rId111" Type="http://schemas.openxmlformats.org/officeDocument/2006/relationships/image" Target="media/image97.jpeg"/><Relationship Id="rId110" Type="http://schemas.openxmlformats.org/officeDocument/2006/relationships/image" Target="media/image96.jpeg"/><Relationship Id="rId11" Type="http://schemas.openxmlformats.org/officeDocument/2006/relationships/header" Target="header4.xml"/><Relationship Id="rId109" Type="http://schemas.openxmlformats.org/officeDocument/2006/relationships/image" Target="media/image95.jpeg"/><Relationship Id="rId108" Type="http://schemas.openxmlformats.org/officeDocument/2006/relationships/image" Target="media/image94.jpeg"/><Relationship Id="rId107" Type="http://schemas.openxmlformats.org/officeDocument/2006/relationships/image" Target="media/image93.jpeg"/><Relationship Id="rId106" Type="http://schemas.openxmlformats.org/officeDocument/2006/relationships/image" Target="media/image92.jpeg"/><Relationship Id="rId105" Type="http://schemas.openxmlformats.org/officeDocument/2006/relationships/image" Target="media/image91.jpeg"/><Relationship Id="rId104" Type="http://schemas.openxmlformats.org/officeDocument/2006/relationships/image" Target="media/image90.jpeg"/><Relationship Id="rId103" Type="http://schemas.openxmlformats.org/officeDocument/2006/relationships/image" Target="media/image89.jpeg"/><Relationship Id="rId102" Type="http://schemas.openxmlformats.org/officeDocument/2006/relationships/image" Target="media/image88.jpeg"/><Relationship Id="rId101" Type="http://schemas.openxmlformats.org/officeDocument/2006/relationships/image" Target="media/image87.jpeg"/><Relationship Id="rId100" Type="http://schemas.openxmlformats.org/officeDocument/2006/relationships/image" Target="media/image86.jpeg"/><Relationship Id="rId10" Type="http://schemas.openxmlformats.org/officeDocument/2006/relationships/footer" Target="footer3.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5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286</Pages>
  <Words>15716</Words>
  <Characters>16739</Characters>
  <Lines>1126</Lines>
  <Paragraphs>317</Paragraphs>
  <TotalTime>206</TotalTime>
  <ScaleCrop>false</ScaleCrop>
  <LinksUpToDate>false</LinksUpToDate>
  <CharactersWithSpaces>16965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2024-09-03T07:02:00Z</dcterms:created>
  <dc:creator>user</dc:creator>
  <cp:lastModifiedBy>。</cp:lastModifiedBy>
  <cp:lastPrinted>2023-10-13T23:29:00Z</cp:lastPrinted>
  <dcterms:modified xsi:type="dcterms:W3CDTF">2025-06-16T08:46:28Z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3D349B1BEE1540E7978825095CBD9DDB_13</vt:lpwstr>
  </property>
  <property fmtid="{D5CDD505-2E9C-101B-9397-08002B2CF9AE}" pid="4" name="KSOTemplateDocerSaveRecord">
    <vt:lpwstr>eyJoZGlkIjoiMTFjNTcxOTUzMmJiYzdjMTUyMDUxYjJlMmFiZjRlNDEiLCJ1c2VySWQiOiI2NTExODQ4NDQifQ==</vt:lpwstr>
  </property>
</Properties>
</file>