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514126C">
      <w:pPr>
        <w:tabs>
          <w:tab w:val="left" w:pos="1470"/>
        </w:tabs>
        <w:rPr>
          <w:rFonts w:hint="default" w:ascii="Times New Roman" w:hAnsi="Times New Roman" w:eastAsia="仿宋_GB2312" w:cs="Times New Roman"/>
          <w:color w:val="000000" w:themeColor="text1"/>
          <w:sz w:val="36"/>
          <w:szCs w:val="36"/>
          <w14:textFill>
            <w14:solidFill>
              <w14:schemeClr w14:val="tx1"/>
            </w14:solidFill>
          </w14:textFill>
        </w:rPr>
      </w:pPr>
    </w:p>
    <w:p w14:paraId="3EC9D37B">
      <w:pPr>
        <w:adjustRightInd w:val="0"/>
        <w:snapToGrid w:val="0"/>
        <w:jc w:val="center"/>
        <w:rPr>
          <w:rFonts w:hint="default" w:ascii="Times New Roman" w:hAnsi="Times New Roman" w:eastAsia="方正小标宋_GBK" w:cs="Times New Roman"/>
          <w:bCs/>
          <w:color w:val="000000" w:themeColor="text1"/>
          <w:sz w:val="72"/>
          <w:szCs w:val="72"/>
          <w14:textFill>
            <w14:solidFill>
              <w14:schemeClr w14:val="tx1"/>
            </w14:solidFill>
          </w14:textFill>
        </w:rPr>
      </w:pPr>
    </w:p>
    <w:p w14:paraId="1108EF06">
      <w:pPr>
        <w:adjustRightInd w:val="0"/>
        <w:snapToGrid w:val="0"/>
        <w:jc w:val="center"/>
        <w:rPr>
          <w:rFonts w:hint="default" w:ascii="Times New Roman" w:hAnsi="Times New Roman" w:eastAsia="方正小标宋_GBK" w:cs="Times New Roman"/>
          <w:bCs/>
          <w:color w:val="000000" w:themeColor="text1"/>
          <w:sz w:val="72"/>
          <w:szCs w:val="72"/>
          <w14:textFill>
            <w14:solidFill>
              <w14:schemeClr w14:val="tx1"/>
            </w14:solidFill>
          </w14:textFill>
        </w:rPr>
      </w:pPr>
    </w:p>
    <w:p w14:paraId="79231CFE">
      <w:pPr>
        <w:adjustRightInd w:val="0"/>
        <w:snapToGrid w:val="0"/>
        <w:jc w:val="center"/>
        <w:rPr>
          <w:rFonts w:hint="default" w:ascii="Times New Roman" w:hAnsi="Times New Roman" w:eastAsia="方正小标宋_GBK" w:cs="Times New Roman"/>
          <w:bCs/>
          <w:color w:val="000000" w:themeColor="text1"/>
          <w:sz w:val="72"/>
          <w:szCs w:val="72"/>
          <w14:textFill>
            <w14:solidFill>
              <w14:schemeClr w14:val="tx1"/>
            </w14:solidFill>
          </w14:textFill>
        </w:rPr>
      </w:pPr>
      <w:r>
        <w:rPr>
          <w:rFonts w:hint="default" w:ascii="Times New Roman" w:hAnsi="Times New Roman" w:eastAsia="方正小标宋_GBK" w:cs="Times New Roman"/>
          <w:bCs/>
          <w:color w:val="000000" w:themeColor="text1"/>
          <w:sz w:val="72"/>
          <w:szCs w:val="72"/>
          <w14:textFill>
            <w14:solidFill>
              <w14:schemeClr w14:val="tx1"/>
            </w14:solidFill>
          </w14:textFill>
        </w:rPr>
        <w:t>建设项目环境影响报告表</w:t>
      </w:r>
    </w:p>
    <w:p w14:paraId="72C55473">
      <w:pPr>
        <w:adjustRightInd w:val="0"/>
        <w:snapToGrid w:val="0"/>
        <w:spacing w:before="192" w:beforeLines="80"/>
        <w:jc w:val="center"/>
        <w:rPr>
          <w:rFonts w:hint="default" w:ascii="Times New Roman" w:hAnsi="Times New Roman" w:eastAsia="楷体_GB2312" w:cs="Times New Roman"/>
          <w:bCs/>
          <w:color w:val="000000" w:themeColor="text1"/>
          <w:sz w:val="48"/>
          <w:szCs w:val="48"/>
          <w14:textFill>
            <w14:solidFill>
              <w14:schemeClr w14:val="tx1"/>
            </w14:solidFill>
          </w14:textFill>
        </w:rPr>
      </w:pPr>
      <w:r>
        <w:rPr>
          <w:rFonts w:hint="default" w:ascii="Times New Roman" w:hAnsi="Times New Roman" w:eastAsia="楷体_GB2312" w:cs="Times New Roman"/>
          <w:bCs/>
          <w:color w:val="000000" w:themeColor="text1"/>
          <w:sz w:val="48"/>
          <w:szCs w:val="48"/>
          <w14:textFill>
            <w14:solidFill>
              <w14:schemeClr w14:val="tx1"/>
            </w14:solidFill>
          </w14:textFill>
        </w:rPr>
        <w:t>（生态影响类）</w:t>
      </w:r>
    </w:p>
    <w:p w14:paraId="63C29F9B">
      <w:pPr>
        <w:adjustRightInd w:val="0"/>
        <w:snapToGrid w:val="0"/>
        <w:spacing w:line="288" w:lineRule="auto"/>
        <w:jc w:val="center"/>
        <w:rPr>
          <w:rFonts w:hint="default" w:ascii="Times New Roman" w:hAnsi="Times New Roman" w:eastAsia="华文仿宋" w:cs="Times New Roman"/>
          <w:color w:val="000000" w:themeColor="text1"/>
          <w:kern w:val="44"/>
          <w:sz w:val="44"/>
          <w:szCs w:val="44"/>
          <w14:textFill>
            <w14:solidFill>
              <w14:schemeClr w14:val="tx1"/>
            </w14:solidFill>
          </w14:textFill>
        </w:rPr>
      </w:pPr>
      <w:bookmarkStart w:id="0" w:name="_Hlk57883728"/>
    </w:p>
    <w:p w14:paraId="161AAE08">
      <w:pPr>
        <w:jc w:val="center"/>
        <w:rPr>
          <w:rFonts w:hint="default" w:ascii="Times New Roman" w:hAnsi="Times New Roman" w:eastAsia="仿宋" w:cs="Times New Roman"/>
          <w:color w:val="000000" w:themeColor="text1"/>
          <w:sz w:val="52"/>
          <w:szCs w:val="52"/>
          <w14:textFill>
            <w14:solidFill>
              <w14:schemeClr w14:val="tx1"/>
            </w14:solidFill>
          </w14:textFill>
        </w:rPr>
      </w:pPr>
    </w:p>
    <w:p w14:paraId="4794F5DC">
      <w:pPr>
        <w:ind w:firstLine="1040"/>
        <w:rPr>
          <w:rFonts w:hint="default" w:ascii="Times New Roman" w:hAnsi="Times New Roman" w:eastAsia="仿宋" w:cs="Times New Roman"/>
          <w:color w:val="000000" w:themeColor="text1"/>
          <w:sz w:val="44"/>
          <w:szCs w:val="44"/>
          <w14:textFill>
            <w14:solidFill>
              <w14:schemeClr w14:val="tx1"/>
            </w14:solidFill>
          </w14:textFill>
        </w:rPr>
      </w:pPr>
    </w:p>
    <w:p w14:paraId="4FE4E61B">
      <w:pPr>
        <w:ind w:firstLine="1040"/>
        <w:rPr>
          <w:rFonts w:hint="default" w:ascii="Times New Roman" w:hAnsi="Times New Roman" w:eastAsia="仿宋" w:cs="Times New Roman"/>
          <w:color w:val="000000" w:themeColor="text1"/>
          <w:sz w:val="44"/>
          <w:szCs w:val="44"/>
          <w14:textFill>
            <w14:solidFill>
              <w14:schemeClr w14:val="tx1"/>
            </w14:solidFill>
          </w14:textFill>
        </w:rPr>
      </w:pPr>
    </w:p>
    <w:p w14:paraId="5A46A4C9">
      <w:pPr>
        <w:ind w:firstLine="1040"/>
        <w:rPr>
          <w:rFonts w:hint="default" w:ascii="Times New Roman" w:hAnsi="Times New Roman" w:eastAsia="仿宋" w:cs="Times New Roman"/>
          <w:color w:val="000000" w:themeColor="text1"/>
          <w:sz w:val="44"/>
          <w:szCs w:val="44"/>
          <w14:textFill>
            <w14:solidFill>
              <w14:schemeClr w14:val="tx1"/>
            </w14:solidFill>
          </w14:textFill>
        </w:rPr>
      </w:pPr>
    </w:p>
    <w:p w14:paraId="61F2A189">
      <w:pPr>
        <w:ind w:firstLine="1040"/>
        <w:rPr>
          <w:rFonts w:hint="default" w:ascii="Times New Roman" w:hAnsi="Times New Roman" w:eastAsia="仿宋" w:cs="Times New Roman"/>
          <w:color w:val="000000" w:themeColor="text1"/>
          <w:sz w:val="44"/>
          <w:szCs w:val="44"/>
          <w14:textFill>
            <w14:solidFill>
              <w14:schemeClr w14:val="tx1"/>
            </w14:solidFill>
          </w14:textFill>
        </w:rPr>
      </w:pPr>
    </w:p>
    <w:bookmarkEnd w:id="0"/>
    <w:p w14:paraId="631C23B0">
      <w:pPr>
        <w:adjustRightInd w:val="0"/>
        <w:snapToGrid w:val="0"/>
        <w:spacing w:line="288" w:lineRule="auto"/>
        <w:rPr>
          <w:rFonts w:hint="eastAsia" w:ascii="仿宋_GB2312" w:hAnsi="仿宋_GB2312" w:eastAsia="仿宋_GB2312" w:cs="仿宋_GB2312"/>
          <w:color w:val="000000" w:themeColor="text1"/>
          <w:sz w:val="36"/>
          <w:szCs w:val="36"/>
          <w:u w:val="single"/>
          <w:lang w:eastAsia="zh-CN"/>
          <w14:textFill>
            <w14:solidFill>
              <w14:schemeClr w14:val="tx1"/>
            </w14:solidFill>
          </w14:textFill>
        </w:rPr>
      </w:pPr>
      <w:r>
        <w:rPr>
          <w:rFonts w:hint="eastAsia" w:ascii="仿宋_GB2312" w:hAnsi="仿宋_GB2312" w:eastAsia="仿宋_GB2312" w:cs="仿宋_GB2312"/>
          <w:color w:val="000000" w:themeColor="text1"/>
          <w:sz w:val="36"/>
          <w:szCs w:val="36"/>
          <w14:textFill>
            <w14:solidFill>
              <w14:schemeClr w14:val="tx1"/>
            </w14:solidFill>
          </w14:textFill>
        </w:rPr>
        <w:t>项目名称：</w:t>
      </w:r>
      <w:r>
        <w:rPr>
          <w:rFonts w:hint="eastAsia" w:ascii="仿宋_GB2312" w:hAnsi="仿宋_GB2312" w:eastAsia="仿宋_GB2312" w:cs="仿宋_GB2312"/>
          <w:color w:val="000000" w:themeColor="text1"/>
          <w:sz w:val="36"/>
          <w:szCs w:val="36"/>
          <w:u w:val="single"/>
          <w:lang w:eastAsia="zh-CN"/>
          <w14:textFill>
            <w14:solidFill>
              <w14:schemeClr w14:val="tx1"/>
            </w14:solidFill>
          </w14:textFill>
        </w:rPr>
        <w:t>密山市青山水库除险加固工程项目</w:t>
      </w:r>
      <w:r>
        <w:rPr>
          <w:rFonts w:hint="eastAsia" w:ascii="仿宋_GB2312" w:hAnsi="仿宋_GB2312" w:eastAsia="仿宋_GB2312" w:cs="仿宋_GB2312"/>
          <w:color w:val="000000" w:themeColor="text1"/>
          <w:sz w:val="36"/>
          <w:szCs w:val="36"/>
          <w:u w:val="single"/>
          <w:lang w:val="en-US" w:eastAsia="zh-CN"/>
          <w14:textFill>
            <w14:solidFill>
              <w14:schemeClr w14:val="tx1"/>
            </w14:solidFill>
          </w14:textFill>
        </w:rPr>
        <w:t xml:space="preserve">        </w:t>
      </w:r>
    </w:p>
    <w:p w14:paraId="5718CEBE">
      <w:pPr>
        <w:adjustRightInd w:val="0"/>
        <w:snapToGrid w:val="0"/>
        <w:spacing w:line="288" w:lineRule="auto"/>
        <w:rPr>
          <w:rFonts w:hint="eastAsia" w:ascii="仿宋_GB2312" w:hAnsi="仿宋_GB2312" w:eastAsia="仿宋_GB2312" w:cs="仿宋_GB2312"/>
          <w:color w:val="000000" w:themeColor="text1"/>
          <w:sz w:val="36"/>
          <w:szCs w:val="36"/>
          <w:u w:val="single"/>
          <w:lang w:eastAsia="zh-CN"/>
          <w14:textFill>
            <w14:solidFill>
              <w14:schemeClr w14:val="tx1"/>
            </w14:solidFill>
          </w14:textFill>
        </w:rPr>
      </w:pPr>
      <w:r>
        <w:rPr>
          <w:rFonts w:hint="eastAsia" w:ascii="仿宋_GB2312" w:hAnsi="仿宋_GB2312" w:eastAsia="仿宋_GB2312" w:cs="仿宋_GB2312"/>
          <w:color w:val="000000" w:themeColor="text1"/>
          <w:sz w:val="36"/>
          <w:szCs w:val="36"/>
          <w14:textFill>
            <w14:solidFill>
              <w14:schemeClr w14:val="tx1"/>
            </w14:solidFill>
          </w14:textFill>
        </w:rPr>
        <w:t>建设单位（盖章）：</w:t>
      </w:r>
      <w:r>
        <w:rPr>
          <w:rFonts w:hint="eastAsia" w:ascii="仿宋_GB2312" w:hAnsi="仿宋_GB2312" w:eastAsia="仿宋_GB2312" w:cs="仿宋_GB2312"/>
          <w:color w:val="000000" w:themeColor="text1"/>
          <w:sz w:val="36"/>
          <w:szCs w:val="36"/>
          <w:u w:val="single"/>
          <w:lang w:eastAsia="zh-CN"/>
          <w14:textFill>
            <w14:solidFill>
              <w14:schemeClr w14:val="tx1"/>
            </w14:solidFill>
          </w14:textFill>
        </w:rPr>
        <w:t>密山市防洪工程建设管理处（密山市</w:t>
      </w:r>
    </w:p>
    <w:p w14:paraId="1C21B89A">
      <w:pPr>
        <w:adjustRightInd w:val="0"/>
        <w:snapToGrid w:val="0"/>
        <w:spacing w:line="288" w:lineRule="auto"/>
        <w:ind w:firstLine="3240" w:firstLineChars="900"/>
        <w:rPr>
          <w:rFonts w:hint="eastAsia" w:ascii="仿宋_GB2312" w:hAnsi="仿宋_GB2312" w:eastAsia="仿宋_GB2312" w:cs="仿宋_GB2312"/>
          <w:color w:val="000000" w:themeColor="text1"/>
          <w:sz w:val="36"/>
          <w:szCs w:val="36"/>
          <w:lang w:val="en-US" w:eastAsia="zh-CN"/>
          <w14:textFill>
            <w14:solidFill>
              <w14:schemeClr w14:val="tx1"/>
            </w14:solidFill>
          </w14:textFill>
        </w:rPr>
      </w:pPr>
      <w:r>
        <w:rPr>
          <w:rFonts w:hint="eastAsia" w:ascii="仿宋_GB2312" w:hAnsi="仿宋_GB2312" w:eastAsia="仿宋_GB2312" w:cs="仿宋_GB2312"/>
          <w:color w:val="000000" w:themeColor="text1"/>
          <w:sz w:val="36"/>
          <w:szCs w:val="36"/>
          <w:u w:val="single"/>
          <w:lang w:eastAsia="zh-CN"/>
          <w14:textFill>
            <w14:solidFill>
              <w14:schemeClr w14:val="tx1"/>
            </w14:solidFill>
          </w14:textFill>
        </w:rPr>
        <w:t>水务局）</w:t>
      </w:r>
      <w:r>
        <w:rPr>
          <w:rFonts w:hint="eastAsia" w:ascii="仿宋_GB2312" w:hAnsi="仿宋_GB2312" w:eastAsia="仿宋_GB2312" w:cs="仿宋_GB2312"/>
          <w:color w:val="000000" w:themeColor="text1"/>
          <w:sz w:val="36"/>
          <w:szCs w:val="36"/>
          <w:u w:val="single"/>
          <w:lang w:val="en-US" w:eastAsia="zh-CN"/>
          <w14:textFill>
            <w14:solidFill>
              <w14:schemeClr w14:val="tx1"/>
            </w14:solidFill>
          </w14:textFill>
        </w:rPr>
        <w:t xml:space="preserve">  </w:t>
      </w:r>
    </w:p>
    <w:p w14:paraId="27F2EA24">
      <w:pPr>
        <w:adjustRightInd w:val="0"/>
        <w:snapToGrid w:val="0"/>
        <w:spacing w:line="288" w:lineRule="auto"/>
        <w:rPr>
          <w:rFonts w:hint="default" w:ascii="Times New Roman" w:hAnsi="Times New Roman" w:cs="Times New Roman" w:eastAsiaTheme="minorEastAsia"/>
          <w:color w:val="000000" w:themeColor="text1"/>
          <w:sz w:val="36"/>
          <w:szCs w:val="36"/>
          <w:u w:val="single"/>
          <w:lang w:val="en-US" w:eastAsia="zh-CN"/>
          <w14:textFill>
            <w14:solidFill>
              <w14:schemeClr w14:val="tx1"/>
            </w14:solidFill>
          </w14:textFill>
        </w:rPr>
      </w:pPr>
      <w:r>
        <w:rPr>
          <w:rFonts w:hint="eastAsia" w:ascii="仿宋_GB2312" w:hAnsi="仿宋_GB2312" w:eastAsia="仿宋_GB2312" w:cs="仿宋_GB2312"/>
          <w:color w:val="000000" w:themeColor="text1"/>
          <w:sz w:val="36"/>
          <w:szCs w:val="36"/>
          <w14:textFill>
            <w14:solidFill>
              <w14:schemeClr w14:val="tx1"/>
            </w14:solidFill>
          </w14:textFill>
        </w:rPr>
        <w:t>编制日期：</w:t>
      </w:r>
      <w:r>
        <w:rPr>
          <w:rFonts w:hint="eastAsia" w:ascii="仿宋_GB2312" w:hAnsi="仿宋_GB2312" w:eastAsia="仿宋_GB2312" w:cs="仿宋_GB2312"/>
          <w:color w:val="000000" w:themeColor="text1"/>
          <w:sz w:val="36"/>
          <w:szCs w:val="36"/>
          <w:u w:val="single"/>
          <w:lang w:val="en-US" w:eastAsia="zh-CN"/>
          <w14:textFill>
            <w14:solidFill>
              <w14:schemeClr w14:val="tx1"/>
            </w14:solidFill>
          </w14:textFill>
        </w:rPr>
        <w:t xml:space="preserve">       </w:t>
      </w:r>
      <w:r>
        <w:rPr>
          <w:rFonts w:hint="eastAsia" w:ascii="仿宋_GB2312" w:hAnsi="仿宋_GB2312" w:eastAsia="仿宋_GB2312" w:cs="仿宋_GB2312"/>
          <w:color w:val="000000" w:themeColor="text1"/>
          <w:sz w:val="36"/>
          <w:szCs w:val="36"/>
          <w:u w:val="single"/>
          <w14:textFill>
            <w14:solidFill>
              <w14:schemeClr w14:val="tx1"/>
            </w14:solidFill>
          </w14:textFill>
        </w:rPr>
        <w:t>二〇二</w:t>
      </w:r>
      <w:r>
        <w:rPr>
          <w:rFonts w:hint="eastAsia" w:ascii="仿宋_GB2312" w:hAnsi="仿宋_GB2312" w:eastAsia="仿宋_GB2312" w:cs="仿宋_GB2312"/>
          <w:color w:val="000000" w:themeColor="text1"/>
          <w:sz w:val="36"/>
          <w:szCs w:val="36"/>
          <w:u w:val="single"/>
          <w:lang w:eastAsia="zh-CN"/>
          <w14:textFill>
            <w14:solidFill>
              <w14:schemeClr w14:val="tx1"/>
            </w14:solidFill>
          </w14:textFill>
        </w:rPr>
        <w:t>五</w:t>
      </w:r>
      <w:r>
        <w:rPr>
          <w:rFonts w:hint="eastAsia" w:ascii="仿宋_GB2312" w:hAnsi="仿宋_GB2312" w:eastAsia="仿宋_GB2312" w:cs="仿宋_GB2312"/>
          <w:color w:val="000000" w:themeColor="text1"/>
          <w:sz w:val="36"/>
          <w:szCs w:val="36"/>
          <w:u w:val="single"/>
          <w14:textFill>
            <w14:solidFill>
              <w14:schemeClr w14:val="tx1"/>
            </w14:solidFill>
          </w14:textFill>
        </w:rPr>
        <w:t>年</w:t>
      </w:r>
      <w:r>
        <w:rPr>
          <w:rFonts w:hint="eastAsia" w:ascii="仿宋_GB2312" w:hAnsi="仿宋_GB2312" w:eastAsia="仿宋_GB2312" w:cs="仿宋_GB2312"/>
          <w:color w:val="000000" w:themeColor="text1"/>
          <w:sz w:val="36"/>
          <w:szCs w:val="36"/>
          <w:u w:val="single"/>
          <w:lang w:val="en-US" w:eastAsia="zh-CN"/>
          <w14:textFill>
            <w14:solidFill>
              <w14:schemeClr w14:val="tx1"/>
            </w14:solidFill>
          </w14:textFill>
        </w:rPr>
        <w:t>六</w:t>
      </w:r>
      <w:r>
        <w:rPr>
          <w:rFonts w:hint="eastAsia" w:ascii="仿宋_GB2312" w:hAnsi="仿宋_GB2312" w:eastAsia="仿宋_GB2312" w:cs="仿宋_GB2312"/>
          <w:color w:val="000000" w:themeColor="text1"/>
          <w:sz w:val="36"/>
          <w:szCs w:val="36"/>
          <w:u w:val="single"/>
          <w14:textFill>
            <w14:solidFill>
              <w14:schemeClr w14:val="tx1"/>
            </w14:solidFill>
          </w14:textFill>
        </w:rPr>
        <w:t>月</w:t>
      </w:r>
      <w:r>
        <w:rPr>
          <w:rFonts w:hint="eastAsia" w:ascii="仿宋_GB2312" w:hAnsi="仿宋_GB2312" w:eastAsia="仿宋_GB2312" w:cs="仿宋_GB2312"/>
          <w:color w:val="000000" w:themeColor="text1"/>
          <w:sz w:val="36"/>
          <w:szCs w:val="36"/>
          <w:u w:val="single"/>
          <w:lang w:val="en-US" w:eastAsia="zh-CN"/>
          <w14:textFill>
            <w14:solidFill>
              <w14:schemeClr w14:val="tx1"/>
            </w14:solidFill>
          </w14:textFill>
        </w:rPr>
        <w:t xml:space="preserve">             </w:t>
      </w:r>
    </w:p>
    <w:p w14:paraId="7434E67A">
      <w:pPr>
        <w:adjustRightInd w:val="0"/>
        <w:snapToGrid w:val="0"/>
        <w:spacing w:line="288" w:lineRule="auto"/>
        <w:ind w:firstLine="1040"/>
        <w:rPr>
          <w:rFonts w:hint="default" w:ascii="Times New Roman" w:hAnsi="Times New Roman" w:eastAsia="仿宋_GB2312" w:cs="Times New Roman"/>
          <w:color w:val="000000" w:themeColor="text1"/>
          <w:sz w:val="36"/>
          <w:szCs w:val="36"/>
          <w:u w:val="single"/>
          <w14:textFill>
            <w14:solidFill>
              <w14:schemeClr w14:val="tx1"/>
            </w14:solidFill>
          </w14:textFill>
        </w:rPr>
      </w:pPr>
    </w:p>
    <w:p w14:paraId="34982A57">
      <w:pPr>
        <w:adjustRightInd w:val="0"/>
        <w:snapToGrid w:val="0"/>
        <w:spacing w:line="288" w:lineRule="auto"/>
        <w:ind w:firstLine="1040"/>
        <w:rPr>
          <w:rFonts w:hint="default" w:ascii="Times New Roman" w:hAnsi="Times New Roman" w:eastAsia="仿宋_GB2312" w:cs="Times New Roman"/>
          <w:color w:val="000000" w:themeColor="text1"/>
          <w:sz w:val="36"/>
          <w:szCs w:val="36"/>
          <w14:textFill>
            <w14:solidFill>
              <w14:schemeClr w14:val="tx1"/>
            </w14:solidFill>
          </w14:textFill>
        </w:rPr>
      </w:pPr>
    </w:p>
    <w:p w14:paraId="2F84E82B">
      <w:pPr>
        <w:adjustRightInd w:val="0"/>
        <w:snapToGrid w:val="0"/>
        <w:spacing w:line="288" w:lineRule="auto"/>
        <w:ind w:firstLine="1040"/>
        <w:rPr>
          <w:rFonts w:hint="default" w:ascii="Times New Roman" w:hAnsi="Times New Roman" w:eastAsia="仿宋_GB2312" w:cs="Times New Roman"/>
          <w:color w:val="000000" w:themeColor="text1"/>
          <w:sz w:val="36"/>
          <w:szCs w:val="36"/>
          <w14:textFill>
            <w14:solidFill>
              <w14:schemeClr w14:val="tx1"/>
            </w14:solidFill>
          </w14:textFill>
        </w:rPr>
      </w:pPr>
    </w:p>
    <w:p w14:paraId="469856D5">
      <w:pPr>
        <w:adjustRightInd w:val="0"/>
        <w:snapToGrid w:val="0"/>
        <w:spacing w:line="288" w:lineRule="auto"/>
        <w:ind w:firstLine="1040"/>
        <w:rPr>
          <w:rFonts w:hint="default" w:ascii="Times New Roman" w:hAnsi="Times New Roman" w:eastAsia="仿宋_GB2312" w:cs="Times New Roman"/>
          <w:color w:val="000000" w:themeColor="text1"/>
          <w:sz w:val="36"/>
          <w:szCs w:val="36"/>
          <w14:textFill>
            <w14:solidFill>
              <w14:schemeClr w14:val="tx1"/>
            </w14:solidFill>
          </w14:textFill>
        </w:rPr>
      </w:pPr>
    </w:p>
    <w:p w14:paraId="3C61AF96">
      <w:pPr>
        <w:adjustRightInd w:val="0"/>
        <w:snapToGrid w:val="0"/>
        <w:spacing w:line="288" w:lineRule="auto"/>
        <w:ind w:firstLine="1040"/>
        <w:rPr>
          <w:rFonts w:hint="default" w:ascii="Times New Roman" w:hAnsi="Times New Roman" w:eastAsia="仿宋_GB2312" w:cs="Times New Roman"/>
          <w:color w:val="000000" w:themeColor="text1"/>
          <w:sz w:val="36"/>
          <w:szCs w:val="36"/>
          <w14:textFill>
            <w14:solidFill>
              <w14:schemeClr w14:val="tx1"/>
            </w14:solidFill>
          </w14:textFill>
        </w:rPr>
      </w:pPr>
    </w:p>
    <w:p w14:paraId="2505B240">
      <w:pPr>
        <w:adjustRightInd w:val="0"/>
        <w:snapToGrid w:val="0"/>
        <w:spacing w:line="288" w:lineRule="auto"/>
        <w:jc w:val="center"/>
        <w:rPr>
          <w:rFonts w:hint="default" w:ascii="Times New Roman" w:hAnsi="Times New Roman" w:eastAsia="楷体_GB2312" w:cs="Times New Roman"/>
          <w:color w:val="000000" w:themeColor="text1"/>
          <w:sz w:val="36"/>
          <w:szCs w:val="36"/>
          <w14:textFill>
            <w14:solidFill>
              <w14:schemeClr w14:val="tx1"/>
            </w14:solidFill>
          </w14:textFill>
        </w:rPr>
      </w:pPr>
      <w:r>
        <w:rPr>
          <w:rFonts w:hint="default" w:ascii="Times New Roman" w:hAnsi="Times New Roman" w:eastAsia="楷体_GB2312" w:cs="Times New Roman"/>
          <w:color w:val="000000" w:themeColor="text1"/>
          <w:sz w:val="36"/>
          <w:szCs w:val="36"/>
          <w14:textFill>
            <w14:solidFill>
              <w14:schemeClr w14:val="tx1"/>
            </w14:solidFill>
          </w14:textFill>
        </w:rPr>
        <w:t>中华人民共和国生态环境部制</w:t>
      </w:r>
    </w:p>
    <w:p w14:paraId="7091FD87">
      <w:pPr>
        <w:adjustRightInd w:val="0"/>
        <w:snapToGrid w:val="0"/>
        <w:spacing w:line="288" w:lineRule="auto"/>
        <w:ind w:firstLine="1040"/>
        <w:rPr>
          <w:rFonts w:hint="default" w:ascii="Times New Roman" w:hAnsi="Times New Roman" w:eastAsia="仿宋_GB2312" w:cs="Times New Roman"/>
          <w:color w:val="000000" w:themeColor="text1"/>
          <w:sz w:val="36"/>
          <w:szCs w:val="36"/>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p>
    <w:p w14:paraId="44E14571">
      <w:pPr>
        <w:adjustRightInd w:val="0"/>
        <w:snapToGrid w:val="0"/>
        <w:spacing w:line="288" w:lineRule="auto"/>
        <w:rPr>
          <w:rFonts w:hint="default" w:ascii="Times New Roman" w:hAnsi="Times New Roman" w:eastAsia="仿宋_GB2312" w:cs="Times New Roman"/>
          <w:color w:val="000000" w:themeColor="text1"/>
          <w:sz w:val="36"/>
          <w:szCs w:val="36"/>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21"/>
          <w:cols w:space="720" w:num="1"/>
          <w:docGrid w:linePitch="312" w:charSpace="0"/>
        </w:sectPr>
      </w:pPr>
      <w:r>
        <w:rPr>
          <w:color w:val="000000" w:themeColor="text1"/>
          <w14:textFill>
            <w14:solidFill>
              <w14:schemeClr w14:val="tx1"/>
            </w14:solidFill>
          </w14:textFill>
        </w:rPr>
        <w:drawing>
          <wp:inline distT="0" distB="0" distL="114300" distR="114300">
            <wp:extent cx="5610225" cy="7544435"/>
            <wp:effectExtent l="0" t="0" r="9525" b="18415"/>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6"/>
                    <a:stretch>
                      <a:fillRect/>
                    </a:stretch>
                  </pic:blipFill>
                  <pic:spPr>
                    <a:xfrm>
                      <a:off x="0" y="0"/>
                      <a:ext cx="5610225" cy="754443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614035" cy="7574280"/>
            <wp:effectExtent l="0" t="0" r="5715" b="762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17"/>
                    <a:stretch>
                      <a:fillRect/>
                    </a:stretch>
                  </pic:blipFill>
                  <pic:spPr>
                    <a:xfrm>
                      <a:off x="0" y="0"/>
                      <a:ext cx="5614035" cy="7574280"/>
                    </a:xfrm>
                    <a:prstGeom prst="rect">
                      <a:avLst/>
                    </a:prstGeom>
                    <a:noFill/>
                    <a:ln>
                      <a:noFill/>
                    </a:ln>
                  </pic:spPr>
                </pic:pic>
              </a:graphicData>
            </a:graphic>
          </wp:inline>
        </w:drawing>
      </w:r>
    </w:p>
    <w:sdt>
      <w:sdtP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id w:val="147478725"/>
        <w15:color w:val="DBDBDB"/>
        <w:docPartObj>
          <w:docPartGallery w:val="Table of Contents"/>
          <w:docPartUnique/>
        </w:docPartObj>
      </w:sdtPr>
      <w:sdtEndP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sdtEndPr>
      <w:sdtContent>
        <w:p w14:paraId="607331EE">
          <w:pPr>
            <w:spacing w:before="0" w:beforeLines="0" w:after="0" w:afterLines="0" w:line="240" w:lineRule="auto"/>
            <w:ind w:left="0" w:leftChars="0" w:right="0" w:rightChars="0" w:firstLine="0" w:firstLineChars="0"/>
            <w:jc w:val="center"/>
            <w:rPr>
              <w:rFonts w:hint="default" w:ascii="Times New Roman" w:hAnsi="Times New Roman" w:cs="Times New Roman"/>
              <w:color w:val="000000" w:themeColor="text1"/>
              <w14:textFill>
                <w14:solidFill>
                  <w14:schemeClr w14:val="tx1"/>
                </w14:solidFill>
              </w14:textFill>
            </w:rPr>
          </w:pPr>
          <w:bookmarkStart w:id="1" w:name="_Toc21292"/>
          <w:r>
            <w:rPr>
              <w:rFonts w:hint="default" w:ascii="Times New Roman" w:hAnsi="Times New Roman" w:eastAsia="宋体" w:cs="Times New Roman"/>
              <w:b/>
              <w:bCs/>
              <w:color w:val="000000" w:themeColor="text1"/>
              <w:sz w:val="28"/>
              <w:szCs w:val="36"/>
              <w14:textFill>
                <w14:solidFill>
                  <w14:schemeClr w14:val="tx1"/>
                </w14:solidFill>
              </w14:textFill>
            </w:rPr>
            <w:t>目录</w:t>
          </w:r>
        </w:p>
        <w:p w14:paraId="787ACAFF">
          <w:pPr>
            <w:pStyle w:val="16"/>
            <w:tabs>
              <w:tab w:val="right" w:leader="dot" w:pos="8844"/>
              <w:tab w:val="clear" w:pos="8364"/>
            </w:tabs>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begin"/>
          </w:r>
          <w:r>
            <w:rPr>
              <w:rFonts w:hint="default" w:ascii="Times New Roman" w:hAnsi="Times New Roman" w:eastAsia="宋体" w:cs="Times New Roman"/>
              <w:color w:val="000000" w:themeColor="text1"/>
              <w14:textFill>
                <w14:solidFill>
                  <w14:schemeClr w14:val="tx1"/>
                </w14:solidFill>
              </w14:textFill>
            </w:rPr>
            <w:instrText xml:space="preserve">TOC \o "1-1" \h \u </w:instrText>
          </w:r>
          <w:r>
            <w:rPr>
              <w:rFonts w:hint="default" w:ascii="Times New Roman" w:hAnsi="Times New Roman" w:eastAsia="宋体" w:cs="Times New Roman"/>
              <w:color w:val="000000" w:themeColor="text1"/>
              <w14:textFill>
                <w14:solidFill>
                  <w14:schemeClr w14:val="tx1"/>
                </w14:solidFill>
              </w14:textFill>
            </w:rPr>
            <w:fldChar w:fldCharType="separate"/>
          </w: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HYPERLINK \l _Toc25001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snapToGrid w:val="0"/>
              <w:color w:val="000000" w:themeColor="text1"/>
              <w:szCs w:val="30"/>
              <w14:textFill>
                <w14:solidFill>
                  <w14:schemeClr w14:val="tx1"/>
                </w14:solidFill>
              </w14:textFill>
            </w:rPr>
            <w:t>一、建设项目基本情况</w:t>
          </w:r>
          <w:r>
            <w:rPr>
              <w:rFonts w:hint="default" w:ascii="Times New Roman" w:hAnsi="Times New Roman" w:eastAsia="宋体" w:cs="Times New Roman"/>
              <w:b w:val="0"/>
              <w:bCs w:val="0"/>
              <w:color w:val="000000" w:themeColor="text1"/>
              <w14:textFill>
                <w14:solidFill>
                  <w14:schemeClr w14:val="tx1"/>
                </w14:solidFill>
              </w14:textFill>
            </w:rPr>
            <w:tab/>
          </w: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PAGEREF _Toc25001 \h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color w:val="000000" w:themeColor="text1"/>
              <w14:textFill>
                <w14:solidFill>
                  <w14:schemeClr w14:val="tx1"/>
                </w14:solidFill>
              </w14:textFill>
            </w:rPr>
            <w:t>1</w:t>
          </w:r>
          <w:r>
            <w:rPr>
              <w:rFonts w:hint="default" w:ascii="Times New Roman" w:hAnsi="Times New Roman" w:eastAsia="宋体" w:cs="Times New Roman"/>
              <w:b w:val="0"/>
              <w:bCs w:val="0"/>
              <w:color w:val="000000" w:themeColor="text1"/>
              <w14:textFill>
                <w14:solidFill>
                  <w14:schemeClr w14:val="tx1"/>
                </w14:solidFill>
              </w14:textFill>
            </w:rPr>
            <w:fldChar w:fldCharType="end"/>
          </w:r>
          <w:r>
            <w:rPr>
              <w:rFonts w:hint="default" w:ascii="Times New Roman" w:hAnsi="Times New Roman" w:eastAsia="宋体" w:cs="Times New Roman"/>
              <w:b w:val="0"/>
              <w:bCs w:val="0"/>
              <w:color w:val="000000" w:themeColor="text1"/>
              <w14:textFill>
                <w14:solidFill>
                  <w14:schemeClr w14:val="tx1"/>
                </w14:solidFill>
              </w14:textFill>
            </w:rPr>
            <w:fldChar w:fldCharType="end"/>
          </w:r>
        </w:p>
        <w:p w14:paraId="3C6CFDAD">
          <w:pPr>
            <w:pStyle w:val="16"/>
            <w:tabs>
              <w:tab w:val="right" w:leader="dot" w:pos="8844"/>
              <w:tab w:val="clear" w:pos="8364"/>
            </w:tabs>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HYPERLINK \l _Toc23812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snapToGrid w:val="0"/>
              <w:color w:val="000000" w:themeColor="text1"/>
              <w:szCs w:val="30"/>
              <w:highlight w:val="none"/>
              <w14:textFill>
                <w14:solidFill>
                  <w14:schemeClr w14:val="tx1"/>
                </w14:solidFill>
              </w14:textFill>
            </w:rPr>
            <w:t>二、建设内容</w:t>
          </w:r>
          <w:r>
            <w:rPr>
              <w:rFonts w:hint="default" w:ascii="Times New Roman" w:hAnsi="Times New Roman" w:eastAsia="宋体" w:cs="Times New Roman"/>
              <w:b w:val="0"/>
              <w:bCs w:val="0"/>
              <w:color w:val="000000" w:themeColor="text1"/>
              <w14:textFill>
                <w14:solidFill>
                  <w14:schemeClr w14:val="tx1"/>
                </w14:solidFill>
              </w14:textFill>
            </w:rPr>
            <w:tab/>
          </w: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PAGEREF _Toc23812 \h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color w:val="000000" w:themeColor="text1"/>
              <w14:textFill>
                <w14:solidFill>
                  <w14:schemeClr w14:val="tx1"/>
                </w14:solidFill>
              </w14:textFill>
            </w:rPr>
            <w:t>22</w:t>
          </w:r>
          <w:r>
            <w:rPr>
              <w:rFonts w:hint="default" w:ascii="Times New Roman" w:hAnsi="Times New Roman" w:eastAsia="宋体" w:cs="Times New Roman"/>
              <w:b w:val="0"/>
              <w:bCs w:val="0"/>
              <w:color w:val="000000" w:themeColor="text1"/>
              <w14:textFill>
                <w14:solidFill>
                  <w14:schemeClr w14:val="tx1"/>
                </w14:solidFill>
              </w14:textFill>
            </w:rPr>
            <w:fldChar w:fldCharType="end"/>
          </w:r>
          <w:r>
            <w:rPr>
              <w:rFonts w:hint="default" w:ascii="Times New Roman" w:hAnsi="Times New Roman" w:eastAsia="宋体" w:cs="Times New Roman"/>
              <w:b w:val="0"/>
              <w:bCs w:val="0"/>
              <w:color w:val="000000" w:themeColor="text1"/>
              <w14:textFill>
                <w14:solidFill>
                  <w14:schemeClr w14:val="tx1"/>
                </w14:solidFill>
              </w14:textFill>
            </w:rPr>
            <w:fldChar w:fldCharType="end"/>
          </w:r>
        </w:p>
        <w:p w14:paraId="7D98B425">
          <w:pPr>
            <w:pStyle w:val="16"/>
            <w:tabs>
              <w:tab w:val="right" w:leader="dot" w:pos="8844"/>
              <w:tab w:val="clear" w:pos="8364"/>
            </w:tabs>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HYPERLINK \l _Toc7084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snapToGrid w:val="0"/>
              <w:color w:val="000000" w:themeColor="text1"/>
              <w:szCs w:val="30"/>
              <w:highlight w:val="none"/>
              <w14:textFill>
                <w14:solidFill>
                  <w14:schemeClr w14:val="tx1"/>
                </w14:solidFill>
              </w14:textFill>
            </w:rPr>
            <w:t>三、生态环境现状、保护目标及评价标准</w:t>
          </w:r>
          <w:r>
            <w:rPr>
              <w:rFonts w:hint="default" w:ascii="Times New Roman" w:hAnsi="Times New Roman" w:eastAsia="宋体" w:cs="Times New Roman"/>
              <w:b w:val="0"/>
              <w:bCs w:val="0"/>
              <w:color w:val="000000" w:themeColor="text1"/>
              <w14:textFill>
                <w14:solidFill>
                  <w14:schemeClr w14:val="tx1"/>
                </w14:solidFill>
              </w14:textFill>
            </w:rPr>
            <w:tab/>
          </w: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PAGEREF _Toc7084 \h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color w:val="000000" w:themeColor="text1"/>
              <w14:textFill>
                <w14:solidFill>
                  <w14:schemeClr w14:val="tx1"/>
                </w14:solidFill>
              </w14:textFill>
            </w:rPr>
            <w:t>30</w:t>
          </w:r>
          <w:r>
            <w:rPr>
              <w:rFonts w:hint="default" w:ascii="Times New Roman" w:hAnsi="Times New Roman" w:eastAsia="宋体" w:cs="Times New Roman"/>
              <w:b w:val="0"/>
              <w:bCs w:val="0"/>
              <w:color w:val="000000" w:themeColor="text1"/>
              <w14:textFill>
                <w14:solidFill>
                  <w14:schemeClr w14:val="tx1"/>
                </w14:solidFill>
              </w14:textFill>
            </w:rPr>
            <w:fldChar w:fldCharType="end"/>
          </w:r>
          <w:r>
            <w:rPr>
              <w:rFonts w:hint="default" w:ascii="Times New Roman" w:hAnsi="Times New Roman" w:eastAsia="宋体" w:cs="Times New Roman"/>
              <w:b w:val="0"/>
              <w:bCs w:val="0"/>
              <w:color w:val="000000" w:themeColor="text1"/>
              <w14:textFill>
                <w14:solidFill>
                  <w14:schemeClr w14:val="tx1"/>
                </w14:solidFill>
              </w14:textFill>
            </w:rPr>
            <w:fldChar w:fldCharType="end"/>
          </w:r>
        </w:p>
        <w:p w14:paraId="3B0C1DC3">
          <w:pPr>
            <w:pStyle w:val="16"/>
            <w:tabs>
              <w:tab w:val="right" w:leader="dot" w:pos="8844"/>
              <w:tab w:val="clear" w:pos="8364"/>
            </w:tabs>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HYPERLINK \l _Toc4342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snapToGrid w:val="0"/>
              <w:color w:val="000000" w:themeColor="text1"/>
              <w:szCs w:val="30"/>
              <w:highlight w:val="none"/>
              <w14:textFill>
                <w14:solidFill>
                  <w14:schemeClr w14:val="tx1"/>
                </w14:solidFill>
              </w14:textFill>
            </w:rPr>
            <w:t>四、生态环境影响分析</w:t>
          </w:r>
          <w:r>
            <w:rPr>
              <w:rFonts w:hint="default" w:ascii="Times New Roman" w:hAnsi="Times New Roman" w:eastAsia="宋体" w:cs="Times New Roman"/>
              <w:b w:val="0"/>
              <w:bCs w:val="0"/>
              <w:color w:val="000000" w:themeColor="text1"/>
              <w14:textFill>
                <w14:solidFill>
                  <w14:schemeClr w14:val="tx1"/>
                </w14:solidFill>
              </w14:textFill>
            </w:rPr>
            <w:tab/>
          </w: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PAGEREF _Toc4342 \h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color w:val="000000" w:themeColor="text1"/>
              <w14:textFill>
                <w14:solidFill>
                  <w14:schemeClr w14:val="tx1"/>
                </w14:solidFill>
              </w14:textFill>
            </w:rPr>
            <w:t>39</w:t>
          </w:r>
          <w:r>
            <w:rPr>
              <w:rFonts w:hint="default" w:ascii="Times New Roman" w:hAnsi="Times New Roman" w:eastAsia="宋体" w:cs="Times New Roman"/>
              <w:b w:val="0"/>
              <w:bCs w:val="0"/>
              <w:color w:val="000000" w:themeColor="text1"/>
              <w14:textFill>
                <w14:solidFill>
                  <w14:schemeClr w14:val="tx1"/>
                </w14:solidFill>
              </w14:textFill>
            </w:rPr>
            <w:fldChar w:fldCharType="end"/>
          </w:r>
          <w:r>
            <w:rPr>
              <w:rFonts w:hint="default" w:ascii="Times New Roman" w:hAnsi="Times New Roman" w:eastAsia="宋体" w:cs="Times New Roman"/>
              <w:b w:val="0"/>
              <w:bCs w:val="0"/>
              <w:color w:val="000000" w:themeColor="text1"/>
              <w14:textFill>
                <w14:solidFill>
                  <w14:schemeClr w14:val="tx1"/>
                </w14:solidFill>
              </w14:textFill>
            </w:rPr>
            <w:fldChar w:fldCharType="end"/>
          </w:r>
        </w:p>
        <w:p w14:paraId="5717DDFE">
          <w:pPr>
            <w:pStyle w:val="16"/>
            <w:tabs>
              <w:tab w:val="right" w:leader="dot" w:pos="8844"/>
              <w:tab w:val="clear" w:pos="8364"/>
            </w:tabs>
            <w:rPr>
              <w:rFonts w:hint="default" w:ascii="Times New Roman" w:hAnsi="Times New Roman" w:eastAsia="宋体" w:cs="Times New Roman"/>
              <w:b w:val="0"/>
              <w:bCs w:val="0"/>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HYPERLINK \l _Toc4869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snapToGrid w:val="0"/>
              <w:color w:val="000000" w:themeColor="text1"/>
              <w:szCs w:val="30"/>
              <w:highlight w:val="none"/>
              <w14:textFill>
                <w14:solidFill>
                  <w14:schemeClr w14:val="tx1"/>
                </w14:solidFill>
              </w14:textFill>
            </w:rPr>
            <w:t>五、主要生态环境保护措施</w:t>
          </w:r>
          <w:r>
            <w:rPr>
              <w:rFonts w:hint="default" w:ascii="Times New Roman" w:hAnsi="Times New Roman" w:eastAsia="宋体" w:cs="Times New Roman"/>
              <w:b w:val="0"/>
              <w:bCs w:val="0"/>
              <w:color w:val="000000" w:themeColor="text1"/>
              <w14:textFill>
                <w14:solidFill>
                  <w14:schemeClr w14:val="tx1"/>
                </w14:solidFill>
              </w14:textFill>
            </w:rPr>
            <w:tab/>
          </w: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PAGEREF _Toc4869 \h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color w:val="000000" w:themeColor="text1"/>
              <w14:textFill>
                <w14:solidFill>
                  <w14:schemeClr w14:val="tx1"/>
                </w14:solidFill>
              </w14:textFill>
            </w:rPr>
            <w:t>46</w:t>
          </w:r>
          <w:r>
            <w:rPr>
              <w:rFonts w:hint="default" w:ascii="Times New Roman" w:hAnsi="Times New Roman" w:eastAsia="宋体" w:cs="Times New Roman"/>
              <w:b w:val="0"/>
              <w:bCs w:val="0"/>
              <w:color w:val="000000" w:themeColor="text1"/>
              <w14:textFill>
                <w14:solidFill>
                  <w14:schemeClr w14:val="tx1"/>
                </w14:solidFill>
              </w14:textFill>
            </w:rPr>
            <w:fldChar w:fldCharType="end"/>
          </w:r>
          <w:r>
            <w:rPr>
              <w:rFonts w:hint="default" w:ascii="Times New Roman" w:hAnsi="Times New Roman" w:eastAsia="宋体" w:cs="Times New Roman"/>
              <w:b w:val="0"/>
              <w:bCs w:val="0"/>
              <w:color w:val="000000" w:themeColor="text1"/>
              <w14:textFill>
                <w14:solidFill>
                  <w14:schemeClr w14:val="tx1"/>
                </w14:solidFill>
              </w14:textFill>
            </w:rPr>
            <w:fldChar w:fldCharType="end"/>
          </w:r>
        </w:p>
        <w:p w14:paraId="146C6E81">
          <w:pPr>
            <w:pStyle w:val="16"/>
            <w:tabs>
              <w:tab w:val="right" w:leader="dot" w:pos="8844"/>
              <w:tab w:val="clear" w:pos="8364"/>
            </w:tabs>
            <w:rPr>
              <w:rFonts w:hint="default" w:ascii="Times New Roman" w:hAnsi="Times New Roman" w:eastAsia="宋体" w:cs="Times New Roman"/>
              <w:color w:val="000000" w:themeColor="text1"/>
              <w14:textFill>
                <w14:solidFill>
                  <w14:schemeClr w14:val="tx1"/>
                </w14:solidFill>
              </w14:textFill>
            </w:rPr>
          </w:pP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HYPERLINK \l _Toc17926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snapToGrid w:val="0"/>
              <w:color w:val="000000" w:themeColor="text1"/>
              <w:szCs w:val="30"/>
              <w:highlight w:val="none"/>
              <w14:textFill>
                <w14:solidFill>
                  <w14:schemeClr w14:val="tx1"/>
                </w14:solidFill>
              </w14:textFill>
            </w:rPr>
            <w:t>六、生态环境保护措施监督检查清单</w:t>
          </w:r>
          <w:r>
            <w:rPr>
              <w:rFonts w:hint="default" w:ascii="Times New Roman" w:hAnsi="Times New Roman" w:eastAsia="宋体" w:cs="Times New Roman"/>
              <w:b w:val="0"/>
              <w:bCs w:val="0"/>
              <w:color w:val="000000" w:themeColor="text1"/>
              <w14:textFill>
                <w14:solidFill>
                  <w14:schemeClr w14:val="tx1"/>
                </w14:solidFill>
              </w14:textFill>
            </w:rPr>
            <w:tab/>
          </w:r>
          <w:r>
            <w:rPr>
              <w:rFonts w:hint="default" w:ascii="Times New Roman" w:hAnsi="Times New Roman" w:eastAsia="宋体" w:cs="Times New Roman"/>
              <w:b w:val="0"/>
              <w:bCs w:val="0"/>
              <w:color w:val="000000" w:themeColor="text1"/>
              <w14:textFill>
                <w14:solidFill>
                  <w14:schemeClr w14:val="tx1"/>
                </w14:solidFill>
              </w14:textFill>
            </w:rPr>
            <w:fldChar w:fldCharType="begin"/>
          </w:r>
          <w:r>
            <w:rPr>
              <w:rFonts w:hint="default" w:ascii="Times New Roman" w:hAnsi="Times New Roman" w:eastAsia="宋体" w:cs="Times New Roman"/>
              <w:b w:val="0"/>
              <w:bCs w:val="0"/>
              <w:color w:val="000000" w:themeColor="text1"/>
              <w14:textFill>
                <w14:solidFill>
                  <w14:schemeClr w14:val="tx1"/>
                </w14:solidFill>
              </w14:textFill>
            </w:rPr>
            <w:instrText xml:space="preserve"> PAGEREF _Toc17926 \h </w:instrText>
          </w:r>
          <w:r>
            <w:rPr>
              <w:rFonts w:hint="default" w:ascii="Times New Roman" w:hAnsi="Times New Roman" w:eastAsia="宋体" w:cs="Times New Roman"/>
              <w:b w:val="0"/>
              <w:bCs w:val="0"/>
              <w:color w:val="000000" w:themeColor="text1"/>
              <w14:textFill>
                <w14:solidFill>
                  <w14:schemeClr w14:val="tx1"/>
                </w14:solidFill>
              </w14:textFill>
            </w:rPr>
            <w:fldChar w:fldCharType="separate"/>
          </w:r>
          <w:r>
            <w:rPr>
              <w:rFonts w:hint="default" w:ascii="Times New Roman" w:hAnsi="Times New Roman" w:eastAsia="宋体" w:cs="Times New Roman"/>
              <w:b w:val="0"/>
              <w:bCs w:val="0"/>
              <w:color w:val="000000" w:themeColor="text1"/>
              <w14:textFill>
                <w14:solidFill>
                  <w14:schemeClr w14:val="tx1"/>
                </w14:solidFill>
              </w14:textFill>
            </w:rPr>
            <w:t>53</w:t>
          </w:r>
          <w:r>
            <w:rPr>
              <w:rFonts w:hint="default" w:ascii="Times New Roman" w:hAnsi="Times New Roman" w:eastAsia="宋体" w:cs="Times New Roman"/>
              <w:b w:val="0"/>
              <w:bCs w:val="0"/>
              <w:color w:val="000000" w:themeColor="text1"/>
              <w14:textFill>
                <w14:solidFill>
                  <w14:schemeClr w14:val="tx1"/>
                </w14:solidFill>
              </w14:textFill>
            </w:rPr>
            <w:fldChar w:fldCharType="end"/>
          </w:r>
          <w:r>
            <w:rPr>
              <w:rFonts w:hint="default" w:ascii="Times New Roman" w:hAnsi="Times New Roman" w:eastAsia="宋体" w:cs="Times New Roman"/>
              <w:b w:val="0"/>
              <w:bCs w:val="0"/>
              <w:color w:val="000000" w:themeColor="text1"/>
              <w14:textFill>
                <w14:solidFill>
                  <w14:schemeClr w14:val="tx1"/>
                </w14:solidFill>
              </w14:textFill>
            </w:rPr>
            <w:fldChar w:fldCharType="end"/>
          </w:r>
        </w:p>
        <w:p w14:paraId="3FDDEE52">
          <w:pP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14:textFill>
                <w14:solidFill>
                  <w14:schemeClr w14:val="tx1"/>
                </w14:solidFill>
              </w14:textFill>
            </w:rPr>
            <w:fldChar w:fldCharType="end"/>
          </w:r>
        </w:p>
      </w:sdtContent>
    </w:sdt>
    <w:p w14:paraId="63A5FFCD">
      <w:pPr>
        <w:rPr>
          <w:rFonts w:hint="default" w:ascii="Times New Roman" w:hAnsi="Times New Roman" w:cs="Times New Roman"/>
          <w:color w:val="000000" w:themeColor="text1"/>
          <w14:textFill>
            <w14:solidFill>
              <w14:schemeClr w14:val="tx1"/>
            </w14:solidFill>
          </w14:textFill>
        </w:rPr>
      </w:pPr>
    </w:p>
    <w:p w14:paraId="08A63C5B">
      <w:pPr>
        <w:pStyle w:val="19"/>
        <w:jc w:val="center"/>
        <w:outlineLvl w:val="0"/>
        <w:rPr>
          <w:rFonts w:hint="default" w:ascii="Times New Roman" w:hAnsi="Times New Roman" w:eastAsia="黑体" w:cs="Times New Roman"/>
          <w:b/>
          <w:bCs/>
          <w:snapToGrid w:val="0"/>
          <w:color w:val="000000" w:themeColor="text1"/>
          <w:sz w:val="30"/>
          <w:szCs w:val="30"/>
          <w14:textFill>
            <w14:solidFill>
              <w14:schemeClr w14:val="tx1"/>
            </w14:solidFill>
          </w14:textFill>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bookmarkStart w:id="2" w:name="_Toc25001"/>
    </w:p>
    <w:p w14:paraId="5D8208E1">
      <w:pPr>
        <w:pStyle w:val="19"/>
        <w:jc w:val="center"/>
        <w:outlineLvl w:val="0"/>
        <w:rPr>
          <w:rFonts w:hint="default" w:ascii="Times New Roman" w:hAnsi="Times New Roman" w:eastAsia="黑体" w:cs="Times New Roman"/>
          <w:b/>
          <w:bCs/>
          <w:snapToGrid w:val="0"/>
          <w:color w:val="000000" w:themeColor="text1"/>
          <w:sz w:val="30"/>
          <w:szCs w:val="30"/>
          <w14:textFill>
            <w14:solidFill>
              <w14:schemeClr w14:val="tx1"/>
            </w14:solidFill>
          </w14:textFill>
        </w:rPr>
      </w:pPr>
      <w:bookmarkStart w:id="3" w:name="_Toc6305"/>
      <w:bookmarkStart w:id="4" w:name="_Toc5334"/>
      <w:r>
        <w:rPr>
          <w:rFonts w:hint="default" w:ascii="Times New Roman" w:hAnsi="Times New Roman" w:eastAsia="黑体" w:cs="Times New Roman"/>
          <w:b/>
          <w:bCs/>
          <w:snapToGrid w:val="0"/>
          <w:color w:val="000000" w:themeColor="text1"/>
          <w:sz w:val="30"/>
          <w:szCs w:val="30"/>
          <w14:textFill>
            <w14:solidFill>
              <w14:schemeClr w14:val="tx1"/>
            </w14:solidFill>
          </w14:textFill>
        </w:rPr>
        <w:t>一、建设项目基本情况</w:t>
      </w:r>
      <w:bookmarkEnd w:id="1"/>
      <w:bookmarkEnd w:id="2"/>
      <w:bookmarkEnd w:id="3"/>
      <w:bookmarkEnd w:id="4"/>
    </w:p>
    <w:tbl>
      <w:tblPr>
        <w:tblStyle w:val="22"/>
        <w:tblW w:w="8899" w:type="dxa"/>
        <w:tblInd w:w="17"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25"/>
        <w:gridCol w:w="2614"/>
        <w:gridCol w:w="1807"/>
        <w:gridCol w:w="2653"/>
      </w:tblGrid>
      <w:tr w14:paraId="288280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5CC0ABF9">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建设项目名称</w:t>
            </w:r>
          </w:p>
        </w:tc>
        <w:tc>
          <w:tcPr>
            <w:tcW w:w="7074" w:type="dxa"/>
            <w:gridSpan w:val="3"/>
            <w:vAlign w:val="center"/>
          </w:tcPr>
          <w:p w14:paraId="730FD57F">
            <w:pPr>
              <w:adjustRightInd w:val="0"/>
              <w:snapToGrid w:val="0"/>
              <w:jc w:val="cente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密山市青山水库除险加固工程</w:t>
            </w:r>
            <w:r>
              <w:rPr>
                <w:rFonts w:hint="eastAsia" w:cs="Times New Roman" w:eastAsiaTheme="minorEastAsia"/>
                <w:color w:val="000000" w:themeColor="text1"/>
                <w:sz w:val="24"/>
                <w:szCs w:val="24"/>
                <w:highlight w:val="none"/>
                <w:lang w:val="en-US" w:eastAsia="zh-CN"/>
                <w14:textFill>
                  <w14:solidFill>
                    <w14:schemeClr w14:val="tx1"/>
                  </w14:solidFill>
                </w14:textFill>
              </w:rPr>
              <w:t>项目</w:t>
            </w:r>
          </w:p>
        </w:tc>
      </w:tr>
      <w:tr w14:paraId="1EB8E5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1" w:hRule="atLeast"/>
        </w:trPr>
        <w:tc>
          <w:tcPr>
            <w:tcW w:w="1825" w:type="dxa"/>
            <w:tcMar>
              <w:top w:w="16" w:type="dxa"/>
              <w:left w:w="16" w:type="dxa"/>
              <w:right w:w="16" w:type="dxa"/>
            </w:tcMar>
            <w:vAlign w:val="center"/>
          </w:tcPr>
          <w:p w14:paraId="63648A0A">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项目代码</w:t>
            </w:r>
          </w:p>
        </w:tc>
        <w:tc>
          <w:tcPr>
            <w:tcW w:w="7074" w:type="dxa"/>
            <w:gridSpan w:val="3"/>
            <w:vAlign w:val="center"/>
          </w:tcPr>
          <w:p w14:paraId="5A94EE1B">
            <w:pPr>
              <w:adjustRightInd w:val="0"/>
              <w:snapToGrid w:val="0"/>
              <w:jc w:val="cente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2411-230382-04-01-263286</w:t>
            </w:r>
          </w:p>
        </w:tc>
      </w:tr>
      <w:tr w14:paraId="3F0766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457B795E">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建设单位联系人</w:t>
            </w:r>
          </w:p>
        </w:tc>
        <w:tc>
          <w:tcPr>
            <w:tcW w:w="2614" w:type="dxa"/>
            <w:vAlign w:val="center"/>
          </w:tcPr>
          <w:p w14:paraId="4B4ED8BD">
            <w:pPr>
              <w:adjustRightInd w:val="0"/>
              <w:snapToGrid w:val="0"/>
              <w:jc w:val="center"/>
              <w:rPr>
                <w:rFonts w:hint="eastAsia" w:ascii="Times New Roman" w:hAnsi="Times New Roman" w:cs="Times New Roman" w:eastAsiaTheme="minorEastAsia"/>
                <w:color w:val="000000" w:themeColor="text1"/>
                <w:sz w:val="24"/>
                <w:szCs w:val="24"/>
                <w:highlight w:val="none"/>
                <w:lang w:eastAsia="zh-CN"/>
                <w14:textFill>
                  <w14:solidFill>
                    <w14:schemeClr w14:val="tx1"/>
                  </w14:solidFill>
                </w14:textFill>
              </w:rPr>
            </w:pPr>
            <w:r>
              <w:rPr>
                <w:rFonts w:hint="eastAsia" w:cs="Times New Roman" w:eastAsiaTheme="minorEastAsia"/>
                <w:color w:val="000000" w:themeColor="text1"/>
                <w:sz w:val="24"/>
                <w:szCs w:val="24"/>
                <w:highlight w:val="none"/>
                <w:lang w:eastAsia="zh-CN"/>
                <w14:textFill>
                  <w14:solidFill>
                    <w14:schemeClr w14:val="tx1"/>
                  </w14:solidFill>
                </w14:textFill>
              </w:rPr>
              <w:t>杨大勇</w:t>
            </w:r>
          </w:p>
        </w:tc>
        <w:tc>
          <w:tcPr>
            <w:tcW w:w="1807" w:type="dxa"/>
            <w:vAlign w:val="center"/>
          </w:tcPr>
          <w:p w14:paraId="158CBD76">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联系方式</w:t>
            </w:r>
          </w:p>
        </w:tc>
        <w:tc>
          <w:tcPr>
            <w:tcW w:w="2653" w:type="dxa"/>
            <w:vAlign w:val="center"/>
          </w:tcPr>
          <w:p w14:paraId="2D444323">
            <w:pPr>
              <w:adjustRightInd w:val="0"/>
              <w:snapToGrid w:val="0"/>
              <w:jc w:val="cente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0467-5239198</w:t>
            </w:r>
          </w:p>
        </w:tc>
      </w:tr>
      <w:tr w14:paraId="0302B2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6611D494">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建设地点</w:t>
            </w:r>
          </w:p>
        </w:tc>
        <w:tc>
          <w:tcPr>
            <w:tcW w:w="7074" w:type="dxa"/>
            <w:gridSpan w:val="3"/>
            <w:vAlign w:val="center"/>
          </w:tcPr>
          <w:p w14:paraId="350FEE78">
            <w:pPr>
              <w:adjustRightInd w:val="0"/>
              <w:snapToGrid w:val="0"/>
              <w:jc w:val="cente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黑龙江省</w:t>
            </w: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鸡西市密山市太平乡</w:t>
            </w:r>
          </w:p>
        </w:tc>
      </w:tr>
      <w:tr w14:paraId="6E1D85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45DF4B2D">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地理坐标</w:t>
            </w:r>
          </w:p>
        </w:tc>
        <w:tc>
          <w:tcPr>
            <w:tcW w:w="7074" w:type="dxa"/>
            <w:gridSpan w:val="3"/>
            <w:vAlign w:val="center"/>
          </w:tcPr>
          <w:p w14:paraId="77CC5CF7">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水库大坝：东经131°28'55.674"，北纬45°25'58.712"</w:t>
            </w:r>
          </w:p>
        </w:tc>
      </w:tr>
      <w:tr w14:paraId="7B2474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23C460C4">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建设项目</w:t>
            </w:r>
          </w:p>
          <w:p w14:paraId="66010AC8">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行业类别</w:t>
            </w:r>
          </w:p>
        </w:tc>
        <w:tc>
          <w:tcPr>
            <w:tcW w:w="2614" w:type="dxa"/>
            <w:vAlign w:val="center"/>
          </w:tcPr>
          <w:p w14:paraId="7331C2FA">
            <w:pPr>
              <w:adjustRightInd w:val="0"/>
              <w:snapToGrid w:val="0"/>
              <w:spacing w:line="280" w:lineRule="exact"/>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五十一、水利</w:t>
            </w:r>
          </w:p>
          <w:p w14:paraId="2F56E2D0">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12</w:t>
            </w:r>
            <w:r>
              <w:rPr>
                <w:rFonts w:hint="eastAsia" w:cs="Times New Roman"/>
                <w:color w:val="000000" w:themeColor="text1"/>
                <w:sz w:val="24"/>
                <w:highlight w:val="none"/>
                <w:lang w:val="en-US" w:eastAsia="zh-CN"/>
                <w14:textFill>
                  <w14:solidFill>
                    <w14:schemeClr w14:val="tx1"/>
                  </w14:solidFill>
                </w14:textFill>
              </w:rPr>
              <w:t>4水库</w:t>
            </w:r>
          </w:p>
        </w:tc>
        <w:tc>
          <w:tcPr>
            <w:tcW w:w="1807" w:type="dxa"/>
            <w:vAlign w:val="center"/>
          </w:tcPr>
          <w:p w14:paraId="3ECE8ECA">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用地面积（m</w:t>
            </w:r>
            <w:r>
              <w:rPr>
                <w:rFonts w:hint="default" w:ascii="Times New Roman" w:hAnsi="Times New Roman" w:cs="Times New Roman" w:eastAsiaTheme="minorEastAsia"/>
                <w:color w:val="000000" w:themeColor="text1"/>
                <w:sz w:val="24"/>
                <w:szCs w:val="24"/>
                <w:highlight w:val="none"/>
                <w:vertAlign w:val="superscript"/>
                <w14:textFill>
                  <w14:solidFill>
                    <w14:schemeClr w14:val="tx1"/>
                  </w14:solidFill>
                </w14:textFill>
              </w:rPr>
              <w:t>2</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w:t>
            </w:r>
          </w:p>
          <w:p w14:paraId="7A3CFAC5">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/长度（km）</w:t>
            </w:r>
          </w:p>
        </w:tc>
        <w:tc>
          <w:tcPr>
            <w:tcW w:w="2653" w:type="dxa"/>
            <w:vAlign w:val="center"/>
          </w:tcPr>
          <w:p w14:paraId="168E3DEE">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不涉及新增永久占地</w:t>
            </w: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临时占地</w:t>
            </w:r>
            <w:r>
              <w:rPr>
                <w:rFonts w:hint="default" w:ascii="Times New Roman" w:hAnsi="Times New Roman" w:cs="Times New Roman" w:eastAsiaTheme="minorEastAsia"/>
                <w:bCs/>
                <w:color w:val="000000" w:themeColor="text1"/>
                <w:sz w:val="24"/>
                <w:szCs w:val="24"/>
                <w:highlight w:val="none"/>
                <w:lang w:val="en-US" w:eastAsia="zh-CN"/>
                <w14:textFill>
                  <w14:solidFill>
                    <w14:schemeClr w14:val="tx1"/>
                  </w14:solidFill>
                </w14:textFill>
              </w:rPr>
              <w:t>1000</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m</w:t>
            </w:r>
            <w:r>
              <w:rPr>
                <w:rFonts w:hint="default" w:ascii="Times New Roman" w:hAnsi="Times New Roman" w:cs="Times New Roman" w:eastAsiaTheme="minorEastAsia"/>
                <w:color w:val="000000" w:themeColor="text1"/>
                <w:sz w:val="24"/>
                <w:szCs w:val="24"/>
                <w:highlight w:val="none"/>
                <w:vertAlign w:val="superscript"/>
                <w14:textFill>
                  <w14:solidFill>
                    <w14:schemeClr w14:val="tx1"/>
                  </w14:solidFill>
                </w14:textFill>
              </w:rPr>
              <w:t>2</w:t>
            </w:r>
          </w:p>
        </w:tc>
      </w:tr>
      <w:tr w14:paraId="3A27BA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2929CCB1">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建设性质</w:t>
            </w:r>
          </w:p>
        </w:tc>
        <w:tc>
          <w:tcPr>
            <w:tcW w:w="2614" w:type="dxa"/>
            <w:vAlign w:val="center"/>
          </w:tcPr>
          <w:p w14:paraId="4BD24A2A">
            <w:pPr>
              <w:adjustRightInd w:val="0"/>
              <w:snapToGrid w:val="0"/>
              <w:jc w:val="left"/>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□新建（迁建）</w:t>
            </w:r>
          </w:p>
          <w:p w14:paraId="01E67298">
            <w:pPr>
              <w:adjustRightInd w:val="0"/>
              <w:snapToGrid w:val="0"/>
              <w:jc w:val="left"/>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☑改建</w:t>
            </w:r>
          </w:p>
          <w:p w14:paraId="076A88F6">
            <w:pPr>
              <w:adjustRightInd w:val="0"/>
              <w:snapToGrid w:val="0"/>
              <w:jc w:val="left"/>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□扩建</w:t>
            </w:r>
          </w:p>
          <w:p w14:paraId="1B6563A7">
            <w:pPr>
              <w:adjustRightInd w:val="0"/>
              <w:snapToGrid w:val="0"/>
              <w:jc w:val="left"/>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□技术改造</w:t>
            </w:r>
          </w:p>
        </w:tc>
        <w:tc>
          <w:tcPr>
            <w:tcW w:w="1807" w:type="dxa"/>
            <w:vAlign w:val="center"/>
          </w:tcPr>
          <w:p w14:paraId="5F52DD5C">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建设项目</w:t>
            </w:r>
          </w:p>
          <w:p w14:paraId="68A8B4BC">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申报情形</w:t>
            </w:r>
          </w:p>
        </w:tc>
        <w:tc>
          <w:tcPr>
            <w:tcW w:w="2653" w:type="dxa"/>
            <w:vAlign w:val="center"/>
          </w:tcPr>
          <w:p w14:paraId="338F488B">
            <w:pPr>
              <w:adjustRightInd w:val="0"/>
              <w:snapToGrid w:val="0"/>
              <w:jc w:val="left"/>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☑首次申报项目</w:t>
            </w:r>
          </w:p>
          <w:p w14:paraId="77694530">
            <w:pPr>
              <w:adjustRightInd w:val="0"/>
              <w:snapToGrid w:val="0"/>
              <w:jc w:val="left"/>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□不予批准后再次申报项目</w:t>
            </w:r>
          </w:p>
          <w:p w14:paraId="55EDAFEC">
            <w:pPr>
              <w:adjustRightInd w:val="0"/>
              <w:snapToGrid w:val="0"/>
              <w:jc w:val="left"/>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□超五年重新审核项目</w:t>
            </w:r>
          </w:p>
          <w:p w14:paraId="7E850A1C">
            <w:pPr>
              <w:adjustRightInd w:val="0"/>
              <w:snapToGrid w:val="0"/>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□重大变动重新报批项目</w:t>
            </w:r>
          </w:p>
        </w:tc>
      </w:tr>
      <w:tr w14:paraId="16E3D6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01" w:hRule="atLeast"/>
        </w:trPr>
        <w:tc>
          <w:tcPr>
            <w:tcW w:w="1825" w:type="dxa"/>
            <w:tcMar>
              <w:top w:w="16" w:type="dxa"/>
              <w:left w:w="16" w:type="dxa"/>
              <w:right w:w="16" w:type="dxa"/>
            </w:tcMar>
            <w:vAlign w:val="center"/>
          </w:tcPr>
          <w:p w14:paraId="5247EA90">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项目审批（核准/</w:t>
            </w:r>
          </w:p>
          <w:p w14:paraId="70CB9C02">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备案）部门（选填）</w:t>
            </w:r>
          </w:p>
        </w:tc>
        <w:tc>
          <w:tcPr>
            <w:tcW w:w="2614" w:type="dxa"/>
            <w:vAlign w:val="center"/>
          </w:tcPr>
          <w:p w14:paraId="46F2DBC6">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鸡西市</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水务局</w:t>
            </w:r>
          </w:p>
        </w:tc>
        <w:tc>
          <w:tcPr>
            <w:tcW w:w="1807" w:type="dxa"/>
            <w:vAlign w:val="center"/>
          </w:tcPr>
          <w:p w14:paraId="112ABD06">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项目审批（核准/</w:t>
            </w:r>
          </w:p>
          <w:p w14:paraId="2E8C7BA1">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备案）文号（选填）</w:t>
            </w:r>
          </w:p>
        </w:tc>
        <w:tc>
          <w:tcPr>
            <w:tcW w:w="2653" w:type="dxa"/>
            <w:vAlign w:val="center"/>
          </w:tcPr>
          <w:p w14:paraId="0B36DBFD">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鸡水复</w:t>
            </w: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〔2024〕</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10</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号</w:t>
            </w:r>
          </w:p>
        </w:tc>
      </w:tr>
      <w:tr w14:paraId="2D8FF2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0A5AC33C">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总投资（万元）</w:t>
            </w:r>
          </w:p>
        </w:tc>
        <w:tc>
          <w:tcPr>
            <w:tcW w:w="2614" w:type="dxa"/>
            <w:vAlign w:val="center"/>
          </w:tcPr>
          <w:p w14:paraId="6CD3B7CF">
            <w:pPr>
              <w:adjustRightInd w:val="0"/>
              <w:snapToGrid w:val="0"/>
              <w:jc w:val="cente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540.38</w:t>
            </w:r>
          </w:p>
        </w:tc>
        <w:tc>
          <w:tcPr>
            <w:tcW w:w="1807" w:type="dxa"/>
            <w:tcMar>
              <w:top w:w="16" w:type="dxa"/>
              <w:left w:w="16" w:type="dxa"/>
              <w:right w:w="16" w:type="dxa"/>
            </w:tcMar>
            <w:vAlign w:val="center"/>
          </w:tcPr>
          <w:p w14:paraId="69404792">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环保投资（万元）</w:t>
            </w:r>
          </w:p>
        </w:tc>
        <w:tc>
          <w:tcPr>
            <w:tcW w:w="2653" w:type="dxa"/>
            <w:vAlign w:val="center"/>
          </w:tcPr>
          <w:p w14:paraId="12C84725">
            <w:pPr>
              <w:adjustRightInd w:val="0"/>
              <w:snapToGrid w:val="0"/>
              <w:jc w:val="cente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29.63</w:t>
            </w:r>
          </w:p>
        </w:tc>
      </w:tr>
      <w:tr w14:paraId="020BFC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825" w:type="dxa"/>
            <w:tcMar>
              <w:top w:w="16" w:type="dxa"/>
              <w:left w:w="16" w:type="dxa"/>
              <w:right w:w="16" w:type="dxa"/>
            </w:tcMar>
            <w:vAlign w:val="center"/>
          </w:tcPr>
          <w:p w14:paraId="270E1FFC">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环保投资占比（%）</w:t>
            </w:r>
          </w:p>
        </w:tc>
        <w:tc>
          <w:tcPr>
            <w:tcW w:w="2614" w:type="dxa"/>
            <w:vAlign w:val="center"/>
          </w:tcPr>
          <w:p w14:paraId="799DF0FF">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5.48</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w:t>
            </w:r>
          </w:p>
        </w:tc>
        <w:tc>
          <w:tcPr>
            <w:tcW w:w="1807" w:type="dxa"/>
            <w:tcMar>
              <w:top w:w="16" w:type="dxa"/>
              <w:left w:w="16" w:type="dxa"/>
              <w:right w:w="16" w:type="dxa"/>
            </w:tcMar>
            <w:vAlign w:val="center"/>
          </w:tcPr>
          <w:p w14:paraId="14213953">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施工工期</w:t>
            </w:r>
          </w:p>
        </w:tc>
        <w:tc>
          <w:tcPr>
            <w:tcW w:w="2653" w:type="dxa"/>
            <w:vAlign w:val="center"/>
          </w:tcPr>
          <w:p w14:paraId="677ED440">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202</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5</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年</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8</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月-202</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6</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年</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7</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月</w:t>
            </w:r>
          </w:p>
        </w:tc>
      </w:tr>
      <w:tr w14:paraId="7201676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5" w:hRule="atLeast"/>
        </w:trPr>
        <w:tc>
          <w:tcPr>
            <w:tcW w:w="1825" w:type="dxa"/>
            <w:tcMar>
              <w:top w:w="16" w:type="dxa"/>
              <w:left w:w="16" w:type="dxa"/>
              <w:right w:w="16" w:type="dxa"/>
            </w:tcMar>
            <w:vAlign w:val="center"/>
          </w:tcPr>
          <w:p w14:paraId="0D6B7B1C">
            <w:pPr>
              <w:adjustRightInd w:val="0"/>
              <w:snapToGrid w:val="0"/>
              <w:jc w:val="center"/>
              <w:rPr>
                <w:rFonts w:hint="default" w:ascii="Times New Roman" w:hAnsi="Times New Roman" w:cs="Times New Roman" w:eastAsiaTheme="minorEastAsia"/>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是否开工建设</w:t>
            </w:r>
          </w:p>
        </w:tc>
        <w:tc>
          <w:tcPr>
            <w:tcW w:w="7074" w:type="dxa"/>
            <w:gridSpan w:val="3"/>
            <w:vAlign w:val="center"/>
          </w:tcPr>
          <w:p w14:paraId="541F5BDC">
            <w:pPr>
              <w:spacing w:before="120" w:beforeLines="50"/>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☑否</w:t>
            </w:r>
          </w:p>
          <w:p w14:paraId="041EBBE1">
            <w:pPr>
              <w:spacing w:before="120" w:beforeLines="50" w:line="360" w:lineRule="auto"/>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□是：</w:t>
            </w:r>
          </w:p>
        </w:tc>
      </w:tr>
      <w:tr w14:paraId="517C52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92" w:hRule="atLeast"/>
        </w:trPr>
        <w:tc>
          <w:tcPr>
            <w:tcW w:w="1825" w:type="dxa"/>
            <w:tcMar>
              <w:top w:w="16" w:type="dxa"/>
              <w:left w:w="16" w:type="dxa"/>
              <w:right w:w="16" w:type="dxa"/>
            </w:tcMar>
            <w:vAlign w:val="center"/>
          </w:tcPr>
          <w:p w14:paraId="53D442FC">
            <w:pPr>
              <w:spacing w:before="120" w:beforeLines="50" w:line="360" w:lineRule="auto"/>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专项评价设置情况</w:t>
            </w:r>
          </w:p>
        </w:tc>
        <w:tc>
          <w:tcPr>
            <w:tcW w:w="7074" w:type="dxa"/>
            <w:gridSpan w:val="3"/>
            <w:tcMar>
              <w:top w:w="17" w:type="dxa"/>
              <w:left w:w="74" w:type="dxa"/>
              <w:right w:w="74" w:type="dxa"/>
            </w:tcMar>
            <w:vAlign w:val="center"/>
          </w:tcPr>
          <w:p w14:paraId="3F6270A7">
            <w:pPr>
              <w:keepNext w:val="0"/>
              <w:keepLines w:val="0"/>
              <w:pageBreakBefore w:val="0"/>
              <w:widowControl w:val="0"/>
              <w:kinsoku/>
              <w:wordWrap/>
              <w:overflowPunct/>
              <w:topLinePunct w:val="0"/>
              <w:autoSpaceDE w:val="0"/>
              <w:autoSpaceDN w:val="0"/>
              <w:bidi w:val="0"/>
              <w:adjustRightInd w:val="0"/>
              <w:snapToGrid w:val="0"/>
              <w:spacing w:line="240" w:lineRule="auto"/>
              <w:ind w:firstLine="480" w:firstLineChars="200"/>
              <w:textAlignment w:val="auto"/>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根据《建设项目环境影响报告表编制技术指南（生态影响类）（试行）》，表1专项评价设置原则表，本工程属水库工程，应编制地表水专项评价。本工程专项评价设置情况判定见表1-1。</w:t>
            </w:r>
          </w:p>
          <w:p w14:paraId="1746FC6D">
            <w:pPr>
              <w:keepNext w:val="0"/>
              <w:keepLines w:val="0"/>
              <w:pageBreakBefore w:val="0"/>
              <w:widowControl w:val="0"/>
              <w:kinsoku/>
              <w:wordWrap/>
              <w:overflowPunct/>
              <w:topLinePunct w:val="0"/>
              <w:bidi w:val="0"/>
              <w:spacing w:line="240" w:lineRule="auto"/>
              <w:ind w:firstLine="422" w:firstLineChars="200"/>
              <w:jc w:val="center"/>
              <w:textAlignment w:val="center"/>
              <w:rPr>
                <w:rFonts w:hint="default" w:ascii="Times New Roman" w:hAnsi="Times New Roman" w:cs="Times New Roman" w:eastAsiaTheme="minorEastAsia"/>
                <w:b/>
                <w:bCs/>
                <w:color w:val="000000" w:themeColor="text1"/>
                <w:szCs w:val="21"/>
                <w:highlight w:val="none"/>
                <w14:textFill>
                  <w14:solidFill>
                    <w14:schemeClr w14:val="tx1"/>
                  </w14:solidFill>
                </w14:textFill>
              </w:rPr>
            </w:pPr>
            <w:r>
              <w:rPr>
                <w:rFonts w:hint="default" w:ascii="Times New Roman" w:hAnsi="Times New Roman" w:cs="Times New Roman" w:eastAsiaTheme="minorEastAsia"/>
                <w:b/>
                <w:bCs/>
                <w:color w:val="000000" w:themeColor="text1"/>
                <w:szCs w:val="21"/>
                <w:highlight w:val="none"/>
                <w14:textFill>
                  <w14:solidFill>
                    <w14:schemeClr w14:val="tx1"/>
                  </w14:solidFill>
                </w14:textFill>
              </w:rPr>
              <w:t>表1-1专项评价设置原则表</w:t>
            </w:r>
          </w:p>
          <w:tbl>
            <w:tblPr>
              <w:tblStyle w:val="22"/>
              <w:tblW w:w="6958" w:type="dxa"/>
              <w:jc w:val="center"/>
              <w:tblLayout w:type="fixed"/>
              <w:tblCellMar>
                <w:top w:w="0" w:type="dxa"/>
                <w:left w:w="108" w:type="dxa"/>
                <w:bottom w:w="0" w:type="dxa"/>
                <w:right w:w="108" w:type="dxa"/>
              </w:tblCellMar>
            </w:tblPr>
            <w:tblGrid>
              <w:gridCol w:w="1150"/>
              <w:gridCol w:w="3258"/>
              <w:gridCol w:w="2550"/>
            </w:tblGrid>
            <w:tr w14:paraId="3FE58106">
              <w:tblPrEx>
                <w:tblCellMar>
                  <w:top w:w="0" w:type="dxa"/>
                  <w:left w:w="108" w:type="dxa"/>
                  <w:bottom w:w="0" w:type="dxa"/>
                  <w:right w:w="108" w:type="dxa"/>
                </w:tblCellMar>
              </w:tblPrEx>
              <w:trPr>
                <w:trHeight w:val="227" w:hRule="atLeast"/>
                <w:jc w:val="center"/>
              </w:trPr>
              <w:tc>
                <w:tcPr>
                  <w:tcW w:w="1150" w:type="dxa"/>
                  <w:tcBorders>
                    <w:top w:val="single" w:color="000000" w:sz="4" w:space="0"/>
                    <w:left w:val="single" w:color="000000" w:sz="4" w:space="0"/>
                    <w:bottom w:val="single" w:color="000000" w:sz="4" w:space="0"/>
                    <w:right w:val="single" w:color="000000" w:sz="4" w:space="0"/>
                  </w:tcBorders>
                  <w:vAlign w:val="center"/>
                </w:tcPr>
                <w:p w14:paraId="40F60D57">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专项评价的类别</w:t>
                  </w:r>
                </w:p>
              </w:tc>
              <w:tc>
                <w:tcPr>
                  <w:tcW w:w="3258" w:type="dxa"/>
                  <w:tcBorders>
                    <w:top w:val="single" w:color="000000" w:sz="4" w:space="0"/>
                    <w:left w:val="single" w:color="000000" w:sz="4" w:space="0"/>
                    <w:bottom w:val="single" w:color="000000" w:sz="4" w:space="0"/>
                    <w:right w:val="single" w:color="000000" w:sz="4" w:space="0"/>
                  </w:tcBorders>
                  <w:vAlign w:val="center"/>
                </w:tcPr>
                <w:p w14:paraId="056A08D9">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涉及项目类别</w:t>
                  </w:r>
                </w:p>
              </w:tc>
              <w:tc>
                <w:tcPr>
                  <w:tcW w:w="2550" w:type="dxa"/>
                  <w:tcBorders>
                    <w:top w:val="single" w:color="000000" w:sz="4" w:space="0"/>
                    <w:left w:val="single" w:color="000000" w:sz="4" w:space="0"/>
                    <w:bottom w:val="single" w:color="000000" w:sz="4" w:space="0"/>
                    <w:right w:val="single" w:color="000000" w:sz="4" w:space="0"/>
                  </w:tcBorders>
                  <w:vAlign w:val="center"/>
                </w:tcPr>
                <w:p w14:paraId="1EBDC658">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本工程专项评价</w:t>
                  </w:r>
                </w:p>
                <w:p w14:paraId="24D478A3">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判别分析结果</w:t>
                  </w:r>
                </w:p>
              </w:tc>
            </w:tr>
            <w:tr w14:paraId="29765FD1">
              <w:tblPrEx>
                <w:tblCellMar>
                  <w:top w:w="0" w:type="dxa"/>
                  <w:left w:w="108" w:type="dxa"/>
                  <w:bottom w:w="0" w:type="dxa"/>
                  <w:right w:w="108" w:type="dxa"/>
                </w:tblCellMar>
              </w:tblPrEx>
              <w:trPr>
                <w:trHeight w:val="227" w:hRule="atLeast"/>
                <w:jc w:val="center"/>
              </w:trPr>
              <w:tc>
                <w:tcPr>
                  <w:tcW w:w="1150" w:type="dxa"/>
                  <w:tcBorders>
                    <w:top w:val="single" w:color="000000" w:sz="4" w:space="0"/>
                    <w:left w:val="single" w:color="000000" w:sz="4" w:space="0"/>
                    <w:bottom w:val="single" w:color="000000" w:sz="4" w:space="0"/>
                    <w:right w:val="single" w:color="000000" w:sz="4" w:space="0"/>
                  </w:tcBorders>
                  <w:vAlign w:val="center"/>
                </w:tcPr>
                <w:p w14:paraId="4F274297">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地表水</w:t>
                  </w:r>
                </w:p>
              </w:tc>
              <w:tc>
                <w:tcPr>
                  <w:tcW w:w="3258" w:type="dxa"/>
                  <w:tcBorders>
                    <w:top w:val="single" w:color="000000" w:sz="4" w:space="0"/>
                    <w:left w:val="single" w:color="000000" w:sz="4" w:space="0"/>
                    <w:bottom w:val="single" w:color="000000" w:sz="4" w:space="0"/>
                    <w:right w:val="single" w:color="000000" w:sz="4" w:space="0"/>
                  </w:tcBorders>
                  <w:vAlign w:val="center"/>
                </w:tcPr>
                <w:p w14:paraId="115AE6B1">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水力发电：引水式发电、涉及调峰发电的项目；</w:t>
                  </w:r>
                </w:p>
                <w:p w14:paraId="3B401601">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人工湖、人工湿地：全部；</w:t>
                  </w:r>
                </w:p>
                <w:p w14:paraId="4F963D13">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水库：全部；</w:t>
                  </w:r>
                </w:p>
                <w:p w14:paraId="20CF94E7">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引水工程：全部（配套的管线工程等除外）；</w:t>
                  </w:r>
                </w:p>
                <w:p w14:paraId="219C37A5">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防洪除涝工程：包含水库的项目；</w:t>
                  </w:r>
                </w:p>
                <w:p w14:paraId="374630B4">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河湖整治：涉及清淤且底泥存在重金属污染的项目</w:t>
                  </w:r>
                </w:p>
              </w:tc>
              <w:tc>
                <w:tcPr>
                  <w:tcW w:w="2550" w:type="dxa"/>
                  <w:tcBorders>
                    <w:top w:val="single" w:color="000000" w:sz="4" w:space="0"/>
                    <w:left w:val="single" w:color="000000" w:sz="4" w:space="0"/>
                    <w:bottom w:val="single" w:color="000000" w:sz="4" w:space="0"/>
                    <w:right w:val="single" w:color="000000" w:sz="4" w:space="0"/>
                  </w:tcBorders>
                  <w:vAlign w:val="center"/>
                </w:tcPr>
                <w:p w14:paraId="1C83938C">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本工程为水利工程中水库类别，因此，应设置地表水评价。</w:t>
                  </w:r>
                </w:p>
              </w:tc>
            </w:tr>
            <w:tr w14:paraId="5EA986C8">
              <w:tblPrEx>
                <w:tblCellMar>
                  <w:top w:w="0" w:type="dxa"/>
                  <w:left w:w="108" w:type="dxa"/>
                  <w:bottom w:w="0" w:type="dxa"/>
                  <w:right w:w="108" w:type="dxa"/>
                </w:tblCellMar>
              </w:tblPrEx>
              <w:trPr>
                <w:trHeight w:val="227" w:hRule="atLeast"/>
                <w:jc w:val="center"/>
              </w:trPr>
              <w:tc>
                <w:tcPr>
                  <w:tcW w:w="1150" w:type="dxa"/>
                  <w:tcBorders>
                    <w:top w:val="single" w:color="000000" w:sz="4" w:space="0"/>
                    <w:left w:val="single" w:color="000000" w:sz="4" w:space="0"/>
                    <w:bottom w:val="single" w:color="000000" w:sz="4" w:space="0"/>
                    <w:right w:val="single" w:color="000000" w:sz="4" w:space="0"/>
                  </w:tcBorders>
                  <w:vAlign w:val="center"/>
                </w:tcPr>
                <w:p w14:paraId="0273F14E">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地下水</w:t>
                  </w:r>
                </w:p>
              </w:tc>
              <w:tc>
                <w:tcPr>
                  <w:tcW w:w="3258" w:type="dxa"/>
                  <w:tcBorders>
                    <w:top w:val="single" w:color="000000" w:sz="4" w:space="0"/>
                    <w:left w:val="single" w:color="000000" w:sz="4" w:space="0"/>
                    <w:bottom w:val="single" w:color="000000" w:sz="4" w:space="0"/>
                    <w:right w:val="single" w:color="000000" w:sz="4" w:space="0"/>
                  </w:tcBorders>
                  <w:vAlign w:val="center"/>
                </w:tcPr>
                <w:p w14:paraId="3E2461A0">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陆地石油和天然气开采：全部；</w:t>
                  </w:r>
                </w:p>
                <w:p w14:paraId="4BBCA120">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地下水（含矿泉水）开采：全部；</w:t>
                  </w:r>
                </w:p>
                <w:p w14:paraId="4089AAE3">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水利、水电、交通等：含穿越可溶岩地层隧道的项目</w:t>
                  </w:r>
                </w:p>
              </w:tc>
              <w:tc>
                <w:tcPr>
                  <w:tcW w:w="2550" w:type="dxa"/>
                  <w:tcBorders>
                    <w:top w:val="single" w:color="000000" w:sz="4" w:space="0"/>
                    <w:left w:val="single" w:color="000000" w:sz="4" w:space="0"/>
                    <w:bottom w:val="single" w:color="000000" w:sz="4" w:space="0"/>
                    <w:right w:val="single" w:color="000000" w:sz="4" w:space="0"/>
                  </w:tcBorders>
                  <w:vAlign w:val="center"/>
                </w:tcPr>
                <w:p w14:paraId="36952024">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水利工程中水库类别，不属于包含穿越可溶岩地层隧道的项目类别，因此，无须设置地下水专项。</w:t>
                  </w:r>
                </w:p>
              </w:tc>
            </w:tr>
            <w:tr w14:paraId="72C111CD">
              <w:tblPrEx>
                <w:tblCellMar>
                  <w:top w:w="0" w:type="dxa"/>
                  <w:left w:w="108" w:type="dxa"/>
                  <w:bottom w:w="0" w:type="dxa"/>
                  <w:right w:w="108" w:type="dxa"/>
                </w:tblCellMar>
              </w:tblPrEx>
              <w:trPr>
                <w:trHeight w:val="227" w:hRule="atLeast"/>
                <w:jc w:val="center"/>
              </w:trPr>
              <w:tc>
                <w:tcPr>
                  <w:tcW w:w="1150" w:type="dxa"/>
                  <w:tcBorders>
                    <w:top w:val="single" w:color="000000" w:sz="4" w:space="0"/>
                    <w:left w:val="single" w:color="000000" w:sz="4" w:space="0"/>
                    <w:bottom w:val="single" w:color="000000" w:sz="4" w:space="0"/>
                    <w:right w:val="single" w:color="000000" w:sz="4" w:space="0"/>
                  </w:tcBorders>
                  <w:vAlign w:val="center"/>
                </w:tcPr>
                <w:p w14:paraId="55C788F1">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生态</w:t>
                  </w:r>
                </w:p>
              </w:tc>
              <w:tc>
                <w:tcPr>
                  <w:tcW w:w="3258" w:type="dxa"/>
                  <w:tcBorders>
                    <w:top w:val="single" w:color="000000" w:sz="4" w:space="0"/>
                    <w:left w:val="single" w:color="000000" w:sz="4" w:space="0"/>
                    <w:bottom w:val="single" w:color="000000" w:sz="4" w:space="0"/>
                    <w:right w:val="single" w:color="000000" w:sz="4" w:space="0"/>
                  </w:tcBorders>
                  <w:vAlign w:val="center"/>
                </w:tcPr>
                <w:p w14:paraId="45F904BF">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涉及环境敏感区（不包括饮用水水源保护区，以居住、医疗卫生、文化教育、科研、行政办公为主要功能的区域，以及文物保护单位）的项目</w:t>
                  </w:r>
                </w:p>
              </w:tc>
              <w:tc>
                <w:tcPr>
                  <w:tcW w:w="2550" w:type="dxa"/>
                  <w:tcBorders>
                    <w:top w:val="single" w:color="000000" w:sz="4" w:space="0"/>
                    <w:left w:val="single" w:color="000000" w:sz="4" w:space="0"/>
                    <w:bottom w:val="single" w:color="000000" w:sz="4" w:space="0"/>
                    <w:right w:val="single" w:color="000000" w:sz="4" w:space="0"/>
                  </w:tcBorders>
                  <w:vAlign w:val="center"/>
                </w:tcPr>
                <w:p w14:paraId="1D4355FA">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本次评价不需开展生态专项评价。</w:t>
                  </w:r>
                </w:p>
              </w:tc>
            </w:tr>
            <w:tr w14:paraId="6C694C18">
              <w:tblPrEx>
                <w:tblCellMar>
                  <w:top w:w="0" w:type="dxa"/>
                  <w:left w:w="108" w:type="dxa"/>
                  <w:bottom w:w="0" w:type="dxa"/>
                  <w:right w:w="108" w:type="dxa"/>
                </w:tblCellMar>
              </w:tblPrEx>
              <w:trPr>
                <w:trHeight w:val="227" w:hRule="atLeast"/>
                <w:jc w:val="center"/>
              </w:trPr>
              <w:tc>
                <w:tcPr>
                  <w:tcW w:w="1150" w:type="dxa"/>
                  <w:tcBorders>
                    <w:top w:val="single" w:color="000000" w:sz="4" w:space="0"/>
                    <w:left w:val="single" w:color="000000" w:sz="4" w:space="0"/>
                    <w:bottom w:val="single" w:color="000000" w:sz="4" w:space="0"/>
                    <w:right w:val="single" w:color="000000" w:sz="4" w:space="0"/>
                  </w:tcBorders>
                  <w:vAlign w:val="center"/>
                </w:tcPr>
                <w:p w14:paraId="0FC85289">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大气</w:t>
                  </w:r>
                </w:p>
              </w:tc>
              <w:tc>
                <w:tcPr>
                  <w:tcW w:w="3258" w:type="dxa"/>
                  <w:tcBorders>
                    <w:top w:val="single" w:color="000000" w:sz="4" w:space="0"/>
                    <w:left w:val="single" w:color="000000" w:sz="4" w:space="0"/>
                    <w:bottom w:val="single" w:color="000000" w:sz="4" w:space="0"/>
                    <w:right w:val="single" w:color="000000" w:sz="4" w:space="0"/>
                  </w:tcBorders>
                  <w:vAlign w:val="center"/>
                </w:tcPr>
                <w:p w14:paraId="4AC99822">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油气、液体化工码头：全部；</w:t>
                  </w:r>
                </w:p>
                <w:p w14:paraId="679069FA">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干散货（含煤炭、矿石）、件杂、多用途、通用码头：涉及粉尘、挥发性有机物排放的项目</w:t>
                  </w:r>
                </w:p>
              </w:tc>
              <w:tc>
                <w:tcPr>
                  <w:tcW w:w="2550" w:type="dxa"/>
                  <w:tcBorders>
                    <w:top w:val="single" w:color="000000" w:sz="4" w:space="0"/>
                    <w:left w:val="single" w:color="000000" w:sz="4" w:space="0"/>
                    <w:bottom w:val="single" w:color="000000" w:sz="4" w:space="0"/>
                    <w:right w:val="single" w:color="000000" w:sz="4" w:space="0"/>
                  </w:tcBorders>
                  <w:vAlign w:val="center"/>
                </w:tcPr>
                <w:p w14:paraId="368BCF81">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不在涉及项目类别之中</w:t>
                  </w:r>
                </w:p>
              </w:tc>
            </w:tr>
            <w:tr w14:paraId="42CF51F8">
              <w:tblPrEx>
                <w:tblCellMar>
                  <w:top w:w="0" w:type="dxa"/>
                  <w:left w:w="108" w:type="dxa"/>
                  <w:bottom w:w="0" w:type="dxa"/>
                  <w:right w:w="108" w:type="dxa"/>
                </w:tblCellMar>
              </w:tblPrEx>
              <w:trPr>
                <w:trHeight w:val="227" w:hRule="atLeast"/>
                <w:jc w:val="center"/>
              </w:trPr>
              <w:tc>
                <w:tcPr>
                  <w:tcW w:w="1150" w:type="dxa"/>
                  <w:tcBorders>
                    <w:top w:val="single" w:color="000000" w:sz="4" w:space="0"/>
                    <w:left w:val="single" w:color="000000" w:sz="4" w:space="0"/>
                    <w:bottom w:val="single" w:color="000000" w:sz="4" w:space="0"/>
                    <w:right w:val="single" w:color="000000" w:sz="4" w:space="0"/>
                  </w:tcBorders>
                  <w:vAlign w:val="center"/>
                </w:tcPr>
                <w:p w14:paraId="3F9061D5">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噪声</w:t>
                  </w:r>
                </w:p>
              </w:tc>
              <w:tc>
                <w:tcPr>
                  <w:tcW w:w="3258" w:type="dxa"/>
                  <w:tcBorders>
                    <w:top w:val="single" w:color="000000" w:sz="4" w:space="0"/>
                    <w:left w:val="single" w:color="000000" w:sz="4" w:space="0"/>
                    <w:bottom w:val="single" w:color="000000" w:sz="4" w:space="0"/>
                    <w:right w:val="single" w:color="000000" w:sz="4" w:space="0"/>
                  </w:tcBorders>
                  <w:vAlign w:val="center"/>
                </w:tcPr>
                <w:p w14:paraId="1858E853">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公路、铁路、机场等交通运输业涉及环境敏感区（以居住、医疗卫生、文化教育、科研、行政办公为主要功能的区域）的项目；城市道路（不含维护，不含支路、人行天桥、人行地道）：全部</w:t>
                  </w:r>
                </w:p>
              </w:tc>
              <w:tc>
                <w:tcPr>
                  <w:tcW w:w="2550" w:type="dxa"/>
                  <w:tcBorders>
                    <w:top w:val="single" w:color="000000" w:sz="4" w:space="0"/>
                    <w:left w:val="single" w:color="000000" w:sz="4" w:space="0"/>
                    <w:bottom w:val="single" w:color="000000" w:sz="4" w:space="0"/>
                    <w:right w:val="single" w:color="000000" w:sz="4" w:space="0"/>
                  </w:tcBorders>
                  <w:vAlign w:val="center"/>
                </w:tcPr>
                <w:p w14:paraId="16F1A7F7">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不在涉及项目类别之中</w:t>
                  </w:r>
                </w:p>
              </w:tc>
            </w:tr>
            <w:tr w14:paraId="31460620">
              <w:tblPrEx>
                <w:tblCellMar>
                  <w:top w:w="0" w:type="dxa"/>
                  <w:left w:w="108" w:type="dxa"/>
                  <w:bottom w:w="0" w:type="dxa"/>
                  <w:right w:w="108" w:type="dxa"/>
                </w:tblCellMar>
              </w:tblPrEx>
              <w:trPr>
                <w:trHeight w:val="227" w:hRule="atLeast"/>
                <w:jc w:val="center"/>
              </w:trPr>
              <w:tc>
                <w:tcPr>
                  <w:tcW w:w="1150" w:type="dxa"/>
                  <w:tcBorders>
                    <w:top w:val="single" w:color="000000" w:sz="4" w:space="0"/>
                    <w:left w:val="single" w:color="000000" w:sz="4" w:space="0"/>
                    <w:bottom w:val="single" w:color="auto" w:sz="4" w:space="0"/>
                    <w:right w:val="single" w:color="000000" w:sz="4" w:space="0"/>
                  </w:tcBorders>
                  <w:vAlign w:val="center"/>
                </w:tcPr>
                <w:p w14:paraId="25C14D05">
                  <w:pPr>
                    <w:keepNext w:val="0"/>
                    <w:keepLines w:val="0"/>
                    <w:pageBreakBefore w:val="0"/>
                    <w:widowControl/>
                    <w:kinsoku/>
                    <w:wordWrap/>
                    <w:overflowPunct/>
                    <w:topLinePunct w:val="0"/>
                    <w:autoSpaceDE/>
                    <w:autoSpaceDN/>
                    <w:bidi w:val="0"/>
                    <w:adjustRightInd w:val="0"/>
                    <w:snapToGrid w:val="0"/>
                    <w:jc w:val="center"/>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环境风险</w:t>
                  </w:r>
                </w:p>
              </w:tc>
              <w:tc>
                <w:tcPr>
                  <w:tcW w:w="3258" w:type="dxa"/>
                  <w:tcBorders>
                    <w:top w:val="single" w:color="000000" w:sz="4" w:space="0"/>
                    <w:left w:val="single" w:color="000000" w:sz="4" w:space="0"/>
                    <w:bottom w:val="single" w:color="auto" w:sz="4" w:space="0"/>
                    <w:right w:val="single" w:color="000000" w:sz="4" w:space="0"/>
                  </w:tcBorders>
                  <w:vAlign w:val="center"/>
                </w:tcPr>
                <w:p w14:paraId="67C2F42E">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石油和天然气开采：全部；</w:t>
                  </w:r>
                </w:p>
                <w:p w14:paraId="7162892D">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油气、液体化工码头：全部；</w:t>
                  </w:r>
                </w:p>
                <w:p w14:paraId="7789123D">
                  <w:pPr>
                    <w:keepNext w:val="0"/>
                    <w:keepLines w:val="0"/>
                    <w:pageBreakBefore w:val="0"/>
                    <w:widowControl/>
                    <w:kinsoku/>
                    <w:wordWrap/>
                    <w:overflowPunct/>
                    <w:topLinePunct w:val="0"/>
                    <w:autoSpaceDE/>
                    <w:autoSpaceDN/>
                    <w:bidi w:val="0"/>
                    <w:adjustRightInd w:val="0"/>
                    <w:snapToGrid w:val="0"/>
                    <w:jc w:val="left"/>
                    <w:textAlignment w:val="top"/>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原油、成品油、天然气管线（不含城镇天然气管线、企业厂区内管线），危险化学品输送管线（不含企业厂区内管线）：全部</w:t>
                  </w:r>
                </w:p>
              </w:tc>
              <w:tc>
                <w:tcPr>
                  <w:tcW w:w="2550" w:type="dxa"/>
                  <w:tcBorders>
                    <w:top w:val="single" w:color="000000" w:sz="4" w:space="0"/>
                    <w:left w:val="single" w:color="000000" w:sz="4" w:space="0"/>
                    <w:bottom w:val="single" w:color="auto" w:sz="4" w:space="0"/>
                    <w:right w:val="single" w:color="000000" w:sz="4" w:space="0"/>
                  </w:tcBorders>
                  <w:noWrap/>
                  <w:vAlign w:val="center"/>
                </w:tcPr>
                <w:p w14:paraId="27A98F73">
                  <w:pPr>
                    <w:keepNext w:val="0"/>
                    <w:keepLines w:val="0"/>
                    <w:pageBreakBefore w:val="0"/>
                    <w:widowControl/>
                    <w:kinsoku/>
                    <w:wordWrap/>
                    <w:overflowPunct/>
                    <w:topLinePunct w:val="0"/>
                    <w:autoSpaceDE/>
                    <w:autoSpaceDN/>
                    <w:bidi w:val="0"/>
                    <w:adjustRightInd w:val="0"/>
                    <w:snapToGrid w:val="0"/>
                    <w:jc w:val="left"/>
                    <w:textAlignment w:val="center"/>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t>不在涉及项目类别之中</w:t>
                  </w:r>
                </w:p>
              </w:tc>
            </w:tr>
            <w:tr w14:paraId="13561CAB">
              <w:tblPrEx>
                <w:tblCellMar>
                  <w:top w:w="0" w:type="dxa"/>
                  <w:left w:w="108" w:type="dxa"/>
                  <w:bottom w:w="0" w:type="dxa"/>
                  <w:right w:w="108" w:type="dxa"/>
                </w:tblCellMar>
              </w:tblPrEx>
              <w:trPr>
                <w:trHeight w:val="227" w:hRule="atLeast"/>
                <w:jc w:val="center"/>
              </w:trPr>
              <w:tc>
                <w:tcPr>
                  <w:tcW w:w="6958" w:type="dxa"/>
                  <w:gridSpan w:val="3"/>
                  <w:tcBorders>
                    <w:top w:val="single" w:color="auto" w:sz="4" w:space="0"/>
                    <w:left w:val="single" w:color="000000" w:sz="4" w:space="0"/>
                    <w:bottom w:val="single" w:color="000000" w:sz="4" w:space="0"/>
                    <w:right w:val="single" w:color="000000" w:sz="4" w:space="0"/>
                  </w:tcBorders>
                  <w:vAlign w:val="center"/>
                </w:tcPr>
                <w:p w14:paraId="7376CD7F">
                  <w:pPr>
                    <w:keepNext w:val="0"/>
                    <w:keepLines w:val="0"/>
                    <w:pageBreakBefore w:val="0"/>
                    <w:widowControl/>
                    <w:kinsoku/>
                    <w:wordWrap/>
                    <w:overflowPunct/>
                    <w:topLinePunct w:val="0"/>
                    <w:autoSpaceDE/>
                    <w:autoSpaceDN/>
                    <w:bidi w:val="0"/>
                    <w:adjustRightInd w:val="0"/>
                    <w:snapToGrid w:val="0"/>
                    <w:jc w:val="left"/>
                    <w:textAlignment w:val="center"/>
                    <w:rPr>
                      <w:rFonts w:hint="default" w:ascii="Times New Roman" w:hAnsi="Times New Roman" w:cs="Times New Roman" w:eastAsiaTheme="minorEastAsia"/>
                      <w:snapToGrid w:val="0"/>
                      <w:color w:val="000000" w:themeColor="text1"/>
                      <w:spacing w:val="0"/>
                      <w:kern w:val="0"/>
                      <w:szCs w:val="21"/>
                      <w:highlight w:val="none"/>
                      <w:lang w:bidi="ar"/>
                      <w14:textFill>
                        <w14:solidFill>
                          <w14:schemeClr w14:val="tx1"/>
                        </w14:solidFill>
                      </w14:textFill>
                    </w:rPr>
                  </w:pPr>
                  <w:r>
                    <w:rPr>
                      <w:rFonts w:hint="default" w:ascii="Times New Roman" w:hAnsi="Times New Roman" w:cs="Times New Roman" w:eastAsiaTheme="minorEastAsia"/>
                      <w:snapToGrid w:val="0"/>
                      <w:color w:val="000000" w:themeColor="text1"/>
                      <w:spacing w:val="0"/>
                      <w:kern w:val="0"/>
                      <w:szCs w:val="21"/>
                      <w:highlight w:val="none"/>
                      <w14:textFill>
                        <w14:solidFill>
                          <w14:schemeClr w14:val="tx1"/>
                        </w14:solidFill>
                      </w14:textFill>
                    </w:rPr>
                    <w:t>注：“涉及环境敏感区”是指建设项目位于、穿（跨）越（无害化通过的除外）环境敏感区，或环境影响范围涵盖环境敏感区。环境敏感区是指《建设项目环境影响评价分类管理名录》中针对该类项目所列的敏感区。</w:t>
                  </w:r>
                </w:p>
              </w:tc>
            </w:tr>
          </w:tbl>
          <w:p w14:paraId="449F2941">
            <w:pPr>
              <w:pStyle w:val="20"/>
              <w:ind w:firstLine="210"/>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p>
        </w:tc>
      </w:tr>
      <w:tr w14:paraId="1BEEB8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3" w:hRule="atLeast"/>
        </w:trPr>
        <w:tc>
          <w:tcPr>
            <w:tcW w:w="1825" w:type="dxa"/>
            <w:tcMar>
              <w:top w:w="16" w:type="dxa"/>
              <w:left w:w="16" w:type="dxa"/>
              <w:right w:w="16" w:type="dxa"/>
            </w:tcMar>
            <w:vAlign w:val="center"/>
          </w:tcPr>
          <w:p w14:paraId="267C1116">
            <w:pPr>
              <w:adjustRightInd w:val="0"/>
              <w:snapToGrid w:val="0"/>
              <w:jc w:val="center"/>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规划情况</w:t>
            </w:r>
          </w:p>
        </w:tc>
        <w:tc>
          <w:tcPr>
            <w:tcW w:w="7074" w:type="dxa"/>
            <w:gridSpan w:val="3"/>
            <w:tcMar>
              <w:top w:w="16" w:type="dxa"/>
              <w:left w:w="16" w:type="dxa"/>
              <w:right w:w="16" w:type="dxa"/>
            </w:tcMar>
            <w:vAlign w:val="center"/>
          </w:tcPr>
          <w:p w14:paraId="603EC219">
            <w:pPr>
              <w:keepNext w:val="0"/>
              <w:keepLines w:val="0"/>
              <w:pageBreakBefore w:val="0"/>
              <w:widowControl w:val="0"/>
              <w:kinsoku/>
              <w:wordWrap/>
              <w:overflowPunct/>
              <w:topLinePunct w:val="0"/>
              <w:autoSpaceDE w:val="0"/>
              <w:autoSpaceDN w:val="0"/>
              <w:bidi w:val="0"/>
              <w:adjustRightInd w:val="0"/>
              <w:snapToGrid w:val="0"/>
              <w:spacing w:before="120" w:beforeLines="50" w:line="360" w:lineRule="auto"/>
              <w:ind w:firstLine="0" w:firstLineChars="0"/>
              <w:jc w:val="center"/>
              <w:textAlignment w:val="auto"/>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无</w:t>
            </w:r>
          </w:p>
        </w:tc>
      </w:tr>
      <w:tr w14:paraId="776E01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07" w:hRule="atLeast"/>
        </w:trPr>
        <w:tc>
          <w:tcPr>
            <w:tcW w:w="1825" w:type="dxa"/>
            <w:tcMar>
              <w:top w:w="16" w:type="dxa"/>
              <w:left w:w="16" w:type="dxa"/>
              <w:right w:w="16" w:type="dxa"/>
            </w:tcMar>
            <w:vAlign w:val="center"/>
          </w:tcPr>
          <w:p w14:paraId="727D6DFB">
            <w:pPr>
              <w:autoSpaceDE w:val="0"/>
              <w:autoSpaceDN w:val="0"/>
              <w:adjustRightInd w:val="0"/>
              <w:snapToGrid w:val="0"/>
              <w:jc w:val="center"/>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规划环境影响</w:t>
            </w:r>
          </w:p>
          <w:p w14:paraId="361BB8BE">
            <w:pPr>
              <w:autoSpaceDE w:val="0"/>
              <w:autoSpaceDN w:val="0"/>
              <w:adjustRightInd w:val="0"/>
              <w:snapToGrid w:val="0"/>
              <w:jc w:val="center"/>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评价情况</w:t>
            </w:r>
          </w:p>
        </w:tc>
        <w:tc>
          <w:tcPr>
            <w:tcW w:w="7074" w:type="dxa"/>
            <w:gridSpan w:val="3"/>
            <w:tcMar>
              <w:top w:w="16" w:type="dxa"/>
              <w:left w:w="16" w:type="dxa"/>
              <w:right w:w="16" w:type="dxa"/>
            </w:tcMar>
            <w:vAlign w:val="center"/>
          </w:tcPr>
          <w:p w14:paraId="4B66D53A">
            <w:pPr>
              <w:keepNext w:val="0"/>
              <w:keepLines w:val="0"/>
              <w:pageBreakBefore w:val="0"/>
              <w:widowControl w:val="0"/>
              <w:kinsoku/>
              <w:wordWrap/>
              <w:overflowPunct/>
              <w:topLinePunct w:val="0"/>
              <w:autoSpaceDE w:val="0"/>
              <w:autoSpaceDN w:val="0"/>
              <w:bidi w:val="0"/>
              <w:adjustRightInd w:val="0"/>
              <w:snapToGrid w:val="0"/>
              <w:spacing w:before="120" w:beforeLines="50" w:line="360" w:lineRule="auto"/>
              <w:ind w:firstLine="0" w:firstLineChars="0"/>
              <w:jc w:val="center"/>
              <w:textAlignment w:val="auto"/>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无</w:t>
            </w:r>
          </w:p>
        </w:tc>
      </w:tr>
      <w:tr w14:paraId="5C93FF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89" w:hRule="atLeast"/>
        </w:trPr>
        <w:tc>
          <w:tcPr>
            <w:tcW w:w="1825" w:type="dxa"/>
            <w:tcMar>
              <w:top w:w="16" w:type="dxa"/>
              <w:left w:w="16" w:type="dxa"/>
              <w:right w:w="16" w:type="dxa"/>
            </w:tcMar>
            <w:vAlign w:val="center"/>
          </w:tcPr>
          <w:p w14:paraId="2ACBE5F6">
            <w:pPr>
              <w:autoSpaceDE w:val="0"/>
              <w:autoSpaceDN w:val="0"/>
              <w:adjustRightInd w:val="0"/>
              <w:snapToGrid w:val="0"/>
              <w:jc w:val="center"/>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规划及</w:t>
            </w:r>
            <w:r>
              <w:rPr>
                <w:rFonts w:hint="default" w:ascii="Times New Roman" w:hAnsi="Times New Roman" w:cs="Times New Roman" w:eastAsiaTheme="minorEastAsia"/>
                <w:color w:val="000000" w:themeColor="text1"/>
                <w:sz w:val="24"/>
                <w:highlight w:val="none"/>
                <w14:textFill>
                  <w14:solidFill>
                    <w14:schemeClr w14:val="tx1"/>
                  </w14:solidFill>
                </w14:textFill>
              </w:rPr>
              <w:t>规划环境影响评价</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符合性分析</w:t>
            </w:r>
          </w:p>
        </w:tc>
        <w:tc>
          <w:tcPr>
            <w:tcW w:w="7074" w:type="dxa"/>
            <w:gridSpan w:val="3"/>
            <w:tcMar>
              <w:top w:w="16" w:type="dxa"/>
              <w:left w:w="16" w:type="dxa"/>
              <w:right w:w="16" w:type="dxa"/>
            </w:tcMar>
            <w:vAlign w:val="center"/>
          </w:tcPr>
          <w:p w14:paraId="62181C9E">
            <w:pPr>
              <w:keepNext w:val="0"/>
              <w:keepLines w:val="0"/>
              <w:pageBreakBefore w:val="0"/>
              <w:widowControl w:val="0"/>
              <w:kinsoku/>
              <w:wordWrap/>
              <w:overflowPunct/>
              <w:topLinePunct w:val="0"/>
              <w:autoSpaceDE w:val="0"/>
              <w:autoSpaceDN w:val="0"/>
              <w:bidi w:val="0"/>
              <w:adjustRightInd w:val="0"/>
              <w:snapToGrid w:val="0"/>
              <w:spacing w:before="120" w:beforeLines="50" w:line="360" w:lineRule="auto"/>
              <w:ind w:firstLine="0" w:firstLineChars="0"/>
              <w:jc w:val="center"/>
              <w:textAlignment w:val="auto"/>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无</w:t>
            </w:r>
          </w:p>
        </w:tc>
      </w:tr>
      <w:tr w14:paraId="49B52F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156" w:hRule="atLeast"/>
        </w:trPr>
        <w:tc>
          <w:tcPr>
            <w:tcW w:w="1825" w:type="dxa"/>
            <w:tcMar>
              <w:top w:w="16" w:type="dxa"/>
              <w:left w:w="16" w:type="dxa"/>
              <w:right w:w="16" w:type="dxa"/>
            </w:tcMar>
            <w:vAlign w:val="center"/>
          </w:tcPr>
          <w:p w14:paraId="6FAD92F7">
            <w:pPr>
              <w:autoSpaceDE w:val="0"/>
              <w:autoSpaceDN w:val="0"/>
              <w:adjustRightInd w:val="0"/>
              <w:snapToGrid w:val="0"/>
              <w:jc w:val="center"/>
              <w:rPr>
                <w:rFonts w:hint="default" w:ascii="Times New Roman" w:hAnsi="Times New Roman" w:cs="Times New Roman" w:eastAsiaTheme="minorEastAsia"/>
                <w:color w:val="000000" w:themeColor="text1"/>
                <w:kern w:val="0"/>
                <w:szCs w:val="21"/>
                <w:highlight w:val="none"/>
                <w14:textFill>
                  <w14:solidFill>
                    <w14:schemeClr w14:val="tx1"/>
                  </w14:solidFill>
                </w14:textFill>
              </w:rPr>
            </w:pPr>
            <w:bookmarkStart w:id="5" w:name="_Hlk56690880"/>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其他符合性分析</w:t>
            </w:r>
            <w:bookmarkEnd w:id="5"/>
          </w:p>
        </w:tc>
        <w:tc>
          <w:tcPr>
            <w:tcW w:w="7074" w:type="dxa"/>
            <w:gridSpan w:val="3"/>
            <w:tcMar>
              <w:top w:w="17" w:type="dxa"/>
              <w:left w:w="130" w:type="dxa"/>
              <w:right w:w="130" w:type="dxa"/>
            </w:tcMar>
          </w:tcPr>
          <w:p w14:paraId="190E5E26">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textAlignment w:val="auto"/>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kern w:val="0"/>
                <w:sz w:val="24"/>
                <w:highlight w:val="none"/>
                <w14:textFill>
                  <w14:solidFill>
                    <w14:schemeClr w14:val="tx1"/>
                  </w14:solidFill>
                </w14:textFill>
              </w:rPr>
              <w:t>环境影响评价文件类型确定</w:t>
            </w:r>
          </w:p>
          <w:p w14:paraId="5CC4CC75">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水库是一座以灌溉为主，兼顾防洪、养鱼等综合利用的小(</w:t>
            </w: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I</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)型水库，位于</w:t>
            </w: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密山市穆棱河上游</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灌溉水田4000亩，保护耕地1.5万亩、村屯4个、人口3100人及鸡密铁路与公路</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由于2023年及2024年连续两年超标准洪水，水库超负荷运行，出现影响安全的异常现象，经水库大坝安全鉴定评价及省厅核查确定青山水库为“三类坝”，需要实施除险加固工程</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w:t>
            </w: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由于水库建成年份较早，无环境影响评价和环保验收的情况。</w:t>
            </w:r>
          </w:p>
          <w:p w14:paraId="5A54B1D6">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本次防洪提升工程的主要任务是通过对土坝、溢洪道、引水建筑物存在的问题进行消险，增强水库抵御超标准洪水的能力，使水库的防灾减灾能力全面提升</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根据《建设项目环境影响评价分类管理名录（2021年版）》，结合本次工程内容及任务，本项目属“五十一项、水利”中的“12</w:t>
            </w:r>
            <w:r>
              <w:rPr>
                <w:rFonts w:hint="eastAsia" w:cs="Times New Roman"/>
                <w:color w:val="000000" w:themeColor="text1"/>
                <w:sz w:val="24"/>
                <w:highlight w:val="none"/>
                <w:lang w:val="en-US" w:eastAsia="zh-CN"/>
                <w14:textFill>
                  <w14:solidFill>
                    <w14:schemeClr w14:val="tx1"/>
                  </w14:solidFill>
                </w14:textFill>
              </w:rPr>
              <w:t>4水库</w:t>
            </w:r>
            <w:r>
              <w:rPr>
                <w:rFonts w:hint="default" w:ascii="Times New Roman" w:hAnsi="Times New Roman" w:cs="Times New Roman"/>
                <w:color w:val="000000" w:themeColor="text1"/>
                <w:sz w:val="24"/>
                <w:highlight w:val="none"/>
                <w14:textFill>
                  <w14:solidFill>
                    <w14:schemeClr w14:val="tx1"/>
                  </w14:solidFill>
                </w14:textFill>
              </w:rPr>
              <w:t>”。本项目属“其他”项目，应编制环境影响报告表</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w:t>
            </w:r>
          </w:p>
          <w:p w14:paraId="1AF650FF">
            <w:pPr>
              <w:spacing w:line="360" w:lineRule="auto"/>
              <w:ind w:firstLine="482" w:firstLineChars="200"/>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t>2、</w:t>
            </w:r>
            <w:r>
              <w:rPr>
                <w:rFonts w:hint="default" w:ascii="Times New Roman" w:hAnsi="Times New Roman" w:cs="Times New Roman" w:eastAsiaTheme="minorEastAsia"/>
                <w:b/>
                <w:color w:val="000000" w:themeColor="text1"/>
                <w:sz w:val="24"/>
                <w:highlight w:val="none"/>
                <w14:textFill>
                  <w14:solidFill>
                    <w14:schemeClr w14:val="tx1"/>
                  </w14:solidFill>
                </w14:textFill>
              </w:rPr>
              <w:t>产业政策符合性分析</w:t>
            </w:r>
          </w:p>
          <w:p w14:paraId="6EDB7D01">
            <w:pPr>
              <w:autoSpaceDE w:val="0"/>
              <w:autoSpaceDN w:val="0"/>
              <w:adjustRightInd w:val="0"/>
              <w:snapToGrid w:val="0"/>
              <w:spacing w:line="360" w:lineRule="auto"/>
              <w:ind w:firstLine="480" w:firstLineChars="200"/>
              <w:textAlignment w:val="center"/>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根据《产业结构调整指导目录（2024年本）》（国家发展和改革委员会令第7号，本工程属于第一类鼓励类中第二项“水利”中第3条：病险水库、水闸除险加固工程。</w:t>
            </w:r>
          </w:p>
          <w:p w14:paraId="1A04B267">
            <w:pPr>
              <w:spacing w:line="360" w:lineRule="auto"/>
              <w:ind w:firstLine="482" w:firstLineChars="200"/>
              <w:rPr>
                <w:rFonts w:hint="default" w:ascii="Times New Roman" w:hAnsi="Times New Roman" w:cs="Times New Roman" w:eastAsiaTheme="minorEastAsia"/>
                <w:bCs/>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t>3、</w:t>
            </w:r>
            <w:r>
              <w:rPr>
                <w:rFonts w:hint="default" w:ascii="Times New Roman" w:hAnsi="Times New Roman" w:cs="Times New Roman" w:eastAsiaTheme="minorEastAsia"/>
                <w:b/>
                <w:color w:val="000000" w:themeColor="text1"/>
                <w:sz w:val="24"/>
                <w:highlight w:val="none"/>
                <w14:textFill>
                  <w14:solidFill>
                    <w14:schemeClr w14:val="tx1"/>
                  </w14:solidFill>
                </w14:textFill>
              </w:rPr>
              <w:t>与</w:t>
            </w:r>
            <w:r>
              <w:rPr>
                <w:rFonts w:hint="eastAsia" w:ascii="Times New Roman" w:hAnsi="Times New Roman" w:cs="Times New Roman" w:eastAsiaTheme="minorEastAsia"/>
                <w:b/>
                <w:color w:val="000000" w:themeColor="text1"/>
                <w:sz w:val="24"/>
                <w:highlight w:val="none"/>
                <w:lang w:eastAsia="zh-CN"/>
                <w14:textFill>
                  <w14:solidFill>
                    <w14:schemeClr w14:val="tx1"/>
                  </w14:solidFill>
                </w14:textFill>
              </w:rPr>
              <w:t>生态环境分区管控</w:t>
            </w:r>
            <w:r>
              <w:rPr>
                <w:rFonts w:hint="default" w:ascii="Times New Roman" w:hAnsi="Times New Roman" w:cs="Times New Roman" w:eastAsiaTheme="minorEastAsia"/>
                <w:b/>
                <w:color w:val="000000" w:themeColor="text1"/>
                <w:sz w:val="24"/>
                <w:highlight w:val="none"/>
                <w14:textFill>
                  <w14:solidFill>
                    <w14:schemeClr w14:val="tx1"/>
                  </w14:solidFill>
                </w14:textFill>
              </w:rPr>
              <w:t>符合性分析</w:t>
            </w:r>
          </w:p>
          <w:p w14:paraId="4FE25FDB">
            <w:pPr>
              <w:spacing w:line="360" w:lineRule="auto"/>
              <w:ind w:firstLine="482" w:firstLineChars="200"/>
              <w:jc w:val="left"/>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14:textFill>
                  <w14:solidFill>
                    <w14:schemeClr w14:val="tx1"/>
                  </w14:solidFill>
                </w14:textFill>
              </w:rPr>
              <w:t>生态保护红线</w:t>
            </w:r>
          </w:p>
          <w:p w14:paraId="677C8EFF">
            <w:pPr>
              <w:autoSpaceDE w:val="0"/>
              <w:autoSpaceDN w:val="0"/>
              <w:adjustRightInd w:val="0"/>
              <w:snapToGrid w:val="0"/>
              <w:spacing w:line="360" w:lineRule="auto"/>
              <w:ind w:firstLine="480" w:firstLineChars="200"/>
              <w:textAlignment w:val="center"/>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sz w:val="24"/>
                <w:szCs w:val="32"/>
                <w:lang w:eastAsia="zh-CN" w:bidi="ar"/>
                <w14:textFill>
                  <w14:solidFill>
                    <w14:schemeClr w14:val="tx1"/>
                  </w14:solidFill>
                </w14:textFill>
              </w:rPr>
              <w:t>“三区三线”中，三区是指农业空间、生态空间、城镇空间三种类型的国土空间；三线分别对应在农业空间、生态空间、城镇空间划定的永久基本农田保护红线、生态保护红线和城镇开发边界三条控制线。黑龙江省“三区三线”划定成果通过自然资源部质检，并于11月1日经自然资源部正式批准启用。</w:t>
            </w:r>
          </w:p>
          <w:p w14:paraId="7B965CD1">
            <w:pPr>
              <w:spacing w:line="360" w:lineRule="auto"/>
              <w:ind w:firstLine="480" w:firstLineChars="200"/>
              <w:jc w:val="left"/>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根据</w:t>
            </w:r>
            <w:r>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黑龙江省生态环境分区管控数据应用平台出具的</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生态环境分区管控分析报告</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w:t>
            </w:r>
            <w:r>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本项目位于</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鸡西市密山市，</w:t>
            </w:r>
          </w:p>
          <w:p w14:paraId="70D3CB08">
            <w:pPr>
              <w:spacing w:line="360" w:lineRule="auto"/>
              <w:ind w:firstLine="480" w:firstLineChars="200"/>
              <w:jc w:val="left"/>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环境管控单元优先保护单元交集面积为</w:t>
            </w:r>
            <w:r>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0.85</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平方公里，占项目占地面积的</w:t>
            </w:r>
            <w:r>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93.10%</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；与重点管控单元交集面积为</w:t>
            </w:r>
            <w:r>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0.06</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平方公里，占项目占地面积的</w:t>
            </w:r>
            <w:r>
              <w:rPr>
                <w:rFonts w:hint="default"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6.90%</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一般管控单元交集面积为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宋体" w:hAnsi="宋体" w:eastAsia="宋体" w:cs="宋体"/>
                <w:color w:val="000000" w:themeColor="text1"/>
                <w:kern w:val="0"/>
                <w:sz w:val="24"/>
                <w:szCs w:val="24"/>
                <w:lang w:val="en-US" w:eastAsia="zh-CN" w:bidi="ar"/>
                <w14:textFill>
                  <w14:solidFill>
                    <w14:schemeClr w14:val="tx1"/>
                  </w14:solidFill>
                </w14:textFill>
              </w:rPr>
              <w:t>平方公里，占项目占地面积的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14:paraId="723A0E28">
            <w:pPr>
              <w:pStyle w:val="2"/>
              <w:keepNext w:val="0"/>
              <w:keepLines w:val="0"/>
              <w:pageBreakBefore w:val="0"/>
              <w:widowControl w:val="0"/>
              <w:kinsoku/>
              <w:wordWrap/>
              <w:overflowPunct/>
              <w:topLinePunct w:val="0"/>
              <w:bidi w:val="0"/>
              <w:snapToGrid/>
              <w:spacing w:line="360" w:lineRule="auto"/>
              <w:ind w:firstLine="480" w:firstLineChars="200"/>
              <w:jc w:val="both"/>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本项目根据《</w:t>
            </w:r>
            <w:r>
              <w:rPr>
                <w:rFonts w:hint="eastAsia" w:ascii="Times New Roman" w:hAnsi="Times New Roman" w:eastAsia="宋体" w:cs="Times New Roman"/>
                <w:color w:val="000000" w:themeColor="text1"/>
                <w:kern w:val="2"/>
                <w:sz w:val="24"/>
                <w:szCs w:val="24"/>
                <w:highlight w:val="none"/>
                <w:lang w:val="en-US" w:eastAsia="zh-CN"/>
                <w14:textFill>
                  <w14:solidFill>
                    <w14:schemeClr w14:val="tx1"/>
                  </w14:solidFill>
                </w14:textFill>
              </w:rPr>
              <w:t>建设项目环境影响评价分类管理名录（2021 年版）</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》五十一水利中的124水库中，</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根据《鸡西市人民政府关于实施“三线一单”生态环境分区管控的意见（鸡政发〔2021〕7号）》、《自然资源部办公厅关于依据“三区三线”划定成果报批建设项目用地用海有关事宜的函》（自然资办函〔2022〕2072号），项目位于黑龙江省鸡西市密山市</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太平乡</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，不在生态空间内，不位于生态红线内。根据《鸡西市环境管控单元分布图》</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，本工程</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不涉及第三条（一）中的全部区域，不涉及第三条（二）除（一）外</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的外的生态保护红线管控范围，重要水生生物的自然产卵场、索饵场、越冬场和洄游通道。</w:t>
            </w:r>
          </w:p>
          <w:p w14:paraId="1A020625">
            <w:pPr>
              <w:spacing w:line="360" w:lineRule="auto"/>
              <w:ind w:firstLine="482" w:firstLineChars="200"/>
              <w:jc w:val="left"/>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t>2</w:t>
            </w: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14:textFill>
                  <w14:solidFill>
                    <w14:schemeClr w14:val="tx1"/>
                  </w14:solidFill>
                </w14:textFill>
              </w:rPr>
              <w:t>环境质量底线</w:t>
            </w:r>
          </w:p>
          <w:p w14:paraId="6DD2F071">
            <w:pPr>
              <w:pStyle w:val="30"/>
              <w:ind w:firstLine="480"/>
              <w:rPr>
                <w:rFonts w:hint="default" w:ascii="Times New Roman" w:hAnsi="Times New Roman" w:cs="Times New Roman" w:eastAsiaTheme="minorEastAsia"/>
                <w:color w:val="000000" w:themeColor="text1"/>
                <w:kern w:val="0"/>
                <w:szCs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本项目位于黑龙江省</w:t>
            </w: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鸡西市密山市太平镇</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本项目评价区大气环境质量满足《环境空气质量标准》（GB3095-2012）中二级标准，属于环境空气质量达标区。本项目所在区为农村地区，以耕地为主，工程建设区人口密度较小，没有工业噪声污染源，区域声环境质量较好</w:t>
            </w: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，本项目为</w:t>
            </w:r>
            <w:r>
              <w:rPr>
                <w:rFonts w:hint="eastAsia" w:ascii="Times New Roman" w:hAnsi="Times New Roman" w:cs="Times New Roman" w:eastAsiaTheme="minorEastAsia"/>
                <w:color w:val="000000" w:themeColor="text1"/>
                <w:kern w:val="0"/>
                <w:sz w:val="24"/>
                <w:highlight w:val="none"/>
                <w:lang w:eastAsia="zh-CN"/>
                <w14:textFill>
                  <w14:solidFill>
                    <w14:schemeClr w14:val="tx1"/>
                  </w14:solidFill>
                </w14:textFill>
              </w:rPr>
              <w:t>改</w:t>
            </w: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建项目不增加永久占地。</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故本项目符合资源利用上线要求。</w:t>
            </w:r>
          </w:p>
          <w:p w14:paraId="02DC8C8B">
            <w:pPr>
              <w:spacing w:before="120" w:beforeLines="50" w:line="360" w:lineRule="auto"/>
              <w:ind w:firstLine="482" w:firstLineChars="200"/>
              <w:jc w:val="left"/>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t>3</w:t>
            </w: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14:textFill>
                  <w14:solidFill>
                    <w14:schemeClr w14:val="tx1"/>
                  </w14:solidFill>
                </w14:textFill>
              </w:rPr>
              <w:t>资源利用上线</w:t>
            </w:r>
          </w:p>
          <w:p w14:paraId="786DBBD9">
            <w:pPr>
              <w:pStyle w:val="30"/>
              <w:wordWrap w:val="0"/>
              <w:ind w:firstLine="480"/>
              <w:rPr>
                <w:rFonts w:hint="default" w:ascii="Times New Roman" w:hAnsi="Times New Roman" w:cs="Times New Roman" w:eastAsiaTheme="minorEastAsia"/>
                <w:bCs/>
                <w:color w:val="000000" w:themeColor="text1"/>
                <w:szCs w:val="24"/>
                <w:highlight w:val="none"/>
                <w14:textFill>
                  <w14:solidFill>
                    <w14:schemeClr w14:val="tx1"/>
                  </w14:solidFill>
                </w14:textFill>
              </w:rPr>
            </w:pPr>
            <w:r>
              <w:rPr>
                <w:rFonts w:hint="default" w:ascii="Times New Roman" w:hAnsi="Times New Roman" w:cs="Times New Roman" w:eastAsiaTheme="minorEastAsia"/>
                <w:bCs/>
                <w:color w:val="000000" w:themeColor="text1"/>
                <w:szCs w:val="24"/>
                <w:highlight w:val="none"/>
                <w:lang w:eastAsia="zh-CN"/>
                <w14:textFill>
                  <w14:solidFill>
                    <w14:schemeClr w14:val="tx1"/>
                  </w14:solidFill>
                </w14:textFill>
              </w:rPr>
              <w:t>青龙</w:t>
            </w:r>
            <w:r>
              <w:rPr>
                <w:rFonts w:hint="default" w:ascii="Times New Roman" w:hAnsi="Times New Roman" w:cs="Times New Roman" w:eastAsiaTheme="minorEastAsia"/>
                <w:bCs/>
                <w:color w:val="000000" w:themeColor="text1"/>
                <w:szCs w:val="24"/>
                <w:highlight w:val="none"/>
                <w14:textFill>
                  <w14:solidFill>
                    <w14:schemeClr w14:val="tx1"/>
                  </w14:solidFill>
                </w14:textFill>
              </w:rPr>
              <w:t>水库为已有工程，本次只针对水库出现险情的部位进行维修加固，水库规模不变。对于区域来说，不新增取水，工程建设不会对水资源、土地资源产生影响。本项目符合资源利用上线要求。</w:t>
            </w:r>
          </w:p>
          <w:p w14:paraId="669488FA">
            <w:pPr>
              <w:spacing w:line="360" w:lineRule="auto"/>
              <w:ind w:firstLine="482" w:firstLineChars="200"/>
              <w:jc w:val="left"/>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t>4</w:t>
            </w: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14:textFill>
                  <w14:solidFill>
                    <w14:schemeClr w14:val="tx1"/>
                  </w14:solidFill>
                </w14:textFill>
              </w:rPr>
              <w:t>生态环境准入清单</w:t>
            </w:r>
          </w:p>
          <w:p w14:paraId="15745C9F">
            <w:pPr>
              <w:spacing w:line="360" w:lineRule="auto"/>
              <w:ind w:firstLine="480" w:firstLineChars="200"/>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工程实施后，水库运行安全得到保障，汛期水库可以正常发挥防洪功能，可避免因洪水泛滥而导致沿线农田中农药、化肥残留物、农业固体废弃物、生活垃圾等进入水体，避免因洪水灾害而污染河水水质的情况发生，对保护附近河流汛期水环境起到一定的积极作用。施工期的不利影响通过本报告提出的环境保护措施可以得到减缓或避免。根据黑龙江省生态环境分区管控数据应用平台查询（分析报告见附件），本项目与黑龙江省</w:t>
            </w:r>
            <w:r>
              <w:rPr>
                <w:rFonts w:hint="eastAsia" w:cs="Times New Roman"/>
                <w:color w:val="000000" w:themeColor="text1"/>
                <w:kern w:val="0"/>
                <w:sz w:val="24"/>
                <w:szCs w:val="24"/>
                <w:lang w:val="en-US" w:eastAsia="zh-CN" w:bidi="ar"/>
                <w14:textFill>
                  <w14:solidFill>
                    <w14:schemeClr w14:val="tx1"/>
                  </w14:solidFill>
                </w14:textFill>
              </w:rPr>
              <w:t>鸡西市密山市</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生态环境准入清单符合性分析见表1-1</w:t>
            </w:r>
          </w:p>
          <w:p w14:paraId="5A7FCAA9">
            <w:pPr>
              <w:spacing w:line="360" w:lineRule="auto"/>
              <w:ind w:firstLine="482" w:firstLineChars="200"/>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pPr>
          </w:p>
          <w:p w14:paraId="7E8A4850">
            <w:pPr>
              <w:autoSpaceDE w:val="0"/>
              <w:autoSpaceDN w:val="0"/>
              <w:adjustRightInd w:val="0"/>
              <w:snapToGrid w:val="0"/>
              <w:spacing w:line="360" w:lineRule="auto"/>
              <w:ind w:firstLine="460" w:firstLineChars="200"/>
              <w:rPr>
                <w:rFonts w:hint="default" w:ascii="Times New Roman" w:hAnsi="Times New Roman" w:cs="Times New Roman" w:eastAsiaTheme="minorEastAsia"/>
                <w:color w:val="000000" w:themeColor="text1"/>
                <w:spacing w:val="-5"/>
                <w:sz w:val="24"/>
                <w:highlight w:val="none"/>
                <w14:textFill>
                  <w14:solidFill>
                    <w14:schemeClr w14:val="tx1"/>
                  </w14:solidFill>
                </w14:textFill>
              </w:rPr>
            </w:pPr>
          </w:p>
        </w:tc>
      </w:tr>
    </w:tbl>
    <w:p w14:paraId="44480B85">
      <w:pPr>
        <w:rPr>
          <w:color w:val="000000" w:themeColor="text1"/>
          <w14:textFill>
            <w14:solidFill>
              <w14:schemeClr w14:val="tx1"/>
            </w14:solidFill>
          </w14:textFill>
        </w:rPr>
      </w:pPr>
    </w:p>
    <w:p w14:paraId="2AD3D57D">
      <w:pPr>
        <w:spacing w:line="360" w:lineRule="auto"/>
        <w:outlineLvl w:val="0"/>
        <w:rPr>
          <w:rFonts w:hint="default" w:ascii="Times New Roman" w:hAnsi="Times New Roman" w:cs="Times New Roman" w:eastAsiaTheme="minorEastAsia"/>
          <w:color w:val="000000" w:themeColor="text1"/>
          <w:sz w:val="30"/>
          <w:highlight w:val="none"/>
          <w14:textFill>
            <w14:solidFill>
              <w14:schemeClr w14:val="tx1"/>
            </w14:solidFill>
          </w14:textFill>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6F6E5CD5">
      <w:pPr>
        <w:autoSpaceDE w:val="0"/>
        <w:autoSpaceDN w:val="0"/>
        <w:adjustRightInd w:val="0"/>
        <w:snapToGrid w:val="0"/>
        <w:jc w:val="center"/>
        <w:rPr>
          <w:rFonts w:hint="default" w:ascii="Times New Roman" w:hAnsi="Times New Roman" w:cs="Times New Roman" w:eastAsiaTheme="minorEastAsia"/>
          <w:b/>
          <w:color w:val="000000" w:themeColor="text1"/>
          <w:sz w:val="32"/>
          <w:szCs w:val="32"/>
          <w:highlight w:val="none"/>
          <w14:textFill>
            <w14:solidFill>
              <w14:schemeClr w14:val="tx1"/>
            </w14:solidFill>
          </w14:textFill>
        </w:rPr>
      </w:pPr>
      <w:r>
        <w:rPr>
          <w:rFonts w:hint="default" w:ascii="Times New Roman" w:hAnsi="Times New Roman" w:eastAsia="宋体" w:cs="Times New Roman"/>
          <w:b/>
          <w:bCs/>
          <w:color w:val="000000" w:themeColor="text1"/>
          <w:sz w:val="24"/>
          <w:szCs w:val="32"/>
          <w:highlight w:val="none"/>
          <w14:textFill>
            <w14:solidFill>
              <w14:schemeClr w14:val="tx1"/>
            </w14:solidFill>
          </w14:textFill>
        </w:rPr>
        <w:t>表</w:t>
      </w:r>
      <w:r>
        <w:rPr>
          <w:rFonts w:hint="default" w:ascii="Times New Roman" w:hAnsi="Times New Roman" w:eastAsia="宋体" w:cs="Times New Roman"/>
          <w:b/>
          <w:bCs/>
          <w:color w:val="000000" w:themeColor="text1"/>
          <w:sz w:val="24"/>
          <w:szCs w:val="32"/>
          <w:highlight w:val="none"/>
          <w:lang w:val="en-US" w:eastAsia="zh-CN"/>
          <w14:textFill>
            <w14:solidFill>
              <w14:schemeClr w14:val="tx1"/>
            </w14:solidFill>
          </w14:textFill>
        </w:rPr>
        <w:t>1</w:t>
      </w:r>
      <w:r>
        <w:rPr>
          <w:rFonts w:hint="default" w:ascii="Times New Roman" w:hAnsi="Times New Roman" w:eastAsia="宋体" w:cs="Times New Roman"/>
          <w:b/>
          <w:bCs/>
          <w:color w:val="000000" w:themeColor="text1"/>
          <w:sz w:val="24"/>
          <w:szCs w:val="32"/>
          <w:highlight w:val="none"/>
          <w14:textFill>
            <w14:solidFill>
              <w14:schemeClr w14:val="tx1"/>
            </w14:solidFill>
          </w14:textFill>
        </w:rPr>
        <w:t>-</w:t>
      </w:r>
      <w:r>
        <w:rPr>
          <w:rFonts w:hint="default" w:ascii="Times New Roman" w:hAnsi="Times New Roman" w:eastAsia="宋体" w:cs="Times New Roman"/>
          <w:b/>
          <w:bCs/>
          <w:color w:val="000000" w:themeColor="text1"/>
          <w:sz w:val="24"/>
          <w:szCs w:val="32"/>
          <w:highlight w:val="none"/>
          <w:lang w:val="en-US" w:eastAsia="zh-CN"/>
          <w14:textFill>
            <w14:solidFill>
              <w14:schemeClr w14:val="tx1"/>
            </w14:solidFill>
          </w14:textFill>
        </w:rPr>
        <w:t>1鸡西市生态环境准入清单符合性分析</w:t>
      </w:r>
    </w:p>
    <w:tbl>
      <w:tblPr>
        <w:tblStyle w:val="22"/>
        <w:tblW w:w="13546"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4"/>
        <w:gridCol w:w="700"/>
        <w:gridCol w:w="675"/>
        <w:gridCol w:w="537"/>
        <w:gridCol w:w="9175"/>
        <w:gridCol w:w="1725"/>
      </w:tblGrid>
      <w:tr w14:paraId="2A7250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70" w:type="pct"/>
            <w:noWrap w:val="0"/>
            <w:vAlign w:val="center"/>
          </w:tcPr>
          <w:p w14:paraId="24600879">
            <w:pPr>
              <w:pStyle w:val="42"/>
              <w:bidi w:val="0"/>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管控单元编码</w:t>
            </w:r>
          </w:p>
        </w:tc>
        <w:tc>
          <w:tcPr>
            <w:tcW w:w="258" w:type="pct"/>
            <w:noWrap w:val="0"/>
            <w:vAlign w:val="center"/>
          </w:tcPr>
          <w:p w14:paraId="3D84EAD7">
            <w:pPr>
              <w:pStyle w:val="42"/>
              <w:bidi w:val="0"/>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环境管控单元名称</w:t>
            </w:r>
          </w:p>
        </w:tc>
        <w:tc>
          <w:tcPr>
            <w:tcW w:w="249" w:type="pct"/>
            <w:noWrap w:val="0"/>
            <w:vAlign w:val="center"/>
          </w:tcPr>
          <w:p w14:paraId="77734118">
            <w:pPr>
              <w:pStyle w:val="42"/>
              <w:bidi w:val="0"/>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管控单元类别</w:t>
            </w:r>
          </w:p>
        </w:tc>
        <w:tc>
          <w:tcPr>
            <w:tcW w:w="3584" w:type="pct"/>
            <w:gridSpan w:val="2"/>
            <w:noWrap w:val="0"/>
            <w:vAlign w:val="center"/>
          </w:tcPr>
          <w:p w14:paraId="7B5684BE">
            <w:pPr>
              <w:pStyle w:val="42"/>
              <w:bidi w:val="0"/>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管控要求</w:t>
            </w:r>
          </w:p>
        </w:tc>
        <w:tc>
          <w:tcPr>
            <w:tcW w:w="636" w:type="pct"/>
            <w:noWrap w:val="0"/>
            <w:vAlign w:val="center"/>
          </w:tcPr>
          <w:p w14:paraId="7CEADD36">
            <w:pPr>
              <w:pStyle w:val="42"/>
              <w:bidi w:val="0"/>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cs="Times New Roman"/>
                <w:b w:val="0"/>
                <w:bCs w:val="0"/>
                <w:color w:val="000000" w:themeColor="text1"/>
                <w:sz w:val="21"/>
                <w:szCs w:val="21"/>
                <w14:textFill>
                  <w14:solidFill>
                    <w14:schemeClr w14:val="tx1"/>
                  </w14:solidFill>
                </w14:textFill>
              </w:rPr>
              <w:t>本项目</w:t>
            </w:r>
          </w:p>
        </w:tc>
      </w:tr>
      <w:tr w14:paraId="0D9B51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70" w:type="pct"/>
            <w:noWrap w:val="0"/>
            <w:vAlign w:val="center"/>
          </w:tcPr>
          <w:p w14:paraId="01AFF3E2">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ZH23038210002</w:t>
            </w:r>
          </w:p>
        </w:tc>
        <w:tc>
          <w:tcPr>
            <w:tcW w:w="258" w:type="pct"/>
            <w:noWrap w:val="0"/>
            <w:vAlign w:val="center"/>
          </w:tcPr>
          <w:p w14:paraId="544BA4F1">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密山市一般生态空间</w:t>
            </w:r>
          </w:p>
        </w:tc>
        <w:tc>
          <w:tcPr>
            <w:tcW w:w="249" w:type="pct"/>
            <w:noWrap w:val="0"/>
            <w:vAlign w:val="center"/>
          </w:tcPr>
          <w:p w14:paraId="0DB5031B">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优先保护单元</w:t>
            </w:r>
          </w:p>
        </w:tc>
        <w:tc>
          <w:tcPr>
            <w:tcW w:w="198" w:type="pct"/>
            <w:noWrap w:val="0"/>
            <w:vAlign w:val="center"/>
          </w:tcPr>
          <w:p w14:paraId="3E2D675D">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空间布局约束</w:t>
            </w:r>
          </w:p>
        </w:tc>
        <w:tc>
          <w:tcPr>
            <w:tcW w:w="3386" w:type="pct"/>
            <w:noWrap w:val="0"/>
            <w:vAlign w:val="center"/>
          </w:tcPr>
          <w:p w14:paraId="66741EEA">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1.区域准入要求执行（1）原则上按限制开发区域的要求进行管理。严格限制与生态功能不一致的开发建设活动。符合区域准入条件的新增建设项目，涉及占用生态空间中的林地、草原等，按有关法律法规规定办理；涉及占用生态空间中其他未作明确规定的用地，应当加强论证和管理。符合条件的农业开发项目，须依法由市县级及以上地方人民政府统筹安排。除符合国家生态退耕条件的耕地，并纳入国家生态退耕总体安排，或因国家重大生态工程建设需要外，不得随意转用。（2）对依法保护的生态空间实行承载力控制，防止过度垦殖、放牧、采伐、取水、渔猎、旅游等对生态功能造成损害，确保自然生态系统的稳定。（3）避免开发建设活动损害其生态服务功能和生态产品质量。（4）已经侵占生态空间的，应建立退出机制、制定治理方案及时间表。2.水源涵养功能重要区、生物多样性维护功能重要区同时执行限制开发建设活动要求：（1）加强大江大河源头及上游地区的小流域治理和植树造林，减少面源污染。巩固退耕还林、退牧还草成果。（2）限制陡坡垦殖和超载过牧；加强水土流失综合治理，实行封山禁牧，恢复退化植被（3）继续加强生态保护与恢复，恢复与重建水源涵养区森林、草地、湿地等生态系统，提高生态系统的水源涵养能力。坚持自然恢复为主，严格限制在水源涵养区大规模人工造林。（4）对水源涵养林、水土保持林、防风固沙林等防护林只能进行抚育和更新性质的采伐；对采伐区和集材道应当采取防止水土流失的措施，并在采伐后及时更新造林。（5）恢复水土保持功能。在水土保持生态功能保护区内，实施水土流失的预防监督和水土保持生态修复工程，加强水土流失综合治理，营造水土保持林 （6）生物多样性保护优先区域内要优化城镇开发建设活动的规模、结构和布局，严格控制高耗能、高排放行业发展，新引入的行业、企业不得对优先区域生物多样性造成影响。3.土地沙化敏感区同时执行限制开发建设活动要求：（1）水土流失严重、生态脆弱的地区，应当限制或者禁止可能造成水土流失的生产建设活动，严格保护植物、沙壳、结皮、地衣等。在侵蚀沟的沟坡和沟岸、河流的两岸以及湖泊和水库的周边，土地所有权人、使用权人或者有关管理单位应当营造植物保护带。禁止开垦、开发植物保护带。禁止开垦、开发植物保护带。（2）在河道管理范围内建设桥梁、码头和其他拦河、跨河、临河建筑物、构筑物，铺设跨河管道、电缆，应当符合国家规定的防洪标准和其他有关的技术要求。（2）在河道管理范围内进行下列活动，必须报经河道主管机关批准；涉及其他部门的，由河道主管机关会同有关部门批准：（1）采砂、取土、淘金、弃置砂石或者淤泥；（2）爆破、钻探、挖筑鱼塘；（3）在河道滩地存放物料、修建厂房或者其他建筑设施；（4）在河道滩地开采地下资源及进行考古发掘。（4）向河道、湖泊排污的排污口的设置和扩大，由属地省级生态环境部门负责确定本行政区域内分级审核权限。4.黑龙江鸡西铁西自然保护区、黑龙江兴凯湖国家级自然保护区同时执行本清单禁止开发建设活动要求：（1）禁止在自然保护区内进行砍伐、放牧、狩猎、捕捞、采药、开垦、烧荒、开矿、采石、挖沙等活动；但法律、行政法规等另有规定的除外。禁止任何人进入自然保护区的核心区，因科学研究的需要，必须进入核心区从事科学研究观测、调查活动的，应当事先向自然保护区管理机构提交申请和活动计划，并经自然保护区管理机构批准；其中，进入国家级自然保护区核心区的，应当经省、自治区、直辖市人民政府有关自然保护区行政主管部门批准。（2）禁止在自然保护区的缓冲区开展旅游和生产经营活动。严禁开设与自然保护区保护方向不一致的参观、旅游项目。（3）禁止在自然保护区的核心区和缓冲区内建设畜禽养殖场、养殖小区。（4）禁止在自然保护区及其外围保护地带建立污染、破坏或者危害自然保护区自然环境和自然资源的设施。（5）核心区和缓冲区内不得建设任何生产设施；实验区不得建设污染环境、破坏资源或者景观的生产设施。限制开发建设活动要求：在自然保护区的实验区内，不得建设污染环境、破坏资源或者景观的生产设施；建设其他项目，其污染物排放不得超过国家和地方规定的污染物排放标准。5.黑龙江鸡西兴凯湖森林公园同时执行“禁止开发建设活动要求：1）在国家级自然公园内开展相关活动和设施建设，不得擅自改变其自然状态和历史风貌。2）禁止擅自在国家级自然公园内从事采矿、房地产、开发区、高尔夫球场、风力光伏电场等不符合管控要求的开发活动。3）禁止违规侵占国家级自然公园，排放不符合水污染物排放标准的工业废水、生活污水及其他的废水、污水，倾倒、堆放、丢弃、遗撒固体废物等污染生态环境的行为。限制开发建设活动要求：国家级自然公园范围内除国家重大项目外，仅允许对生态功能不造成破坏的有限人为活动：自然公园内居民和其他合法权益主体依法依规开展的生产生活及设施建设；符合自然公园保护管理要求的文化、体育活动和必要的配套设施建设；符合生态保护红线管控要求的其他活动和设施建设；法律法规和国家政策允许在自然公园内开展的其他活动。 6.鸡西市哈达水库饮用水水源、鸡西市七台河市供水工程饮用水水源同时执行（1）饮用水地表水源各级保护区及准保护区内均必须遵守下列规定：①禁止一切破坏水环境生态平衡的活动以及破坏水源林、护岸林、与水源保护相关植被的活动。②禁止向水域倾倒工业废渣、城市垃圾、粪便及其它废弃物。③运输有毒有害物质、油类、粪便的船舶和车辆一般不准进入保护区，必须进入者应事先申请并经有关部门批准、登记并设置防渗、防溢、防漏设施。④禁止使用剧毒和高残留农药，不得滥用化肥，不得使用炸药、毒品捕杀鱼类。⑤禁止建设畜禽养殖场、养殖小区。⑥禁止设置排污口。（2）饮用水地表水源各级保护区及准保护区内必须分别遵守下列规定：①一级保护区内：禁止新建、扩建与供水设施和保护水源无关的建设项目，已建成的与供水设施和保护水源无关的建设项目，由县级以上人民政府责令拆除或者关闭；禁止向水域排放污水，已设置的排污口必须拆除；不得设置与供水需要无关的码头，禁止停靠船舶；禁止堆置和存放工业废渣、城市垃圾、粪便和其他废弃物；禁止设置油库；禁止从事种植、放养畜禽和网箱养殖活动；禁止可能污染水源的旅游活动和其他活动。②二级保护区内：禁止新建、改建、扩建排放污染物的建设项目，已建成的排放污染物的建设项目，由县级以上人民政府责令拆除或者关闭；原有排污口依法拆除或者关闭；禁止设立装卸垃圾、粪便、油类和有毒物品的码头。③准保护区内：禁止新建、扩建对水体污染严重的建设项目；改建建设项目，不得增加排污量。（3）国务院和省、自治区、直辖市人民政府根据水环境保护的需要，可以规定在饮用水水源保护区内，采取禁止或者限制使用含磷洗涤剂、化肥、农药以及限制种植养殖等措施。（4）饮用水地下水源各级保护区及准保护区内均必须遵守下列规定：禁止利用渗坑、渗井、裂隙、溶洞等排放污水和其它有害废弃物；禁止利用透水层孔隙、裂隙、溶洞及废弃矿坑储存石油、天然气、放射性物质、有毒有害化工原料、农药等；实行人工回灌地下水时不得污染当地地下水源。①一级保护区内：禁止建设与取水设施无关的建筑物；禁止从事农牧业活动；禁止倾倒、堆放工业废渣及城市垃圾、粪便和其它有害废弃物；禁止输送污水的渠道、管道及输油管道通过本区；禁止建设油库；禁止建立墓地。②二级保护区内：1）对于潜水含水层地下水水源地：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2）对于承压含水层地下水水源地：禁止承压水和潜水的混合开采，作好潜水的止水措施。③准保护区内：禁止建设城市垃圾、粪便和易溶、有毒有害废弃物的堆放场站，因特殊需要设立转运站的，必须经有关部门批准，并采取防渗漏措施；当补给源为地表水体时，该地表水体水质不应低于《地表水环境质量标准》Ⅲ类标准；不得使用不符合《农田灌溉水质标准》的污水进行灌溉，合理使用化肥；保护水源林，禁止毁林开荒，禁止非更新砍伐水源林。7.黑龙江鸡西密山马兰花湿地公园同时执行禁止开发建设活动要求：1）禁止擅自征收、占用国家湿地公园的土地。2）除国家另有规定外，国家湿地公园内禁止下列行为：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滥采滥捕野生动植物；引入外来物种；擅自放牧、捕捞、取土、取水、排污、放生；其他破坏湿地及其生态功能的活动。 3）在国家级自然公园内开展相关活动和设施建设，不得擅自改变其自然状态和历史风貌。 4）禁止擅自在国家级自然公园内从事采矿、房地产、开发区、高尔夫球场、风力光伏电场等不符合管控要求的开发活动。 5）禁止违规侵占国家级自然公园，排放不符合水污染物排放标准的工业废水、生活污水及其他的废水、污水，倾倒、堆放、丢弃、遗撒固体废物等污染生态环境的行为。限制开发建设活动要求： 国家级自然公园范围内除国家重大项目外，仅允许对生态功能不造成破坏的有限人为活动：自然公园内居民和其他合法权益主体依法依规开展的生产生活及设施建设；符合自然公园保护管理要求的文化、体育活动和必要的配套设施建设；符合生态保护红线管控要求的其他活动和设施建设；法律法规和国家政策允许在自然公园内开展的其他活动。8.兴凯湖翘嘴鲌国家级水产种质资源保护区同时执行①不得损害水产种质资源及其生存环境。 ②禁止在水产种质资源保护区内从事围湖造田工程。③禁止在水产种质资源保护区内新建排</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污口。④在水产种质资源保护区附近新建、改建、扩建排污口，应当保证保护区水体不受污染。 ⑤特别保护期内不得从事捕捞、爆破作业以及其他可能对保护区内生物资源和生态环境造成损害的活动。⑥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tc>
        <w:tc>
          <w:tcPr>
            <w:tcW w:w="636" w:type="pct"/>
            <w:noWrap w:val="0"/>
            <w:vAlign w:val="center"/>
          </w:tcPr>
          <w:p w14:paraId="407A20E0">
            <w:pPr>
              <w:pStyle w:val="42"/>
              <w:bidi w:val="0"/>
              <w:rPr>
                <w:rFonts w:hint="eastAsia"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本项目为水库加固项目，在水库原有占地范围内进行改建，本项目不增加占地。</w:t>
            </w:r>
          </w:p>
          <w:p w14:paraId="0ADEE317">
            <w:pPr>
              <w:pStyle w:val="42"/>
              <w:bidi w:val="0"/>
              <w:rPr>
                <w:rFonts w:hint="eastAsia"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本项目建设情况不涉及管控要求禁止措施的工业与行业开发。</w:t>
            </w:r>
          </w:p>
          <w:p w14:paraId="325A605E">
            <w:pPr>
              <w:pStyle w:val="42"/>
              <w:bidi w:val="0"/>
              <w:rPr>
                <w:rFonts w:hint="eastAsia"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本项目不涉及自然保护区、饮用水源地以及国家公园等敏感区。</w:t>
            </w:r>
          </w:p>
          <w:p w14:paraId="475D1FC5">
            <w:pPr>
              <w:pStyle w:val="42"/>
              <w:bidi w:val="0"/>
              <w:rPr>
                <w:rFonts w:hint="default"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因此本项目符合</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密山市一般生态空间</w:t>
            </w:r>
            <w:r>
              <w:rPr>
                <w:rFonts w:hint="eastAsia" w:cs="Times New Roman"/>
                <w:b w:val="0"/>
                <w:bCs w:val="0"/>
                <w:color w:val="000000" w:themeColor="text1"/>
                <w:kern w:val="0"/>
                <w:sz w:val="21"/>
                <w:szCs w:val="21"/>
                <w:lang w:val="en-US" w:eastAsia="zh-CN" w:bidi="ar"/>
                <w14:textFill>
                  <w14:solidFill>
                    <w14:schemeClr w14:val="tx1"/>
                  </w14:solidFill>
                </w14:textFill>
              </w:rPr>
              <w:t>的</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空间布局约束</w:t>
            </w:r>
            <w:r>
              <w:rPr>
                <w:rFonts w:hint="eastAsia" w:cs="Times New Roman"/>
                <w:b w:val="0"/>
                <w:bCs w:val="0"/>
                <w:color w:val="000000" w:themeColor="text1"/>
                <w:kern w:val="0"/>
                <w:sz w:val="21"/>
                <w:szCs w:val="21"/>
                <w:lang w:val="en-US" w:eastAsia="zh-CN" w:bidi="ar"/>
                <w14:textFill>
                  <w14:solidFill>
                    <w14:schemeClr w14:val="tx1"/>
                  </w14:solidFill>
                </w14:textFill>
              </w:rPr>
              <w:t>。</w:t>
            </w:r>
          </w:p>
        </w:tc>
      </w:tr>
      <w:tr w14:paraId="35BACE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70" w:type="pct"/>
            <w:vMerge w:val="restart"/>
            <w:noWrap w:val="0"/>
            <w:vAlign w:val="center"/>
          </w:tcPr>
          <w:p w14:paraId="086A8131">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ZH23038220004</w:t>
            </w:r>
          </w:p>
        </w:tc>
        <w:tc>
          <w:tcPr>
            <w:tcW w:w="258" w:type="pct"/>
            <w:vMerge w:val="restart"/>
            <w:noWrap w:val="0"/>
            <w:vAlign w:val="center"/>
          </w:tcPr>
          <w:p w14:paraId="37083361">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密山市水环境农业污染重点管控区</w:t>
            </w:r>
          </w:p>
        </w:tc>
        <w:tc>
          <w:tcPr>
            <w:tcW w:w="249" w:type="pct"/>
            <w:vMerge w:val="restart"/>
            <w:noWrap w:val="0"/>
            <w:vAlign w:val="center"/>
          </w:tcPr>
          <w:p w14:paraId="12EDD0E2">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重点管控单元</w:t>
            </w:r>
          </w:p>
        </w:tc>
        <w:tc>
          <w:tcPr>
            <w:tcW w:w="198" w:type="pct"/>
            <w:noWrap w:val="0"/>
            <w:vAlign w:val="center"/>
          </w:tcPr>
          <w:p w14:paraId="25DA3B1F">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空间布局约束</w:t>
            </w:r>
          </w:p>
        </w:tc>
        <w:tc>
          <w:tcPr>
            <w:tcW w:w="3386" w:type="pct"/>
            <w:noWrap w:val="0"/>
            <w:vAlign w:val="center"/>
          </w:tcPr>
          <w:p w14:paraId="458B68D6">
            <w:pPr>
              <w:keepNext w:val="0"/>
              <w:keepLines w:val="0"/>
              <w:widowControl/>
              <w:suppressLineNumbers w:val="0"/>
              <w:jc w:val="left"/>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1.科学划定畜禽养殖禁养区。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tc>
        <w:tc>
          <w:tcPr>
            <w:tcW w:w="636" w:type="pct"/>
            <w:noWrap w:val="0"/>
            <w:vAlign w:val="center"/>
          </w:tcPr>
          <w:p w14:paraId="77BE9DE1">
            <w:pPr>
              <w:pStyle w:val="42"/>
              <w:bidi w:val="0"/>
              <w:jc w:val="both"/>
              <w:rPr>
                <w:rFonts w:hint="default" w:ascii="Times New Roman" w:hAnsi="Times New Roman"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本项目不属于养殖项目且不属于农业发展项目，无农业面源的排放，因此本项目符合</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密山市水环境农业污染重点管控区</w:t>
            </w:r>
            <w:r>
              <w:rPr>
                <w:rFonts w:hint="eastAsia" w:cs="Times New Roman"/>
                <w:b w:val="0"/>
                <w:bCs w:val="0"/>
                <w:color w:val="000000" w:themeColor="text1"/>
                <w:kern w:val="0"/>
                <w:sz w:val="21"/>
                <w:szCs w:val="21"/>
                <w:lang w:val="en-US" w:eastAsia="zh-CN" w:bidi="ar"/>
                <w14:textFill>
                  <w14:solidFill>
                    <w14:schemeClr w14:val="tx1"/>
                  </w14:solidFill>
                </w14:textFill>
              </w:rPr>
              <w:t>的</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空间布局约束</w:t>
            </w:r>
            <w:r>
              <w:rPr>
                <w:rFonts w:hint="eastAsia" w:cs="Times New Roman"/>
                <w:b w:val="0"/>
                <w:bCs w:val="0"/>
                <w:color w:val="000000" w:themeColor="text1"/>
                <w:kern w:val="0"/>
                <w:sz w:val="21"/>
                <w:szCs w:val="21"/>
                <w:lang w:val="en-US" w:eastAsia="zh-CN" w:bidi="ar"/>
                <w14:textFill>
                  <w14:solidFill>
                    <w14:schemeClr w14:val="tx1"/>
                  </w14:solidFill>
                </w14:textFill>
              </w:rPr>
              <w:t>。</w:t>
            </w:r>
          </w:p>
        </w:tc>
      </w:tr>
      <w:tr w14:paraId="4EBAC3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70" w:type="pct"/>
            <w:vMerge w:val="continue"/>
            <w:noWrap w:val="0"/>
            <w:vAlign w:val="center"/>
          </w:tcPr>
          <w:p w14:paraId="032D16E7">
            <w:pPr>
              <w:pStyle w:val="42"/>
              <w:bidi w:val="0"/>
              <w:rPr>
                <w:rFonts w:hint="default" w:ascii="Times New Roman" w:hAnsi="Times New Roman" w:cs="Times New Roman"/>
                <w:b w:val="0"/>
                <w:bCs w:val="0"/>
                <w:color w:val="000000" w:themeColor="text1"/>
                <w:sz w:val="21"/>
                <w:szCs w:val="21"/>
                <w14:textFill>
                  <w14:solidFill>
                    <w14:schemeClr w14:val="tx1"/>
                  </w14:solidFill>
                </w14:textFill>
              </w:rPr>
            </w:pPr>
          </w:p>
        </w:tc>
        <w:tc>
          <w:tcPr>
            <w:tcW w:w="258" w:type="pct"/>
            <w:vMerge w:val="continue"/>
            <w:noWrap w:val="0"/>
            <w:vAlign w:val="center"/>
          </w:tcPr>
          <w:p w14:paraId="0EE0241D">
            <w:pPr>
              <w:pStyle w:val="42"/>
              <w:bidi w:val="0"/>
              <w:rPr>
                <w:rFonts w:hint="default" w:ascii="Times New Roman" w:hAnsi="Times New Roman" w:cs="Times New Roman"/>
                <w:b w:val="0"/>
                <w:bCs w:val="0"/>
                <w:color w:val="000000" w:themeColor="text1"/>
                <w:sz w:val="21"/>
                <w:szCs w:val="21"/>
                <w14:textFill>
                  <w14:solidFill>
                    <w14:schemeClr w14:val="tx1"/>
                  </w14:solidFill>
                </w14:textFill>
              </w:rPr>
            </w:pPr>
          </w:p>
        </w:tc>
        <w:tc>
          <w:tcPr>
            <w:tcW w:w="249" w:type="pct"/>
            <w:vMerge w:val="continue"/>
            <w:noWrap w:val="0"/>
            <w:vAlign w:val="center"/>
          </w:tcPr>
          <w:p w14:paraId="027C82D0">
            <w:pPr>
              <w:pStyle w:val="42"/>
              <w:bidi w:val="0"/>
              <w:rPr>
                <w:rFonts w:hint="default" w:ascii="Times New Roman" w:hAnsi="Times New Roman" w:cs="Times New Roman"/>
                <w:b w:val="0"/>
                <w:bCs w:val="0"/>
                <w:color w:val="000000" w:themeColor="text1"/>
                <w:sz w:val="21"/>
                <w:szCs w:val="21"/>
                <w14:textFill>
                  <w14:solidFill>
                    <w14:schemeClr w14:val="tx1"/>
                  </w14:solidFill>
                </w14:textFill>
              </w:rPr>
            </w:pPr>
          </w:p>
        </w:tc>
        <w:tc>
          <w:tcPr>
            <w:tcW w:w="198" w:type="pct"/>
            <w:noWrap w:val="0"/>
            <w:vAlign w:val="center"/>
          </w:tcPr>
          <w:p w14:paraId="23D84D7C">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污染物排放管控</w:t>
            </w:r>
          </w:p>
        </w:tc>
        <w:tc>
          <w:tcPr>
            <w:tcW w:w="3386" w:type="pct"/>
            <w:noWrap w:val="0"/>
            <w:vAlign w:val="center"/>
          </w:tcPr>
          <w:p w14:paraId="5BB31003">
            <w:pPr>
              <w:keepNext w:val="0"/>
              <w:keepLines w:val="0"/>
              <w:widowControl/>
              <w:suppressLineNumbers w:val="0"/>
              <w:jc w:val="left"/>
              <w:rPr>
                <w:rFonts w:hint="default" w:ascii="Times New Roman" w:hAnsi="Times New Roman" w:cs="Times New Roman"/>
                <w:b w:val="0"/>
                <w:bCs w:val="0"/>
                <w:color w:val="000000" w:themeColor="text1"/>
                <w:sz w:val="21"/>
                <w:szCs w:val="21"/>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1.支持规模化畜禽养殖场（小区）开展标准化改造和建设，提高畜禽粪污收集和处理机械化水平，实施雨污分流、粪污资源化利用，控制畜禽养殖污染排放。</w:t>
            </w:r>
          </w:p>
          <w:p w14:paraId="741CAE74">
            <w:pPr>
              <w:keepNext w:val="0"/>
              <w:keepLines w:val="0"/>
              <w:widowControl/>
              <w:numPr>
                <w:ilvl w:val="0"/>
                <w:numId w:val="0"/>
              </w:numPr>
              <w:suppressLineNumbers w:val="0"/>
              <w:jc w:val="left"/>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2.畜禽散养密集区所在地县级人民政府应当组织对畜禽粪便、污水进行集中处理利用，督促乡镇人民政府建设或者配备污染防治配套设施。</w:t>
            </w:r>
          </w:p>
          <w:p w14:paraId="56C6E143">
            <w:pPr>
              <w:keepNext w:val="0"/>
              <w:keepLines w:val="0"/>
              <w:widowControl/>
              <w:numPr>
                <w:ilvl w:val="0"/>
                <w:numId w:val="0"/>
              </w:numPr>
              <w:suppressLineNumbers w:val="0"/>
              <w:jc w:val="left"/>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3.全面加强农业面源污染防控，科学合理使用农业投入品，提高使用效率，减少农业内源性污染。</w:t>
            </w:r>
          </w:p>
        </w:tc>
        <w:tc>
          <w:tcPr>
            <w:tcW w:w="636" w:type="pct"/>
            <w:noWrap w:val="0"/>
            <w:vAlign w:val="center"/>
          </w:tcPr>
          <w:p w14:paraId="2B9F41AC">
            <w:pPr>
              <w:pStyle w:val="42"/>
              <w:bidi w:val="0"/>
              <w:jc w:val="both"/>
              <w:rPr>
                <w:rFonts w:hint="default" w:cs="Times New Roman"/>
                <w:b w:val="0"/>
                <w:bCs w:val="0"/>
                <w:color w:val="000000" w:themeColor="text1"/>
                <w:sz w:val="21"/>
                <w:szCs w:val="21"/>
                <w:lang w:val="en-US" w:eastAsia="zh-CN"/>
                <w14:textFill>
                  <w14:solidFill>
                    <w14:schemeClr w14:val="tx1"/>
                  </w14:solidFill>
                </w14:textFill>
              </w:rPr>
            </w:pPr>
            <w:r>
              <w:rPr>
                <w:rFonts w:hint="eastAsia" w:cs="Times New Roman"/>
                <w:b w:val="0"/>
                <w:bCs w:val="0"/>
                <w:color w:val="000000" w:themeColor="text1"/>
                <w:sz w:val="21"/>
                <w:szCs w:val="21"/>
                <w:lang w:val="en-US" w:eastAsia="zh-CN"/>
                <w14:textFill>
                  <w14:solidFill>
                    <w14:schemeClr w14:val="tx1"/>
                  </w14:solidFill>
                </w14:textFill>
              </w:rPr>
              <w:t>本项目不属于养殖项目。本项目运行期间无污染物排放，因此本项目符合</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密山市水环境农业污染重点管控区</w:t>
            </w:r>
            <w:r>
              <w:rPr>
                <w:rFonts w:hint="eastAsia" w:cs="Times New Roman"/>
                <w:b w:val="0"/>
                <w:bCs w:val="0"/>
                <w:color w:val="000000" w:themeColor="text1"/>
                <w:kern w:val="0"/>
                <w:sz w:val="21"/>
                <w:szCs w:val="21"/>
                <w:lang w:val="en-US" w:eastAsia="zh-CN" w:bidi="ar"/>
                <w14:textFill>
                  <w14:solidFill>
                    <w14:schemeClr w14:val="tx1"/>
                  </w14:solidFill>
                </w14:textFill>
              </w:rPr>
              <w:t>的</w:t>
            </w:r>
            <w:r>
              <w:rPr>
                <w:rFonts w:hint="default" w:ascii="Times New Roman" w:hAnsi="Times New Roman" w:eastAsia="宋体" w:cs="Times New Roman"/>
                <w:b w:val="0"/>
                <w:bCs w:val="0"/>
                <w:color w:val="000000" w:themeColor="text1"/>
                <w:kern w:val="0"/>
                <w:sz w:val="21"/>
                <w:szCs w:val="21"/>
                <w:lang w:val="en-US" w:eastAsia="zh-CN" w:bidi="ar"/>
                <w14:textFill>
                  <w14:solidFill>
                    <w14:schemeClr w14:val="tx1"/>
                  </w14:solidFill>
                </w14:textFill>
              </w:rPr>
              <w:t>污染物排放管控</w:t>
            </w:r>
            <w:r>
              <w:rPr>
                <w:rFonts w:hint="eastAsia" w:cs="Times New Roman"/>
                <w:b w:val="0"/>
                <w:bCs w:val="0"/>
                <w:color w:val="000000" w:themeColor="text1"/>
                <w:kern w:val="0"/>
                <w:sz w:val="21"/>
                <w:szCs w:val="21"/>
                <w:lang w:val="en-US" w:eastAsia="zh-CN" w:bidi="ar"/>
                <w14:textFill>
                  <w14:solidFill>
                    <w14:schemeClr w14:val="tx1"/>
                  </w14:solidFill>
                </w14:textFill>
              </w:rPr>
              <w:t>。</w:t>
            </w:r>
          </w:p>
        </w:tc>
      </w:tr>
    </w:tbl>
    <w:p w14:paraId="55DB208E">
      <w:pPr>
        <w:spacing w:line="360" w:lineRule="auto"/>
        <w:outlineLvl w:val="0"/>
        <w:rPr>
          <w:rFonts w:hint="default" w:ascii="Times New Roman" w:hAnsi="Times New Roman" w:cs="Times New Roman" w:eastAsiaTheme="minorEastAsia"/>
          <w:color w:val="000000" w:themeColor="text1"/>
          <w:sz w:val="30"/>
          <w:highlight w:val="none"/>
          <w14:textFill>
            <w14:solidFill>
              <w14:schemeClr w14:val="tx1"/>
            </w14:solidFill>
          </w14:textFill>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22"/>
        <w:tblW w:w="8899" w:type="dxa"/>
        <w:tblInd w:w="17"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825"/>
        <w:gridCol w:w="7074"/>
      </w:tblGrid>
      <w:tr w14:paraId="48D429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271" w:hRule="atLeast"/>
        </w:trPr>
        <w:tc>
          <w:tcPr>
            <w:tcW w:w="1825" w:type="dxa"/>
            <w:tcMar>
              <w:top w:w="16" w:type="dxa"/>
              <w:left w:w="16" w:type="dxa"/>
              <w:right w:w="16" w:type="dxa"/>
            </w:tcMar>
            <w:vAlign w:val="center"/>
          </w:tcPr>
          <w:p w14:paraId="28CFFD13">
            <w:pPr>
              <w:autoSpaceDE w:val="0"/>
              <w:autoSpaceDN w:val="0"/>
              <w:adjustRightInd w:val="0"/>
              <w:snapToGrid w:val="0"/>
              <w:jc w:val="center"/>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其他符合性分析</w:t>
            </w:r>
          </w:p>
        </w:tc>
        <w:tc>
          <w:tcPr>
            <w:tcW w:w="7074" w:type="dxa"/>
            <w:tcMar>
              <w:top w:w="17" w:type="dxa"/>
              <w:left w:w="130" w:type="dxa"/>
              <w:right w:w="130" w:type="dxa"/>
            </w:tcMar>
          </w:tcPr>
          <w:p w14:paraId="004DEF8B">
            <w:pPr>
              <w:pStyle w:val="30"/>
              <w:ind w:firstLine="480"/>
              <w:rPr>
                <w:rFonts w:hint="default" w:ascii="Times New Roman" w:hAnsi="Times New Roman" w:cs="Times New Roman" w:eastAsiaTheme="minorEastAsia"/>
                <w:bCs/>
                <w:color w:val="000000" w:themeColor="text1"/>
                <w:szCs w:val="24"/>
                <w:highlight w:val="none"/>
                <w14:textFill>
                  <w14:solidFill>
                    <w14:schemeClr w14:val="tx1"/>
                  </w14:solidFill>
                </w14:textFill>
              </w:rPr>
            </w:pPr>
            <w:r>
              <w:rPr>
                <w:rFonts w:hint="default" w:ascii="Times New Roman" w:hAnsi="Times New Roman" w:cs="Times New Roman" w:eastAsiaTheme="minorEastAsia"/>
                <w:b/>
                <w:bCs w:val="0"/>
                <w:color w:val="000000" w:themeColor="text1"/>
                <w:szCs w:val="24"/>
                <w:highlight w:val="none"/>
                <w:lang w:val="en-US" w:eastAsia="zh-CN"/>
                <w14:textFill>
                  <w14:solidFill>
                    <w14:schemeClr w14:val="tx1"/>
                  </w14:solidFill>
                </w14:textFill>
              </w:rPr>
              <w:t>4、</w:t>
            </w:r>
            <w:r>
              <w:rPr>
                <w:rFonts w:hint="default" w:ascii="Times New Roman" w:hAnsi="Times New Roman" w:cs="Times New Roman" w:eastAsiaTheme="minorEastAsia"/>
                <w:b/>
                <w:bCs w:val="0"/>
                <w:color w:val="000000" w:themeColor="text1"/>
                <w:szCs w:val="24"/>
                <w:highlight w:val="none"/>
                <w14:textFill>
                  <w14:solidFill>
                    <w14:schemeClr w14:val="tx1"/>
                  </w14:solidFill>
                </w14:textFill>
              </w:rPr>
              <w:t>与《水利部国家发展改革委财政部关于印发〈“十四五”水库除险加固实施方案〉的通知》的符合性分析</w:t>
            </w:r>
          </w:p>
          <w:p w14:paraId="76FF313A">
            <w:pPr>
              <w:pStyle w:val="30"/>
              <w:wordWrap w:val="0"/>
              <w:ind w:firstLine="480"/>
              <w:rPr>
                <w:rFonts w:hint="default" w:ascii="Times New Roman" w:hAnsi="Times New Roman" w:cs="Times New Roman" w:eastAsiaTheme="minorEastAsia"/>
                <w:bCs/>
                <w:color w:val="000000" w:themeColor="text1"/>
                <w:szCs w:val="24"/>
                <w:highlight w:val="none"/>
                <w14:textFill>
                  <w14:solidFill>
                    <w14:schemeClr w14:val="tx1"/>
                  </w14:solidFill>
                </w14:textFill>
              </w:rPr>
            </w:pPr>
            <w:r>
              <w:rPr>
                <w:rFonts w:hint="default" w:ascii="Times New Roman" w:hAnsi="Times New Roman" w:cs="Times New Roman" w:eastAsiaTheme="minorEastAsia"/>
                <w:bCs/>
                <w:color w:val="000000" w:themeColor="text1"/>
                <w:szCs w:val="24"/>
                <w:highlight w:val="none"/>
                <w14:textFill>
                  <w14:solidFill>
                    <w14:schemeClr w14:val="tx1"/>
                  </w14:solidFill>
                </w14:textFill>
              </w:rPr>
              <w:t>实施方案提出：“到“十四五”末，全部完成现有及新建的约1.94万座病险水库除险加固；实施55370座小型水库雨水情测报设施和47284座小型水库大坝安全监测设施建设；对分散管理的48226座小型水库全面实行专业化管护模式；推进水库管理规范化标准化。”</w:t>
            </w:r>
          </w:p>
          <w:p w14:paraId="72EDB3F9">
            <w:pPr>
              <w:pStyle w:val="30"/>
              <w:wordWrap w:val="0"/>
              <w:ind w:firstLine="480"/>
              <w:rPr>
                <w:rFonts w:hint="default" w:ascii="Times New Roman" w:hAnsi="Times New Roman" w:cs="Times New Roman" w:eastAsiaTheme="minorEastAsia"/>
                <w:bCs/>
                <w:color w:val="000000" w:themeColor="text1"/>
                <w:szCs w:val="24"/>
                <w:highlight w:val="none"/>
                <w14:textFill>
                  <w14:solidFill>
                    <w14:schemeClr w14:val="tx1"/>
                  </w14:solidFill>
                </w14:textFill>
              </w:rPr>
            </w:pPr>
            <w:r>
              <w:rPr>
                <w:rFonts w:hint="default" w:ascii="Times New Roman" w:hAnsi="Times New Roman" w:cs="Times New Roman" w:eastAsiaTheme="minorEastAsia"/>
                <w:bCs/>
                <w:color w:val="000000" w:themeColor="text1"/>
                <w:kern w:val="2"/>
                <w:sz w:val="24"/>
                <w:szCs w:val="24"/>
                <w:highlight w:val="none"/>
                <w:lang w:val="en-US" w:eastAsia="zh-CN" w:bidi="ar-SA"/>
                <w14:textFill>
                  <w14:solidFill>
                    <w14:schemeClr w14:val="tx1"/>
                  </w14:solidFill>
                </w14:textFill>
              </w:rPr>
              <w:t>黑龙江省润源工程勘测设计有限公司</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于2024年08月编制的《密山市青山水库大坝安全评价报告》，由密山市水务局报送，按照黑龙江省水利厅安排，黑龙江省水利科学研究院于10月组织专家进行核查，青山水库大坝安全鉴定程序符合规定，大坝安全鉴定为“三类坝”符合工程实际，应开展除险加固消除险情和安全隐患</w:t>
            </w:r>
            <w:r>
              <w:rPr>
                <w:rFonts w:hint="default" w:ascii="Times New Roman" w:hAnsi="Times New Roman" w:cs="Times New Roman" w:eastAsiaTheme="minorEastAsia"/>
                <w:bCs/>
                <w:color w:val="000000" w:themeColor="text1"/>
                <w:szCs w:val="24"/>
                <w:highlight w:val="none"/>
                <w14:textFill>
                  <w14:solidFill>
                    <w14:schemeClr w14:val="tx1"/>
                  </w14:solidFill>
                </w14:textFill>
              </w:rPr>
              <w:t>，是具有安全及防洪隐患的病险水库，需进行除险加固。本项目与《水利部国家发展改革委财政部关于印发〈“十四五”水库除险加固实施方案〉的通知》相符合。</w:t>
            </w:r>
          </w:p>
          <w:p w14:paraId="4E4297B9">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5、</w:t>
            </w:r>
            <w:r>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t>与《黑龙江省“十四五”生态环境保护规划》的符合性分析</w:t>
            </w:r>
          </w:p>
          <w:p w14:paraId="7A12CD97">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规划总体目标指出：“（2）生态环境持续改善。主要污染物排放总量持续减少，温室气体排放得到有效控制；空气质量全面改善，基本消除重污染天气；水生态环境质量稳步提升，基本消除天然河湖国控劣V类断面和城市建成区黑臭水体，水生态功能初步得到恢复；土壤和地下水环境质量总体保持稳定，城乡人居环境明显改善。（3）生态系统质量和稳定性稳步提升。北方生态屏障功能进一步提升，生物多样性得到有效保护，生物安全得到保障，生态系统服务功能不断增强，建成生态强省。”</w:t>
            </w:r>
          </w:p>
          <w:p w14:paraId="5441425B">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工程实施后，提高了水库的防洪能力，可保障区域经济建设安全、稳步、快速发展，</w:t>
            </w:r>
            <w:r>
              <w:rPr>
                <w:rFonts w:hint="default" w:ascii="Times New Roman" w:hAnsi="Times New Roman" w:cs="Times New Roman" w:eastAsiaTheme="minorEastAsia"/>
                <w:bCs/>
                <w:color w:val="000000" w:themeColor="text1"/>
                <w:sz w:val="24"/>
                <w:highlight w:val="none"/>
                <w14:textFill>
                  <w14:solidFill>
                    <w14:schemeClr w14:val="tx1"/>
                  </w14:solidFill>
                </w14:textFill>
              </w:rPr>
              <w:t>保护水库及附近河流水环境和水生态环境。</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本项目与《黑龙江省“十四五”生态环境保护规划》相符合。</w:t>
            </w:r>
          </w:p>
          <w:p w14:paraId="37865721">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6、与《松花江流域综合规划》符合性分析</w:t>
            </w:r>
          </w:p>
          <w:p w14:paraId="5A9BB75C">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2011年2月水利部松辽水利委员会编制了《松花江流域综合规划》，也对松花江主要支流的防洪标准进行了确定，根据各支流独立防洪保护区的重要程度，防洪标准在10年至30年一遇之间选用，本次鸡西市密山市青山水库除险加固使得水库达到原设计的防洪标准，符合《松花江流域综合规划》的规划内容。</w:t>
            </w:r>
          </w:p>
          <w:p w14:paraId="694A2D68">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7、与《黑龙江省水土保持规划（2015—2030年）》符合性分析</w:t>
            </w:r>
          </w:p>
          <w:p w14:paraId="09C4A591">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根据《黑龙江省水土保持规划（2015—2030年）》，工程建设所在位置属于东北漫川漫岗国家级水土流失重点治理区。</w:t>
            </w:r>
          </w:p>
          <w:p w14:paraId="241582AC">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重点治理区应实施以小流域为单元、以坡耕地改造和侵蚀沟治理为重点的综合治理工程。以治理水土流失、蓄水固土、减少泥沙下泄为目标，采取水土保持工程措施、植物措施和农业耕作措施，开展“山水林田湖”统一规划和全面治理，建立水土流失综合防治体系。大力营造农田防护林、防风固沙林和水土保持林，开展生态修复、退耕还林、退耕还草，增加植被面积。实施坡耕地治理工程、侵蚀沟治理工程、配套保护性耕作和坡面蓄排体系建设，提高和维持土地生产力。同时，严格生产建设项目监督管理，防止人为水土流失。通过全面规划和规模治理，改善区域生产条件和生态环境，增强抗御自然灾害的能力。</w:t>
            </w:r>
          </w:p>
          <w:p w14:paraId="180C8BF8">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本工程施工结束后采取土地平整、表土回填等措施，加强了工程建设期间的水土保持，防治水土流失，符合《黑龙江省水土保持规划（2015—2030年）》的管理要求。</w:t>
            </w:r>
          </w:p>
          <w:p w14:paraId="3D4D2F42">
            <w:pPr>
              <w:autoSpaceDE w:val="0"/>
              <w:autoSpaceDN w:val="0"/>
              <w:adjustRightInd w:val="0"/>
              <w:snapToGrid w:val="0"/>
              <w:spacing w:line="360" w:lineRule="auto"/>
              <w:ind w:firstLine="482" w:firstLineChars="200"/>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8、</w:t>
            </w:r>
            <w:r>
              <w:rPr>
                <w:rFonts w:hint="default" w:ascii="Times New Roman" w:hAnsi="Times New Roman" w:cs="Times New Roman"/>
                <w:b/>
                <w:color w:val="000000" w:themeColor="text1"/>
                <w:sz w:val="24"/>
                <w:highlight w:val="none"/>
                <w14:textFill>
                  <w14:solidFill>
                    <w14:schemeClr w14:val="tx1"/>
                  </w14:solidFill>
                </w14:textFill>
              </w:rPr>
              <w:t>与《水利建设项目（河湖整治与防洪除涝工程）环境影响评价文件审批原则（试行）》的符合性分析</w:t>
            </w:r>
          </w:p>
          <w:p w14:paraId="25AB52D7">
            <w:pPr>
              <w:pStyle w:val="30"/>
              <w:adjustRightInd w:val="0"/>
              <w:snapToGrid w:val="0"/>
              <w:ind w:firstLine="482"/>
              <w:jc w:val="center"/>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表1-</w:t>
            </w:r>
            <w:r>
              <w:rPr>
                <w:rFonts w:hint="default" w:ascii="Times New Roman" w:hAnsi="Times New Roman" w:cs="Times New Roman"/>
                <w:b/>
                <w:color w:val="000000" w:themeColor="text1"/>
                <w:highlight w:val="none"/>
                <w:lang w:val="en-US" w:eastAsia="zh-CN"/>
                <w14:textFill>
                  <w14:solidFill>
                    <w14:schemeClr w14:val="tx1"/>
                  </w14:solidFill>
                </w14:textFill>
              </w:rPr>
              <w:t>2</w:t>
            </w:r>
            <w:r>
              <w:rPr>
                <w:rFonts w:hint="default" w:ascii="Times New Roman" w:hAnsi="Times New Roman" w:cs="Times New Roman"/>
                <w:b/>
                <w:color w:val="000000" w:themeColor="text1"/>
                <w:highlight w:val="none"/>
                <w14:textFill>
                  <w14:solidFill>
                    <w14:schemeClr w14:val="tx1"/>
                  </w14:solidFill>
                </w14:textFill>
              </w:rPr>
              <w:t>本项目与审批原则的相符性</w:t>
            </w:r>
          </w:p>
          <w:tbl>
            <w:tblPr>
              <w:tblStyle w:val="22"/>
              <w:tblW w:w="5000" w:type="pct"/>
              <w:tblInd w:w="0" w:type="dxa"/>
              <w:tblLayout w:type="fixed"/>
              <w:tblCellMar>
                <w:top w:w="0" w:type="dxa"/>
                <w:left w:w="108" w:type="dxa"/>
                <w:bottom w:w="0" w:type="dxa"/>
                <w:right w:w="108" w:type="dxa"/>
              </w:tblCellMar>
            </w:tblPr>
            <w:tblGrid>
              <w:gridCol w:w="480"/>
              <w:gridCol w:w="3060"/>
              <w:gridCol w:w="2794"/>
              <w:gridCol w:w="480"/>
            </w:tblGrid>
            <w:tr w14:paraId="661B5FE4">
              <w:tblPrEx>
                <w:tblCellMar>
                  <w:top w:w="0" w:type="dxa"/>
                  <w:left w:w="108" w:type="dxa"/>
                  <w:bottom w:w="0" w:type="dxa"/>
                  <w:right w:w="108" w:type="dxa"/>
                </w:tblCellMar>
              </w:tblPrEx>
              <w:trPr>
                <w:trHeight w:val="270" w:hRule="atLeast"/>
              </w:trPr>
              <w:tc>
                <w:tcPr>
                  <w:tcW w:w="352" w:type="pct"/>
                  <w:tcBorders>
                    <w:top w:val="single" w:color="auto" w:sz="4" w:space="0"/>
                    <w:left w:val="single" w:color="auto" w:sz="4" w:space="0"/>
                    <w:bottom w:val="single" w:color="auto" w:sz="4" w:space="0"/>
                    <w:right w:val="single" w:color="auto" w:sz="4" w:space="0"/>
                  </w:tcBorders>
                  <w:noWrap/>
                  <w:vAlign w:val="center"/>
                </w:tcPr>
                <w:p w14:paraId="103EA28B">
                  <w:pPr>
                    <w:widowControl/>
                    <w:spacing w:line="240" w:lineRule="auto"/>
                    <w:ind w:firstLine="0"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序号</w:t>
                  </w:r>
                </w:p>
              </w:tc>
              <w:tc>
                <w:tcPr>
                  <w:tcW w:w="2245" w:type="pct"/>
                  <w:tcBorders>
                    <w:top w:val="single" w:color="auto" w:sz="4" w:space="0"/>
                    <w:left w:val="nil"/>
                    <w:bottom w:val="single" w:color="auto" w:sz="4" w:space="0"/>
                    <w:right w:val="single" w:color="auto" w:sz="4" w:space="0"/>
                  </w:tcBorders>
                  <w:noWrap/>
                  <w:vAlign w:val="center"/>
                </w:tcPr>
                <w:p w14:paraId="53BEEA25">
                  <w:pPr>
                    <w:widowControl/>
                    <w:spacing w:line="240" w:lineRule="auto"/>
                    <w:ind w:firstLine="0"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审批原则要求</w:t>
                  </w:r>
                </w:p>
              </w:tc>
              <w:tc>
                <w:tcPr>
                  <w:tcW w:w="2050" w:type="pct"/>
                  <w:tcBorders>
                    <w:top w:val="single" w:color="auto" w:sz="4" w:space="0"/>
                    <w:left w:val="nil"/>
                    <w:bottom w:val="single" w:color="auto" w:sz="4" w:space="0"/>
                    <w:right w:val="single" w:color="auto" w:sz="4" w:space="0"/>
                  </w:tcBorders>
                  <w:noWrap/>
                  <w:vAlign w:val="center"/>
                </w:tcPr>
                <w:p w14:paraId="6CCCDA0D">
                  <w:pPr>
                    <w:widowControl/>
                    <w:spacing w:line="240" w:lineRule="auto"/>
                    <w:ind w:firstLine="0"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相符性分析</w:t>
                  </w:r>
                </w:p>
              </w:tc>
              <w:tc>
                <w:tcPr>
                  <w:tcW w:w="352" w:type="pct"/>
                  <w:tcBorders>
                    <w:top w:val="single" w:color="auto" w:sz="4" w:space="0"/>
                    <w:left w:val="nil"/>
                    <w:bottom w:val="single" w:color="auto" w:sz="4" w:space="0"/>
                    <w:right w:val="single" w:color="auto" w:sz="4" w:space="0"/>
                  </w:tcBorders>
                  <w:noWrap/>
                  <w:vAlign w:val="center"/>
                </w:tcPr>
                <w:p w14:paraId="452DD6A2">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相符性</w:t>
                  </w:r>
                </w:p>
              </w:tc>
            </w:tr>
            <w:tr w14:paraId="1CCE5A06">
              <w:tblPrEx>
                <w:tblCellMar>
                  <w:top w:w="0" w:type="dxa"/>
                  <w:left w:w="108" w:type="dxa"/>
                  <w:bottom w:w="0" w:type="dxa"/>
                  <w:right w:w="108" w:type="dxa"/>
                </w:tblCellMar>
              </w:tblPrEx>
              <w:trPr>
                <w:trHeight w:val="270" w:hRule="atLeast"/>
              </w:trPr>
              <w:tc>
                <w:tcPr>
                  <w:tcW w:w="352" w:type="pct"/>
                  <w:tcBorders>
                    <w:top w:val="single" w:color="auto" w:sz="4" w:space="0"/>
                    <w:left w:val="single" w:color="auto" w:sz="4" w:space="0"/>
                    <w:bottom w:val="single" w:color="auto" w:sz="4" w:space="0"/>
                    <w:right w:val="single" w:color="auto" w:sz="4" w:space="0"/>
                  </w:tcBorders>
                  <w:noWrap/>
                  <w:vAlign w:val="center"/>
                </w:tcPr>
                <w:p w14:paraId="15BBEC1A">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p>
              </w:tc>
              <w:tc>
                <w:tcPr>
                  <w:tcW w:w="2245" w:type="pct"/>
                  <w:tcBorders>
                    <w:top w:val="single" w:color="auto" w:sz="4" w:space="0"/>
                    <w:left w:val="nil"/>
                    <w:bottom w:val="single" w:color="auto" w:sz="4" w:space="0"/>
                    <w:right w:val="single" w:color="auto" w:sz="4" w:space="0"/>
                  </w:tcBorders>
                  <w:noWrap/>
                  <w:vAlign w:val="center"/>
                </w:tcPr>
                <w:p w14:paraId="41F0621F">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第一条 本原则适用于河湖整治与防洪除涝工程环境影响评价文件的审批，工程建设内容包括疏浚、堤防建设、闸坝闸站建设、岸线治理、水系连通、蓄（滞）洪区建设、排涝治理等（引调水、防洪水库等水利枢纽工程除外）。其他类似工程可参照执行。</w:t>
                  </w:r>
                </w:p>
              </w:tc>
              <w:tc>
                <w:tcPr>
                  <w:tcW w:w="2050" w:type="pct"/>
                  <w:tcBorders>
                    <w:top w:val="single" w:color="auto" w:sz="4" w:space="0"/>
                    <w:left w:val="nil"/>
                    <w:bottom w:val="single" w:color="auto" w:sz="4" w:space="0"/>
                    <w:right w:val="single" w:color="auto" w:sz="4" w:space="0"/>
                  </w:tcBorders>
                  <w:noWrap/>
                  <w:vAlign w:val="center"/>
                </w:tcPr>
                <w:p w14:paraId="7D175DCB">
                  <w:pPr>
                    <w:widowControl/>
                    <w:spacing w:line="240" w:lineRule="auto"/>
                    <w:ind w:firstLine="0" w:firstLineChars="0"/>
                    <w:rPr>
                      <w:rFonts w:hint="eastAsia" w:ascii="Times New Roman" w:hAnsi="Times New Roman" w:cs="Times New Roman" w:eastAsiaTheme="minorEastAsia"/>
                      <w:smallCaps w:val="0"/>
                      <w:color w:val="000000" w:themeColor="text1"/>
                      <w:kern w:val="0"/>
                      <w:sz w:val="21"/>
                      <w:lang w:eastAsia="zh-CN"/>
                      <w14:textFill>
                        <w14:solidFill>
                          <w14:schemeClr w14:val="tx1"/>
                        </w14:solidFill>
                      </w14:textFill>
                    </w:rPr>
                  </w:pPr>
                  <w:r>
                    <w:rPr>
                      <w:rFonts w:hint="eastAsia" w:cs="Times New Roman"/>
                      <w:smallCaps w:val="0"/>
                      <w:color w:val="000000" w:themeColor="text1"/>
                      <w:kern w:val="0"/>
                      <w:sz w:val="21"/>
                      <w:lang w:eastAsia="zh-CN"/>
                      <w14:textFill>
                        <w14:solidFill>
                          <w14:schemeClr w14:val="tx1"/>
                        </w14:solidFill>
                      </w14:textFill>
                    </w:rPr>
                    <w:t>本工程为水库加固项目，具有防洪除涝的功能</w:t>
                  </w:r>
                  <w:r>
                    <w:rPr>
                      <w:rFonts w:hint="eastAsia" w:ascii="Times New Roman" w:hAnsi="Times New Roman" w:cs="Times New Roman"/>
                      <w:smallCaps w:val="0"/>
                      <w:color w:val="000000" w:themeColor="text1"/>
                      <w:kern w:val="0"/>
                      <w:sz w:val="21"/>
                      <w:lang w:eastAsia="zh-CN"/>
                      <w14:textFill>
                        <w14:solidFill>
                          <w14:schemeClr w14:val="tx1"/>
                        </w14:solidFill>
                      </w14:textFill>
                    </w:rPr>
                    <w:t>，</w:t>
                  </w:r>
                  <w:r>
                    <w:rPr>
                      <w:rFonts w:hint="default" w:ascii="Times New Roman" w:hAnsi="Times New Roman" w:cs="Times New Roman"/>
                      <w:smallCaps w:val="0"/>
                      <w:color w:val="000000" w:themeColor="text1"/>
                      <w:kern w:val="0"/>
                      <w:sz w:val="21"/>
                      <w14:textFill>
                        <w14:solidFill>
                          <w14:schemeClr w14:val="tx1"/>
                        </w14:solidFill>
                      </w14:textFill>
                    </w:rPr>
                    <w:t>保护水库及附近河流水环境和水生态环境</w:t>
                  </w:r>
                  <w:r>
                    <w:rPr>
                      <w:rFonts w:hint="eastAsia" w:ascii="Times New Roman" w:hAnsi="Times New Roman" w:cs="Times New Roman"/>
                      <w:smallCaps w:val="0"/>
                      <w:color w:val="000000" w:themeColor="text1"/>
                      <w:kern w:val="0"/>
                      <w:sz w:val="21"/>
                      <w:lang w:eastAsia="zh-CN"/>
                      <w14:textFill>
                        <w14:solidFill>
                          <w14:schemeClr w14:val="tx1"/>
                        </w14:solidFill>
                      </w14:textFill>
                    </w:rPr>
                    <w:t>。</w:t>
                  </w:r>
                </w:p>
              </w:tc>
              <w:tc>
                <w:tcPr>
                  <w:tcW w:w="352" w:type="pct"/>
                  <w:tcBorders>
                    <w:top w:val="single" w:color="auto" w:sz="4" w:space="0"/>
                    <w:left w:val="nil"/>
                    <w:bottom w:val="single" w:color="auto" w:sz="4" w:space="0"/>
                    <w:right w:val="single" w:color="auto" w:sz="4" w:space="0"/>
                  </w:tcBorders>
                  <w:noWrap/>
                  <w:vAlign w:val="center"/>
                </w:tcPr>
                <w:p w14:paraId="1CCDF1E7">
                  <w:pPr>
                    <w:widowControl/>
                    <w:spacing w:line="240" w:lineRule="auto"/>
                    <w:ind w:firstLine="0" w:firstLineChars="0"/>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rFonts w:hint="eastAsia" w:cs="Times New Roman"/>
                      <w:smallCaps w:val="0"/>
                      <w:color w:val="000000" w:themeColor="text1"/>
                      <w:kern w:val="0"/>
                      <w:sz w:val="21"/>
                      <w:lang w:eastAsia="zh-CN"/>
                      <w14:textFill>
                        <w14:solidFill>
                          <w14:schemeClr w14:val="tx1"/>
                        </w14:solidFill>
                      </w14:textFill>
                    </w:rPr>
                    <w:t>符合</w:t>
                  </w:r>
                </w:p>
              </w:tc>
            </w:tr>
            <w:tr w14:paraId="4057F452">
              <w:tblPrEx>
                <w:tblCellMar>
                  <w:top w:w="0" w:type="dxa"/>
                  <w:left w:w="108" w:type="dxa"/>
                  <w:bottom w:w="0" w:type="dxa"/>
                  <w:right w:w="108" w:type="dxa"/>
                </w:tblCellMar>
              </w:tblPrEx>
              <w:trPr>
                <w:trHeight w:val="2220" w:hRule="atLeast"/>
              </w:trPr>
              <w:tc>
                <w:tcPr>
                  <w:tcW w:w="352" w:type="pct"/>
                  <w:tcBorders>
                    <w:top w:val="nil"/>
                    <w:left w:val="single" w:color="auto" w:sz="4" w:space="0"/>
                    <w:bottom w:val="single" w:color="auto" w:sz="4" w:space="0"/>
                    <w:right w:val="single" w:color="auto" w:sz="4" w:space="0"/>
                  </w:tcBorders>
                  <w:noWrap/>
                  <w:vAlign w:val="center"/>
                </w:tcPr>
                <w:p w14:paraId="7E70E938">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1</w:t>
                  </w:r>
                </w:p>
              </w:tc>
              <w:tc>
                <w:tcPr>
                  <w:tcW w:w="2245" w:type="pct"/>
                  <w:tcBorders>
                    <w:top w:val="nil"/>
                    <w:left w:val="nil"/>
                    <w:bottom w:val="single" w:color="auto" w:sz="4" w:space="0"/>
                    <w:right w:val="single" w:color="auto" w:sz="4" w:space="0"/>
                  </w:tcBorders>
                  <w:noWrap w:val="0"/>
                  <w:vAlign w:val="center"/>
                </w:tcPr>
                <w:p w14:paraId="2677B569">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第二条项目符合环境保护相关法律法规和政策要求，与主体功能区规划、生态功能区划、水环境功能区划、水功能区划、生态环境保护规划、流域综合规划、防洪规划等相协调，满足相关规划环评要求。</w:t>
                  </w:r>
                </w:p>
                <w:p w14:paraId="277FCD56">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工程涉及岸线调整（治导线变化）、裁弯取直、围垦水面和占用河湖滩地等建设内容的，充分论证了方案环境可行性，最大程度保持了河湖自然形态，最大限度维护了河湖健康、生态系统功能和生物多样性。</w:t>
                  </w:r>
                </w:p>
              </w:tc>
              <w:tc>
                <w:tcPr>
                  <w:tcW w:w="2050" w:type="pct"/>
                  <w:tcBorders>
                    <w:top w:val="nil"/>
                    <w:left w:val="nil"/>
                    <w:bottom w:val="single" w:color="auto" w:sz="4" w:space="0"/>
                    <w:right w:val="single" w:color="auto" w:sz="4" w:space="0"/>
                  </w:tcBorders>
                  <w:noWrap w:val="0"/>
                  <w:vAlign w:val="center"/>
                </w:tcPr>
                <w:p w14:paraId="42ABA78F">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本项目建设与主体功能区规划、生态功能区划等相协调。工程不涉及岸线调整、裁弯取直、围垦水面和占用河湖滩地等建设内容。</w:t>
                  </w:r>
                </w:p>
              </w:tc>
              <w:tc>
                <w:tcPr>
                  <w:tcW w:w="352" w:type="pct"/>
                  <w:tcBorders>
                    <w:top w:val="nil"/>
                    <w:left w:val="nil"/>
                    <w:bottom w:val="single" w:color="auto" w:sz="4" w:space="0"/>
                    <w:right w:val="single" w:color="auto" w:sz="4" w:space="0"/>
                  </w:tcBorders>
                  <w:noWrap/>
                  <w:vAlign w:val="center"/>
                </w:tcPr>
                <w:p w14:paraId="0FADA514">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700669A6">
              <w:tblPrEx>
                <w:tblCellMar>
                  <w:top w:w="0" w:type="dxa"/>
                  <w:left w:w="108" w:type="dxa"/>
                  <w:bottom w:w="0" w:type="dxa"/>
                  <w:right w:w="108" w:type="dxa"/>
                </w:tblCellMar>
              </w:tblPrEx>
              <w:trPr>
                <w:trHeight w:val="1350" w:hRule="atLeast"/>
              </w:trPr>
              <w:tc>
                <w:tcPr>
                  <w:tcW w:w="352" w:type="pct"/>
                  <w:tcBorders>
                    <w:top w:val="nil"/>
                    <w:left w:val="single" w:color="auto" w:sz="4" w:space="0"/>
                    <w:bottom w:val="single" w:color="auto" w:sz="4" w:space="0"/>
                    <w:right w:val="single" w:color="auto" w:sz="4" w:space="0"/>
                  </w:tcBorders>
                  <w:noWrap/>
                  <w:vAlign w:val="center"/>
                </w:tcPr>
                <w:p w14:paraId="68792D4F">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2</w:t>
                  </w:r>
                </w:p>
              </w:tc>
              <w:tc>
                <w:tcPr>
                  <w:tcW w:w="2245" w:type="pct"/>
                  <w:tcBorders>
                    <w:top w:val="nil"/>
                    <w:left w:val="nil"/>
                    <w:bottom w:val="single" w:color="auto" w:sz="4" w:space="0"/>
                    <w:right w:val="single" w:color="auto" w:sz="4" w:space="0"/>
                  </w:tcBorders>
                  <w:noWrap w:val="0"/>
                  <w:vAlign w:val="center"/>
                </w:tcPr>
                <w:p w14:paraId="25EA5F7A">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三条工程选址选线、施工布置原则上不占用自然保护区、风景名胜区、世界文化和自然遗产地以及其他生态保护红线等环境敏感区中法律法规禁止占用的区域，并与饮用水水源保护区的保护要求相协调。法律法规、政策另有规定的从其规定。</w:t>
                  </w:r>
                </w:p>
              </w:tc>
              <w:tc>
                <w:tcPr>
                  <w:tcW w:w="2050" w:type="pct"/>
                  <w:tcBorders>
                    <w:top w:val="nil"/>
                    <w:left w:val="nil"/>
                    <w:bottom w:val="single" w:color="auto" w:sz="4" w:space="0"/>
                    <w:right w:val="single" w:color="auto" w:sz="4" w:space="0"/>
                  </w:tcBorders>
                  <w:noWrap w:val="0"/>
                  <w:vAlign w:val="center"/>
                </w:tcPr>
                <w:p w14:paraId="7AC579A9">
                  <w:pPr>
                    <w:widowControl/>
                    <w:spacing w:line="240" w:lineRule="auto"/>
                    <w:ind w:firstLine="420" w:firstLineChars="20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cs="Times New Roman"/>
                      <w:smallCaps w:val="0"/>
                      <w:color w:val="000000" w:themeColor="text1"/>
                      <w:kern w:val="0"/>
                      <w:sz w:val="21"/>
                      <w:lang w:val="en-US" w:eastAsia="zh-CN"/>
                      <w14:textFill>
                        <w14:solidFill>
                          <w14:schemeClr w14:val="tx1"/>
                        </w14:solidFill>
                      </w14:textFill>
                    </w:rPr>
                    <w:t>本工程为改建项目，选址选线唯一，本工程不侵占</w:t>
                  </w:r>
                  <w:r>
                    <w:rPr>
                      <w:rFonts w:hint="default" w:ascii="Times New Roman" w:hAnsi="Times New Roman" w:cs="Times New Roman"/>
                      <w:smallCaps w:val="0"/>
                      <w:color w:val="000000" w:themeColor="text1"/>
                      <w:kern w:val="0"/>
                      <w:sz w:val="21"/>
                      <w14:textFill>
                        <w14:solidFill>
                          <w14:schemeClr w14:val="tx1"/>
                        </w14:solidFill>
                      </w14:textFill>
                    </w:rPr>
                    <w:t>自然保护区、风景名胜区、世界文化和自然遗产地以及其他生态保护红线等环境敏感区中法律法规禁止占用的区域</w:t>
                  </w:r>
                  <w:r>
                    <w:rPr>
                      <w:rFonts w:hint="default" w:ascii="Times New Roman" w:hAnsi="Times New Roman" w:cs="Times New Roman"/>
                      <w:smallCaps w:val="0"/>
                      <w:color w:val="000000" w:themeColor="text1"/>
                      <w:kern w:val="0"/>
                      <w:sz w:val="21"/>
                      <w:lang w:eastAsia="zh-CN"/>
                      <w14:textFill>
                        <w14:solidFill>
                          <w14:schemeClr w14:val="tx1"/>
                        </w14:solidFill>
                      </w14:textFill>
                    </w:rPr>
                    <w:t>。</w:t>
                  </w:r>
                </w:p>
                <w:p w14:paraId="143E902D">
                  <w:pPr>
                    <w:widowControl/>
                    <w:spacing w:line="240" w:lineRule="auto"/>
                    <w:ind w:firstLine="420" w:firstLineChars="20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cs="Times New Roman"/>
                      <w:smallCaps w:val="0"/>
                      <w:color w:val="000000" w:themeColor="text1"/>
                      <w:kern w:val="0"/>
                      <w:sz w:val="21"/>
                      <w:lang w:val="en-US" w:eastAsia="zh-CN"/>
                      <w14:textFill>
                        <w14:solidFill>
                          <w14:schemeClr w14:val="tx1"/>
                        </w14:solidFill>
                      </w14:textFill>
                    </w:rPr>
                    <w:t>综合上述分析，本次</w:t>
                  </w:r>
                  <w:r>
                    <w:rPr>
                      <w:rFonts w:hint="default" w:ascii="Times New Roman" w:hAnsi="Times New Roman" w:cs="Times New Roman"/>
                      <w:smallCaps w:val="0"/>
                      <w:color w:val="000000" w:themeColor="text1"/>
                      <w:kern w:val="0"/>
                      <w:sz w:val="21"/>
                      <w14:textFill>
                        <w14:solidFill>
                          <w14:schemeClr w14:val="tx1"/>
                        </w14:solidFill>
                      </w14:textFill>
                    </w:rPr>
                    <w:t>工程选址选线、施工布置</w:t>
                  </w:r>
                  <w:r>
                    <w:rPr>
                      <w:rFonts w:hint="default" w:ascii="Times New Roman" w:hAnsi="Times New Roman" w:cs="Times New Roman"/>
                      <w:smallCaps w:val="0"/>
                      <w:color w:val="000000" w:themeColor="text1"/>
                      <w:kern w:val="0"/>
                      <w:sz w:val="21"/>
                      <w:lang w:val="en-US" w:eastAsia="zh-CN"/>
                      <w14:textFill>
                        <w14:solidFill>
                          <w14:schemeClr w14:val="tx1"/>
                        </w14:solidFill>
                      </w14:textFill>
                    </w:rPr>
                    <w:t>与各环境敏感因素及法律法规等相符合。</w:t>
                  </w:r>
                </w:p>
              </w:tc>
              <w:tc>
                <w:tcPr>
                  <w:tcW w:w="352" w:type="pct"/>
                  <w:tcBorders>
                    <w:top w:val="nil"/>
                    <w:left w:val="nil"/>
                    <w:bottom w:val="single" w:color="auto" w:sz="4" w:space="0"/>
                    <w:right w:val="single" w:color="auto" w:sz="4" w:space="0"/>
                  </w:tcBorders>
                  <w:noWrap/>
                  <w:vAlign w:val="center"/>
                </w:tcPr>
                <w:p w14:paraId="3D5603C6">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C8F9A47">
              <w:tblPrEx>
                <w:tblCellMar>
                  <w:top w:w="0" w:type="dxa"/>
                  <w:left w:w="108" w:type="dxa"/>
                  <w:bottom w:w="0" w:type="dxa"/>
                  <w:right w:w="108" w:type="dxa"/>
                </w:tblCellMar>
              </w:tblPrEx>
              <w:trPr>
                <w:trHeight w:val="2145" w:hRule="atLeast"/>
              </w:trPr>
              <w:tc>
                <w:tcPr>
                  <w:tcW w:w="352" w:type="pct"/>
                  <w:tcBorders>
                    <w:top w:val="nil"/>
                    <w:left w:val="single" w:color="auto" w:sz="4" w:space="0"/>
                    <w:bottom w:val="single" w:color="auto" w:sz="4" w:space="0"/>
                    <w:right w:val="single" w:color="auto" w:sz="4" w:space="0"/>
                  </w:tcBorders>
                  <w:noWrap/>
                  <w:vAlign w:val="center"/>
                </w:tcPr>
                <w:p w14:paraId="29A9A23B">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3</w:t>
                  </w:r>
                </w:p>
              </w:tc>
              <w:tc>
                <w:tcPr>
                  <w:tcW w:w="2245" w:type="pct"/>
                  <w:tcBorders>
                    <w:top w:val="nil"/>
                    <w:left w:val="nil"/>
                    <w:bottom w:val="single" w:color="auto" w:sz="4" w:space="0"/>
                    <w:right w:val="single" w:color="auto" w:sz="4" w:space="0"/>
                  </w:tcBorders>
                  <w:noWrap w:val="0"/>
                  <w:vAlign w:val="center"/>
                </w:tcPr>
                <w:p w14:paraId="2C36F153">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四条项目实施改变水动力条件或水文过程且对水质产生不利影响的，提出了工程优化调整、科学调度、实施区域流域水污染防治等措施。对地下水环境产生不利影响或次生环境影响的，提出了优化工程设计、导排、防护等针对性的防治措施。在采取上述措施后，对水环境的不利影响能够得到缓解和控制，居民用水安全能够得到保障，相关区域不会出现显著的土壤潜育化、沼泽化、盐碱化等次生环境问题。</w:t>
                  </w:r>
                </w:p>
              </w:tc>
              <w:tc>
                <w:tcPr>
                  <w:tcW w:w="2050" w:type="pct"/>
                  <w:tcBorders>
                    <w:top w:val="nil"/>
                    <w:left w:val="nil"/>
                    <w:bottom w:val="single" w:color="auto" w:sz="4" w:space="0"/>
                    <w:right w:val="single" w:color="auto" w:sz="4" w:space="0"/>
                  </w:tcBorders>
                  <w:noWrap w:val="0"/>
                  <w:vAlign w:val="center"/>
                </w:tcPr>
                <w:p w14:paraId="75DAA7C9">
                  <w:pPr>
                    <w:widowControl/>
                    <w:spacing w:line="240" w:lineRule="auto"/>
                    <w:ind w:firstLine="420" w:firstLineChars="0"/>
                    <w:rPr>
                      <w:rFonts w:hint="default" w:ascii="Times New Roman" w:hAnsi="Times New Roman" w:cs="Times New Roman"/>
                      <w:smallCaps w:val="0"/>
                      <w:color w:val="000000" w:themeColor="text1"/>
                      <w:kern w:val="0"/>
                      <w:sz w:val="21"/>
                      <w14:textFill>
                        <w14:solidFill>
                          <w14:schemeClr w14:val="tx1"/>
                        </w14:solidFill>
                      </w14:textFill>
                    </w:rPr>
                  </w:pPr>
                  <w:r>
                    <w:rPr>
                      <w:color w:val="000000" w:themeColor="text1"/>
                      <w:highlight w:val="none"/>
                      <w14:textFill>
                        <w14:solidFill>
                          <w14:schemeClr w14:val="tx1"/>
                        </w14:solidFill>
                      </w14:textFill>
                    </w:rPr>
                    <w:t>本项目为</w:t>
                  </w:r>
                  <w:r>
                    <w:rPr>
                      <w:color w:val="000000" w:themeColor="text1"/>
                      <w:szCs w:val="21"/>
                      <w:highlight w:val="none"/>
                      <w14:textFill>
                        <w14:solidFill>
                          <w14:schemeClr w14:val="tx1"/>
                        </w14:solidFill>
                      </w14:textFill>
                    </w:rPr>
                    <w:t>除险加固工程</w:t>
                  </w:r>
                  <w:r>
                    <w:rPr>
                      <w:color w:val="000000" w:themeColor="text1"/>
                      <w:highlight w:val="none"/>
                      <w14:textFill>
                        <w14:solidFill>
                          <w14:schemeClr w14:val="tx1"/>
                        </w14:solidFill>
                      </w14:textFill>
                    </w:rPr>
                    <w:t>项目，</w:t>
                  </w:r>
                  <w:r>
                    <w:rPr>
                      <w:rFonts w:hint="eastAsia"/>
                      <w:color w:val="000000" w:themeColor="text1"/>
                      <w:highlight w:val="none"/>
                      <w14:textFill>
                        <w14:solidFill>
                          <w14:schemeClr w14:val="tx1"/>
                        </w14:solidFill>
                      </w14:textFill>
                    </w:rPr>
                    <w:t>工程不会对地下水环境产生影响</w:t>
                  </w:r>
                  <w:r>
                    <w:rPr>
                      <w:rFonts w:hint="default" w:ascii="Times New Roman" w:hAnsi="Times New Roman" w:cs="Times New Roman"/>
                      <w:smallCaps w:val="0"/>
                      <w:color w:val="000000" w:themeColor="text1"/>
                      <w:kern w:val="0"/>
                      <w:sz w:val="21"/>
                      <w:lang w:val="en-US" w:eastAsia="zh-CN"/>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2059A97D">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0A93942F">
              <w:tblPrEx>
                <w:tblCellMar>
                  <w:top w:w="0" w:type="dxa"/>
                  <w:left w:w="108" w:type="dxa"/>
                  <w:bottom w:w="0" w:type="dxa"/>
                  <w:right w:w="108" w:type="dxa"/>
                </w:tblCellMar>
              </w:tblPrEx>
              <w:trPr>
                <w:trHeight w:val="665" w:hRule="atLeast"/>
              </w:trPr>
              <w:tc>
                <w:tcPr>
                  <w:tcW w:w="352" w:type="pct"/>
                  <w:tcBorders>
                    <w:top w:val="nil"/>
                    <w:left w:val="single" w:color="auto" w:sz="4" w:space="0"/>
                    <w:bottom w:val="single" w:color="auto" w:sz="4" w:space="0"/>
                    <w:right w:val="single" w:color="auto" w:sz="4" w:space="0"/>
                  </w:tcBorders>
                  <w:noWrap/>
                  <w:vAlign w:val="center"/>
                </w:tcPr>
                <w:p w14:paraId="24F60551">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4</w:t>
                  </w:r>
                </w:p>
              </w:tc>
              <w:tc>
                <w:tcPr>
                  <w:tcW w:w="2245" w:type="pct"/>
                  <w:tcBorders>
                    <w:top w:val="nil"/>
                    <w:left w:val="nil"/>
                    <w:bottom w:val="single" w:color="auto" w:sz="4" w:space="0"/>
                    <w:right w:val="single" w:color="auto" w:sz="4" w:space="0"/>
                  </w:tcBorders>
                  <w:noWrap w:val="0"/>
                  <w:vAlign w:val="center"/>
                </w:tcPr>
                <w:p w14:paraId="49751457">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五条项目对鱼类等水生生物的洄游通道及“”等重要生境、物种多样性及资源量等产生不利影响的，提出了下泄生态流量、恢复鱼类洄游通道、采用生态友好型护岸（坡、底）、生态修复、增殖放流等措施。在采取上述措施后，对水生生物的不利影响能够得到缓解和控制，不会造成原有珍稀濒危保护、区域特有或重要经济水生生物在相关河段消失，不会对相关河段水生生态系统造成重大不利影响。</w:t>
                  </w:r>
                </w:p>
              </w:tc>
              <w:tc>
                <w:tcPr>
                  <w:tcW w:w="2050" w:type="pct"/>
                  <w:tcBorders>
                    <w:top w:val="nil"/>
                    <w:left w:val="nil"/>
                    <w:bottom w:val="single" w:color="auto" w:sz="4" w:space="0"/>
                    <w:right w:val="single" w:color="auto" w:sz="4" w:space="0"/>
                  </w:tcBorders>
                  <w:noWrap w:val="0"/>
                  <w:vAlign w:val="center"/>
                </w:tcPr>
                <w:p w14:paraId="6FACFE59">
                  <w:pPr>
                    <w:widowControl/>
                    <w:spacing w:line="240" w:lineRule="auto"/>
                    <w:rPr>
                      <w:rFonts w:hint="default" w:ascii="Times New Roman" w:hAnsi="Times New Roman" w:cs="Times New Roman"/>
                      <w:smallCaps w:val="0"/>
                      <w:color w:val="000000" w:themeColor="text1"/>
                      <w:kern w:val="0"/>
                      <w:sz w:val="21"/>
                      <w:highlight w:val="yellow"/>
                      <w14:textFill>
                        <w14:solidFill>
                          <w14:schemeClr w14:val="tx1"/>
                        </w14:solidFill>
                      </w14:textFill>
                    </w:rPr>
                  </w:pPr>
                  <w:r>
                    <w:rPr>
                      <w:rFonts w:hint="default" w:ascii="Times New Roman" w:hAnsi="Times New Roman" w:cs="Times New Roman"/>
                      <w:bCs/>
                      <w:smallCaps w:val="0"/>
                      <w:color w:val="000000" w:themeColor="text1"/>
                      <w:kern w:val="0"/>
                      <w:sz w:val="21"/>
                      <w14:textFill>
                        <w14:solidFill>
                          <w14:schemeClr w14:val="tx1"/>
                        </w14:solidFill>
                      </w14:textFill>
                    </w:rPr>
                    <w:t>本次工程范围内不涉及</w:t>
                  </w:r>
                  <w:r>
                    <w:rPr>
                      <w:rFonts w:hint="eastAsia" w:cs="Times New Roman"/>
                      <w:bCs/>
                      <w:smallCaps w:val="0"/>
                      <w:color w:val="000000" w:themeColor="text1"/>
                      <w:kern w:val="0"/>
                      <w:sz w:val="21"/>
                      <w:lang w:eastAsia="zh-CN"/>
                      <w14:textFill>
                        <w14:solidFill>
                          <w14:schemeClr w14:val="tx1"/>
                        </w14:solidFill>
                      </w14:textFill>
                    </w:rPr>
                    <w:t>重要</w:t>
                  </w:r>
                  <w:r>
                    <w:rPr>
                      <w:rFonts w:hint="default" w:ascii="Times New Roman" w:hAnsi="Times New Roman" w:cs="Times New Roman"/>
                      <w:bCs/>
                      <w:smallCaps w:val="0"/>
                      <w:color w:val="000000" w:themeColor="text1"/>
                      <w:kern w:val="0"/>
                      <w:sz w:val="21"/>
                      <w14:textFill>
                        <w14:solidFill>
                          <w14:schemeClr w14:val="tx1"/>
                        </w14:solidFill>
                      </w14:textFill>
                    </w:rPr>
                    <w:t>鱼类产卵场及索饵场，因此工程建设不会对鱼类产卵场和索饵场产生影响。</w:t>
                  </w:r>
                </w:p>
              </w:tc>
              <w:tc>
                <w:tcPr>
                  <w:tcW w:w="352" w:type="pct"/>
                  <w:tcBorders>
                    <w:top w:val="nil"/>
                    <w:left w:val="nil"/>
                    <w:bottom w:val="single" w:color="auto" w:sz="4" w:space="0"/>
                    <w:right w:val="single" w:color="auto" w:sz="4" w:space="0"/>
                  </w:tcBorders>
                  <w:noWrap/>
                  <w:vAlign w:val="center"/>
                </w:tcPr>
                <w:p w14:paraId="4A852A6B">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38A4FFCC">
              <w:tblPrEx>
                <w:tblCellMar>
                  <w:top w:w="0" w:type="dxa"/>
                  <w:left w:w="108" w:type="dxa"/>
                  <w:bottom w:w="0" w:type="dxa"/>
                  <w:right w:w="108" w:type="dxa"/>
                </w:tblCellMar>
              </w:tblPrEx>
              <w:trPr>
                <w:trHeight w:val="1125" w:hRule="atLeast"/>
              </w:trPr>
              <w:tc>
                <w:tcPr>
                  <w:tcW w:w="352" w:type="pct"/>
                  <w:tcBorders>
                    <w:top w:val="nil"/>
                    <w:left w:val="single" w:color="auto" w:sz="4" w:space="0"/>
                    <w:bottom w:val="single" w:color="auto" w:sz="4" w:space="0"/>
                    <w:right w:val="single" w:color="auto" w:sz="4" w:space="0"/>
                  </w:tcBorders>
                  <w:noWrap/>
                  <w:vAlign w:val="center"/>
                </w:tcPr>
                <w:p w14:paraId="3AAF37F3">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5</w:t>
                  </w:r>
                </w:p>
              </w:tc>
              <w:tc>
                <w:tcPr>
                  <w:tcW w:w="2245" w:type="pct"/>
                  <w:tcBorders>
                    <w:top w:val="nil"/>
                    <w:left w:val="nil"/>
                    <w:bottom w:val="single" w:color="auto" w:sz="4" w:space="0"/>
                    <w:right w:val="single" w:color="auto" w:sz="4" w:space="0"/>
                  </w:tcBorders>
                  <w:noWrap w:val="0"/>
                  <w:vAlign w:val="center"/>
                </w:tcPr>
                <w:p w14:paraId="476DEA32">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第六条项目对湿地生态系统结构和功能、河湖生态缓冲带造成不利影响的，提出了优化工程设计及调度运行方案、生态修复等措施。</w:t>
                  </w:r>
                  <w:r>
                    <w:rPr>
                      <w:rFonts w:hint="default" w:ascii="Times New Roman" w:hAnsi="Times New Roman" w:cs="Times New Roman"/>
                      <w:smallCaps w:val="0"/>
                      <w:color w:val="000000" w:themeColor="text1"/>
                      <w:kern w:val="0"/>
                      <w:sz w:val="21"/>
                      <w:highlight w:val="none"/>
                      <w14:textFill>
                        <w14:solidFill>
                          <w14:schemeClr w14:val="tx1"/>
                        </w14:solidFill>
                      </w14:textFill>
                    </w:rPr>
                    <w:t>对珍稀濒危保护植物造成不利影响的，提出了避让、原位防护、移栽等措施。对陆生珍稀濒危保护动物及其生境造成不利影响的，提出了避让、救护、迁徙廊道构建、生境再造等措施。对</w:t>
                  </w:r>
                  <w:r>
                    <w:rPr>
                      <w:rFonts w:hint="default" w:ascii="Times New Roman" w:hAnsi="Times New Roman" w:cs="Times New Roman"/>
                      <w:smallCaps w:val="0"/>
                      <w:color w:val="000000" w:themeColor="text1"/>
                      <w:kern w:val="0"/>
                      <w:sz w:val="21"/>
                      <w14:textFill>
                        <w14:solidFill>
                          <w14:schemeClr w14:val="tx1"/>
                        </w14:solidFill>
                      </w14:textFill>
                    </w:rPr>
                    <w:t>景观产生不利影响的，提出了避让、优化设计、景观塑造等措施。</w:t>
                  </w:r>
                  <w:r>
                    <w:rPr>
                      <w:rFonts w:hint="default" w:ascii="Times New Roman" w:hAnsi="Times New Roman" w:cs="Times New Roman"/>
                      <w:smallCaps w:val="0"/>
                      <w:color w:val="000000" w:themeColor="text1"/>
                      <w:kern w:val="0"/>
                      <w:sz w:val="21"/>
                      <w14:textFill>
                        <w14:solidFill>
                          <w14:schemeClr w14:val="tx1"/>
                        </w14:solidFill>
                      </w14:textFill>
                    </w:rPr>
                    <w:br w:type="textWrapping"/>
                  </w:r>
                  <w:r>
                    <w:rPr>
                      <w:rFonts w:hint="default" w:ascii="Times New Roman" w:hAnsi="Times New Roman" w:cs="Times New Roman"/>
                      <w:smallCaps w:val="0"/>
                      <w:color w:val="000000" w:themeColor="text1"/>
                      <w:kern w:val="0"/>
                      <w:sz w:val="21"/>
                      <w14:textFill>
                        <w14:solidFill>
                          <w14:schemeClr w14:val="tx1"/>
                        </w14:solidFill>
                      </w14:textFill>
                    </w:rPr>
                    <w:t>在采取上述措施后，对水环境的不利影响能够得到缓解和控制，居民用水安全能够得到保障，相关区域不会出现显著的土壤潜育化、沼泽化、盐碱化等次生环境问题。</w:t>
                  </w:r>
                </w:p>
              </w:tc>
              <w:tc>
                <w:tcPr>
                  <w:tcW w:w="2050" w:type="pct"/>
                  <w:tcBorders>
                    <w:top w:val="nil"/>
                    <w:left w:val="nil"/>
                    <w:bottom w:val="single" w:color="auto" w:sz="4" w:space="0"/>
                    <w:right w:val="single" w:color="auto" w:sz="4" w:space="0"/>
                  </w:tcBorders>
                  <w:noWrap w:val="0"/>
                  <w:vAlign w:val="center"/>
                </w:tcPr>
                <w:p w14:paraId="495EE844">
                  <w:pPr>
                    <w:widowControl/>
                    <w:spacing w:line="240" w:lineRule="auto"/>
                    <w:ind w:firstLine="42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eastAsia"/>
                      <w:color w:val="000000" w:themeColor="text1"/>
                      <w:kern w:val="21"/>
                      <w:highlight w:val="none"/>
                      <w14:textFill>
                        <w14:solidFill>
                          <w14:schemeClr w14:val="tx1"/>
                        </w14:solidFill>
                      </w14:textFill>
                    </w:rPr>
                    <w:t>根据《黑龙江省湿地名录》（黑龙江省林业和草原局，</w:t>
                  </w:r>
                  <w:r>
                    <w:rPr>
                      <w:color w:val="000000" w:themeColor="text1"/>
                      <w:kern w:val="21"/>
                      <w:highlight w:val="none"/>
                      <w14:textFill>
                        <w14:solidFill>
                          <w14:schemeClr w14:val="tx1"/>
                        </w14:solidFill>
                      </w14:textFill>
                    </w:rPr>
                    <w:t>2022</w:t>
                  </w:r>
                  <w:r>
                    <w:rPr>
                      <w:rFonts w:hint="eastAsia"/>
                      <w:color w:val="000000" w:themeColor="text1"/>
                      <w:kern w:val="21"/>
                      <w:highlight w:val="none"/>
                      <w14:textFill>
                        <w14:solidFill>
                          <w14:schemeClr w14:val="tx1"/>
                        </w14:solidFill>
                      </w14:textFill>
                    </w:rPr>
                    <w:t>年</w:t>
                  </w:r>
                  <w:r>
                    <w:rPr>
                      <w:color w:val="000000" w:themeColor="text1"/>
                      <w:kern w:val="21"/>
                      <w:highlight w:val="none"/>
                      <w14:textFill>
                        <w14:solidFill>
                          <w14:schemeClr w14:val="tx1"/>
                        </w14:solidFill>
                      </w14:textFill>
                    </w:rPr>
                    <w:t>8</w:t>
                  </w:r>
                  <w:r>
                    <w:rPr>
                      <w:rFonts w:hint="eastAsia"/>
                      <w:color w:val="000000" w:themeColor="text1"/>
                      <w:kern w:val="21"/>
                      <w:highlight w:val="none"/>
                      <w14:textFill>
                        <w14:solidFill>
                          <w14:schemeClr w14:val="tx1"/>
                        </w14:solidFill>
                      </w14:textFill>
                    </w:rPr>
                    <w:t>月</w:t>
                  </w:r>
                  <w:r>
                    <w:rPr>
                      <w:color w:val="000000" w:themeColor="text1"/>
                      <w:kern w:val="21"/>
                      <w:highlight w:val="none"/>
                      <w14:textFill>
                        <w14:solidFill>
                          <w14:schemeClr w14:val="tx1"/>
                        </w14:solidFill>
                      </w14:textFill>
                    </w:rPr>
                    <w:t>18</w:t>
                  </w:r>
                  <w:r>
                    <w:rPr>
                      <w:rFonts w:hint="eastAsia"/>
                      <w:color w:val="000000" w:themeColor="text1"/>
                      <w:kern w:val="21"/>
                      <w:highlight w:val="none"/>
                      <w14:textFill>
                        <w14:solidFill>
                          <w14:schemeClr w14:val="tx1"/>
                        </w14:solidFill>
                      </w14:textFill>
                    </w:rPr>
                    <w:t>日）并对照国土三调数据，项目区不涉及重要湿地，</w:t>
                  </w:r>
                  <w:r>
                    <w:rPr>
                      <w:color w:val="000000" w:themeColor="text1"/>
                      <w:highlight w:val="none"/>
                      <w14:textFill>
                        <w14:solidFill>
                          <w14:schemeClr w14:val="tx1"/>
                        </w14:solidFill>
                      </w14:textFill>
                    </w:rPr>
                    <w:t>项目区域不涉及</w:t>
                  </w:r>
                  <w:r>
                    <w:rPr>
                      <w:snapToGrid w:val="0"/>
                      <w:color w:val="000000" w:themeColor="text1"/>
                      <w:szCs w:val="21"/>
                      <w:highlight w:val="none"/>
                      <w14:textFill>
                        <w14:solidFill>
                          <w14:schemeClr w14:val="tx1"/>
                        </w14:solidFill>
                      </w14:textFill>
                    </w:rPr>
                    <w:t>珍稀濒危保护动植物，不会对生态系统造成重大不利影响</w:t>
                  </w:r>
                  <w:r>
                    <w:rPr>
                      <w:rFonts w:hint="default" w:ascii="Times New Roman" w:hAnsi="Times New Roman" w:cs="Times New Roman"/>
                      <w:smallCaps w:val="0"/>
                      <w:color w:val="000000" w:themeColor="text1"/>
                      <w:kern w:val="0"/>
                      <w:sz w:val="21"/>
                      <w:highlight w:val="none"/>
                      <w:lang w:eastAsia="zh-CN"/>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61B811A1">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40BB909D">
              <w:tblPrEx>
                <w:tblCellMar>
                  <w:top w:w="0" w:type="dxa"/>
                  <w:left w:w="108" w:type="dxa"/>
                  <w:bottom w:w="0" w:type="dxa"/>
                  <w:right w:w="108" w:type="dxa"/>
                </w:tblCellMar>
              </w:tblPrEx>
              <w:trPr>
                <w:trHeight w:val="3270" w:hRule="atLeast"/>
              </w:trPr>
              <w:tc>
                <w:tcPr>
                  <w:tcW w:w="352" w:type="pct"/>
                  <w:tcBorders>
                    <w:top w:val="nil"/>
                    <w:left w:val="single" w:color="auto" w:sz="4" w:space="0"/>
                    <w:bottom w:val="single" w:color="auto" w:sz="4" w:space="0"/>
                    <w:right w:val="single" w:color="auto" w:sz="4" w:space="0"/>
                  </w:tcBorders>
                  <w:noWrap/>
                  <w:vAlign w:val="center"/>
                </w:tcPr>
                <w:p w14:paraId="1EC3B2DE">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6</w:t>
                  </w:r>
                </w:p>
              </w:tc>
              <w:tc>
                <w:tcPr>
                  <w:tcW w:w="2245" w:type="pct"/>
                  <w:tcBorders>
                    <w:top w:val="nil"/>
                    <w:left w:val="nil"/>
                    <w:bottom w:val="single" w:color="auto" w:sz="4" w:space="0"/>
                    <w:right w:val="single" w:color="auto" w:sz="4" w:space="0"/>
                  </w:tcBorders>
                  <w:noWrap w:val="0"/>
                  <w:vAlign w:val="center"/>
                </w:tcPr>
                <w:p w14:paraId="6EB16C4E">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七条项目施工组织方案具有环境合理性，对料场、弃土（渣）场等施工场地提出了水土流失防治和生态修复等措施。根据环境保护相关标准和要求，对施工期各类废（污）水、扬尘、废气、噪声、固体废物等提出了防治或处置措施。</w:t>
                  </w:r>
                  <w:r>
                    <w:rPr>
                      <w:rFonts w:hint="default" w:ascii="Times New Roman" w:hAnsi="Times New Roman" w:cs="Times New Roman"/>
                      <w:smallCaps w:val="0"/>
                      <w:color w:val="000000" w:themeColor="text1"/>
                      <w:kern w:val="0"/>
                      <w:sz w:val="21"/>
                      <w14:textFill>
                        <w14:solidFill>
                          <w14:schemeClr w14:val="tx1"/>
                        </w14:solidFill>
                      </w14:textFill>
                    </w:rPr>
                    <w:br w:type="textWrapping"/>
                  </w:r>
                  <w:r>
                    <w:rPr>
                      <w:rFonts w:hint="default" w:ascii="Times New Roman" w:hAnsi="Times New Roman" w:cs="Times New Roman"/>
                      <w:smallCaps w:val="0"/>
                      <w:color w:val="000000" w:themeColor="text1"/>
                      <w:kern w:val="0"/>
                      <w:sz w:val="21"/>
                      <w14:textFill>
                        <w14:solidFill>
                          <w14:schemeClr w14:val="tx1"/>
                        </w14:solidFill>
                      </w14:textFill>
                    </w:rPr>
                    <w:t>其中，涉水施工涉及饮用水水源保护区或取水口并可能对水质造成不利影响的，提出了避让、施工方案优化、污染物控制等措施；涉水施工对鱼类等水生生物及其重要生境造成不利影响的，提出了避让、施工方案优化、控制施工噪声等措施；针对清淤、疏浚等产生的淤泥，提出了符合相关规定的处置或综合利用方案。</w:t>
                  </w:r>
                  <w:r>
                    <w:rPr>
                      <w:rFonts w:hint="default" w:ascii="Times New Roman" w:hAnsi="Times New Roman" w:cs="Times New Roman"/>
                      <w:smallCaps w:val="0"/>
                      <w:color w:val="000000" w:themeColor="text1"/>
                      <w:kern w:val="0"/>
                      <w:sz w:val="21"/>
                      <w14:textFill>
                        <w14:solidFill>
                          <w14:schemeClr w14:val="tx1"/>
                        </w14:solidFill>
                      </w14:textFill>
                    </w:rPr>
                    <w:br w:type="textWrapping"/>
                  </w:r>
                  <w:r>
                    <w:rPr>
                      <w:rFonts w:hint="default" w:ascii="Times New Roman" w:hAnsi="Times New Roman" w:cs="Times New Roman"/>
                      <w:smallCaps w:val="0"/>
                      <w:color w:val="000000" w:themeColor="text1"/>
                      <w:kern w:val="0"/>
                      <w:sz w:val="21"/>
                      <w14:textFill>
                        <w14:solidFill>
                          <w14:schemeClr w14:val="tx1"/>
                        </w14:solidFill>
                      </w14:textFill>
                    </w:rPr>
                    <w:t>在采取上述措施后，施工期的不利环境影响能够得到缓解和控制，不会对周围环境和敏感保护目标造成重大不利影响。</w:t>
                  </w:r>
                </w:p>
              </w:tc>
              <w:tc>
                <w:tcPr>
                  <w:tcW w:w="2050" w:type="pct"/>
                  <w:tcBorders>
                    <w:top w:val="nil"/>
                    <w:left w:val="nil"/>
                    <w:bottom w:val="single" w:color="auto" w:sz="4" w:space="0"/>
                    <w:right w:val="single" w:color="auto" w:sz="4" w:space="0"/>
                  </w:tcBorders>
                  <w:noWrap w:val="0"/>
                  <w:vAlign w:val="center"/>
                </w:tcPr>
                <w:p w14:paraId="371367AF">
                  <w:pPr>
                    <w:widowControl/>
                    <w:spacing w:line="240" w:lineRule="auto"/>
                    <w:ind w:firstLine="420" w:firstLineChars="20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本项目施工组织方案具有环境合理性，</w:t>
                  </w:r>
                  <w:r>
                    <w:rPr>
                      <w:rFonts w:hint="default" w:ascii="Times New Roman" w:hAnsi="Times New Roman" w:cs="Times New Roman"/>
                      <w:color w:val="000000" w:themeColor="text1"/>
                      <w:szCs w:val="22"/>
                      <w:highlight w:val="none"/>
                      <w14:textFill>
                        <w14:solidFill>
                          <w14:schemeClr w14:val="tx1"/>
                        </w14:solidFill>
                      </w14:textFill>
                    </w:rPr>
                    <w:t>本工程回填土石方均利用开挖方，</w:t>
                  </w:r>
                  <w:r>
                    <w:rPr>
                      <w:rFonts w:hint="eastAsia" w:cs="Times New Roman"/>
                      <w:color w:val="000000" w:themeColor="text1"/>
                      <w:szCs w:val="22"/>
                      <w:highlight w:val="none"/>
                      <w:lang w:eastAsia="zh-CN"/>
                      <w14:textFill>
                        <w14:solidFill>
                          <w14:schemeClr w14:val="tx1"/>
                        </w14:solidFill>
                      </w14:textFill>
                    </w:rPr>
                    <w:t>无须设置</w:t>
                  </w:r>
                  <w:r>
                    <w:rPr>
                      <w:rFonts w:hint="default" w:ascii="Times New Roman" w:hAnsi="Times New Roman" w:cs="Times New Roman"/>
                      <w:color w:val="000000" w:themeColor="text1"/>
                      <w:szCs w:val="22"/>
                      <w:highlight w:val="none"/>
                      <w14:textFill>
                        <w14:solidFill>
                          <w14:schemeClr w14:val="tx1"/>
                        </w14:solidFill>
                      </w14:textFill>
                    </w:rPr>
                    <w:t>取料场。</w:t>
                  </w:r>
                  <w:r>
                    <w:rPr>
                      <w:rFonts w:hint="default" w:ascii="Times New Roman" w:hAnsi="Times New Roman" w:cs="Times New Roman"/>
                      <w:color w:val="000000" w:themeColor="text1"/>
                      <w:szCs w:val="22"/>
                      <w:highlight w:val="none"/>
                      <w:lang w:val="en-US" w:eastAsia="zh-CN"/>
                      <w14:textFill>
                        <w14:solidFill>
                          <w14:schemeClr w14:val="tx1"/>
                        </w14:solidFill>
                      </w14:textFill>
                    </w:rPr>
                    <w:t>对基础开挖等产生的弃土临时堆置</w:t>
                  </w:r>
                  <w:r>
                    <w:rPr>
                      <w:rFonts w:hint="default" w:ascii="Times New Roman" w:hAnsi="Times New Roman" w:cs="Times New Roman"/>
                      <w:smallCaps w:val="0"/>
                      <w:color w:val="000000" w:themeColor="text1"/>
                      <w:kern w:val="0"/>
                      <w:sz w:val="21"/>
                      <w14:textFill>
                        <w14:solidFill>
                          <w14:schemeClr w14:val="tx1"/>
                        </w14:solidFill>
                      </w14:textFill>
                    </w:rPr>
                    <w:t>等施工场地提出了水土流失防治和生态修复等措施。根据环境保护相关标准和要求，对施工期各类废（污）水、扬尘、废气、噪声、固体废物等提出了防治或处置措施。本项目不涉及饮用水水源保护区或取水口，涉水施工均在围堰保护下施工，</w:t>
                  </w:r>
                  <w:r>
                    <w:rPr>
                      <w:rFonts w:hint="default" w:ascii="Times New Roman" w:hAnsi="Times New Roman" w:cs="Times New Roman"/>
                      <w:smallCaps w:val="0"/>
                      <w:color w:val="000000" w:themeColor="text1"/>
                      <w:kern w:val="0"/>
                      <w:sz w:val="21"/>
                      <w:lang w:val="en-US" w:eastAsia="zh-CN"/>
                      <w14:textFill>
                        <w14:solidFill>
                          <w14:schemeClr w14:val="tx1"/>
                        </w14:solidFill>
                      </w14:textFill>
                    </w:rPr>
                    <w:t>因工程建设对鱼类等水生生物及生境造成的不利影响，通过</w:t>
                  </w:r>
                  <w:r>
                    <w:rPr>
                      <w:rFonts w:hint="default" w:ascii="Times New Roman" w:hAnsi="Times New Roman" w:cs="Times New Roman"/>
                      <w:bCs/>
                      <w:smallCaps w:val="0"/>
                      <w:color w:val="000000" w:themeColor="text1"/>
                      <w:kern w:val="0"/>
                      <w:sz w:val="21"/>
                      <w:lang w:val="en-US" w:eastAsia="zh-CN"/>
                      <w14:textFill>
                        <w14:solidFill>
                          <w14:schemeClr w14:val="tx1"/>
                        </w14:solidFill>
                      </w14:textFill>
                    </w:rPr>
                    <w:t>在沿岸适合水域布设人工鱼巢，并在施工期间开展增殖放流等措施可以得到减缓和控制。</w:t>
                  </w:r>
                </w:p>
              </w:tc>
              <w:tc>
                <w:tcPr>
                  <w:tcW w:w="352" w:type="pct"/>
                  <w:tcBorders>
                    <w:top w:val="nil"/>
                    <w:left w:val="nil"/>
                    <w:bottom w:val="single" w:color="auto" w:sz="4" w:space="0"/>
                    <w:right w:val="single" w:color="auto" w:sz="4" w:space="0"/>
                  </w:tcBorders>
                  <w:noWrap/>
                  <w:vAlign w:val="center"/>
                </w:tcPr>
                <w:p w14:paraId="6B22DE38">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487391D9">
              <w:tblPrEx>
                <w:tblCellMar>
                  <w:top w:w="0" w:type="dxa"/>
                  <w:left w:w="108" w:type="dxa"/>
                  <w:bottom w:w="0" w:type="dxa"/>
                  <w:right w:w="108" w:type="dxa"/>
                </w:tblCellMar>
              </w:tblPrEx>
              <w:trPr>
                <w:trHeight w:val="277" w:hRule="atLeast"/>
              </w:trPr>
              <w:tc>
                <w:tcPr>
                  <w:tcW w:w="352" w:type="pct"/>
                  <w:tcBorders>
                    <w:top w:val="nil"/>
                    <w:left w:val="single" w:color="auto" w:sz="4" w:space="0"/>
                    <w:bottom w:val="single" w:color="auto" w:sz="4" w:space="0"/>
                    <w:right w:val="single" w:color="auto" w:sz="4" w:space="0"/>
                  </w:tcBorders>
                  <w:noWrap/>
                  <w:vAlign w:val="center"/>
                </w:tcPr>
                <w:p w14:paraId="729E85D1">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7</w:t>
                  </w:r>
                </w:p>
              </w:tc>
              <w:tc>
                <w:tcPr>
                  <w:tcW w:w="2245" w:type="pct"/>
                  <w:tcBorders>
                    <w:top w:val="nil"/>
                    <w:left w:val="nil"/>
                    <w:bottom w:val="single" w:color="auto" w:sz="4" w:space="0"/>
                    <w:right w:val="single" w:color="auto" w:sz="4" w:space="0"/>
                  </w:tcBorders>
                  <w:noWrap w:val="0"/>
                  <w:vAlign w:val="center"/>
                </w:tcPr>
                <w:p w14:paraId="54D834D7">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第八条项目移民安置的选址和建设方式具有环境合理性，提出了生态保护、污水处理、固体废物处置等措施。</w:t>
                  </w:r>
                  <w:r>
                    <w:rPr>
                      <w:rFonts w:hint="default" w:ascii="Times New Roman" w:hAnsi="Times New Roman" w:cs="Times New Roman"/>
                      <w:smallCaps w:val="0"/>
                      <w:color w:val="000000" w:themeColor="text1"/>
                      <w:kern w:val="0"/>
                      <w:sz w:val="21"/>
                      <w14:textFill>
                        <w14:solidFill>
                          <w14:schemeClr w14:val="tx1"/>
                        </w14:solidFill>
                      </w14:textFill>
                    </w:rPr>
                    <w:br w:type="textWrapping"/>
                  </w:r>
                  <w:r>
                    <w:rPr>
                      <w:rFonts w:hint="default" w:ascii="Times New Roman" w:hAnsi="Times New Roman" w:cs="Times New Roman"/>
                      <w:smallCaps w:val="0"/>
                      <w:color w:val="000000" w:themeColor="text1"/>
                      <w:kern w:val="0"/>
                      <w:sz w:val="21"/>
                      <w14:textFill>
                        <w14:solidFill>
                          <w14:schemeClr w14:val="tx1"/>
                        </w14:solidFill>
                      </w14:textFill>
                    </w:rPr>
                    <w:t>针对蓄滞洪区的环境污染、新增占地涉及污染场地等，提出了环境管理对策建议。</w:t>
                  </w:r>
                </w:p>
              </w:tc>
              <w:tc>
                <w:tcPr>
                  <w:tcW w:w="2050" w:type="pct"/>
                  <w:tcBorders>
                    <w:top w:val="nil"/>
                    <w:left w:val="nil"/>
                    <w:bottom w:val="single" w:color="auto" w:sz="4" w:space="0"/>
                    <w:right w:val="single" w:color="auto" w:sz="4" w:space="0"/>
                  </w:tcBorders>
                  <w:noWrap w:val="0"/>
                  <w:vAlign w:val="center"/>
                </w:tcPr>
                <w:p w14:paraId="0274D942">
                  <w:pPr>
                    <w:widowControl/>
                    <w:spacing w:line="240" w:lineRule="auto"/>
                    <w:ind w:firstLine="0" w:firstLineChars="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color w:val="000000" w:themeColor="text1"/>
                      <w:highlight w:val="none"/>
                      <w14:textFill>
                        <w14:solidFill>
                          <w14:schemeClr w14:val="tx1"/>
                        </w14:solidFill>
                      </w14:textFill>
                    </w:rPr>
                    <w:t>本工程不涉及移民安置和</w:t>
                  </w:r>
                  <w:r>
                    <w:rPr>
                      <w:snapToGrid w:val="0"/>
                      <w:color w:val="000000" w:themeColor="text1"/>
                      <w:szCs w:val="21"/>
                      <w:highlight w:val="none"/>
                      <w14:textFill>
                        <w14:solidFill>
                          <w14:schemeClr w14:val="tx1"/>
                        </w14:solidFill>
                      </w14:textFill>
                    </w:rPr>
                    <w:t>蓄滞洪区</w:t>
                  </w:r>
                  <w:r>
                    <w:rPr>
                      <w:rFonts w:hint="eastAsia"/>
                      <w:snapToGrid w:val="0"/>
                      <w:color w:val="000000" w:themeColor="text1"/>
                      <w:szCs w:val="21"/>
                      <w:highlight w:val="none"/>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1F77C114">
                  <w:pPr>
                    <w:widowControl/>
                    <w:spacing w:line="240" w:lineRule="auto"/>
                    <w:ind w:firstLine="0" w:firstLineChars="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cs="Times New Roman"/>
                      <w:smallCaps w:val="0"/>
                      <w:color w:val="000000" w:themeColor="text1"/>
                      <w:kern w:val="0"/>
                      <w:sz w:val="21"/>
                      <w:lang w:val="en-US" w:eastAsia="zh-CN"/>
                      <w14:textFill>
                        <w14:solidFill>
                          <w14:schemeClr w14:val="tx1"/>
                        </w14:solidFill>
                      </w14:textFill>
                    </w:rPr>
                    <w:t>不涉及</w:t>
                  </w:r>
                </w:p>
              </w:tc>
            </w:tr>
            <w:tr w14:paraId="03E9CE74">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587CA862">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8</w:t>
                  </w:r>
                </w:p>
              </w:tc>
              <w:tc>
                <w:tcPr>
                  <w:tcW w:w="2245" w:type="pct"/>
                  <w:tcBorders>
                    <w:top w:val="nil"/>
                    <w:left w:val="nil"/>
                    <w:bottom w:val="single" w:color="auto" w:sz="4" w:space="0"/>
                    <w:right w:val="single" w:color="auto" w:sz="4" w:space="0"/>
                  </w:tcBorders>
                  <w:noWrap w:val="0"/>
                  <w:vAlign w:val="center"/>
                </w:tcPr>
                <w:p w14:paraId="23883FEE">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第九条项目存在河湖水质污染、富营养化或外来物种入侵等环境风险的，提出了针对性的风险防范措施以及环境应急预案编制、建立必要的应急联动机制等要求。</w:t>
                  </w:r>
                </w:p>
              </w:tc>
              <w:tc>
                <w:tcPr>
                  <w:tcW w:w="2050" w:type="pct"/>
                  <w:tcBorders>
                    <w:top w:val="nil"/>
                    <w:left w:val="nil"/>
                    <w:bottom w:val="single" w:color="auto" w:sz="4" w:space="0"/>
                    <w:right w:val="single" w:color="auto" w:sz="4" w:space="0"/>
                  </w:tcBorders>
                  <w:noWrap w:val="0"/>
                  <w:vAlign w:val="center"/>
                </w:tcPr>
                <w:p w14:paraId="5C8DCB9F">
                  <w:pPr>
                    <w:widowControl/>
                    <w:spacing w:line="240" w:lineRule="auto"/>
                    <w:ind w:firstLine="420" w:firstLineChars="20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w:t>
                  </w:r>
                  <w:r>
                    <w:rPr>
                      <w:rFonts w:hint="default" w:ascii="Times New Roman" w:hAnsi="Times New Roman" w:cs="Times New Roman"/>
                      <w:smallCaps w:val="0"/>
                      <w:color w:val="000000" w:themeColor="text1"/>
                      <w:kern w:val="0"/>
                      <w:sz w:val="21"/>
                      <w:lang w:val="en-US" w:eastAsia="zh-CN"/>
                      <w14:textFill>
                        <w14:solidFill>
                          <w14:schemeClr w14:val="tx1"/>
                        </w14:solidFill>
                      </w14:textFill>
                    </w:rPr>
                    <w:t>次</w:t>
                  </w:r>
                  <w:r>
                    <w:rPr>
                      <w:rFonts w:hint="default" w:ascii="Times New Roman" w:hAnsi="Times New Roman" w:cs="Times New Roman"/>
                      <w:smallCaps w:val="0"/>
                      <w:color w:val="000000" w:themeColor="text1"/>
                      <w:kern w:val="0"/>
                      <w:sz w:val="21"/>
                      <w14:textFill>
                        <w14:solidFill>
                          <w14:schemeClr w14:val="tx1"/>
                        </w14:solidFill>
                      </w14:textFill>
                    </w:rPr>
                    <w:t>为防洪</w:t>
                  </w:r>
                  <w:r>
                    <w:rPr>
                      <w:rFonts w:hint="default" w:ascii="Times New Roman" w:hAnsi="Times New Roman" w:cs="Times New Roman"/>
                      <w:smallCaps w:val="0"/>
                      <w:color w:val="000000" w:themeColor="text1"/>
                      <w:kern w:val="0"/>
                      <w:sz w:val="21"/>
                      <w:lang w:val="en-US" w:eastAsia="zh-CN"/>
                      <w14:textFill>
                        <w14:solidFill>
                          <w14:schemeClr w14:val="tx1"/>
                        </w14:solidFill>
                      </w14:textFill>
                    </w:rPr>
                    <w:t>提升</w:t>
                  </w:r>
                  <w:r>
                    <w:rPr>
                      <w:rFonts w:hint="default" w:ascii="Times New Roman" w:hAnsi="Times New Roman" w:cs="Times New Roman"/>
                      <w:smallCaps w:val="0"/>
                      <w:color w:val="000000" w:themeColor="text1"/>
                      <w:kern w:val="0"/>
                      <w:sz w:val="21"/>
                      <w14:textFill>
                        <w14:solidFill>
                          <w14:schemeClr w14:val="tx1"/>
                        </w14:solidFill>
                      </w14:textFill>
                    </w:rPr>
                    <w:t>工程，不存在河湖水质污染、富营养化或者外来物种入侵等环境风险。</w:t>
                  </w:r>
                </w:p>
              </w:tc>
              <w:tc>
                <w:tcPr>
                  <w:tcW w:w="352" w:type="pct"/>
                  <w:tcBorders>
                    <w:top w:val="nil"/>
                    <w:left w:val="nil"/>
                    <w:bottom w:val="single" w:color="auto" w:sz="4" w:space="0"/>
                    <w:right w:val="single" w:color="auto" w:sz="4" w:space="0"/>
                  </w:tcBorders>
                  <w:noWrap/>
                  <w:vAlign w:val="center"/>
                </w:tcPr>
                <w:p w14:paraId="1C218C85">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65A5BBD5">
              <w:tblPrEx>
                <w:tblCellMar>
                  <w:top w:w="0" w:type="dxa"/>
                  <w:left w:w="108" w:type="dxa"/>
                  <w:bottom w:w="0" w:type="dxa"/>
                  <w:right w:w="108" w:type="dxa"/>
                </w:tblCellMar>
              </w:tblPrEx>
              <w:trPr>
                <w:trHeight w:val="1080" w:hRule="atLeast"/>
              </w:trPr>
              <w:tc>
                <w:tcPr>
                  <w:tcW w:w="352" w:type="pct"/>
                  <w:tcBorders>
                    <w:top w:val="nil"/>
                    <w:left w:val="single" w:color="auto" w:sz="4" w:space="0"/>
                    <w:bottom w:val="single" w:color="auto" w:sz="4" w:space="0"/>
                    <w:right w:val="single" w:color="auto" w:sz="4" w:space="0"/>
                  </w:tcBorders>
                  <w:noWrap/>
                  <w:vAlign w:val="center"/>
                </w:tcPr>
                <w:p w14:paraId="10C9DB28">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9</w:t>
                  </w:r>
                </w:p>
              </w:tc>
              <w:tc>
                <w:tcPr>
                  <w:tcW w:w="2245" w:type="pct"/>
                  <w:tcBorders>
                    <w:top w:val="nil"/>
                    <w:left w:val="nil"/>
                    <w:bottom w:val="single" w:color="auto" w:sz="4" w:space="0"/>
                    <w:right w:val="single" w:color="auto" w:sz="4" w:space="0"/>
                  </w:tcBorders>
                  <w:noWrap w:val="0"/>
                  <w:vAlign w:val="center"/>
                </w:tcPr>
                <w:p w14:paraId="051960DC">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第十条改、扩建项目在全面梳理了与项目有关的现有工程环境问题基础上，提出了与项目相适应的“以新带老”措施。</w:t>
                  </w:r>
                </w:p>
              </w:tc>
              <w:tc>
                <w:tcPr>
                  <w:tcW w:w="2050" w:type="pct"/>
                  <w:tcBorders>
                    <w:top w:val="nil"/>
                    <w:left w:val="nil"/>
                    <w:bottom w:val="single" w:color="auto" w:sz="4" w:space="0"/>
                    <w:right w:val="single" w:color="auto" w:sz="4" w:space="0"/>
                  </w:tcBorders>
                  <w:noWrap w:val="0"/>
                  <w:vAlign w:val="center"/>
                </w:tcPr>
                <w:p w14:paraId="39C479AE">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根据现状调查可知，</w:t>
                  </w:r>
                  <w:r>
                    <w:rPr>
                      <w:rFonts w:hint="default" w:ascii="Times New Roman" w:hAnsi="Times New Roman" w:cs="Times New Roman"/>
                      <w:color w:val="000000" w:themeColor="text1"/>
                      <w:highlight w:val="none"/>
                      <w:lang w:eastAsia="zh-CN"/>
                      <w14:textFill>
                        <w14:solidFill>
                          <w14:schemeClr w14:val="tx1"/>
                        </w14:solidFill>
                      </w14:textFill>
                    </w:rPr>
                    <w:t>青</w:t>
                  </w:r>
                  <w:r>
                    <w:rPr>
                      <w:rFonts w:hint="default" w:ascii="Times New Roman" w:hAnsi="Times New Roman" w:cs="Times New Roman"/>
                      <w:color w:val="000000" w:themeColor="text1"/>
                      <w:highlight w:val="none"/>
                      <w14:textFill>
                        <w14:solidFill>
                          <w14:schemeClr w14:val="tx1"/>
                        </w14:solidFill>
                      </w14:textFill>
                    </w:rPr>
                    <w:t>山水库运行多年，但是由于库区上游植被覆盖率较高，水土流失得到有效控制</w:t>
                  </w:r>
                  <w:r>
                    <w:rPr>
                      <w:rFonts w:hint="default" w:ascii="Times New Roman" w:hAnsi="Times New Roman" w:cs="Times New Roman"/>
                      <w:color w:val="000000" w:themeColor="text1"/>
                      <w:highlight w:val="none"/>
                      <w:lang w:val="en-US" w:eastAsia="zh-CN"/>
                      <w14:textFill>
                        <w14:solidFill>
                          <w14:schemeClr w14:val="tx1"/>
                        </w14:solidFill>
                      </w14:textFill>
                    </w:rPr>
                    <w:t>，因此不涉及</w:t>
                  </w:r>
                  <w:r>
                    <w:rPr>
                      <w:rFonts w:hint="default" w:ascii="Times New Roman" w:hAnsi="Times New Roman" w:cs="Times New Roman"/>
                      <w:smallCaps w:val="0"/>
                      <w:color w:val="000000" w:themeColor="text1"/>
                      <w:kern w:val="0"/>
                      <w:sz w:val="21"/>
                      <w14:textFill>
                        <w14:solidFill>
                          <w14:schemeClr w14:val="tx1"/>
                        </w14:solidFill>
                      </w14:textFill>
                    </w:rPr>
                    <w:t>“以新带老”措施</w:t>
                  </w:r>
                  <w:r>
                    <w:rPr>
                      <w:rFonts w:hint="default" w:ascii="Times New Roman" w:hAnsi="Times New Roman" w:cs="Times New Roman"/>
                      <w:smallCaps w:val="0"/>
                      <w:color w:val="000000" w:themeColor="text1"/>
                      <w:kern w:val="0"/>
                      <w:sz w:val="21"/>
                      <w:lang w:eastAsia="zh-CN"/>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485FF20C">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38CCAF7A">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441018CD">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10</w:t>
                  </w:r>
                </w:p>
              </w:tc>
              <w:tc>
                <w:tcPr>
                  <w:tcW w:w="2245" w:type="pct"/>
                  <w:tcBorders>
                    <w:top w:val="nil"/>
                    <w:left w:val="nil"/>
                    <w:bottom w:val="single" w:color="auto" w:sz="4" w:space="0"/>
                    <w:right w:val="single" w:color="auto" w:sz="4" w:space="0"/>
                  </w:tcBorders>
                  <w:noWrap w:val="0"/>
                  <w:vAlign w:val="center"/>
                </w:tcPr>
                <w:p w14:paraId="323E7B9A">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第十一条按相关导则及规定要求，制定了水环境、生态等环境监测计划，明确了监测网点、因子、频次等有关要求。根据需要和相关规定，提出了环境保护设计、开展相关科学研究、环境管理等要求。</w:t>
                  </w:r>
                </w:p>
              </w:tc>
              <w:tc>
                <w:tcPr>
                  <w:tcW w:w="2050" w:type="pct"/>
                  <w:tcBorders>
                    <w:top w:val="nil"/>
                    <w:left w:val="nil"/>
                    <w:bottom w:val="single" w:color="auto" w:sz="4" w:space="0"/>
                    <w:right w:val="single" w:color="auto" w:sz="4" w:space="0"/>
                  </w:tcBorders>
                  <w:noWrap w:val="0"/>
                  <w:vAlign w:val="center"/>
                </w:tcPr>
                <w:p w14:paraId="180DE34F">
                  <w:pPr>
                    <w:widowControl/>
                    <w:spacing w:line="240" w:lineRule="auto"/>
                    <w:ind w:firstLine="420" w:firstLineChars="20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本项目按</w:t>
                  </w:r>
                  <w:r>
                    <w:rPr>
                      <w:snapToGrid w:val="0"/>
                      <w:color w:val="000000" w:themeColor="text1"/>
                      <w:szCs w:val="21"/>
                      <w:highlight w:val="none"/>
                      <w14:textFill>
                        <w14:solidFill>
                          <w14:schemeClr w14:val="tx1"/>
                        </w14:solidFill>
                      </w14:textFill>
                    </w:rPr>
                    <w:t>本项目按照《建设项目环境影响报告表编制技术指南（生态影响类）（试行）》</w:t>
                  </w:r>
                  <w:r>
                    <w:rPr>
                      <w:rFonts w:hint="eastAsia"/>
                      <w:snapToGrid w:val="0"/>
                      <w:color w:val="000000" w:themeColor="text1"/>
                      <w:szCs w:val="21"/>
                      <w:highlight w:val="none"/>
                      <w:lang w:eastAsia="zh-CN"/>
                      <w14:textFill>
                        <w14:solidFill>
                          <w14:schemeClr w14:val="tx1"/>
                        </w14:solidFill>
                      </w14:textFill>
                    </w:rPr>
                    <w:t>的相关要求</w:t>
                  </w:r>
                  <w:r>
                    <w:rPr>
                      <w:rFonts w:hint="default" w:ascii="Times New Roman" w:hAnsi="Times New Roman" w:cs="Times New Roman"/>
                      <w:smallCaps w:val="0"/>
                      <w:color w:val="000000" w:themeColor="text1"/>
                      <w:kern w:val="0"/>
                      <w:sz w:val="21"/>
                      <w14:textFill>
                        <w14:solidFill>
                          <w14:schemeClr w14:val="tx1"/>
                        </w14:solidFill>
                      </w14:textFill>
                    </w:rPr>
                    <w:t>，制定了水环境、生态等环境监测计划，明确了监测网点、因子、频次等，并提出了环境管理有关要求。</w:t>
                  </w:r>
                </w:p>
              </w:tc>
              <w:tc>
                <w:tcPr>
                  <w:tcW w:w="352" w:type="pct"/>
                  <w:tcBorders>
                    <w:top w:val="nil"/>
                    <w:left w:val="nil"/>
                    <w:bottom w:val="single" w:color="auto" w:sz="4" w:space="0"/>
                    <w:right w:val="single" w:color="auto" w:sz="4" w:space="0"/>
                  </w:tcBorders>
                  <w:noWrap/>
                  <w:vAlign w:val="center"/>
                </w:tcPr>
                <w:p w14:paraId="15257BD5">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4B1DC5F">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53E62631">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11</w:t>
                  </w:r>
                </w:p>
              </w:tc>
              <w:tc>
                <w:tcPr>
                  <w:tcW w:w="2245" w:type="pct"/>
                  <w:tcBorders>
                    <w:top w:val="nil"/>
                    <w:left w:val="nil"/>
                    <w:bottom w:val="single" w:color="auto" w:sz="4" w:space="0"/>
                    <w:right w:val="single" w:color="auto" w:sz="4" w:space="0"/>
                  </w:tcBorders>
                  <w:noWrap w:val="0"/>
                  <w:vAlign w:val="center"/>
                </w:tcPr>
                <w:p w14:paraId="3CDDBAA5">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第十二条对环境保护措施进行了深入论证，建设单位主体责任、投资估算、时间节点、预期效果明确，确保科学有效、安全可行、绿色协调。</w:t>
                  </w:r>
                </w:p>
              </w:tc>
              <w:tc>
                <w:tcPr>
                  <w:tcW w:w="2050" w:type="pct"/>
                  <w:tcBorders>
                    <w:top w:val="nil"/>
                    <w:left w:val="nil"/>
                    <w:bottom w:val="single" w:color="auto" w:sz="4" w:space="0"/>
                    <w:right w:val="single" w:color="auto" w:sz="4" w:space="0"/>
                  </w:tcBorders>
                  <w:noWrap w:val="0"/>
                  <w:vAlign w:val="center"/>
                </w:tcPr>
                <w:p w14:paraId="2A093C0A">
                  <w:pPr>
                    <w:widowControl/>
                    <w:spacing w:line="240" w:lineRule="auto"/>
                    <w:ind w:firstLine="420" w:firstLineChars="200"/>
                    <w:rPr>
                      <w:rFonts w:hint="default" w:ascii="Times New Roman" w:hAnsi="Times New Roman" w:cs="Times New Roman"/>
                      <w:smallCaps w:val="0"/>
                      <w:color w:val="000000" w:themeColor="text1"/>
                      <w:kern w:val="0"/>
                      <w:sz w:val="21"/>
                      <w14:textFill>
                        <w14:solidFill>
                          <w14:schemeClr w14:val="tx1"/>
                        </w14:solidFill>
                      </w14:textFill>
                    </w:rPr>
                  </w:pPr>
                  <w:r>
                    <w:rPr>
                      <w:snapToGrid w:val="0"/>
                      <w:color w:val="000000" w:themeColor="text1"/>
                      <w:szCs w:val="21"/>
                      <w:highlight w:val="none"/>
                      <w14:textFill>
                        <w14:solidFill>
                          <w14:schemeClr w14:val="tx1"/>
                        </w14:solidFill>
                      </w14:textFill>
                    </w:rPr>
                    <w:t>本项目按照《建设项目环境影响报告表编制技术指南（生态影响类）（试行）》的相关要求，对环境保护措施进行了分析</w:t>
                  </w:r>
                  <w:r>
                    <w:rPr>
                      <w:rFonts w:hint="default" w:ascii="Times New Roman" w:hAnsi="Times New Roman" w:cs="Times New Roman"/>
                      <w:smallCaps w:val="0"/>
                      <w:color w:val="000000" w:themeColor="text1"/>
                      <w:kern w:val="0"/>
                      <w:sz w:val="21"/>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307D9B62">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3795139E">
              <w:tblPrEx>
                <w:tblCellMar>
                  <w:top w:w="0" w:type="dxa"/>
                  <w:left w:w="108" w:type="dxa"/>
                  <w:bottom w:w="0" w:type="dxa"/>
                  <w:right w:w="108" w:type="dxa"/>
                </w:tblCellMar>
              </w:tblPrEx>
              <w:trPr>
                <w:trHeight w:val="270" w:hRule="atLeast"/>
              </w:trPr>
              <w:tc>
                <w:tcPr>
                  <w:tcW w:w="352" w:type="pct"/>
                  <w:tcBorders>
                    <w:top w:val="nil"/>
                    <w:left w:val="single" w:color="auto" w:sz="4" w:space="0"/>
                    <w:bottom w:val="single" w:color="auto" w:sz="4" w:space="0"/>
                    <w:right w:val="single" w:color="auto" w:sz="4" w:space="0"/>
                  </w:tcBorders>
                  <w:noWrap/>
                  <w:vAlign w:val="center"/>
                </w:tcPr>
                <w:p w14:paraId="6C2A557C">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12</w:t>
                  </w:r>
                </w:p>
              </w:tc>
              <w:tc>
                <w:tcPr>
                  <w:tcW w:w="2245" w:type="pct"/>
                  <w:tcBorders>
                    <w:top w:val="nil"/>
                    <w:left w:val="nil"/>
                    <w:bottom w:val="single" w:color="auto" w:sz="4" w:space="0"/>
                    <w:right w:val="single" w:color="auto" w:sz="4" w:space="0"/>
                  </w:tcBorders>
                  <w:noWrap w:val="0"/>
                  <w:vAlign w:val="center"/>
                </w:tcPr>
                <w:p w14:paraId="2FACE702">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第十三条按相关规定开展了信息公开和公众参与。</w:t>
                  </w:r>
                </w:p>
              </w:tc>
              <w:tc>
                <w:tcPr>
                  <w:tcW w:w="2050" w:type="pct"/>
                  <w:tcBorders>
                    <w:top w:val="nil"/>
                    <w:left w:val="nil"/>
                    <w:bottom w:val="single" w:color="auto" w:sz="4" w:space="0"/>
                    <w:right w:val="single" w:color="auto" w:sz="4" w:space="0"/>
                  </w:tcBorders>
                  <w:noWrap w:val="0"/>
                  <w:vAlign w:val="center"/>
                </w:tcPr>
                <w:p w14:paraId="511D7B4B">
                  <w:pPr>
                    <w:widowControl/>
                    <w:spacing w:line="240" w:lineRule="auto"/>
                    <w:ind w:firstLine="420" w:firstLineChars="20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cs="Times New Roman"/>
                      <w:smallCaps w:val="0"/>
                      <w:color w:val="000000" w:themeColor="text1"/>
                      <w:kern w:val="0"/>
                      <w:sz w:val="21"/>
                      <w:lang w:val="en-US" w:eastAsia="zh-CN"/>
                      <w14:textFill>
                        <w14:solidFill>
                          <w14:schemeClr w14:val="tx1"/>
                        </w14:solidFill>
                      </w14:textFill>
                    </w:rPr>
                    <w:t>本次为编制环境影响报告表，不需要开展公众参与。</w:t>
                  </w:r>
                </w:p>
              </w:tc>
              <w:tc>
                <w:tcPr>
                  <w:tcW w:w="352" w:type="pct"/>
                  <w:tcBorders>
                    <w:top w:val="nil"/>
                    <w:left w:val="nil"/>
                    <w:bottom w:val="single" w:color="auto" w:sz="4" w:space="0"/>
                    <w:right w:val="single" w:color="auto" w:sz="4" w:space="0"/>
                  </w:tcBorders>
                  <w:noWrap/>
                  <w:vAlign w:val="center"/>
                </w:tcPr>
                <w:p w14:paraId="1C46DC26">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AB23BE0">
              <w:tblPrEx>
                <w:tblCellMar>
                  <w:top w:w="0" w:type="dxa"/>
                  <w:left w:w="108" w:type="dxa"/>
                  <w:bottom w:w="0" w:type="dxa"/>
                  <w:right w:w="108" w:type="dxa"/>
                </w:tblCellMar>
              </w:tblPrEx>
              <w:trPr>
                <w:trHeight w:val="540" w:hRule="atLeast"/>
              </w:trPr>
              <w:tc>
                <w:tcPr>
                  <w:tcW w:w="352" w:type="pct"/>
                  <w:tcBorders>
                    <w:top w:val="nil"/>
                    <w:left w:val="single" w:color="auto" w:sz="4" w:space="0"/>
                    <w:bottom w:val="single" w:color="auto" w:sz="4" w:space="0"/>
                    <w:right w:val="single" w:color="auto" w:sz="4" w:space="0"/>
                  </w:tcBorders>
                  <w:noWrap/>
                  <w:vAlign w:val="center"/>
                </w:tcPr>
                <w:p w14:paraId="704127B4">
                  <w:pPr>
                    <w:widowControl/>
                    <w:numPr>
                      <w:ilvl w:val="0"/>
                      <w:numId w:val="2"/>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13</w:t>
                  </w:r>
                </w:p>
              </w:tc>
              <w:tc>
                <w:tcPr>
                  <w:tcW w:w="2245" w:type="pct"/>
                  <w:tcBorders>
                    <w:top w:val="nil"/>
                    <w:left w:val="nil"/>
                    <w:bottom w:val="single" w:color="auto" w:sz="4" w:space="0"/>
                    <w:right w:val="single" w:color="auto" w:sz="4" w:space="0"/>
                  </w:tcBorders>
                  <w:noWrap w:val="0"/>
                  <w:vAlign w:val="center"/>
                </w:tcPr>
                <w:p w14:paraId="6B5D2DD4">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第十四条环境影响评价文件编制规范，符合相关管理规定和环评技术标准要求</w:t>
                  </w:r>
                </w:p>
              </w:tc>
              <w:tc>
                <w:tcPr>
                  <w:tcW w:w="2050" w:type="pct"/>
                  <w:tcBorders>
                    <w:top w:val="nil"/>
                    <w:left w:val="nil"/>
                    <w:bottom w:val="single" w:color="auto" w:sz="4" w:space="0"/>
                    <w:right w:val="single" w:color="auto" w:sz="4" w:space="0"/>
                  </w:tcBorders>
                  <w:noWrap w:val="0"/>
                  <w:vAlign w:val="center"/>
                </w:tcPr>
                <w:p w14:paraId="79E45ED1">
                  <w:pPr>
                    <w:widowControl/>
                    <w:spacing w:line="240" w:lineRule="auto"/>
                    <w:ind w:firstLine="420" w:firstLineChars="20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环境影响评价文件按规范、相关管理规定和环评技术标准要求进行编制。</w:t>
                  </w:r>
                </w:p>
              </w:tc>
              <w:tc>
                <w:tcPr>
                  <w:tcW w:w="352" w:type="pct"/>
                  <w:tcBorders>
                    <w:top w:val="nil"/>
                    <w:left w:val="nil"/>
                    <w:bottom w:val="single" w:color="auto" w:sz="4" w:space="0"/>
                    <w:right w:val="single" w:color="auto" w:sz="4" w:space="0"/>
                  </w:tcBorders>
                  <w:noWrap/>
                  <w:vAlign w:val="center"/>
                </w:tcPr>
                <w:p w14:paraId="34201DF4">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bl>
          <w:p w14:paraId="347F5952">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9、</w:t>
            </w:r>
            <w:r>
              <w:rPr>
                <w:rFonts w:hint="default" w:ascii="Times New Roman" w:hAnsi="Times New Roman" w:eastAsia="宋体" w:cs="Times New Roman"/>
                <w:b/>
                <w:color w:val="000000" w:themeColor="text1"/>
                <w:sz w:val="24"/>
                <w:highlight w:val="none"/>
                <w14:textFill>
                  <w14:solidFill>
                    <w14:schemeClr w14:val="tx1"/>
                  </w14:solidFill>
                </w14:textFill>
              </w:rPr>
              <w:t>与《水利建设项目（灌区工程）环境影响评价文件审批原则（试 行）》的</w:t>
            </w:r>
            <w:r>
              <w:rPr>
                <w:rFonts w:hint="default" w:ascii="Times New Roman" w:hAnsi="Times New Roman" w:cs="Times New Roman"/>
                <w:b/>
                <w:color w:val="000000" w:themeColor="text1"/>
                <w:sz w:val="24"/>
                <w:highlight w:val="none"/>
                <w14:textFill>
                  <w14:solidFill>
                    <w14:schemeClr w14:val="tx1"/>
                  </w14:solidFill>
                </w14:textFill>
              </w:rPr>
              <w:t>符合性分析</w:t>
            </w:r>
          </w:p>
          <w:p w14:paraId="609987D7">
            <w:pPr>
              <w:pStyle w:val="30"/>
              <w:adjustRightInd w:val="0"/>
              <w:snapToGrid w:val="0"/>
              <w:ind w:firstLine="482"/>
              <w:jc w:val="center"/>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表1-</w:t>
            </w:r>
            <w:r>
              <w:rPr>
                <w:rFonts w:hint="eastAsia" w:ascii="Times New Roman" w:hAnsi="Times New Roman" w:cs="Times New Roman"/>
                <w:b/>
                <w:color w:val="000000" w:themeColor="text1"/>
                <w:highlight w:val="none"/>
                <w:lang w:val="en-US" w:eastAsia="zh-CN"/>
                <w14:textFill>
                  <w14:solidFill>
                    <w14:schemeClr w14:val="tx1"/>
                  </w14:solidFill>
                </w14:textFill>
              </w:rPr>
              <w:t>3</w:t>
            </w:r>
            <w:r>
              <w:rPr>
                <w:rFonts w:hint="default" w:ascii="Times New Roman" w:hAnsi="Times New Roman" w:cs="Times New Roman"/>
                <w:b/>
                <w:color w:val="000000" w:themeColor="text1"/>
                <w:highlight w:val="none"/>
                <w14:textFill>
                  <w14:solidFill>
                    <w14:schemeClr w14:val="tx1"/>
                  </w14:solidFill>
                </w14:textFill>
              </w:rPr>
              <w:t>本项目与审批原则的相符性</w:t>
            </w:r>
          </w:p>
          <w:tbl>
            <w:tblPr>
              <w:tblStyle w:val="22"/>
              <w:tblW w:w="5000" w:type="pct"/>
              <w:tblInd w:w="0" w:type="dxa"/>
              <w:tblLayout w:type="fixed"/>
              <w:tblCellMar>
                <w:top w:w="0" w:type="dxa"/>
                <w:left w:w="108" w:type="dxa"/>
                <w:bottom w:w="0" w:type="dxa"/>
                <w:right w:w="108" w:type="dxa"/>
              </w:tblCellMar>
            </w:tblPr>
            <w:tblGrid>
              <w:gridCol w:w="480"/>
              <w:gridCol w:w="3060"/>
              <w:gridCol w:w="2794"/>
              <w:gridCol w:w="480"/>
            </w:tblGrid>
            <w:tr w14:paraId="683ABD65">
              <w:tblPrEx>
                <w:tblCellMar>
                  <w:top w:w="0" w:type="dxa"/>
                  <w:left w:w="108" w:type="dxa"/>
                  <w:bottom w:w="0" w:type="dxa"/>
                  <w:right w:w="108" w:type="dxa"/>
                </w:tblCellMar>
              </w:tblPrEx>
              <w:trPr>
                <w:trHeight w:val="270" w:hRule="atLeast"/>
              </w:trPr>
              <w:tc>
                <w:tcPr>
                  <w:tcW w:w="352" w:type="pct"/>
                  <w:tcBorders>
                    <w:top w:val="single" w:color="auto" w:sz="4" w:space="0"/>
                    <w:left w:val="single" w:color="auto" w:sz="4" w:space="0"/>
                    <w:bottom w:val="single" w:color="auto" w:sz="4" w:space="0"/>
                    <w:right w:val="single" w:color="auto" w:sz="4" w:space="0"/>
                  </w:tcBorders>
                  <w:noWrap/>
                  <w:vAlign w:val="center"/>
                </w:tcPr>
                <w:p w14:paraId="711A6117">
                  <w:pPr>
                    <w:widowControl/>
                    <w:spacing w:line="240" w:lineRule="auto"/>
                    <w:ind w:firstLine="0"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序号</w:t>
                  </w:r>
                </w:p>
              </w:tc>
              <w:tc>
                <w:tcPr>
                  <w:tcW w:w="2245" w:type="pct"/>
                  <w:tcBorders>
                    <w:top w:val="single" w:color="auto" w:sz="4" w:space="0"/>
                    <w:left w:val="nil"/>
                    <w:bottom w:val="single" w:color="auto" w:sz="4" w:space="0"/>
                    <w:right w:val="single" w:color="auto" w:sz="4" w:space="0"/>
                  </w:tcBorders>
                  <w:noWrap/>
                  <w:vAlign w:val="center"/>
                </w:tcPr>
                <w:p w14:paraId="7336E302">
                  <w:pPr>
                    <w:widowControl/>
                    <w:spacing w:line="240" w:lineRule="auto"/>
                    <w:ind w:firstLine="0"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审批原则要求</w:t>
                  </w:r>
                </w:p>
              </w:tc>
              <w:tc>
                <w:tcPr>
                  <w:tcW w:w="2050" w:type="pct"/>
                  <w:tcBorders>
                    <w:top w:val="single" w:color="auto" w:sz="4" w:space="0"/>
                    <w:left w:val="nil"/>
                    <w:bottom w:val="single" w:color="auto" w:sz="4" w:space="0"/>
                    <w:right w:val="single" w:color="auto" w:sz="4" w:space="0"/>
                  </w:tcBorders>
                  <w:noWrap/>
                  <w:vAlign w:val="center"/>
                </w:tcPr>
                <w:p w14:paraId="318111CD">
                  <w:pPr>
                    <w:widowControl/>
                    <w:spacing w:line="240" w:lineRule="auto"/>
                    <w:ind w:firstLine="0"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相符性分析</w:t>
                  </w:r>
                </w:p>
              </w:tc>
              <w:tc>
                <w:tcPr>
                  <w:tcW w:w="352" w:type="pct"/>
                  <w:tcBorders>
                    <w:top w:val="single" w:color="auto" w:sz="4" w:space="0"/>
                    <w:left w:val="nil"/>
                    <w:bottom w:val="single" w:color="auto" w:sz="4" w:space="0"/>
                    <w:right w:val="single" w:color="auto" w:sz="4" w:space="0"/>
                  </w:tcBorders>
                  <w:noWrap/>
                  <w:vAlign w:val="center"/>
                </w:tcPr>
                <w:p w14:paraId="10BD4263">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相符性</w:t>
                  </w:r>
                </w:p>
              </w:tc>
            </w:tr>
            <w:tr w14:paraId="37ECD9FC">
              <w:tblPrEx>
                <w:tblCellMar>
                  <w:top w:w="0" w:type="dxa"/>
                  <w:left w:w="108" w:type="dxa"/>
                  <w:bottom w:w="0" w:type="dxa"/>
                  <w:right w:w="108" w:type="dxa"/>
                </w:tblCellMar>
              </w:tblPrEx>
              <w:trPr>
                <w:trHeight w:val="270" w:hRule="atLeast"/>
              </w:trPr>
              <w:tc>
                <w:tcPr>
                  <w:tcW w:w="352" w:type="pct"/>
                  <w:tcBorders>
                    <w:top w:val="single" w:color="auto" w:sz="4" w:space="0"/>
                    <w:left w:val="single" w:color="auto" w:sz="4" w:space="0"/>
                    <w:bottom w:val="single" w:color="auto" w:sz="4" w:space="0"/>
                    <w:right w:val="single" w:color="auto" w:sz="4" w:space="0"/>
                  </w:tcBorders>
                  <w:noWrap/>
                  <w:vAlign w:val="center"/>
                </w:tcPr>
                <w:p w14:paraId="030C9F22">
                  <w:pPr>
                    <w:widowControl/>
                    <w:numPr>
                      <w:ilvl w:val="0"/>
                      <w:numId w:val="3"/>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p>
              </w:tc>
              <w:tc>
                <w:tcPr>
                  <w:tcW w:w="2245" w:type="pct"/>
                  <w:tcBorders>
                    <w:top w:val="single" w:color="auto" w:sz="4" w:space="0"/>
                    <w:left w:val="nil"/>
                    <w:bottom w:val="single" w:color="auto" w:sz="4" w:space="0"/>
                    <w:right w:val="single" w:color="auto" w:sz="4" w:space="0"/>
                  </w:tcBorders>
                  <w:noWrap/>
                  <w:vAlign w:val="center"/>
                </w:tcPr>
                <w:p w14:paraId="467B786E">
                  <w:pPr>
                    <w:widowControl/>
                    <w:spacing w:line="240" w:lineRule="auto"/>
                    <w:ind w:firstLine="0" w:firstLineChars="0"/>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第一条</w:t>
                  </w:r>
                  <w:r>
                    <w:rPr>
                      <w:rFonts w:hint="eastAsia" w:ascii="Times New Roman" w:hAnsi="Times New Roman" w:eastAsia="宋体" w:cs="Times New Roman"/>
                      <w:smallCaps w:val="0"/>
                      <w:color w:val="000000" w:themeColor="text1"/>
                      <w:kern w:val="0"/>
                      <w:sz w:val="21"/>
                      <w14:textFill>
                        <w14:solidFill>
                          <w14:schemeClr w14:val="tx1"/>
                        </w14:solidFill>
                      </w14:textFill>
                    </w:rPr>
                    <w:t> 本原则适用于灌区工程环境影响评价文件的审批，其他包含灌溉任务的工程可参照执行。灌区工程建设内容主要包括取（蓄）水工程、输水工程、排水工程、田间工程及附属工程等，如灌区项目开发任务包括城乡供水或建设内容涉及水库枢纽，应同时参照执行水利建设项目（引调水工程）环境影响评价文件审批原则（试行）或水电建设项目环境影响评价文件审批原则（试行）</w:t>
                  </w:r>
                  <w:r>
                    <w:rPr>
                      <w:rFonts w:hint="eastAsia" w:eastAsia="宋体" w:cs="Times New Roman"/>
                      <w:smallCaps w:val="0"/>
                      <w:color w:val="000000" w:themeColor="text1"/>
                      <w:kern w:val="0"/>
                      <w:sz w:val="21"/>
                      <w:lang w:eastAsia="zh-CN"/>
                      <w14:textFill>
                        <w14:solidFill>
                          <w14:schemeClr w14:val="tx1"/>
                        </w14:solidFill>
                      </w14:textFill>
                    </w:rPr>
                    <w:t>。</w:t>
                  </w:r>
                </w:p>
              </w:tc>
              <w:tc>
                <w:tcPr>
                  <w:tcW w:w="2050" w:type="pct"/>
                  <w:tcBorders>
                    <w:top w:val="single" w:color="auto" w:sz="4" w:space="0"/>
                    <w:left w:val="nil"/>
                    <w:bottom w:val="single" w:color="auto" w:sz="4" w:space="0"/>
                    <w:right w:val="single" w:color="auto" w:sz="4" w:space="0"/>
                  </w:tcBorders>
                  <w:noWrap/>
                  <w:vAlign w:val="center"/>
                </w:tcPr>
                <w:p w14:paraId="58216CC1">
                  <w:pPr>
                    <w:widowControl/>
                    <w:spacing w:line="240" w:lineRule="auto"/>
                    <w:ind w:firstLine="0" w:firstLineChars="0"/>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eastAsia" w:cs="Times New Roman"/>
                      <w:smallCaps w:val="0"/>
                      <w:color w:val="000000" w:themeColor="text1"/>
                      <w:kern w:val="0"/>
                      <w:sz w:val="21"/>
                      <w:lang w:eastAsia="zh-CN"/>
                      <w14:textFill>
                        <w14:solidFill>
                          <w14:schemeClr w14:val="tx1"/>
                        </w14:solidFill>
                      </w14:textFill>
                    </w:rPr>
                    <w:t>青山水库主要功能</w:t>
                  </w:r>
                  <w:r>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t>为灌溉，</w:t>
                  </w:r>
                  <w:r>
                    <w:rPr>
                      <w:rFonts w:hint="default" w:ascii="Times New Roman" w:hAnsi="Times New Roman" w:eastAsia="宋体" w:cs="Times New Roman"/>
                      <w:smallCaps w:val="0"/>
                      <w:color w:val="000000" w:themeColor="text1"/>
                      <w:kern w:val="0"/>
                      <w:sz w:val="21"/>
                      <w14:textFill>
                        <w14:solidFill>
                          <w14:schemeClr w14:val="tx1"/>
                        </w14:solidFill>
                      </w14:textFill>
                    </w:rPr>
                    <w:t>保护水库及附近河流水环境和水生态环境</w:t>
                  </w:r>
                  <w:r>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t>。</w:t>
                  </w:r>
                </w:p>
              </w:tc>
              <w:tc>
                <w:tcPr>
                  <w:tcW w:w="352" w:type="pct"/>
                  <w:tcBorders>
                    <w:top w:val="single" w:color="auto" w:sz="4" w:space="0"/>
                    <w:left w:val="nil"/>
                    <w:bottom w:val="single" w:color="auto" w:sz="4" w:space="0"/>
                    <w:right w:val="single" w:color="auto" w:sz="4" w:space="0"/>
                  </w:tcBorders>
                  <w:noWrap/>
                  <w:vAlign w:val="center"/>
                </w:tcPr>
                <w:p w14:paraId="6D048995">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43E70544">
              <w:tblPrEx>
                <w:tblCellMar>
                  <w:top w:w="0" w:type="dxa"/>
                  <w:left w:w="108" w:type="dxa"/>
                  <w:bottom w:w="0" w:type="dxa"/>
                  <w:right w:w="108" w:type="dxa"/>
                </w:tblCellMar>
              </w:tblPrEx>
              <w:trPr>
                <w:trHeight w:val="2220" w:hRule="atLeast"/>
              </w:trPr>
              <w:tc>
                <w:tcPr>
                  <w:tcW w:w="352" w:type="pct"/>
                  <w:tcBorders>
                    <w:top w:val="nil"/>
                    <w:left w:val="single" w:color="auto" w:sz="4" w:space="0"/>
                    <w:bottom w:val="single" w:color="auto" w:sz="4" w:space="0"/>
                    <w:right w:val="single" w:color="auto" w:sz="4" w:space="0"/>
                  </w:tcBorders>
                  <w:noWrap/>
                  <w:vAlign w:val="center"/>
                </w:tcPr>
                <w:p w14:paraId="52F996CE">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1</w:t>
                  </w:r>
                </w:p>
              </w:tc>
              <w:tc>
                <w:tcPr>
                  <w:tcW w:w="2245" w:type="pct"/>
                  <w:tcBorders>
                    <w:top w:val="nil"/>
                    <w:left w:val="nil"/>
                    <w:bottom w:val="single" w:color="auto" w:sz="4" w:space="0"/>
                    <w:right w:val="single" w:color="auto" w:sz="4" w:space="0"/>
                  </w:tcBorders>
                  <w:noWrap w:val="0"/>
                  <w:vAlign w:val="center"/>
                </w:tcPr>
                <w:p w14:paraId="0380D0DD">
                  <w:pPr>
                    <w:widowControl/>
                    <w:spacing w:line="240" w:lineRule="auto"/>
                    <w:ind w:firstLine="0" w:firstLineChars="0"/>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第二条</w:t>
                  </w:r>
                  <w:r>
                    <w:rPr>
                      <w:rFonts w:hint="eastAsia" w:ascii="Times New Roman" w:hAnsi="Times New Roman" w:eastAsia="宋体" w:cs="Times New Roman"/>
                      <w:smallCaps w:val="0"/>
                      <w:color w:val="000000" w:themeColor="text1"/>
                      <w:kern w:val="0"/>
                      <w:sz w:val="21"/>
                      <w14:textFill>
                        <w14:solidFill>
                          <w14:schemeClr w14:val="tx1"/>
                        </w14:solidFill>
                      </w14:textFill>
                    </w:rPr>
                    <w:t> 项目符合生态环境及资源相关法律法规和政策要求，与主体功能区规划、生态功能区划、水（环境）功能区划、水污染防治规划、生态环境保护规划等相协调，项目开发任务、供水量、供水范围和对象、灌区规模、种植结构等主要内容总体符合流域区域综合规划、水资源规划、灌区规划、农业生产规划、节水规划等相关规划及规划环评要求</w:t>
                  </w:r>
                  <w:r>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t>。</w:t>
                  </w:r>
                </w:p>
                <w:p w14:paraId="51B8182A">
                  <w:pPr>
                    <w:widowControl/>
                    <w:spacing w:line="240" w:lineRule="auto"/>
                    <w:ind w:firstLine="0" w:firstLineChars="0"/>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项目水资源开发利用符合以水定产、以水定地原则，未超出流域区域水资源利用上限，灌溉定额、灌溉用水保证率、灌溉水有效利用系数满足流域区域用水效率控制要求</w:t>
                  </w:r>
                </w:p>
              </w:tc>
              <w:tc>
                <w:tcPr>
                  <w:tcW w:w="2050" w:type="pct"/>
                  <w:tcBorders>
                    <w:top w:val="nil"/>
                    <w:left w:val="nil"/>
                    <w:bottom w:val="single" w:color="auto" w:sz="4" w:space="0"/>
                    <w:right w:val="single" w:color="auto" w:sz="4" w:space="0"/>
                  </w:tcBorders>
                  <w:noWrap w:val="0"/>
                  <w:vAlign w:val="center"/>
                </w:tcPr>
                <w:p w14:paraId="3E08491E">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本项目建设与主体功能区规划、生态功能区划等相协调。工程不涉及岸线调整、裁弯取直、围垦水面和占用河湖滩地等建设内容。</w:t>
                  </w:r>
                </w:p>
              </w:tc>
              <w:tc>
                <w:tcPr>
                  <w:tcW w:w="352" w:type="pct"/>
                  <w:tcBorders>
                    <w:top w:val="nil"/>
                    <w:left w:val="nil"/>
                    <w:bottom w:val="single" w:color="auto" w:sz="4" w:space="0"/>
                    <w:right w:val="single" w:color="auto" w:sz="4" w:space="0"/>
                  </w:tcBorders>
                  <w:noWrap/>
                  <w:vAlign w:val="center"/>
                </w:tcPr>
                <w:p w14:paraId="00D1E106">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1346C9CD">
              <w:tblPrEx>
                <w:tblCellMar>
                  <w:top w:w="0" w:type="dxa"/>
                  <w:left w:w="108" w:type="dxa"/>
                  <w:bottom w:w="0" w:type="dxa"/>
                  <w:right w:w="108" w:type="dxa"/>
                </w:tblCellMar>
              </w:tblPrEx>
              <w:trPr>
                <w:trHeight w:val="1350" w:hRule="atLeast"/>
              </w:trPr>
              <w:tc>
                <w:tcPr>
                  <w:tcW w:w="352" w:type="pct"/>
                  <w:tcBorders>
                    <w:top w:val="nil"/>
                    <w:left w:val="single" w:color="auto" w:sz="4" w:space="0"/>
                    <w:bottom w:val="single" w:color="auto" w:sz="4" w:space="0"/>
                    <w:right w:val="single" w:color="auto" w:sz="4" w:space="0"/>
                  </w:tcBorders>
                  <w:noWrap/>
                  <w:vAlign w:val="center"/>
                </w:tcPr>
                <w:p w14:paraId="7C89705D">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2</w:t>
                  </w:r>
                </w:p>
              </w:tc>
              <w:tc>
                <w:tcPr>
                  <w:tcW w:w="2245" w:type="pct"/>
                  <w:tcBorders>
                    <w:top w:val="nil"/>
                    <w:left w:val="nil"/>
                    <w:bottom w:val="single" w:color="auto" w:sz="4" w:space="0"/>
                    <w:right w:val="single" w:color="auto" w:sz="4" w:space="0"/>
                  </w:tcBorders>
                  <w:noWrap w:val="0"/>
                  <w:vAlign w:val="center"/>
                </w:tcPr>
                <w:p w14:paraId="3264338A">
                  <w:pPr>
                    <w:widowControl/>
                    <w:spacing w:line="240" w:lineRule="auto"/>
                    <w:ind w:firstLine="0" w:firstLineChars="0"/>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第三条</w:t>
                  </w:r>
                  <w:r>
                    <w:rPr>
                      <w:rFonts w:hint="eastAsia" w:ascii="Times New Roman" w:hAnsi="Times New Roman" w:eastAsia="宋体" w:cs="Times New Roman"/>
                      <w:smallCaps w:val="0"/>
                      <w:color w:val="000000" w:themeColor="text1"/>
                      <w:kern w:val="0"/>
                      <w:sz w:val="21"/>
                      <w14:textFill>
                        <w14:solidFill>
                          <w14:schemeClr w14:val="tx1"/>
                        </w14:solidFill>
                      </w14:textFill>
                    </w:rPr>
                    <w:t> 项目选址选线、取（蓄）水工程淹没、施工布置等不占用自然保护区、风景名胜区、世界文化和自然遗产地以及其他生态保护红线中法律法规禁止占用的区域，并与饮用水水源保护区、重要湿地等环境敏感区的保护要求相协调</w:t>
                  </w:r>
                </w:p>
              </w:tc>
              <w:tc>
                <w:tcPr>
                  <w:tcW w:w="2050" w:type="pct"/>
                  <w:tcBorders>
                    <w:top w:val="nil"/>
                    <w:left w:val="nil"/>
                    <w:bottom w:val="single" w:color="auto" w:sz="4" w:space="0"/>
                    <w:right w:val="single" w:color="auto" w:sz="4" w:space="0"/>
                  </w:tcBorders>
                  <w:noWrap w:val="0"/>
                  <w:vAlign w:val="center"/>
                </w:tcPr>
                <w:p w14:paraId="3E464E87">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ascii="Times New Roman" w:hAnsi="Times New Roman" w:eastAsia="宋体" w:cs="Times New Roman"/>
                      <w:smallCaps w:val="0"/>
                      <w:color w:val="000000" w:themeColor="text1"/>
                      <w:kern w:val="0"/>
                      <w:sz w:val="21"/>
                      <w14:textFill>
                        <w14:solidFill>
                          <w14:schemeClr w14:val="tx1"/>
                        </w14:solidFill>
                      </w14:textFill>
                    </w:rPr>
                    <w:t>本项目选址选线、施工布置等不涉及生态保护红线，不涉及占用自然保护区等其他环境敏感区中法律法规禁止占用的区域，综上，本项目建设与第三条是相符合的。</w:t>
                  </w:r>
                </w:p>
              </w:tc>
              <w:tc>
                <w:tcPr>
                  <w:tcW w:w="352" w:type="pct"/>
                  <w:tcBorders>
                    <w:top w:val="nil"/>
                    <w:left w:val="nil"/>
                    <w:bottom w:val="single" w:color="auto" w:sz="4" w:space="0"/>
                    <w:right w:val="single" w:color="auto" w:sz="4" w:space="0"/>
                  </w:tcBorders>
                  <w:noWrap/>
                  <w:vAlign w:val="center"/>
                </w:tcPr>
                <w:p w14:paraId="09A17D80">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0E6F38F">
              <w:tblPrEx>
                <w:tblCellMar>
                  <w:top w:w="0" w:type="dxa"/>
                  <w:left w:w="108" w:type="dxa"/>
                  <w:bottom w:w="0" w:type="dxa"/>
                  <w:right w:w="108" w:type="dxa"/>
                </w:tblCellMar>
              </w:tblPrEx>
              <w:trPr>
                <w:trHeight w:val="2145" w:hRule="atLeast"/>
              </w:trPr>
              <w:tc>
                <w:tcPr>
                  <w:tcW w:w="352" w:type="pct"/>
                  <w:tcBorders>
                    <w:top w:val="nil"/>
                    <w:left w:val="single" w:color="auto" w:sz="4" w:space="0"/>
                    <w:bottom w:val="single" w:color="auto" w:sz="4" w:space="0"/>
                    <w:right w:val="single" w:color="auto" w:sz="4" w:space="0"/>
                  </w:tcBorders>
                  <w:noWrap/>
                  <w:vAlign w:val="center"/>
                </w:tcPr>
                <w:p w14:paraId="145417D0">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3</w:t>
                  </w:r>
                </w:p>
              </w:tc>
              <w:tc>
                <w:tcPr>
                  <w:tcW w:w="2245" w:type="pct"/>
                  <w:tcBorders>
                    <w:top w:val="nil"/>
                    <w:left w:val="nil"/>
                    <w:bottom w:val="single" w:color="auto" w:sz="4" w:space="0"/>
                    <w:right w:val="single" w:color="auto" w:sz="4" w:space="0"/>
                  </w:tcBorders>
                  <w:noWrap w:val="0"/>
                  <w:vAlign w:val="center"/>
                </w:tcPr>
                <w:p w14:paraId="019EBA02">
                  <w:pPr>
                    <w:widowControl/>
                    <w:spacing w:line="240" w:lineRule="auto"/>
                    <w:rPr>
                      <w:rFonts w:hint="default" w:ascii="Times New Roman" w:hAnsi="Times New Roman" w:cs="Times New Roman"/>
                      <w:smallCaps w:val="0"/>
                      <w:color w:val="000000" w:themeColor="text1"/>
                      <w:kern w:val="0"/>
                      <w:sz w:val="21"/>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第四条</w:t>
                  </w:r>
                  <w:r>
                    <w:rPr>
                      <w:rFonts w:hint="eastAsia" w:ascii="Times New Roman" w:hAnsi="Times New Roman" w:eastAsia="宋体" w:cs="Times New Roman"/>
                      <w:color w:val="000000" w:themeColor="text1"/>
                      <w:highlight w:val="none"/>
                      <w14:textFill>
                        <w14:solidFill>
                          <w14:schemeClr w14:val="tx1"/>
                        </w14:solidFill>
                      </w14:textFill>
                    </w:rPr>
                    <w:t> 项目取（蓄）水造成河、湖或水库水文情势改变且带来不利影响的，统筹考虑了上、下游河道水环境、水生生态、景观、湿地等生态用水及生产、生活用水需求，提出了优化取水方案、泄放生态流量、实施在线监控等措施。通过节水、置换等措施获得供水水量的，用水方式和规模具有环境合理性和可行性</w:t>
                  </w:r>
                </w:p>
              </w:tc>
              <w:tc>
                <w:tcPr>
                  <w:tcW w:w="2050" w:type="pct"/>
                  <w:tcBorders>
                    <w:top w:val="nil"/>
                    <w:left w:val="nil"/>
                    <w:bottom w:val="single" w:color="auto" w:sz="4" w:space="0"/>
                    <w:right w:val="single" w:color="auto" w:sz="4" w:space="0"/>
                  </w:tcBorders>
                  <w:noWrap w:val="0"/>
                  <w:vAlign w:val="center"/>
                </w:tcPr>
                <w:p w14:paraId="65FA7BBF">
                  <w:pPr>
                    <w:widowControl/>
                    <w:spacing w:line="240" w:lineRule="auto"/>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color w:val="000000" w:themeColor="text1"/>
                      <w:highlight w:val="none"/>
                      <w14:textFill>
                        <w14:solidFill>
                          <w14:schemeClr w14:val="tx1"/>
                        </w14:solidFill>
                      </w14:textFill>
                    </w:rPr>
                    <w:t>本项目为</w:t>
                  </w:r>
                  <w:r>
                    <w:rPr>
                      <w:color w:val="000000" w:themeColor="text1"/>
                      <w:szCs w:val="21"/>
                      <w:highlight w:val="none"/>
                      <w14:textFill>
                        <w14:solidFill>
                          <w14:schemeClr w14:val="tx1"/>
                        </w14:solidFill>
                      </w14:textFill>
                    </w:rPr>
                    <w:t>除险加固工程</w:t>
                  </w:r>
                  <w:r>
                    <w:rPr>
                      <w:color w:val="000000" w:themeColor="text1"/>
                      <w:highlight w:val="none"/>
                      <w14:textFill>
                        <w14:solidFill>
                          <w14:schemeClr w14:val="tx1"/>
                        </w14:solidFill>
                      </w14:textFill>
                    </w:rPr>
                    <w:t>项目，</w:t>
                  </w:r>
                  <w:r>
                    <w:rPr>
                      <w:rFonts w:hint="eastAsia"/>
                      <w:color w:val="000000" w:themeColor="text1"/>
                      <w:szCs w:val="21"/>
                      <w14:textFill>
                        <w14:solidFill>
                          <w14:schemeClr w14:val="tx1"/>
                        </w14:solidFill>
                      </w14:textFill>
                    </w:rPr>
                    <w:t>不改变水动力条件，运行期工程本身不排污不会对水质产生不利影响，</w:t>
                  </w:r>
                  <w:r>
                    <w:rPr>
                      <w:rFonts w:hint="eastAsia"/>
                      <w:color w:val="000000" w:themeColor="text1"/>
                      <w:szCs w:val="21"/>
                      <w:lang w:eastAsia="zh-CN"/>
                      <w14:textFill>
                        <w14:solidFill>
                          <w14:schemeClr w14:val="tx1"/>
                        </w14:solidFill>
                      </w14:textFill>
                    </w:rPr>
                    <w:t>本工程建成后提出水库下泄流量逐月制度，具有环境合理性和可行性。</w:t>
                  </w:r>
                </w:p>
              </w:tc>
              <w:tc>
                <w:tcPr>
                  <w:tcW w:w="352" w:type="pct"/>
                  <w:tcBorders>
                    <w:top w:val="nil"/>
                    <w:left w:val="nil"/>
                    <w:bottom w:val="single" w:color="auto" w:sz="4" w:space="0"/>
                    <w:right w:val="single" w:color="auto" w:sz="4" w:space="0"/>
                  </w:tcBorders>
                  <w:noWrap/>
                  <w:vAlign w:val="center"/>
                </w:tcPr>
                <w:p w14:paraId="76866E8D">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01B6B797">
              <w:tblPrEx>
                <w:tblCellMar>
                  <w:top w:w="0" w:type="dxa"/>
                  <w:left w:w="108" w:type="dxa"/>
                  <w:bottom w:w="0" w:type="dxa"/>
                  <w:right w:w="108" w:type="dxa"/>
                </w:tblCellMar>
              </w:tblPrEx>
              <w:trPr>
                <w:trHeight w:val="665" w:hRule="atLeast"/>
              </w:trPr>
              <w:tc>
                <w:tcPr>
                  <w:tcW w:w="352" w:type="pct"/>
                  <w:tcBorders>
                    <w:top w:val="nil"/>
                    <w:left w:val="single" w:color="auto" w:sz="4" w:space="0"/>
                    <w:bottom w:val="single" w:color="auto" w:sz="4" w:space="0"/>
                    <w:right w:val="single" w:color="auto" w:sz="4" w:space="0"/>
                  </w:tcBorders>
                  <w:noWrap/>
                  <w:vAlign w:val="center"/>
                </w:tcPr>
                <w:p w14:paraId="3958247A">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4</w:t>
                  </w:r>
                </w:p>
              </w:tc>
              <w:tc>
                <w:tcPr>
                  <w:tcW w:w="2245" w:type="pct"/>
                  <w:tcBorders>
                    <w:top w:val="nil"/>
                    <w:left w:val="nil"/>
                    <w:bottom w:val="single" w:color="auto" w:sz="4" w:space="0"/>
                    <w:right w:val="single" w:color="auto" w:sz="4" w:space="0"/>
                  </w:tcBorders>
                  <w:noWrap w:val="0"/>
                  <w:vAlign w:val="center"/>
                </w:tcPr>
                <w:p w14:paraId="63CA106B">
                  <w:pPr>
                    <w:widowControl/>
                    <w:spacing w:line="240" w:lineRule="auto"/>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ascii="Times New Roman" w:hAnsi="Times New Roman" w:eastAsia="宋体" w:cs="Times New Roman"/>
                      <w:color w:val="000000" w:themeColor="text1"/>
                      <w:highlight w:val="none"/>
                      <w14:textFill>
                        <w14:solidFill>
                          <w14:schemeClr w14:val="tx1"/>
                        </w14:solidFill>
                      </w14:textFill>
                    </w:rPr>
                    <w:t>第</w:t>
                  </w:r>
                  <w:r>
                    <w:rPr>
                      <w:rFonts w:hint="eastAsia" w:ascii="Times New Roman" w:hAnsi="Times New Roman" w:eastAsia="宋体" w:cs="Times New Roman"/>
                      <w:color w:val="000000" w:themeColor="text1"/>
                      <w:highlight w:val="none"/>
                      <w14:textFill>
                        <w14:solidFill>
                          <w14:schemeClr w14:val="tx1"/>
                        </w14:solidFill>
                      </w14:textFill>
                    </w:rPr>
                    <w:t>五条 项目取（蓄）水、输水或灌溉造成周边区域地下水位变化，引起土壤潜育化、沼泽化、盐碱化、沙化或植被退化演替等次生环境问题或造成居民水井、泉水位下降影响居民用水安全的，提出了优化取（蓄）水方案及灌溉方式、渠道防渗、截水导排、生态修复或保障居民供水等措施。灌区土壤存在重金属污染等威胁农产品质量安全问题的，按照土壤环境管理的有关要求，提出了农艺调控、种植结构优化、耕地污染修复、灌溉水源调整或休耕等措施</w:t>
                  </w:r>
                  <w:r>
                    <w:rPr>
                      <w:rFonts w:hint="eastAsia" w:ascii="Times New Roman" w:hAnsi="Times New Roman" w:eastAsia="宋体" w:cs="Times New Roman"/>
                      <w:color w:val="000000" w:themeColor="text1"/>
                      <w:highlight w:val="none"/>
                      <w:lang w:eastAsia="zh-CN"/>
                      <w14:textFill>
                        <w14:solidFill>
                          <w14:schemeClr w14:val="tx1"/>
                        </w14:solidFill>
                      </w14:textFill>
                    </w:rPr>
                    <w:t>。</w:t>
                  </w:r>
                </w:p>
              </w:tc>
              <w:tc>
                <w:tcPr>
                  <w:tcW w:w="2050" w:type="pct"/>
                  <w:tcBorders>
                    <w:top w:val="nil"/>
                    <w:left w:val="nil"/>
                    <w:bottom w:val="single" w:color="auto" w:sz="4" w:space="0"/>
                    <w:right w:val="single" w:color="auto" w:sz="4" w:space="0"/>
                  </w:tcBorders>
                  <w:noWrap w:val="0"/>
                  <w:vAlign w:val="center"/>
                </w:tcPr>
                <w:p w14:paraId="4F74FB7B">
                  <w:pPr>
                    <w:widowControl/>
                    <w:spacing w:line="240" w:lineRule="auto"/>
                    <w:rPr>
                      <w:rFonts w:hint="eastAsia" w:ascii="Times New Roman" w:hAnsi="Times New Roman" w:eastAsia="宋体" w:cs="Times New Roman"/>
                      <w:smallCaps w:val="0"/>
                      <w:color w:val="000000" w:themeColor="text1"/>
                      <w:kern w:val="0"/>
                      <w:sz w:val="21"/>
                      <w:highlight w:val="yellow"/>
                      <w:lang w:eastAsia="zh-CN"/>
                      <w14:textFill>
                        <w14:solidFill>
                          <w14:schemeClr w14:val="tx1"/>
                        </w14:solidFill>
                      </w14:textFill>
                    </w:rPr>
                  </w:pPr>
                  <w:r>
                    <w:rPr>
                      <w:color w:val="000000" w:themeColor="text1"/>
                      <w:highlight w:val="none"/>
                      <w14:textFill>
                        <w14:solidFill>
                          <w14:schemeClr w14:val="tx1"/>
                        </w14:solidFill>
                      </w14:textFill>
                    </w:rPr>
                    <w:t>本项目为</w:t>
                  </w:r>
                  <w:r>
                    <w:rPr>
                      <w:color w:val="000000" w:themeColor="text1"/>
                      <w:szCs w:val="21"/>
                      <w:highlight w:val="none"/>
                      <w14:textFill>
                        <w14:solidFill>
                          <w14:schemeClr w14:val="tx1"/>
                        </w14:solidFill>
                      </w14:textFill>
                    </w:rPr>
                    <w:t>除险加固工程</w:t>
                  </w:r>
                  <w:r>
                    <w:rPr>
                      <w:color w:val="000000" w:themeColor="text1"/>
                      <w:highlight w:val="none"/>
                      <w14:textFill>
                        <w14:solidFill>
                          <w14:schemeClr w14:val="tx1"/>
                        </w14:solidFill>
                      </w14:textFill>
                    </w:rPr>
                    <w:t>项目，</w:t>
                  </w:r>
                  <w:r>
                    <w:rPr>
                      <w:rFonts w:hint="eastAsia"/>
                      <w:color w:val="000000" w:themeColor="text1"/>
                      <w:szCs w:val="21"/>
                      <w14:textFill>
                        <w14:solidFill>
                          <w14:schemeClr w14:val="tx1"/>
                        </w14:solidFill>
                      </w14:textFill>
                    </w:rPr>
                    <w:t>现有水源能够满足灌溉需求，不会</w:t>
                  </w:r>
                  <w:r>
                    <w:rPr>
                      <w:color w:val="000000" w:themeColor="text1"/>
                      <w:szCs w:val="21"/>
                      <w14:textFill>
                        <w14:solidFill>
                          <w14:schemeClr w14:val="tx1"/>
                        </w14:solidFill>
                      </w14:textFill>
                    </w:rPr>
                    <w:t>造成周边区域地下水位变化</w:t>
                  </w:r>
                  <w:r>
                    <w:rPr>
                      <w:rFonts w:hint="eastAsia"/>
                      <w:color w:val="000000" w:themeColor="text1"/>
                      <w:szCs w:val="21"/>
                      <w14:textFill>
                        <w14:solidFill>
                          <w14:schemeClr w14:val="tx1"/>
                        </w14:solidFill>
                      </w14:textFill>
                    </w:rPr>
                    <w:t>。运行期工程通过渠道及渠系建筑物工程改造可以保障居民灌溉要求及粮食安全</w:t>
                  </w:r>
                  <w:r>
                    <w:rPr>
                      <w:rFonts w:hint="eastAsia"/>
                      <w:color w:val="000000" w:themeColor="text1"/>
                      <w:szCs w:val="21"/>
                      <w:lang w:eastAsia="zh-CN"/>
                      <w14:textFill>
                        <w14:solidFill>
                          <w14:schemeClr w14:val="tx1"/>
                        </w14:solidFill>
                      </w14:textFill>
                    </w:rPr>
                    <w:t>，工程沿线不涉及居民用水安全，不涉及土壤盐渍化等问题。</w:t>
                  </w:r>
                </w:p>
              </w:tc>
              <w:tc>
                <w:tcPr>
                  <w:tcW w:w="352" w:type="pct"/>
                  <w:tcBorders>
                    <w:top w:val="nil"/>
                    <w:left w:val="nil"/>
                    <w:bottom w:val="single" w:color="auto" w:sz="4" w:space="0"/>
                    <w:right w:val="single" w:color="auto" w:sz="4" w:space="0"/>
                  </w:tcBorders>
                  <w:noWrap/>
                  <w:vAlign w:val="center"/>
                </w:tcPr>
                <w:p w14:paraId="18A1B62F">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CAF8EF9">
              <w:tblPrEx>
                <w:tblCellMar>
                  <w:top w:w="0" w:type="dxa"/>
                  <w:left w:w="108" w:type="dxa"/>
                  <w:bottom w:w="0" w:type="dxa"/>
                  <w:right w:w="108" w:type="dxa"/>
                </w:tblCellMar>
              </w:tblPrEx>
              <w:trPr>
                <w:trHeight w:val="1125" w:hRule="atLeast"/>
              </w:trPr>
              <w:tc>
                <w:tcPr>
                  <w:tcW w:w="352" w:type="pct"/>
                  <w:tcBorders>
                    <w:top w:val="nil"/>
                    <w:left w:val="single" w:color="auto" w:sz="4" w:space="0"/>
                    <w:bottom w:val="single" w:color="auto" w:sz="4" w:space="0"/>
                    <w:right w:val="single" w:color="auto" w:sz="4" w:space="0"/>
                  </w:tcBorders>
                  <w:noWrap/>
                  <w:vAlign w:val="center"/>
                </w:tcPr>
                <w:p w14:paraId="32310036">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5</w:t>
                  </w:r>
                </w:p>
              </w:tc>
              <w:tc>
                <w:tcPr>
                  <w:tcW w:w="2245" w:type="pct"/>
                  <w:tcBorders>
                    <w:top w:val="nil"/>
                    <w:left w:val="nil"/>
                    <w:bottom w:val="single" w:color="auto" w:sz="4" w:space="0"/>
                    <w:right w:val="single" w:color="auto" w:sz="4" w:space="0"/>
                  </w:tcBorders>
                  <w:noWrap w:val="0"/>
                  <w:vAlign w:val="center"/>
                </w:tcPr>
                <w:p w14:paraId="760BB55C">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eastAsia" w:ascii="Times New Roman" w:hAnsi="Times New Roman" w:eastAsia="宋体" w:cs="Times New Roman"/>
                      <w:color w:val="000000" w:themeColor="text1"/>
                      <w:kern w:val="21"/>
                      <w:highlight w:val="none"/>
                      <w:lang w:eastAsia="zh-CN"/>
                      <w14:textFill>
                        <w14:solidFill>
                          <w14:schemeClr w14:val="tx1"/>
                        </w14:solidFill>
                      </w14:textFill>
                    </w:rPr>
                    <w:t>第六条</w:t>
                  </w:r>
                  <w:r>
                    <w:rPr>
                      <w:rFonts w:hint="eastAsia" w:ascii="Times New Roman" w:hAnsi="Times New Roman" w:eastAsia="宋体" w:cs="Times New Roman"/>
                      <w:color w:val="000000" w:themeColor="text1"/>
                      <w:kern w:val="21"/>
                      <w:highlight w:val="none"/>
                      <w:lang w:val="en-US" w:eastAsia="zh-CN"/>
                      <w14:textFill>
                        <w14:solidFill>
                          <w14:schemeClr w14:val="tx1"/>
                        </w14:solidFill>
                      </w14:textFill>
                    </w:rPr>
                    <w:t xml:space="preserve"> </w:t>
                  </w:r>
                  <w:r>
                    <w:rPr>
                      <w:rFonts w:hint="eastAsia" w:ascii="Times New Roman" w:hAnsi="Times New Roman" w:eastAsia="宋体" w:cs="Times New Roman"/>
                      <w:color w:val="000000" w:themeColor="text1"/>
                      <w:kern w:val="21"/>
                      <w:highlight w:val="none"/>
                      <w14:textFill>
                        <w14:solidFill>
                          <w14:schemeClr w14:val="tx1"/>
                        </w14:solidFill>
                      </w14:textFill>
                    </w:rPr>
                    <w:t>项目取（输）水水质、水温满足灌溉水质和农作物生长要求。项目灌区农药化肥施用以及灌溉退水等对水环境造成污染的，提出了测土配方施肥、水肥一体化、控制农药与化肥施用种类及数量，以及建设生态沟渠、人工湿地、污水净化塘等措施</w:t>
                  </w:r>
                </w:p>
              </w:tc>
              <w:tc>
                <w:tcPr>
                  <w:tcW w:w="2050" w:type="pct"/>
                  <w:tcBorders>
                    <w:top w:val="nil"/>
                    <w:left w:val="nil"/>
                    <w:bottom w:val="single" w:color="auto" w:sz="4" w:space="0"/>
                    <w:right w:val="single" w:color="auto" w:sz="4" w:space="0"/>
                  </w:tcBorders>
                  <w:noWrap w:val="0"/>
                  <w:vAlign w:val="center"/>
                </w:tcPr>
                <w:p w14:paraId="1A1FB3E4">
                  <w:pPr>
                    <w:widowControl/>
                    <w:spacing w:line="240" w:lineRule="auto"/>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rFonts w:hint="eastAsia"/>
                      <w:color w:val="000000" w:themeColor="text1"/>
                      <w:szCs w:val="21"/>
                      <w14:textFill>
                        <w14:solidFill>
                          <w14:schemeClr w14:val="tx1"/>
                        </w14:solidFill>
                      </w14:textFill>
                    </w:rPr>
                    <w:t>现有水源能够满足灌溉需求，不会</w:t>
                  </w:r>
                  <w:r>
                    <w:rPr>
                      <w:color w:val="000000" w:themeColor="text1"/>
                      <w:szCs w:val="21"/>
                      <w14:textFill>
                        <w14:solidFill>
                          <w14:schemeClr w14:val="tx1"/>
                        </w14:solidFill>
                      </w14:textFill>
                    </w:rPr>
                    <w:t>造成周边区域地下水位变化</w:t>
                  </w:r>
                  <w:r>
                    <w:rPr>
                      <w:rFonts w:hint="eastAsia"/>
                      <w:color w:val="000000" w:themeColor="text1"/>
                      <w:szCs w:val="21"/>
                      <w14:textFill>
                        <w14:solidFill>
                          <w14:schemeClr w14:val="tx1"/>
                        </w14:solidFill>
                      </w14:textFill>
                    </w:rPr>
                    <w:t>。运行期工程通过</w:t>
                  </w:r>
                  <w:r>
                    <w:rPr>
                      <w:rFonts w:hint="eastAsia"/>
                      <w:color w:val="000000" w:themeColor="text1"/>
                      <w:szCs w:val="21"/>
                      <w:lang w:eastAsia="zh-CN"/>
                      <w14:textFill>
                        <w14:solidFill>
                          <w14:schemeClr w14:val="tx1"/>
                        </w14:solidFill>
                      </w14:textFill>
                    </w:rPr>
                    <w:t>锅盔河向下游农田进行灌溉</w:t>
                  </w:r>
                  <w:r>
                    <w:rPr>
                      <w:rFonts w:hint="eastAsia"/>
                      <w:color w:val="000000" w:themeColor="text1"/>
                      <w:szCs w:val="21"/>
                      <w14:textFill>
                        <w14:solidFill>
                          <w14:schemeClr w14:val="tx1"/>
                        </w14:solidFill>
                      </w14:textFill>
                    </w:rPr>
                    <w:t>可以保障居民灌溉要求及粮食安全</w:t>
                  </w:r>
                  <w:r>
                    <w:rPr>
                      <w:rFonts w:hint="eastAsia"/>
                      <w:color w:val="000000" w:themeColor="text1"/>
                      <w:szCs w:val="21"/>
                      <w:lang w:eastAsia="zh-CN"/>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503BFAE8">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706EDE7E">
              <w:tblPrEx>
                <w:tblCellMar>
                  <w:top w:w="0" w:type="dxa"/>
                  <w:left w:w="108" w:type="dxa"/>
                  <w:bottom w:w="0" w:type="dxa"/>
                  <w:right w:w="108" w:type="dxa"/>
                </w:tblCellMar>
              </w:tblPrEx>
              <w:trPr>
                <w:trHeight w:val="3270" w:hRule="atLeast"/>
              </w:trPr>
              <w:tc>
                <w:tcPr>
                  <w:tcW w:w="352" w:type="pct"/>
                  <w:tcBorders>
                    <w:top w:val="nil"/>
                    <w:left w:val="single" w:color="auto" w:sz="4" w:space="0"/>
                    <w:bottom w:val="single" w:color="auto" w:sz="4" w:space="0"/>
                    <w:right w:val="single" w:color="auto" w:sz="4" w:space="0"/>
                  </w:tcBorders>
                  <w:noWrap/>
                  <w:vAlign w:val="center"/>
                </w:tcPr>
                <w:p w14:paraId="4BB3E3BF">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6</w:t>
                  </w:r>
                </w:p>
              </w:tc>
              <w:tc>
                <w:tcPr>
                  <w:tcW w:w="2245" w:type="pct"/>
                  <w:tcBorders>
                    <w:top w:val="nil"/>
                    <w:left w:val="nil"/>
                    <w:bottom w:val="single" w:color="auto" w:sz="4" w:space="0"/>
                    <w:right w:val="single" w:color="auto" w:sz="4" w:space="0"/>
                  </w:tcBorders>
                  <w:noWrap w:val="0"/>
                  <w:vAlign w:val="center"/>
                </w:tcPr>
                <w:p w14:paraId="5EB24D05">
                  <w:pPr>
                    <w:widowControl/>
                    <w:spacing w:line="240" w:lineRule="auto"/>
                    <w:ind w:firstLine="0" w:firstLineChars="0"/>
                    <w:rPr>
                      <w:rFonts w:hint="default" w:ascii="Times New Roman" w:hAnsi="Times New Roman" w:eastAsia="宋体" w:cs="Times New Roman"/>
                      <w:color w:val="000000" w:themeColor="text1"/>
                      <w:kern w:val="21"/>
                      <w:highlight w:val="none"/>
                      <w14:textFill>
                        <w14:solidFill>
                          <w14:schemeClr w14:val="tx1"/>
                        </w14:solidFill>
                      </w14:textFill>
                    </w:rPr>
                  </w:pPr>
                  <w:r>
                    <w:rPr>
                      <w:rFonts w:hint="eastAsia" w:ascii="Times New Roman" w:hAnsi="Times New Roman" w:eastAsia="宋体" w:cs="Times New Roman"/>
                      <w:color w:val="000000" w:themeColor="text1"/>
                      <w:kern w:val="21"/>
                      <w:highlight w:val="none"/>
                      <w14:textFill>
                        <w14:solidFill>
                          <w14:schemeClr w14:val="tx1"/>
                        </w14:solidFill>
                      </w14:textFill>
                    </w:rPr>
                    <w:t>第七条 项目对湿地、陆生生态系统及珍稀保护陆生动植物造成不利影响的，提出了优化工程设计、合理安排工期、建设或保留动物迁移通道、异地保护、就地保护、生态修复等措施。可能引起灌区及周边土地退化的，提出了轮作、休耕等措施。项目对水生生态系统及鱼类等造成不利影响的，提出了优化工程设计及调度、拦河闸坝建设过鱼设施、引水渠首设置拦鱼设施、栖息地保护修复、增殖放流等措施。项目对景观产生不利影响的，提出了避让、优化设计、景观塑造等措施</w:t>
                  </w:r>
                </w:p>
              </w:tc>
              <w:tc>
                <w:tcPr>
                  <w:tcW w:w="2050" w:type="pct"/>
                  <w:tcBorders>
                    <w:top w:val="nil"/>
                    <w:left w:val="nil"/>
                    <w:bottom w:val="single" w:color="auto" w:sz="4" w:space="0"/>
                    <w:right w:val="single" w:color="auto" w:sz="4" w:space="0"/>
                  </w:tcBorders>
                  <w:noWrap w:val="0"/>
                  <w:vAlign w:val="center"/>
                </w:tcPr>
                <w:p w14:paraId="3BD61C04">
                  <w:pPr>
                    <w:widowControl/>
                    <w:spacing w:line="240" w:lineRule="auto"/>
                    <w:rPr>
                      <w:rFonts w:hint="default" w:ascii="Times New Roman" w:hAnsi="Times New Roman" w:cs="Times New Roman"/>
                      <w:smallCaps w:val="0"/>
                      <w:color w:val="000000" w:themeColor="text1"/>
                      <w:kern w:val="0"/>
                      <w:sz w:val="21"/>
                      <w14:textFill>
                        <w14:solidFill>
                          <w14:schemeClr w14:val="tx1"/>
                        </w14:solidFill>
                      </w14:textFill>
                    </w:rPr>
                  </w:pPr>
                  <w:r>
                    <w:rPr>
                      <w:color w:val="000000" w:themeColor="text1"/>
                      <w:szCs w:val="21"/>
                      <w14:textFill>
                        <w14:solidFill>
                          <w14:schemeClr w14:val="tx1"/>
                        </w14:solidFill>
                      </w14:textFill>
                    </w:rPr>
                    <w:t>本项目施工段无珍稀鱼类等水生生物的洄游通道及“三场”等重要生境，无珍稀濒危的鱼类。施工造成的鱼类暂时游走，水生生物多样性降低是临时的，施工结束后，鱼类会返回原处，施工对水生生物的影响很小。</w:t>
                  </w:r>
                  <w:r>
                    <w:rPr>
                      <w:rFonts w:hint="eastAsia"/>
                      <w:color w:val="000000" w:themeColor="text1"/>
                      <w:szCs w:val="21"/>
                      <w14:textFill>
                        <w14:solidFill>
                          <w14:schemeClr w14:val="tx1"/>
                        </w14:solidFill>
                      </w14:textFill>
                    </w:rPr>
                    <w:t>报告中</w:t>
                  </w:r>
                  <w:r>
                    <w:rPr>
                      <w:color w:val="000000" w:themeColor="text1"/>
                      <w:szCs w:val="21"/>
                      <w14:textFill>
                        <w14:solidFill>
                          <w14:schemeClr w14:val="tx1"/>
                        </w14:solidFill>
                      </w14:textFill>
                    </w:rPr>
                    <w:t>提出了优化工程设计及调度</w:t>
                  </w:r>
                  <w:r>
                    <w:rPr>
                      <w:rFonts w:hint="eastAsia"/>
                      <w:color w:val="000000" w:themeColor="text1"/>
                      <w:szCs w:val="21"/>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3192C7B6">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9894937">
              <w:tblPrEx>
                <w:tblCellMar>
                  <w:top w:w="0" w:type="dxa"/>
                  <w:left w:w="108" w:type="dxa"/>
                  <w:bottom w:w="0" w:type="dxa"/>
                  <w:right w:w="108" w:type="dxa"/>
                </w:tblCellMar>
              </w:tblPrEx>
              <w:trPr>
                <w:trHeight w:val="277" w:hRule="atLeast"/>
              </w:trPr>
              <w:tc>
                <w:tcPr>
                  <w:tcW w:w="352" w:type="pct"/>
                  <w:tcBorders>
                    <w:top w:val="nil"/>
                    <w:left w:val="single" w:color="auto" w:sz="4" w:space="0"/>
                    <w:bottom w:val="single" w:color="auto" w:sz="4" w:space="0"/>
                    <w:right w:val="single" w:color="auto" w:sz="4" w:space="0"/>
                  </w:tcBorders>
                  <w:noWrap/>
                  <w:vAlign w:val="center"/>
                </w:tcPr>
                <w:p w14:paraId="4D18762F">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7</w:t>
                  </w:r>
                </w:p>
              </w:tc>
              <w:tc>
                <w:tcPr>
                  <w:tcW w:w="2245" w:type="pct"/>
                  <w:tcBorders>
                    <w:top w:val="nil"/>
                    <w:left w:val="nil"/>
                    <w:bottom w:val="single" w:color="auto" w:sz="4" w:space="0"/>
                    <w:right w:val="single" w:color="auto" w:sz="4" w:space="0"/>
                  </w:tcBorders>
                  <w:noWrap w:val="0"/>
                  <w:vAlign w:val="center"/>
                </w:tcPr>
                <w:p w14:paraId="7CF60998">
                  <w:pPr>
                    <w:widowControl/>
                    <w:spacing w:line="240" w:lineRule="auto"/>
                    <w:ind w:firstLine="0" w:firstLineChars="0"/>
                    <w:rPr>
                      <w:rFonts w:hint="default" w:ascii="Times New Roman" w:hAnsi="Times New Roman" w:eastAsia="宋体" w:cs="Times New Roman"/>
                      <w:color w:val="000000" w:themeColor="text1"/>
                      <w:highlight w:val="none"/>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第八条</w:t>
                  </w:r>
                  <w:r>
                    <w:rPr>
                      <w:rFonts w:hint="eastAsia" w:ascii="Times New Roman" w:hAnsi="Times New Roman" w:eastAsia="宋体" w:cs="Times New Roman"/>
                      <w:color w:val="000000" w:themeColor="text1"/>
                      <w:highlight w:val="none"/>
                      <w14:textFill>
                        <w14:solidFill>
                          <w14:schemeClr w14:val="tx1"/>
                        </w14:solidFill>
                      </w14:textFill>
                    </w:rPr>
                    <w:t>项目移民安置、专业项目改复建等工程建设方式和选址具有环境合理性，提出了生态保护和污染防治措施。另行立项的，提出了单独开展环境影响评价要求</w:t>
                  </w:r>
                </w:p>
              </w:tc>
              <w:tc>
                <w:tcPr>
                  <w:tcW w:w="2050" w:type="pct"/>
                  <w:tcBorders>
                    <w:top w:val="nil"/>
                    <w:left w:val="nil"/>
                    <w:bottom w:val="single" w:color="auto" w:sz="4" w:space="0"/>
                    <w:right w:val="single" w:color="auto" w:sz="4" w:space="0"/>
                  </w:tcBorders>
                  <w:noWrap w:val="0"/>
                  <w:vAlign w:val="center"/>
                </w:tcPr>
                <w:p w14:paraId="14E43C0D">
                  <w:pPr>
                    <w:widowControl/>
                    <w:spacing w:line="240" w:lineRule="auto"/>
                    <w:ind w:firstLine="0" w:firstLineChars="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color w:val="000000" w:themeColor="text1"/>
                      <w:highlight w:val="none"/>
                      <w14:textFill>
                        <w14:solidFill>
                          <w14:schemeClr w14:val="tx1"/>
                        </w14:solidFill>
                      </w14:textFill>
                    </w:rPr>
                    <w:t>本工程不涉及移民安置和</w:t>
                  </w:r>
                  <w:r>
                    <w:rPr>
                      <w:snapToGrid w:val="0"/>
                      <w:color w:val="000000" w:themeColor="text1"/>
                      <w:szCs w:val="21"/>
                      <w:highlight w:val="none"/>
                      <w14:textFill>
                        <w14:solidFill>
                          <w14:schemeClr w14:val="tx1"/>
                        </w14:solidFill>
                      </w14:textFill>
                    </w:rPr>
                    <w:t>蓄滞洪区</w:t>
                  </w:r>
                  <w:r>
                    <w:rPr>
                      <w:rFonts w:hint="eastAsia"/>
                      <w:snapToGrid w:val="0"/>
                      <w:color w:val="000000" w:themeColor="text1"/>
                      <w:szCs w:val="21"/>
                      <w:highlight w:val="none"/>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567C416A">
                  <w:pPr>
                    <w:widowControl/>
                    <w:spacing w:line="240" w:lineRule="auto"/>
                    <w:ind w:firstLine="0" w:firstLineChars="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cs="Times New Roman"/>
                      <w:smallCaps w:val="0"/>
                      <w:color w:val="000000" w:themeColor="text1"/>
                      <w:kern w:val="0"/>
                      <w:sz w:val="21"/>
                      <w:lang w:val="en-US" w:eastAsia="zh-CN"/>
                      <w14:textFill>
                        <w14:solidFill>
                          <w14:schemeClr w14:val="tx1"/>
                        </w14:solidFill>
                      </w14:textFill>
                    </w:rPr>
                    <w:t>不涉及</w:t>
                  </w:r>
                </w:p>
              </w:tc>
            </w:tr>
            <w:tr w14:paraId="3B117586">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70ACC895">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8</w:t>
                  </w:r>
                </w:p>
              </w:tc>
              <w:tc>
                <w:tcPr>
                  <w:tcW w:w="2245" w:type="pct"/>
                  <w:tcBorders>
                    <w:top w:val="nil"/>
                    <w:left w:val="nil"/>
                    <w:bottom w:val="single" w:color="auto" w:sz="4" w:space="0"/>
                    <w:right w:val="single" w:color="auto" w:sz="4" w:space="0"/>
                  </w:tcBorders>
                  <w:noWrap w:val="0"/>
                  <w:vAlign w:val="center"/>
                </w:tcPr>
                <w:p w14:paraId="07DB4295">
                  <w:pPr>
                    <w:widowControl/>
                    <w:spacing w:line="240" w:lineRule="auto"/>
                    <w:ind w:firstLine="0" w:firstLineChars="0"/>
                    <w:rPr>
                      <w:rFonts w:hint="default" w:ascii="Times New Roman" w:hAnsi="Times New Roman" w:eastAsia="宋体" w:cs="Times New Roman"/>
                      <w:color w:val="000000" w:themeColor="text1"/>
                      <w:highlight w:val="none"/>
                      <w14:textFill>
                        <w14:solidFill>
                          <w14:schemeClr w14:val="tx1"/>
                        </w14:solidFill>
                      </w14:textFill>
                    </w:rPr>
                  </w:pPr>
                  <w:r>
                    <w:rPr>
                      <w:rFonts w:hint="eastAsia" w:cs="Times New Roman"/>
                      <w:color w:val="000000" w:themeColor="text1"/>
                      <w:highlight w:val="none"/>
                      <w:lang w:eastAsia="zh-CN"/>
                      <w14:textFill>
                        <w14:solidFill>
                          <w14:schemeClr w14:val="tx1"/>
                        </w14:solidFill>
                      </w14:textFill>
                    </w:rPr>
                    <w:t>第九条</w:t>
                  </w:r>
                  <w:r>
                    <w:rPr>
                      <w:rFonts w:hint="eastAsia" w:ascii="Times New Roman" w:hAnsi="Times New Roman" w:eastAsia="宋体" w:cs="Times New Roman"/>
                      <w:color w:val="000000" w:themeColor="text1"/>
                      <w:highlight w:val="none"/>
                      <w14:textFill>
                        <w14:solidFill>
                          <w14:schemeClr w14:val="tx1"/>
                        </w14:solidFill>
                      </w14:textFill>
                    </w:rPr>
                    <w:t>项目施工组织方案具有环境合理性，对主体工程区、料场、弃土（渣）场、施工道路等施工区域提出了水土流失防治、生态修复等措施。根据环境保护相关标准和要求，提出了施工期废（污）水、施工机械车辆尾气、扬尘、噪声、固体废物等防治措施</w:t>
                  </w:r>
                </w:p>
              </w:tc>
              <w:tc>
                <w:tcPr>
                  <w:tcW w:w="2050" w:type="pct"/>
                  <w:tcBorders>
                    <w:top w:val="nil"/>
                    <w:left w:val="nil"/>
                    <w:bottom w:val="single" w:color="auto" w:sz="4" w:space="0"/>
                    <w:right w:val="single" w:color="auto" w:sz="4" w:space="0"/>
                  </w:tcBorders>
                  <w:noWrap w:val="0"/>
                  <w:vAlign w:val="center"/>
                </w:tcPr>
                <w:p w14:paraId="1409854E">
                  <w:pPr>
                    <w:widowControl/>
                    <w:spacing w:line="240" w:lineRule="auto"/>
                    <w:ind w:firstLine="0" w:firstLineChars="0"/>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lang w:eastAsia="zh-CN"/>
                      <w14:textFill>
                        <w14:solidFill>
                          <w14:schemeClr w14:val="tx1"/>
                        </w14:solidFill>
                      </w14:textFill>
                    </w:rPr>
                    <w:t>本工程不设置弃土场，在采取环评文件提出的措施后可有效减缓水土流失以及施工期污染物的影响。</w:t>
                  </w:r>
                </w:p>
              </w:tc>
              <w:tc>
                <w:tcPr>
                  <w:tcW w:w="352" w:type="pct"/>
                  <w:tcBorders>
                    <w:top w:val="nil"/>
                    <w:left w:val="nil"/>
                    <w:bottom w:val="single" w:color="auto" w:sz="4" w:space="0"/>
                    <w:right w:val="single" w:color="auto" w:sz="4" w:space="0"/>
                  </w:tcBorders>
                  <w:noWrap/>
                  <w:vAlign w:val="center"/>
                </w:tcPr>
                <w:p w14:paraId="5EF44B09">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1C38069D">
              <w:tblPrEx>
                <w:tblCellMar>
                  <w:top w:w="0" w:type="dxa"/>
                  <w:left w:w="108" w:type="dxa"/>
                  <w:bottom w:w="0" w:type="dxa"/>
                  <w:right w:w="108" w:type="dxa"/>
                </w:tblCellMar>
              </w:tblPrEx>
              <w:trPr>
                <w:trHeight w:val="1080" w:hRule="atLeast"/>
              </w:trPr>
              <w:tc>
                <w:tcPr>
                  <w:tcW w:w="352" w:type="pct"/>
                  <w:tcBorders>
                    <w:top w:val="nil"/>
                    <w:left w:val="single" w:color="auto" w:sz="4" w:space="0"/>
                    <w:bottom w:val="single" w:color="auto" w:sz="4" w:space="0"/>
                    <w:right w:val="single" w:color="auto" w:sz="4" w:space="0"/>
                  </w:tcBorders>
                  <w:noWrap/>
                  <w:vAlign w:val="center"/>
                </w:tcPr>
                <w:p w14:paraId="5AF602EF">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9</w:t>
                  </w:r>
                </w:p>
              </w:tc>
              <w:tc>
                <w:tcPr>
                  <w:tcW w:w="2245" w:type="pct"/>
                  <w:tcBorders>
                    <w:top w:val="nil"/>
                    <w:left w:val="nil"/>
                    <w:bottom w:val="single" w:color="auto" w:sz="4" w:space="0"/>
                    <w:right w:val="single" w:color="auto" w:sz="4" w:space="0"/>
                  </w:tcBorders>
                  <w:noWrap w:val="0"/>
                  <w:vAlign w:val="center"/>
                </w:tcPr>
                <w:p w14:paraId="6147BB52">
                  <w:pPr>
                    <w:widowControl/>
                    <w:spacing w:line="240" w:lineRule="auto"/>
                    <w:ind w:firstLine="0" w:firstLineChars="0"/>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14:textFill>
                        <w14:solidFill>
                          <w14:schemeClr w14:val="tx1"/>
                        </w14:solidFill>
                      </w14:textFill>
                    </w:rPr>
                    <w:t>第十条 项目存在外来物种入侵以及灌溉水质污染等环境风险的，提出了针对性的环境风险防范措施以及环境应急预案编制、建立必要的应急联动机制等要求</w:t>
                  </w:r>
                  <w:r>
                    <w:rPr>
                      <w:rFonts w:hint="eastAsia" w:ascii="Times New Roman" w:hAnsi="Times New Roman" w:eastAsia="宋体" w:cs="Times New Roman"/>
                      <w:color w:val="000000" w:themeColor="text1"/>
                      <w:highlight w:val="none"/>
                      <w:lang w:eastAsia="zh-CN"/>
                      <w14:textFill>
                        <w14:solidFill>
                          <w14:schemeClr w14:val="tx1"/>
                        </w14:solidFill>
                      </w14:textFill>
                    </w:rPr>
                    <w:t>。</w:t>
                  </w:r>
                </w:p>
              </w:tc>
              <w:tc>
                <w:tcPr>
                  <w:tcW w:w="2050" w:type="pct"/>
                  <w:tcBorders>
                    <w:top w:val="nil"/>
                    <w:left w:val="nil"/>
                    <w:bottom w:val="single" w:color="auto" w:sz="4" w:space="0"/>
                    <w:right w:val="single" w:color="auto" w:sz="4" w:space="0"/>
                  </w:tcBorders>
                  <w:noWrap w:val="0"/>
                  <w:vAlign w:val="center"/>
                </w:tcPr>
                <w:p w14:paraId="7593BDBF">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w:t>
                  </w:r>
                  <w:r>
                    <w:rPr>
                      <w:rFonts w:hint="default" w:ascii="Times New Roman" w:hAnsi="Times New Roman" w:cs="Times New Roman"/>
                      <w:smallCaps w:val="0"/>
                      <w:color w:val="000000" w:themeColor="text1"/>
                      <w:kern w:val="0"/>
                      <w:sz w:val="21"/>
                      <w:lang w:val="en-US" w:eastAsia="zh-CN"/>
                      <w14:textFill>
                        <w14:solidFill>
                          <w14:schemeClr w14:val="tx1"/>
                        </w14:solidFill>
                      </w14:textFill>
                    </w:rPr>
                    <w:t>次</w:t>
                  </w:r>
                  <w:r>
                    <w:rPr>
                      <w:rFonts w:hint="default" w:ascii="Times New Roman" w:hAnsi="Times New Roman" w:cs="Times New Roman"/>
                      <w:smallCaps w:val="0"/>
                      <w:color w:val="000000" w:themeColor="text1"/>
                      <w:kern w:val="0"/>
                      <w:sz w:val="21"/>
                      <w14:textFill>
                        <w14:solidFill>
                          <w14:schemeClr w14:val="tx1"/>
                        </w14:solidFill>
                      </w14:textFill>
                    </w:rPr>
                    <w:t>为防洪</w:t>
                  </w:r>
                  <w:r>
                    <w:rPr>
                      <w:rFonts w:hint="default" w:ascii="Times New Roman" w:hAnsi="Times New Roman" w:cs="Times New Roman"/>
                      <w:smallCaps w:val="0"/>
                      <w:color w:val="000000" w:themeColor="text1"/>
                      <w:kern w:val="0"/>
                      <w:sz w:val="21"/>
                      <w:lang w:val="en-US" w:eastAsia="zh-CN"/>
                      <w14:textFill>
                        <w14:solidFill>
                          <w14:schemeClr w14:val="tx1"/>
                        </w14:solidFill>
                      </w14:textFill>
                    </w:rPr>
                    <w:t>提升</w:t>
                  </w:r>
                  <w:r>
                    <w:rPr>
                      <w:rFonts w:hint="default" w:ascii="Times New Roman" w:hAnsi="Times New Roman" w:cs="Times New Roman"/>
                      <w:smallCaps w:val="0"/>
                      <w:color w:val="000000" w:themeColor="text1"/>
                      <w:kern w:val="0"/>
                      <w:sz w:val="21"/>
                      <w14:textFill>
                        <w14:solidFill>
                          <w14:schemeClr w14:val="tx1"/>
                        </w14:solidFill>
                      </w14:textFill>
                    </w:rPr>
                    <w:t>工程，不存在河湖水质污染、富营养化或者外来物种入侵等环境风险。</w:t>
                  </w:r>
                </w:p>
              </w:tc>
              <w:tc>
                <w:tcPr>
                  <w:tcW w:w="352" w:type="pct"/>
                  <w:tcBorders>
                    <w:top w:val="nil"/>
                    <w:left w:val="nil"/>
                    <w:bottom w:val="single" w:color="auto" w:sz="4" w:space="0"/>
                    <w:right w:val="single" w:color="auto" w:sz="4" w:space="0"/>
                  </w:tcBorders>
                  <w:noWrap/>
                  <w:vAlign w:val="center"/>
                </w:tcPr>
                <w:p w14:paraId="51FF5FF0">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099F104E">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30656D81">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10</w:t>
                  </w:r>
                </w:p>
              </w:tc>
              <w:tc>
                <w:tcPr>
                  <w:tcW w:w="2245" w:type="pct"/>
                  <w:tcBorders>
                    <w:top w:val="nil"/>
                    <w:left w:val="nil"/>
                    <w:bottom w:val="single" w:color="auto" w:sz="4" w:space="0"/>
                    <w:right w:val="single" w:color="auto" w:sz="4" w:space="0"/>
                  </w:tcBorders>
                  <w:noWrap w:val="0"/>
                  <w:vAlign w:val="center"/>
                </w:tcPr>
                <w:p w14:paraId="689937B8">
                  <w:pPr>
                    <w:widowControl/>
                    <w:spacing w:line="240" w:lineRule="auto"/>
                    <w:rPr>
                      <w:rFonts w:hint="eastAsia" w:ascii="Times New Roman" w:hAnsi="Times New Roman" w:eastAsia="宋体" w:cs="Times New Roman"/>
                      <w:snapToGrid w:val="0"/>
                      <w:color w:val="000000" w:themeColor="text1"/>
                      <w:szCs w:val="21"/>
                      <w:highlight w:val="none"/>
                      <w:lang w:eastAsia="zh-CN"/>
                      <w14:textFill>
                        <w14:solidFill>
                          <w14:schemeClr w14:val="tx1"/>
                        </w14:solidFill>
                      </w14:textFill>
                    </w:rPr>
                  </w:pPr>
                  <w:r>
                    <w:rPr>
                      <w:rFonts w:ascii="Times New Roman" w:hAnsi="Times New Roman" w:eastAsia="宋体" w:cs="Times New Roman"/>
                      <w:snapToGrid w:val="0"/>
                      <w:color w:val="000000" w:themeColor="text1"/>
                      <w:szCs w:val="21"/>
                      <w:highlight w:val="none"/>
                      <w14:textFill>
                        <w14:solidFill>
                          <w14:schemeClr w14:val="tx1"/>
                        </w14:solidFill>
                      </w14:textFill>
                    </w:rPr>
                    <w:t>第十一条</w:t>
                  </w:r>
                  <w:r>
                    <w:rPr>
                      <w:rFonts w:hint="eastAsia" w:ascii="Times New Roman" w:hAnsi="Times New Roman" w:eastAsia="宋体" w:cs="Times New Roman"/>
                      <w:snapToGrid w:val="0"/>
                      <w:color w:val="000000" w:themeColor="text1"/>
                      <w:szCs w:val="21"/>
                      <w:highlight w:val="none"/>
                      <w14:textFill>
                        <w14:solidFill>
                          <w14:schemeClr w14:val="tx1"/>
                        </w14:solidFill>
                      </w14:textFill>
                    </w:rPr>
                    <w:t> 改、扩建或依托现有工程的项目，在全面梳理与项目有关的现有工程环境问题的基础上，提出了与项目相适应的“以新带老”措施</w:t>
                  </w:r>
                  <w:r>
                    <w:rPr>
                      <w:rFonts w:hint="eastAsia" w:ascii="Times New Roman" w:hAnsi="Times New Roman" w:eastAsia="宋体" w:cs="Times New Roman"/>
                      <w:snapToGrid w:val="0"/>
                      <w:color w:val="000000" w:themeColor="text1"/>
                      <w:szCs w:val="21"/>
                      <w:highlight w:val="none"/>
                      <w:lang w:eastAsia="zh-CN"/>
                      <w14:textFill>
                        <w14:solidFill>
                          <w14:schemeClr w14:val="tx1"/>
                        </w14:solidFill>
                      </w14:textFill>
                    </w:rPr>
                    <w:t>。</w:t>
                  </w:r>
                </w:p>
              </w:tc>
              <w:tc>
                <w:tcPr>
                  <w:tcW w:w="2050" w:type="pct"/>
                  <w:tcBorders>
                    <w:top w:val="nil"/>
                    <w:left w:val="nil"/>
                    <w:bottom w:val="single" w:color="auto" w:sz="4" w:space="0"/>
                    <w:right w:val="single" w:color="auto" w:sz="4" w:space="0"/>
                  </w:tcBorders>
                  <w:noWrap w:val="0"/>
                  <w:vAlign w:val="center"/>
                </w:tcPr>
                <w:p w14:paraId="6423D864">
                  <w:pPr>
                    <w:widowControl/>
                    <w:spacing w:line="240" w:lineRule="auto"/>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根据现状调查可知，</w:t>
                  </w:r>
                  <w:r>
                    <w:rPr>
                      <w:rFonts w:hint="default" w:ascii="Times New Roman" w:hAnsi="Times New Roman" w:cs="Times New Roman"/>
                      <w:color w:val="000000" w:themeColor="text1"/>
                      <w:highlight w:val="none"/>
                      <w:lang w:eastAsia="zh-CN"/>
                      <w14:textFill>
                        <w14:solidFill>
                          <w14:schemeClr w14:val="tx1"/>
                        </w14:solidFill>
                      </w14:textFill>
                    </w:rPr>
                    <w:t>青</w:t>
                  </w:r>
                  <w:r>
                    <w:rPr>
                      <w:rFonts w:hint="default" w:ascii="Times New Roman" w:hAnsi="Times New Roman" w:cs="Times New Roman"/>
                      <w:color w:val="000000" w:themeColor="text1"/>
                      <w:highlight w:val="none"/>
                      <w14:textFill>
                        <w14:solidFill>
                          <w14:schemeClr w14:val="tx1"/>
                        </w14:solidFill>
                      </w14:textFill>
                    </w:rPr>
                    <w:t>山水库运行多年，但是由于库区上游植被覆盖率较高，水土流失得到有效控制</w:t>
                  </w:r>
                  <w:r>
                    <w:rPr>
                      <w:rFonts w:hint="default" w:ascii="Times New Roman" w:hAnsi="Times New Roman" w:cs="Times New Roman"/>
                      <w:color w:val="000000" w:themeColor="text1"/>
                      <w:highlight w:val="none"/>
                      <w:lang w:val="en-US" w:eastAsia="zh-CN"/>
                      <w14:textFill>
                        <w14:solidFill>
                          <w14:schemeClr w14:val="tx1"/>
                        </w14:solidFill>
                      </w14:textFill>
                    </w:rPr>
                    <w:t>，因此不涉及</w:t>
                  </w:r>
                  <w:r>
                    <w:rPr>
                      <w:rFonts w:hint="default" w:ascii="Times New Roman" w:hAnsi="Times New Roman" w:cs="Times New Roman"/>
                      <w:smallCaps w:val="0"/>
                      <w:color w:val="000000" w:themeColor="text1"/>
                      <w:kern w:val="0"/>
                      <w:sz w:val="21"/>
                      <w14:textFill>
                        <w14:solidFill>
                          <w14:schemeClr w14:val="tx1"/>
                        </w14:solidFill>
                      </w14:textFill>
                    </w:rPr>
                    <w:t>“以新带老”措施</w:t>
                  </w:r>
                  <w:r>
                    <w:rPr>
                      <w:rFonts w:hint="default" w:ascii="Times New Roman" w:hAnsi="Times New Roman" w:cs="Times New Roman"/>
                      <w:smallCaps w:val="0"/>
                      <w:color w:val="000000" w:themeColor="text1"/>
                      <w:kern w:val="0"/>
                      <w:sz w:val="21"/>
                      <w:lang w:eastAsia="zh-CN"/>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3C9499A9">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4697CBE2">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2B8717DA">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11</w:t>
                  </w:r>
                </w:p>
              </w:tc>
              <w:tc>
                <w:tcPr>
                  <w:tcW w:w="2245" w:type="pct"/>
                  <w:tcBorders>
                    <w:top w:val="nil"/>
                    <w:left w:val="nil"/>
                    <w:bottom w:val="single" w:color="auto" w:sz="4" w:space="0"/>
                    <w:right w:val="single" w:color="auto" w:sz="4" w:space="0"/>
                  </w:tcBorders>
                  <w:noWrap w:val="0"/>
                  <w:vAlign w:val="center"/>
                </w:tcPr>
                <w:p w14:paraId="50AB68CC">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第十二条</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 按相关导则及规定要求，制定了生态、水、土壤等环境要素的监测计划，明确了监测网点、因子、频次等有关要求，提出了根据监测评估结果优化环境保护措施的要求。根据生态环境保护需要和相关规定，提出了开展生态环境保护设计、科学研究、环境管理、环境影响后评价等要求。</w:t>
                  </w:r>
                </w:p>
              </w:tc>
              <w:tc>
                <w:tcPr>
                  <w:tcW w:w="2050" w:type="pct"/>
                  <w:tcBorders>
                    <w:top w:val="nil"/>
                    <w:left w:val="nil"/>
                    <w:bottom w:val="single" w:color="auto" w:sz="4" w:space="0"/>
                    <w:right w:val="single" w:color="auto" w:sz="4" w:space="0"/>
                  </w:tcBorders>
                  <w:noWrap w:val="0"/>
                  <w:vAlign w:val="center"/>
                </w:tcPr>
                <w:p w14:paraId="1CE6DAA3">
                  <w:pPr>
                    <w:widowControl/>
                    <w:spacing w:line="240" w:lineRule="auto"/>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本项目按</w:t>
                  </w:r>
                  <w:r>
                    <w:rPr>
                      <w:snapToGrid w:val="0"/>
                      <w:color w:val="000000" w:themeColor="text1"/>
                      <w:szCs w:val="21"/>
                      <w:highlight w:val="none"/>
                      <w14:textFill>
                        <w14:solidFill>
                          <w14:schemeClr w14:val="tx1"/>
                        </w14:solidFill>
                      </w14:textFill>
                    </w:rPr>
                    <w:t>本项目按照《建设项目环境影响报告表编制技术指南（生态影响类）（试行）》</w:t>
                  </w:r>
                  <w:r>
                    <w:rPr>
                      <w:rFonts w:hint="eastAsia"/>
                      <w:snapToGrid w:val="0"/>
                      <w:color w:val="000000" w:themeColor="text1"/>
                      <w:szCs w:val="21"/>
                      <w:highlight w:val="none"/>
                      <w:lang w:eastAsia="zh-CN"/>
                      <w14:textFill>
                        <w14:solidFill>
                          <w14:schemeClr w14:val="tx1"/>
                        </w14:solidFill>
                      </w14:textFill>
                    </w:rPr>
                    <w:t>的相关要求</w:t>
                  </w:r>
                  <w:r>
                    <w:rPr>
                      <w:rFonts w:hint="default" w:ascii="Times New Roman" w:hAnsi="Times New Roman" w:cs="Times New Roman"/>
                      <w:smallCaps w:val="0"/>
                      <w:color w:val="000000" w:themeColor="text1"/>
                      <w:kern w:val="0"/>
                      <w:sz w:val="21"/>
                      <w14:textFill>
                        <w14:solidFill>
                          <w14:schemeClr w14:val="tx1"/>
                        </w14:solidFill>
                      </w14:textFill>
                    </w:rPr>
                    <w:t>，制定了水环境、生态等环境监测计划，明确了监测网点、因子、频次等，并提出了环境管理有关要求。</w:t>
                  </w:r>
                </w:p>
              </w:tc>
              <w:tc>
                <w:tcPr>
                  <w:tcW w:w="352" w:type="pct"/>
                  <w:tcBorders>
                    <w:top w:val="nil"/>
                    <w:left w:val="nil"/>
                    <w:bottom w:val="single" w:color="auto" w:sz="4" w:space="0"/>
                    <w:right w:val="single" w:color="auto" w:sz="4" w:space="0"/>
                  </w:tcBorders>
                  <w:noWrap/>
                  <w:vAlign w:val="center"/>
                </w:tcPr>
                <w:p w14:paraId="22952B2D">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5FEE5A84">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1F842235">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p>
              </w:tc>
              <w:tc>
                <w:tcPr>
                  <w:tcW w:w="2245" w:type="pct"/>
                  <w:tcBorders>
                    <w:top w:val="nil"/>
                    <w:left w:val="nil"/>
                    <w:bottom w:val="single" w:color="auto" w:sz="4" w:space="0"/>
                    <w:right w:val="single" w:color="auto" w:sz="4" w:space="0"/>
                  </w:tcBorders>
                  <w:noWrap w:val="0"/>
                  <w:vAlign w:val="center"/>
                </w:tcPr>
                <w:p w14:paraId="3CF0CAF3">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第十三条</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 对生态环境保护措施进行了深入论证，建设单位主体责任、投资估算、时间节点、预期效果明确，确保科学有效、安全可行、绿色协调。</w:t>
                  </w:r>
                </w:p>
              </w:tc>
              <w:tc>
                <w:tcPr>
                  <w:tcW w:w="2050" w:type="pct"/>
                  <w:tcBorders>
                    <w:top w:val="nil"/>
                    <w:left w:val="nil"/>
                    <w:bottom w:val="single" w:color="auto" w:sz="4" w:space="0"/>
                    <w:right w:val="single" w:color="auto" w:sz="4" w:space="0"/>
                  </w:tcBorders>
                  <w:shd w:val="clear" w:color="auto" w:fill="auto"/>
                  <w:noWrap w:val="0"/>
                  <w:vAlign w:val="center"/>
                </w:tcPr>
                <w:p w14:paraId="3C7FD366">
                  <w:pPr>
                    <w:widowControl/>
                    <w:spacing w:line="240" w:lineRule="auto"/>
                    <w:rPr>
                      <w:rFonts w:hint="default" w:ascii="Times New Roman" w:hAnsi="Times New Roman" w:eastAsia="宋体" w:cs="Times New Roman"/>
                      <w:smallCaps w:val="0"/>
                      <w:color w:val="000000" w:themeColor="text1"/>
                      <w:kern w:val="0"/>
                      <w:sz w:val="21"/>
                      <w:szCs w:val="24"/>
                      <w:lang w:val="en-US" w:eastAsia="zh-CN" w:bidi="ar-SA"/>
                      <w14:textFill>
                        <w14:solidFill>
                          <w14:schemeClr w14:val="tx1"/>
                        </w14:solidFill>
                      </w14:textFill>
                    </w:rPr>
                  </w:pPr>
                  <w:r>
                    <w:rPr>
                      <w:rFonts w:hint="eastAsia" w:eastAsia="宋体" w:cs="Times New Roman"/>
                      <w:smallCaps w:val="0"/>
                      <w:color w:val="000000" w:themeColor="text1"/>
                      <w:kern w:val="0"/>
                      <w:sz w:val="21"/>
                      <w:lang w:val="en-US" w:eastAsia="zh-CN"/>
                      <w14:textFill>
                        <w14:solidFill>
                          <w14:schemeClr w14:val="tx1"/>
                        </w14:solidFill>
                      </w14:textFill>
                    </w:rPr>
                    <w:t>本项目对环境保护的措施进行了深入论证，从现状、影响到措施进行 有效论证</w:t>
                  </w:r>
                </w:p>
              </w:tc>
              <w:tc>
                <w:tcPr>
                  <w:tcW w:w="352" w:type="pct"/>
                  <w:tcBorders>
                    <w:top w:val="nil"/>
                    <w:left w:val="nil"/>
                    <w:bottom w:val="single" w:color="auto" w:sz="4" w:space="0"/>
                    <w:right w:val="single" w:color="auto" w:sz="4" w:space="0"/>
                  </w:tcBorders>
                  <w:noWrap/>
                  <w:vAlign w:val="center"/>
                </w:tcPr>
                <w:p w14:paraId="1024CCDA">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108C9114">
              <w:tblPrEx>
                <w:tblCellMar>
                  <w:top w:w="0" w:type="dxa"/>
                  <w:left w:w="108" w:type="dxa"/>
                  <w:bottom w:w="0" w:type="dxa"/>
                  <w:right w:w="108" w:type="dxa"/>
                </w:tblCellMar>
              </w:tblPrEx>
              <w:trPr>
                <w:trHeight w:val="270" w:hRule="atLeast"/>
              </w:trPr>
              <w:tc>
                <w:tcPr>
                  <w:tcW w:w="352" w:type="pct"/>
                  <w:tcBorders>
                    <w:top w:val="nil"/>
                    <w:left w:val="single" w:color="auto" w:sz="4" w:space="0"/>
                    <w:bottom w:val="single" w:color="auto" w:sz="4" w:space="0"/>
                    <w:right w:val="single" w:color="auto" w:sz="4" w:space="0"/>
                  </w:tcBorders>
                  <w:noWrap/>
                  <w:vAlign w:val="center"/>
                </w:tcPr>
                <w:p w14:paraId="3FF59612">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12</w:t>
                  </w:r>
                </w:p>
              </w:tc>
              <w:tc>
                <w:tcPr>
                  <w:tcW w:w="2245" w:type="pct"/>
                  <w:tcBorders>
                    <w:top w:val="nil"/>
                    <w:left w:val="nil"/>
                    <w:bottom w:val="single" w:color="auto" w:sz="4" w:space="0"/>
                    <w:right w:val="single" w:color="auto" w:sz="4" w:space="0"/>
                  </w:tcBorders>
                  <w:noWrap w:val="0"/>
                  <w:vAlign w:val="center"/>
                </w:tcPr>
                <w:p w14:paraId="3FD6FD54">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第十四条</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 按相关规定开展了信息公开和公众参与</w:t>
                  </w:r>
                </w:p>
              </w:tc>
              <w:tc>
                <w:tcPr>
                  <w:tcW w:w="2050" w:type="pct"/>
                  <w:tcBorders>
                    <w:top w:val="nil"/>
                    <w:left w:val="nil"/>
                    <w:bottom w:val="single" w:color="auto" w:sz="4" w:space="0"/>
                    <w:right w:val="single" w:color="auto" w:sz="4" w:space="0"/>
                  </w:tcBorders>
                  <w:noWrap w:val="0"/>
                  <w:vAlign w:val="center"/>
                </w:tcPr>
                <w:p w14:paraId="1F97C333">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本次为编制环境影响报告表，不需要开展公众参与。</w:t>
                  </w:r>
                </w:p>
              </w:tc>
              <w:tc>
                <w:tcPr>
                  <w:tcW w:w="352" w:type="pct"/>
                  <w:tcBorders>
                    <w:top w:val="nil"/>
                    <w:left w:val="nil"/>
                    <w:bottom w:val="single" w:color="auto" w:sz="4" w:space="0"/>
                    <w:right w:val="single" w:color="auto" w:sz="4" w:space="0"/>
                  </w:tcBorders>
                  <w:noWrap/>
                  <w:vAlign w:val="center"/>
                </w:tcPr>
                <w:p w14:paraId="6D0C4D6C">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C7ECB47">
              <w:tblPrEx>
                <w:tblCellMar>
                  <w:top w:w="0" w:type="dxa"/>
                  <w:left w:w="108" w:type="dxa"/>
                  <w:bottom w:w="0" w:type="dxa"/>
                  <w:right w:w="108" w:type="dxa"/>
                </w:tblCellMar>
              </w:tblPrEx>
              <w:trPr>
                <w:trHeight w:val="540" w:hRule="atLeast"/>
              </w:trPr>
              <w:tc>
                <w:tcPr>
                  <w:tcW w:w="352" w:type="pct"/>
                  <w:tcBorders>
                    <w:top w:val="nil"/>
                    <w:left w:val="single" w:color="auto" w:sz="4" w:space="0"/>
                    <w:bottom w:val="single" w:color="auto" w:sz="4" w:space="0"/>
                    <w:right w:val="single" w:color="auto" w:sz="4" w:space="0"/>
                  </w:tcBorders>
                  <w:noWrap/>
                  <w:vAlign w:val="center"/>
                </w:tcPr>
                <w:p w14:paraId="33C8C2E9">
                  <w:pPr>
                    <w:widowControl/>
                    <w:numPr>
                      <w:ilvl w:val="0"/>
                      <w:numId w:val="3"/>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13</w:t>
                  </w:r>
                </w:p>
              </w:tc>
              <w:tc>
                <w:tcPr>
                  <w:tcW w:w="2245" w:type="pct"/>
                  <w:tcBorders>
                    <w:top w:val="nil"/>
                    <w:left w:val="nil"/>
                    <w:bottom w:val="single" w:color="auto" w:sz="4" w:space="0"/>
                    <w:right w:val="single" w:color="auto" w:sz="4" w:space="0"/>
                  </w:tcBorders>
                  <w:noWrap w:val="0"/>
                  <w:vAlign w:val="center"/>
                </w:tcPr>
                <w:p w14:paraId="18899007">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第十五条</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 环境影响评价文件编制规范，符合相关管理规定和环评技术标准要求</w:t>
                  </w:r>
                </w:p>
              </w:tc>
              <w:tc>
                <w:tcPr>
                  <w:tcW w:w="2050" w:type="pct"/>
                  <w:tcBorders>
                    <w:top w:val="nil"/>
                    <w:left w:val="nil"/>
                    <w:bottom w:val="single" w:color="auto" w:sz="4" w:space="0"/>
                    <w:right w:val="single" w:color="auto" w:sz="4" w:space="0"/>
                  </w:tcBorders>
                  <w:noWrap w:val="0"/>
                  <w:vAlign w:val="center"/>
                </w:tcPr>
                <w:p w14:paraId="0BA59ABA">
                  <w:pPr>
                    <w:widowControl/>
                    <w:spacing w:line="240" w:lineRule="auto"/>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环境影响评价文件按规范、相关管理规定和环评技术标准要求进行编制。</w:t>
                  </w:r>
                </w:p>
              </w:tc>
              <w:tc>
                <w:tcPr>
                  <w:tcW w:w="352" w:type="pct"/>
                  <w:tcBorders>
                    <w:top w:val="nil"/>
                    <w:left w:val="nil"/>
                    <w:bottom w:val="single" w:color="auto" w:sz="4" w:space="0"/>
                    <w:right w:val="single" w:color="auto" w:sz="4" w:space="0"/>
                  </w:tcBorders>
                  <w:noWrap/>
                  <w:vAlign w:val="center"/>
                </w:tcPr>
                <w:p w14:paraId="74CE34BD">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bl>
          <w:p w14:paraId="6F958556">
            <w:pPr>
              <w:autoSpaceDE w:val="0"/>
              <w:autoSpaceDN w:val="0"/>
              <w:adjustRightInd w:val="0"/>
              <w:snapToGrid w:val="0"/>
              <w:spacing w:line="360" w:lineRule="auto"/>
              <w:ind w:firstLine="482" w:firstLineChars="200"/>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pPr>
            <w:r>
              <w:rPr>
                <w:rFonts w:hint="eastAsia"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10、</w:t>
            </w:r>
            <w:r>
              <w:rPr>
                <w:rFonts w:hint="default" w:ascii="Times New Roman" w:hAnsi="Times New Roman" w:eastAsia="宋体" w:cs="Times New Roman"/>
                <w:b/>
                <w:color w:val="000000" w:themeColor="text1"/>
                <w:sz w:val="24"/>
                <w:highlight w:val="none"/>
                <w14:textFill>
                  <w14:solidFill>
                    <w14:schemeClr w14:val="tx1"/>
                  </w14:solidFill>
                </w14:textFill>
              </w:rPr>
              <w:t>与《水利建设项目（引调水工程）环境影响评价文件审批原则（试 行）》的</w:t>
            </w:r>
            <w:r>
              <w:rPr>
                <w:rFonts w:hint="default" w:ascii="Times New Roman" w:hAnsi="Times New Roman" w:cs="Times New Roman"/>
                <w:b/>
                <w:color w:val="000000" w:themeColor="text1"/>
                <w:sz w:val="24"/>
                <w:highlight w:val="none"/>
                <w14:textFill>
                  <w14:solidFill>
                    <w14:schemeClr w14:val="tx1"/>
                  </w14:solidFill>
                </w14:textFill>
              </w:rPr>
              <w:t>符合性分析</w:t>
            </w:r>
          </w:p>
          <w:p w14:paraId="3E622236">
            <w:pPr>
              <w:pStyle w:val="30"/>
              <w:adjustRightInd w:val="0"/>
              <w:snapToGrid w:val="0"/>
              <w:ind w:firstLine="482"/>
              <w:jc w:val="center"/>
              <w:rPr>
                <w:rFonts w:hint="default" w:ascii="Times New Roman" w:hAnsi="Times New Roman" w:cs="Times New Roman"/>
                <w:b/>
                <w:color w:val="000000" w:themeColor="text1"/>
                <w:highlight w:val="none"/>
                <w14:textFill>
                  <w14:solidFill>
                    <w14:schemeClr w14:val="tx1"/>
                  </w14:solidFill>
                </w14:textFill>
              </w:rPr>
            </w:pPr>
            <w:r>
              <w:rPr>
                <w:rFonts w:hint="default" w:ascii="Times New Roman" w:hAnsi="Times New Roman" w:cs="Times New Roman"/>
                <w:b/>
                <w:color w:val="000000" w:themeColor="text1"/>
                <w:highlight w:val="none"/>
                <w14:textFill>
                  <w14:solidFill>
                    <w14:schemeClr w14:val="tx1"/>
                  </w14:solidFill>
                </w14:textFill>
              </w:rPr>
              <w:t>表1-</w:t>
            </w:r>
            <w:r>
              <w:rPr>
                <w:rFonts w:hint="eastAsia" w:ascii="Times New Roman" w:hAnsi="Times New Roman" w:cs="Times New Roman"/>
                <w:b/>
                <w:color w:val="000000" w:themeColor="text1"/>
                <w:highlight w:val="none"/>
                <w:lang w:val="en-US" w:eastAsia="zh-CN"/>
                <w14:textFill>
                  <w14:solidFill>
                    <w14:schemeClr w14:val="tx1"/>
                  </w14:solidFill>
                </w14:textFill>
              </w:rPr>
              <w:t>4</w:t>
            </w:r>
            <w:r>
              <w:rPr>
                <w:rFonts w:hint="default" w:ascii="Times New Roman" w:hAnsi="Times New Roman" w:cs="Times New Roman"/>
                <w:b/>
                <w:color w:val="000000" w:themeColor="text1"/>
                <w:highlight w:val="none"/>
                <w14:textFill>
                  <w14:solidFill>
                    <w14:schemeClr w14:val="tx1"/>
                  </w14:solidFill>
                </w14:textFill>
              </w:rPr>
              <w:t>本项目与审批原则的相符性</w:t>
            </w:r>
          </w:p>
          <w:tbl>
            <w:tblPr>
              <w:tblStyle w:val="22"/>
              <w:tblW w:w="6814" w:type="dxa"/>
              <w:tblInd w:w="0" w:type="dxa"/>
              <w:tblLayout w:type="fixed"/>
              <w:tblCellMar>
                <w:top w:w="0" w:type="dxa"/>
                <w:left w:w="108" w:type="dxa"/>
                <w:bottom w:w="0" w:type="dxa"/>
                <w:right w:w="108" w:type="dxa"/>
              </w:tblCellMar>
            </w:tblPr>
            <w:tblGrid>
              <w:gridCol w:w="480"/>
              <w:gridCol w:w="3060"/>
              <w:gridCol w:w="2794"/>
              <w:gridCol w:w="480"/>
            </w:tblGrid>
            <w:tr w14:paraId="2C78FBCD">
              <w:tblPrEx>
                <w:tblCellMar>
                  <w:top w:w="0" w:type="dxa"/>
                  <w:left w:w="108" w:type="dxa"/>
                  <w:bottom w:w="0" w:type="dxa"/>
                  <w:right w:w="108" w:type="dxa"/>
                </w:tblCellMar>
              </w:tblPrEx>
              <w:trPr>
                <w:trHeight w:val="270" w:hRule="atLeast"/>
              </w:trPr>
              <w:tc>
                <w:tcPr>
                  <w:tcW w:w="352" w:type="pct"/>
                  <w:tcBorders>
                    <w:top w:val="single" w:color="auto" w:sz="4" w:space="0"/>
                    <w:left w:val="single" w:color="auto" w:sz="4" w:space="0"/>
                    <w:bottom w:val="single" w:color="auto" w:sz="4" w:space="0"/>
                    <w:right w:val="single" w:color="auto" w:sz="4" w:space="0"/>
                  </w:tcBorders>
                  <w:noWrap/>
                  <w:vAlign w:val="center"/>
                </w:tcPr>
                <w:p w14:paraId="5850EDAA">
                  <w:pPr>
                    <w:widowControl/>
                    <w:spacing w:line="240" w:lineRule="auto"/>
                    <w:ind w:firstLine="0"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序号</w:t>
                  </w:r>
                </w:p>
              </w:tc>
              <w:tc>
                <w:tcPr>
                  <w:tcW w:w="2245" w:type="pct"/>
                  <w:tcBorders>
                    <w:top w:val="single" w:color="auto" w:sz="4" w:space="0"/>
                    <w:left w:val="nil"/>
                    <w:bottom w:val="single" w:color="auto" w:sz="4" w:space="0"/>
                    <w:right w:val="single" w:color="auto" w:sz="4" w:space="0"/>
                  </w:tcBorders>
                  <w:noWrap/>
                  <w:vAlign w:val="center"/>
                </w:tcPr>
                <w:p w14:paraId="1CB8B53F">
                  <w:pPr>
                    <w:widowControl/>
                    <w:spacing w:line="240" w:lineRule="auto"/>
                    <w:ind w:firstLine="0"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审批原则要求</w:t>
                  </w:r>
                </w:p>
              </w:tc>
              <w:tc>
                <w:tcPr>
                  <w:tcW w:w="2050" w:type="pct"/>
                  <w:tcBorders>
                    <w:top w:val="single" w:color="auto" w:sz="4" w:space="0"/>
                    <w:left w:val="nil"/>
                    <w:bottom w:val="single" w:color="auto" w:sz="4" w:space="0"/>
                    <w:right w:val="single" w:color="auto" w:sz="4" w:space="0"/>
                  </w:tcBorders>
                  <w:noWrap/>
                  <w:vAlign w:val="center"/>
                </w:tcPr>
                <w:p w14:paraId="1FDF8368">
                  <w:pPr>
                    <w:widowControl/>
                    <w:spacing w:line="240" w:lineRule="auto"/>
                    <w:ind w:firstLine="0"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相符性分析</w:t>
                  </w:r>
                </w:p>
              </w:tc>
              <w:tc>
                <w:tcPr>
                  <w:tcW w:w="352" w:type="pct"/>
                  <w:tcBorders>
                    <w:top w:val="single" w:color="auto" w:sz="4" w:space="0"/>
                    <w:left w:val="nil"/>
                    <w:bottom w:val="single" w:color="auto" w:sz="4" w:space="0"/>
                    <w:right w:val="single" w:color="auto" w:sz="4" w:space="0"/>
                  </w:tcBorders>
                  <w:noWrap/>
                  <w:vAlign w:val="center"/>
                </w:tcPr>
                <w:p w14:paraId="6FB3881A">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相符性</w:t>
                  </w:r>
                </w:p>
              </w:tc>
            </w:tr>
            <w:tr w14:paraId="602DFC40">
              <w:tblPrEx>
                <w:tblCellMar>
                  <w:top w:w="0" w:type="dxa"/>
                  <w:left w:w="108" w:type="dxa"/>
                  <w:bottom w:w="0" w:type="dxa"/>
                  <w:right w:w="108" w:type="dxa"/>
                </w:tblCellMar>
              </w:tblPrEx>
              <w:trPr>
                <w:trHeight w:val="270" w:hRule="atLeast"/>
              </w:trPr>
              <w:tc>
                <w:tcPr>
                  <w:tcW w:w="352" w:type="pct"/>
                  <w:tcBorders>
                    <w:top w:val="single" w:color="auto" w:sz="4" w:space="0"/>
                    <w:left w:val="single" w:color="auto" w:sz="4" w:space="0"/>
                    <w:bottom w:val="single" w:color="auto" w:sz="4" w:space="0"/>
                    <w:right w:val="single" w:color="auto" w:sz="4" w:space="0"/>
                  </w:tcBorders>
                  <w:noWrap/>
                  <w:vAlign w:val="center"/>
                </w:tcPr>
                <w:p w14:paraId="73FF6E6A">
                  <w:pPr>
                    <w:widowControl/>
                    <w:numPr>
                      <w:ilvl w:val="0"/>
                      <w:numId w:val="4"/>
                    </w:numPr>
                    <w:spacing w:line="240" w:lineRule="auto"/>
                    <w:ind w:left="425" w:leftChars="0" w:hanging="425" w:firstLineChars="0"/>
                    <w:jc w:val="center"/>
                    <w:rPr>
                      <w:rFonts w:hint="default" w:ascii="Times New Roman" w:hAnsi="Times New Roman" w:cs="Times New Roman"/>
                      <w:smallCaps w:val="0"/>
                      <w:color w:val="000000" w:themeColor="text1"/>
                      <w:kern w:val="0"/>
                      <w:sz w:val="21"/>
                      <w14:textFill>
                        <w14:solidFill>
                          <w14:schemeClr w14:val="tx1"/>
                        </w14:solidFill>
                      </w14:textFill>
                    </w:rPr>
                  </w:pPr>
                </w:p>
              </w:tc>
              <w:tc>
                <w:tcPr>
                  <w:tcW w:w="2245" w:type="pct"/>
                  <w:tcBorders>
                    <w:top w:val="single" w:color="auto" w:sz="4" w:space="0"/>
                    <w:left w:val="nil"/>
                    <w:bottom w:val="single" w:color="auto" w:sz="4" w:space="0"/>
                    <w:right w:val="single" w:color="auto" w:sz="4" w:space="0"/>
                  </w:tcBorders>
                  <w:noWrap/>
                  <w:vAlign w:val="center"/>
                </w:tcPr>
                <w:p w14:paraId="6F254C34">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第</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一条本原则适用于引调水工程环境影响评价文件的审批，其他供水工程及灌溉工程等可参照执行。引调水工程一般由取水枢纽、输水建筑物、控制建筑物、交叉建筑物、调蓄水库以及末端配套工程等组成，空间上一般分为调出区、输水线路区和受水区。</w:t>
                  </w:r>
                </w:p>
              </w:tc>
              <w:tc>
                <w:tcPr>
                  <w:tcW w:w="2050" w:type="pct"/>
                  <w:tcBorders>
                    <w:top w:val="single" w:color="auto" w:sz="4" w:space="0"/>
                    <w:left w:val="nil"/>
                    <w:bottom w:val="single" w:color="auto" w:sz="4" w:space="0"/>
                    <w:right w:val="single" w:color="auto" w:sz="4" w:space="0"/>
                  </w:tcBorders>
                  <w:noWrap/>
                  <w:vAlign w:val="center"/>
                </w:tcPr>
                <w:p w14:paraId="52DAE234">
                  <w:pPr>
                    <w:widowControl/>
                    <w:spacing w:line="240" w:lineRule="auto"/>
                    <w:ind w:firstLine="0" w:firstLineChars="0"/>
                    <w:jc w:val="left"/>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rFonts w:hint="eastAsia" w:cs="Times New Roman"/>
                      <w:smallCaps w:val="0"/>
                      <w:color w:val="000000" w:themeColor="text1"/>
                      <w:kern w:val="0"/>
                      <w:sz w:val="21"/>
                      <w:lang w:eastAsia="zh-CN"/>
                      <w14:textFill>
                        <w14:solidFill>
                          <w14:schemeClr w14:val="tx1"/>
                        </w14:solidFill>
                      </w14:textFill>
                    </w:rPr>
                    <w:t>青山水库主要功能为</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灌溉，</w:t>
                  </w: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保护水库及附近河流水环境和水生态环境</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w:t>
                  </w:r>
                </w:p>
              </w:tc>
              <w:tc>
                <w:tcPr>
                  <w:tcW w:w="352" w:type="pct"/>
                  <w:tcBorders>
                    <w:top w:val="single" w:color="auto" w:sz="4" w:space="0"/>
                    <w:left w:val="nil"/>
                    <w:bottom w:val="single" w:color="auto" w:sz="4" w:space="0"/>
                    <w:right w:val="single" w:color="auto" w:sz="4" w:space="0"/>
                  </w:tcBorders>
                  <w:noWrap/>
                  <w:vAlign w:val="center"/>
                </w:tcPr>
                <w:p w14:paraId="03A24A17">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51D78DC9">
              <w:tblPrEx>
                <w:tblCellMar>
                  <w:top w:w="0" w:type="dxa"/>
                  <w:left w:w="108" w:type="dxa"/>
                  <w:bottom w:w="0" w:type="dxa"/>
                  <w:right w:w="108" w:type="dxa"/>
                </w:tblCellMar>
              </w:tblPrEx>
              <w:trPr>
                <w:trHeight w:val="2220" w:hRule="atLeast"/>
              </w:trPr>
              <w:tc>
                <w:tcPr>
                  <w:tcW w:w="352" w:type="pct"/>
                  <w:tcBorders>
                    <w:top w:val="nil"/>
                    <w:left w:val="single" w:color="auto" w:sz="4" w:space="0"/>
                    <w:bottom w:val="single" w:color="auto" w:sz="4" w:space="0"/>
                    <w:right w:val="single" w:color="auto" w:sz="4" w:space="0"/>
                  </w:tcBorders>
                  <w:noWrap/>
                  <w:vAlign w:val="center"/>
                </w:tcPr>
                <w:p w14:paraId="6251DB14">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1</w:t>
                  </w:r>
                </w:p>
              </w:tc>
              <w:tc>
                <w:tcPr>
                  <w:tcW w:w="2245" w:type="pct"/>
                  <w:tcBorders>
                    <w:top w:val="nil"/>
                    <w:left w:val="nil"/>
                    <w:bottom w:val="single" w:color="auto" w:sz="4" w:space="0"/>
                    <w:right w:val="single" w:color="auto" w:sz="4" w:space="0"/>
                  </w:tcBorders>
                  <w:noWrap w:val="0"/>
                  <w:vAlign w:val="center"/>
                </w:tcPr>
                <w:p w14:paraId="031AD869">
                  <w:pPr>
                    <w:widowControl/>
                    <w:spacing w:line="240" w:lineRule="auto"/>
                    <w:ind w:firstLine="0" w:firstLineChars="0"/>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第</w:t>
                  </w: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二条项目符合资源与环境保护相关法律法规和政策，与主</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体功能区规划、生态功能区划等相协调，开发任务、供水范围及对象、调水规模、选址选线等工程主要内容总体满足流域综合规划、水资源综合规划、水资源开发利用（含供水）规划、工程规划、流域水污染防治规划、流域生态保护规划等相关规划、规划环评及审查意见要求。</w:t>
                  </w:r>
                </w:p>
              </w:tc>
              <w:tc>
                <w:tcPr>
                  <w:tcW w:w="2050" w:type="pct"/>
                  <w:tcBorders>
                    <w:top w:val="nil"/>
                    <w:left w:val="nil"/>
                    <w:bottom w:val="single" w:color="auto" w:sz="4" w:space="0"/>
                    <w:right w:val="single" w:color="auto" w:sz="4" w:space="0"/>
                  </w:tcBorders>
                  <w:noWrap w:val="0"/>
                  <w:vAlign w:val="center"/>
                </w:tcPr>
                <w:p w14:paraId="6CCD14E7">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本项目</w:t>
                  </w:r>
                  <w:r>
                    <w:rPr>
                      <w:rFonts w:hint="default" w:ascii="Times New Roman" w:hAnsi="Times New Roman" w:eastAsia="宋体" w:cs="Times New Roman"/>
                      <w:smallCaps w:val="0"/>
                      <w:color w:val="000000" w:themeColor="text1"/>
                      <w:kern w:val="0"/>
                      <w:sz w:val="21"/>
                      <w14:textFill>
                        <w14:solidFill>
                          <w14:schemeClr w14:val="tx1"/>
                        </w14:solidFill>
                      </w14:textFill>
                    </w:rPr>
                    <w:t>建设与主体功能区规划、生态功能区划等相协调。工程不涉及岸线调整、裁弯取直、围垦水面</w:t>
                  </w:r>
                  <w:r>
                    <w:rPr>
                      <w:rFonts w:hint="default" w:ascii="Times New Roman" w:hAnsi="Times New Roman" w:cs="Times New Roman"/>
                      <w:smallCaps w:val="0"/>
                      <w:color w:val="000000" w:themeColor="text1"/>
                      <w:kern w:val="0"/>
                      <w:sz w:val="21"/>
                      <w14:textFill>
                        <w14:solidFill>
                          <w14:schemeClr w14:val="tx1"/>
                        </w14:solidFill>
                      </w14:textFill>
                    </w:rPr>
                    <w:t>和占用河湖滩地等建设内容。</w:t>
                  </w:r>
                </w:p>
              </w:tc>
              <w:tc>
                <w:tcPr>
                  <w:tcW w:w="352" w:type="pct"/>
                  <w:tcBorders>
                    <w:top w:val="nil"/>
                    <w:left w:val="nil"/>
                    <w:bottom w:val="single" w:color="auto" w:sz="4" w:space="0"/>
                    <w:right w:val="single" w:color="auto" w:sz="4" w:space="0"/>
                  </w:tcBorders>
                  <w:noWrap/>
                  <w:vAlign w:val="center"/>
                </w:tcPr>
                <w:p w14:paraId="6114D2B9">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FFB02F6">
              <w:tblPrEx>
                <w:tblCellMar>
                  <w:top w:w="0" w:type="dxa"/>
                  <w:left w:w="108" w:type="dxa"/>
                  <w:bottom w:w="0" w:type="dxa"/>
                  <w:right w:w="108" w:type="dxa"/>
                </w:tblCellMar>
              </w:tblPrEx>
              <w:trPr>
                <w:trHeight w:val="1350" w:hRule="atLeast"/>
              </w:trPr>
              <w:tc>
                <w:tcPr>
                  <w:tcW w:w="352" w:type="pct"/>
                  <w:tcBorders>
                    <w:top w:val="nil"/>
                    <w:left w:val="single" w:color="auto" w:sz="4" w:space="0"/>
                    <w:bottom w:val="single" w:color="auto" w:sz="4" w:space="0"/>
                    <w:right w:val="single" w:color="auto" w:sz="4" w:space="0"/>
                  </w:tcBorders>
                  <w:noWrap/>
                  <w:vAlign w:val="center"/>
                </w:tcPr>
                <w:p w14:paraId="2C0F15E4">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2</w:t>
                  </w:r>
                </w:p>
              </w:tc>
              <w:tc>
                <w:tcPr>
                  <w:tcW w:w="2245" w:type="pct"/>
                  <w:tcBorders>
                    <w:top w:val="nil"/>
                    <w:left w:val="nil"/>
                    <w:bottom w:val="single" w:color="auto" w:sz="4" w:space="0"/>
                    <w:right w:val="single" w:color="auto" w:sz="4" w:space="0"/>
                  </w:tcBorders>
                  <w:noWrap w:val="0"/>
                  <w:vAlign w:val="center"/>
                </w:tcPr>
                <w:p w14:paraId="21DB4FA6">
                  <w:pPr>
                    <w:widowControl/>
                    <w:spacing w:line="240" w:lineRule="auto"/>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第</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三条工程选址选线、施工布置和水库淹没原则上不得占用自然保护区、风景名胜区、生态保护红线等敏感区内法律法规禁止占用的区域和已明确作为栖息地保护区域，并与饮用水水源保护区的有关保护要求相协调。</w:t>
                  </w:r>
                </w:p>
              </w:tc>
              <w:tc>
                <w:tcPr>
                  <w:tcW w:w="2050" w:type="pct"/>
                  <w:tcBorders>
                    <w:top w:val="nil"/>
                    <w:left w:val="nil"/>
                    <w:bottom w:val="single" w:color="auto" w:sz="4" w:space="0"/>
                    <w:right w:val="single" w:color="auto" w:sz="4" w:space="0"/>
                  </w:tcBorders>
                  <w:noWrap w:val="0"/>
                  <w:vAlign w:val="center"/>
                </w:tcPr>
                <w:p w14:paraId="136E442E">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ascii="Times New Roman" w:hAnsi="Times New Roman" w:eastAsia="宋体" w:cs="Times New Roman"/>
                      <w:smallCaps w:val="0"/>
                      <w:color w:val="000000" w:themeColor="text1"/>
                      <w:kern w:val="0"/>
                      <w:sz w:val="21"/>
                      <w14:textFill>
                        <w14:solidFill>
                          <w14:schemeClr w14:val="tx1"/>
                        </w14:solidFill>
                      </w14:textFill>
                    </w:rPr>
                    <w:t>本项目选址选线、施工布置等不涉及生态保护红线，不涉及占用自然保护区等其他环境敏感区中法律法规禁止占用的区域，综上，本项目建设与第三条是相符合的。</w:t>
                  </w:r>
                </w:p>
              </w:tc>
              <w:tc>
                <w:tcPr>
                  <w:tcW w:w="352" w:type="pct"/>
                  <w:tcBorders>
                    <w:top w:val="nil"/>
                    <w:left w:val="nil"/>
                    <w:bottom w:val="single" w:color="auto" w:sz="4" w:space="0"/>
                    <w:right w:val="single" w:color="auto" w:sz="4" w:space="0"/>
                  </w:tcBorders>
                  <w:noWrap/>
                  <w:vAlign w:val="center"/>
                </w:tcPr>
                <w:p w14:paraId="7B869782">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58A8327D">
              <w:tblPrEx>
                <w:tblCellMar>
                  <w:top w:w="0" w:type="dxa"/>
                  <w:left w:w="108" w:type="dxa"/>
                  <w:bottom w:w="0" w:type="dxa"/>
                  <w:right w:w="108" w:type="dxa"/>
                </w:tblCellMar>
              </w:tblPrEx>
              <w:trPr>
                <w:trHeight w:val="2145" w:hRule="atLeast"/>
              </w:trPr>
              <w:tc>
                <w:tcPr>
                  <w:tcW w:w="352" w:type="pct"/>
                  <w:tcBorders>
                    <w:top w:val="nil"/>
                    <w:left w:val="single" w:color="auto" w:sz="4" w:space="0"/>
                    <w:bottom w:val="single" w:color="auto" w:sz="4" w:space="0"/>
                    <w:right w:val="single" w:color="auto" w:sz="4" w:space="0"/>
                  </w:tcBorders>
                  <w:noWrap/>
                  <w:vAlign w:val="center"/>
                </w:tcPr>
                <w:p w14:paraId="503965BE">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3</w:t>
                  </w:r>
                </w:p>
              </w:tc>
              <w:tc>
                <w:tcPr>
                  <w:tcW w:w="2245" w:type="pct"/>
                  <w:tcBorders>
                    <w:top w:val="nil"/>
                    <w:left w:val="nil"/>
                    <w:bottom w:val="single" w:color="auto" w:sz="4" w:space="0"/>
                    <w:right w:val="single" w:color="auto" w:sz="4" w:space="0"/>
                  </w:tcBorders>
                  <w:noWrap w:val="0"/>
                  <w:vAlign w:val="center"/>
                </w:tcPr>
                <w:p w14:paraId="48530260">
                  <w:pPr>
                    <w:widowControl/>
                    <w:spacing w:line="240" w:lineRule="auto"/>
                    <w:rPr>
                      <w:rFonts w:hint="default" w:ascii="Times New Roman" w:hAnsi="Times New Roman" w:eastAsia="宋体" w:cs="Times New Roman"/>
                      <w:color w:val="000000" w:themeColor="text1"/>
                      <w:szCs w:val="21"/>
                      <w:highlight w:val="none"/>
                      <w14:textFill>
                        <w14:solidFill>
                          <w14:schemeClr w14:val="tx1"/>
                        </w14:solidFill>
                      </w14:textFill>
                    </w:rPr>
                  </w:pPr>
                  <w:r>
                    <w:rPr>
                      <w:rFonts w:ascii="Times New Roman" w:hAnsi="Times New Roman" w:eastAsia="宋体" w:cs="Times New Roman"/>
                      <w:color w:val="000000" w:themeColor="text1"/>
                      <w:szCs w:val="21"/>
                      <w:highlight w:val="none"/>
                      <w14:textFill>
                        <w14:solidFill>
                          <w14:schemeClr w14:val="tx1"/>
                        </w14:solidFill>
                      </w14:textFill>
                    </w:rPr>
                    <w:t>第</w:t>
                  </w:r>
                  <w:r>
                    <w:rPr>
                      <w:rFonts w:ascii="Times New Roman" w:hAnsi="Times New Roman" w:eastAsia="宋体" w:cs="Times New Roman"/>
                      <w:color w:val="000000" w:themeColor="text1"/>
                      <w:szCs w:val="21"/>
                      <w:highlight w:val="none"/>
                      <w:lang w:val="en-US" w:eastAsia="zh-CN"/>
                      <w14:textFill>
                        <w14:solidFill>
                          <w14:schemeClr w14:val="tx1"/>
                        </w14:solidFill>
                      </w14:textFill>
                    </w:rPr>
                    <w:t>四条项目调水和水库调蓄造成调出区取水枢纽下游水量减</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少和水文情势改变且带来不利影响的，在统筹考虑满足下游河道水生生态、水环境、景观、湿地等生态环境用水及生产、生活用水需求的基础上，提出了调水总量和过程控制、输水线路或末端调蓄能力保障、生态流量泄放、生态（联合）调度等措施，明确了生态流量泄放和在线监测设施以及管理措施等内容。针对水库下泄或调出低温水、泄洪造成的气体过饱和等导致的不利生态环境影响，提出了分层取水、优化泄洪形式或调度方式、管理等措施。根据水质管理目标要求，提出了水源区污染源治理、库底环境清理、污水处理等水质保障措施；兼顾城乡生活供水任务的，还提出了划定饮用水水源保护区、设置隔离防护带等措施。</w:t>
                  </w:r>
                </w:p>
              </w:tc>
              <w:tc>
                <w:tcPr>
                  <w:tcW w:w="2050" w:type="pct"/>
                  <w:tcBorders>
                    <w:top w:val="nil"/>
                    <w:left w:val="nil"/>
                    <w:bottom w:val="single" w:color="auto" w:sz="4" w:space="0"/>
                    <w:right w:val="single" w:color="auto" w:sz="4" w:space="0"/>
                  </w:tcBorders>
                  <w:noWrap w:val="0"/>
                  <w:vAlign w:val="center"/>
                </w:tcPr>
                <w:p w14:paraId="6D4EF1B4">
                  <w:pPr>
                    <w:widowControl/>
                    <w:spacing w:line="240" w:lineRule="auto"/>
                    <w:rPr>
                      <w:rFonts w:hint="default" w:ascii="Times New Roman" w:hAnsi="Times New Roman" w:cs="Times New Roman"/>
                      <w:smallCaps w:val="0"/>
                      <w:color w:val="000000" w:themeColor="text1"/>
                      <w:kern w:val="0"/>
                      <w:sz w:val="21"/>
                      <w14:textFill>
                        <w14:solidFill>
                          <w14:schemeClr w14:val="tx1"/>
                        </w14:solidFill>
                      </w14:textFill>
                    </w:rPr>
                  </w:pPr>
                  <w:r>
                    <w:rPr>
                      <w:color w:val="000000" w:themeColor="text1"/>
                      <w:highlight w:val="none"/>
                      <w14:textFill>
                        <w14:solidFill>
                          <w14:schemeClr w14:val="tx1"/>
                        </w14:solidFill>
                      </w14:textFill>
                    </w:rPr>
                    <w:t>本项目为</w:t>
                  </w:r>
                  <w:r>
                    <w:rPr>
                      <w:color w:val="000000" w:themeColor="text1"/>
                      <w:szCs w:val="21"/>
                      <w:highlight w:val="none"/>
                      <w14:textFill>
                        <w14:solidFill>
                          <w14:schemeClr w14:val="tx1"/>
                        </w14:solidFill>
                      </w14:textFill>
                    </w:rPr>
                    <w:t>除险加固工程</w:t>
                  </w:r>
                  <w:r>
                    <w:rPr>
                      <w:color w:val="000000" w:themeColor="text1"/>
                      <w:highlight w:val="none"/>
                      <w14:textFill>
                        <w14:solidFill>
                          <w14:schemeClr w14:val="tx1"/>
                        </w14:solidFill>
                      </w14:textFill>
                    </w:rPr>
                    <w:t>项目，</w:t>
                  </w:r>
                  <w:r>
                    <w:rPr>
                      <w:rFonts w:hint="eastAsia"/>
                      <w:color w:val="000000" w:themeColor="text1"/>
                      <w:szCs w:val="21"/>
                      <w14:textFill>
                        <w14:solidFill>
                          <w14:schemeClr w14:val="tx1"/>
                        </w14:solidFill>
                      </w14:textFill>
                    </w:rPr>
                    <w:t>不改变水动力条件，运行期工程本身不排污不会对水质产生不利影响，不会对地下水产生不利影响，工程沿线不涉及居民用水安全，不涉及土壤盐渍化等问题，综上，本项目建设与第四条是相符合的。</w:t>
                  </w:r>
                </w:p>
              </w:tc>
              <w:tc>
                <w:tcPr>
                  <w:tcW w:w="352" w:type="pct"/>
                  <w:tcBorders>
                    <w:top w:val="nil"/>
                    <w:left w:val="nil"/>
                    <w:bottom w:val="single" w:color="auto" w:sz="4" w:space="0"/>
                    <w:right w:val="single" w:color="auto" w:sz="4" w:space="0"/>
                  </w:tcBorders>
                  <w:noWrap/>
                  <w:vAlign w:val="center"/>
                </w:tcPr>
                <w:p w14:paraId="4F4031F3">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4EAF7483">
              <w:tblPrEx>
                <w:tblCellMar>
                  <w:top w:w="0" w:type="dxa"/>
                  <w:left w:w="108" w:type="dxa"/>
                  <w:bottom w:w="0" w:type="dxa"/>
                  <w:right w:w="108" w:type="dxa"/>
                </w:tblCellMar>
              </w:tblPrEx>
              <w:trPr>
                <w:trHeight w:val="665" w:hRule="atLeast"/>
              </w:trPr>
              <w:tc>
                <w:tcPr>
                  <w:tcW w:w="352" w:type="pct"/>
                  <w:tcBorders>
                    <w:top w:val="nil"/>
                    <w:left w:val="single" w:color="auto" w:sz="4" w:space="0"/>
                    <w:bottom w:val="single" w:color="auto" w:sz="4" w:space="0"/>
                    <w:right w:val="single" w:color="auto" w:sz="4" w:space="0"/>
                  </w:tcBorders>
                  <w:noWrap/>
                  <w:vAlign w:val="center"/>
                </w:tcPr>
                <w:p w14:paraId="6F615F8E">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4</w:t>
                  </w:r>
                </w:p>
              </w:tc>
              <w:tc>
                <w:tcPr>
                  <w:tcW w:w="2245" w:type="pct"/>
                  <w:tcBorders>
                    <w:top w:val="nil"/>
                    <w:left w:val="nil"/>
                    <w:bottom w:val="single" w:color="auto" w:sz="4" w:space="0"/>
                    <w:right w:val="single" w:color="auto" w:sz="4" w:space="0"/>
                  </w:tcBorders>
                  <w:noWrap w:val="0"/>
                  <w:vAlign w:val="center"/>
                </w:tcPr>
                <w:p w14:paraId="773567FD">
                  <w:pPr>
                    <w:widowControl/>
                    <w:spacing w:line="240" w:lineRule="auto"/>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第</w:t>
                  </w:r>
                  <w:r>
                    <w:rPr>
                      <w:rFonts w:ascii="Times New Roman" w:hAnsi="Times New Roman" w:eastAsia="宋体" w:cs="Times New Roman"/>
                      <w:color w:val="000000" w:themeColor="text1"/>
                      <w:szCs w:val="21"/>
                      <w:lang w:val="en-US" w:eastAsia="zh-CN"/>
                      <w14:textFill>
                        <w14:solidFill>
                          <w14:schemeClr w14:val="tx1"/>
                        </w14:solidFill>
                      </w14:textFill>
                    </w:rPr>
                    <w:t>五条根据输水线路水环境保护需求，提出了划定饮用水水</w:t>
                  </w:r>
                  <w:r>
                    <w:rPr>
                      <w:rFonts w:hint="eastAsia" w:ascii="Times New Roman" w:hAnsi="Times New Roman" w:eastAsia="宋体" w:cs="Times New Roman"/>
                      <w:color w:val="000000" w:themeColor="text1"/>
                      <w:szCs w:val="21"/>
                      <w:lang w:val="en-US" w:eastAsia="zh-CN"/>
                      <w14:textFill>
                        <w14:solidFill>
                          <w14:schemeClr w14:val="tx1"/>
                        </w14:solidFill>
                      </w14:textFill>
                    </w:rPr>
                    <w:t>源保护区、源头治理、截污导流、河道清淤或建设隔离带等措施，保障输水水质达标。输水河湖具有航运、旅游等其他功能且可能对水质安全带来不利影响的，提出了不得影响输水水质的港口码头选址建设要求、制定限制或禁止运输的货物种类目录、船舶污染防治等水污染防范措施</w:t>
                  </w:r>
                  <w:r>
                    <w:rPr>
                      <w:rFonts w:hint="eastAsia" w:ascii="Times New Roman" w:hAnsi="Times New Roman" w:eastAsia="宋体" w:cs="Times New Roman"/>
                      <w:color w:val="000000" w:themeColor="text1"/>
                      <w:szCs w:val="21"/>
                      <w:lang w:eastAsia="zh-CN"/>
                      <w14:textFill>
                        <w14:solidFill>
                          <w14:schemeClr w14:val="tx1"/>
                        </w14:solidFill>
                      </w14:textFill>
                    </w:rPr>
                    <w:t>。</w:t>
                  </w:r>
                </w:p>
              </w:tc>
              <w:tc>
                <w:tcPr>
                  <w:tcW w:w="2050" w:type="pct"/>
                  <w:tcBorders>
                    <w:top w:val="nil"/>
                    <w:left w:val="nil"/>
                    <w:bottom w:val="single" w:color="auto" w:sz="4" w:space="0"/>
                    <w:right w:val="single" w:color="auto" w:sz="4" w:space="0"/>
                  </w:tcBorders>
                  <w:noWrap w:val="0"/>
                  <w:vAlign w:val="center"/>
                </w:tcPr>
                <w:p w14:paraId="6C2415DA">
                  <w:pPr>
                    <w:widowControl/>
                    <w:spacing w:line="240" w:lineRule="auto"/>
                    <w:rPr>
                      <w:rFonts w:hint="eastAsia" w:ascii="Times New Roman" w:hAnsi="Times New Roman" w:eastAsia="宋体" w:cs="Times New Roman"/>
                      <w:smallCaps w:val="0"/>
                      <w:color w:val="000000" w:themeColor="text1"/>
                      <w:kern w:val="0"/>
                      <w:sz w:val="21"/>
                      <w:highlight w:val="yellow"/>
                      <w:lang w:eastAsia="zh-CN"/>
                      <w14:textFill>
                        <w14:solidFill>
                          <w14:schemeClr w14:val="tx1"/>
                        </w14:solidFill>
                      </w14:textFill>
                    </w:rPr>
                  </w:pPr>
                  <w:r>
                    <w:rPr>
                      <w:rFonts w:hint="eastAsia" w:ascii="Times New Roman" w:hAnsi="Times New Roman" w:cs="Times New Roman"/>
                      <w:smallCaps w:val="0"/>
                      <w:color w:val="000000" w:themeColor="text1"/>
                      <w:kern w:val="0"/>
                      <w:sz w:val="21"/>
                      <w:highlight w:val="none"/>
                      <w:lang w:eastAsia="zh-CN"/>
                      <w14:textFill>
                        <w14:solidFill>
                          <w14:schemeClr w14:val="tx1"/>
                        </w14:solidFill>
                      </w14:textFill>
                    </w:rPr>
                    <w:t>青山水库周边无饮用水保护区，该水库主要功能为灌溉，不涉及饮用水饮水。</w:t>
                  </w:r>
                </w:p>
              </w:tc>
              <w:tc>
                <w:tcPr>
                  <w:tcW w:w="352" w:type="pct"/>
                  <w:tcBorders>
                    <w:top w:val="nil"/>
                    <w:left w:val="nil"/>
                    <w:bottom w:val="single" w:color="auto" w:sz="4" w:space="0"/>
                    <w:right w:val="single" w:color="auto" w:sz="4" w:space="0"/>
                  </w:tcBorders>
                  <w:noWrap/>
                  <w:vAlign w:val="center"/>
                </w:tcPr>
                <w:p w14:paraId="194A934B">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55D4E0BE">
              <w:tblPrEx>
                <w:tblCellMar>
                  <w:top w:w="0" w:type="dxa"/>
                  <w:left w:w="108" w:type="dxa"/>
                  <w:bottom w:w="0" w:type="dxa"/>
                  <w:right w:w="108" w:type="dxa"/>
                </w:tblCellMar>
              </w:tblPrEx>
              <w:trPr>
                <w:trHeight w:val="1125" w:hRule="atLeast"/>
              </w:trPr>
              <w:tc>
                <w:tcPr>
                  <w:tcW w:w="352" w:type="pct"/>
                  <w:tcBorders>
                    <w:top w:val="nil"/>
                    <w:left w:val="single" w:color="auto" w:sz="4" w:space="0"/>
                    <w:bottom w:val="single" w:color="auto" w:sz="4" w:space="0"/>
                    <w:right w:val="single" w:color="auto" w:sz="4" w:space="0"/>
                  </w:tcBorders>
                  <w:noWrap/>
                  <w:vAlign w:val="center"/>
                </w:tcPr>
                <w:p w14:paraId="23014FF3">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5</w:t>
                  </w:r>
                </w:p>
              </w:tc>
              <w:tc>
                <w:tcPr>
                  <w:tcW w:w="2245" w:type="pct"/>
                  <w:tcBorders>
                    <w:top w:val="nil"/>
                    <w:left w:val="nil"/>
                    <w:bottom w:val="single" w:color="auto" w:sz="4" w:space="0"/>
                    <w:right w:val="single" w:color="auto" w:sz="4" w:space="0"/>
                  </w:tcBorders>
                  <w:noWrap w:val="0"/>
                  <w:vAlign w:val="center"/>
                </w:tcPr>
                <w:p w14:paraId="1EBAFB86">
                  <w:pPr>
                    <w:widowControl/>
                    <w:spacing w:line="240" w:lineRule="auto"/>
                    <w:rPr>
                      <w:rFonts w:hint="default"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第六条受水区水污染治理以改善水环境质量为目标，遵循“增水不增污”或“增水减污”原则，并有经相关地方人民政府认可的水污染防治相关规划作为支撑。</w:t>
                  </w:r>
                </w:p>
              </w:tc>
              <w:tc>
                <w:tcPr>
                  <w:tcW w:w="2050" w:type="pct"/>
                  <w:tcBorders>
                    <w:top w:val="nil"/>
                    <w:left w:val="nil"/>
                    <w:bottom w:val="single" w:color="auto" w:sz="4" w:space="0"/>
                    <w:right w:val="single" w:color="auto" w:sz="4" w:space="0"/>
                  </w:tcBorders>
                  <w:noWrap w:val="0"/>
                  <w:vAlign w:val="center"/>
                </w:tcPr>
                <w:p w14:paraId="1A45DCB2">
                  <w:pPr>
                    <w:widowControl/>
                    <w:spacing w:line="240" w:lineRule="auto"/>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rFonts w:hint="eastAsia" w:ascii="Times New Roman" w:hAnsi="Times New Roman" w:cs="Times New Roman"/>
                      <w:smallCaps w:val="0"/>
                      <w:color w:val="000000" w:themeColor="text1"/>
                      <w:kern w:val="0"/>
                      <w:sz w:val="21"/>
                      <w:lang w:eastAsia="zh-CN"/>
                      <w14:textFill>
                        <w14:solidFill>
                          <w14:schemeClr w14:val="tx1"/>
                        </w14:solidFill>
                      </w14:textFill>
                    </w:rPr>
                    <w:t>本项目下游主要功能灌溉，青山水库无改善下游水质任务。</w:t>
                  </w:r>
                </w:p>
              </w:tc>
              <w:tc>
                <w:tcPr>
                  <w:tcW w:w="352" w:type="pct"/>
                  <w:tcBorders>
                    <w:top w:val="nil"/>
                    <w:left w:val="nil"/>
                    <w:bottom w:val="single" w:color="auto" w:sz="4" w:space="0"/>
                    <w:right w:val="single" w:color="auto" w:sz="4" w:space="0"/>
                  </w:tcBorders>
                  <w:noWrap/>
                  <w:vAlign w:val="center"/>
                </w:tcPr>
                <w:p w14:paraId="266936B8">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304A9095">
              <w:tblPrEx>
                <w:tblCellMar>
                  <w:top w:w="0" w:type="dxa"/>
                  <w:left w:w="108" w:type="dxa"/>
                  <w:bottom w:w="0" w:type="dxa"/>
                  <w:right w:w="108" w:type="dxa"/>
                </w:tblCellMar>
              </w:tblPrEx>
              <w:trPr>
                <w:trHeight w:val="1125" w:hRule="atLeast"/>
              </w:trPr>
              <w:tc>
                <w:tcPr>
                  <w:tcW w:w="352" w:type="pct"/>
                  <w:tcBorders>
                    <w:top w:val="nil"/>
                    <w:left w:val="single" w:color="auto" w:sz="4" w:space="0"/>
                    <w:bottom w:val="single" w:color="auto" w:sz="4" w:space="0"/>
                    <w:right w:val="single" w:color="auto" w:sz="4" w:space="0"/>
                  </w:tcBorders>
                  <w:noWrap/>
                  <w:vAlign w:val="center"/>
                </w:tcPr>
                <w:p w14:paraId="2F259BDA">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p>
              </w:tc>
              <w:tc>
                <w:tcPr>
                  <w:tcW w:w="2245" w:type="pct"/>
                  <w:tcBorders>
                    <w:top w:val="nil"/>
                    <w:left w:val="nil"/>
                    <w:bottom w:val="single" w:color="auto" w:sz="4" w:space="0"/>
                    <w:right w:val="single" w:color="auto" w:sz="4" w:space="0"/>
                  </w:tcBorders>
                  <w:noWrap w:val="0"/>
                  <w:vAlign w:val="center"/>
                </w:tcPr>
                <w:p w14:paraId="32D6282D">
                  <w:pPr>
                    <w:widowControl/>
                    <w:spacing w:line="240" w:lineRule="auto"/>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第七条项目建设可能造成水库和输水沿线周边地下水位变化，引起土壤潜育化、沼泽化、盐碱化、沙化或植被退化演替等次生生态影响的，提出了封堵、导排、防护等针对性措施。</w:t>
                  </w:r>
                </w:p>
              </w:tc>
              <w:tc>
                <w:tcPr>
                  <w:tcW w:w="2050" w:type="pct"/>
                  <w:tcBorders>
                    <w:top w:val="nil"/>
                    <w:left w:val="nil"/>
                    <w:bottom w:val="single" w:color="auto" w:sz="4" w:space="0"/>
                    <w:right w:val="single" w:color="auto" w:sz="4" w:space="0"/>
                  </w:tcBorders>
                  <w:noWrap w:val="0"/>
                  <w:vAlign w:val="center"/>
                </w:tcPr>
                <w:p w14:paraId="52FD8AFB">
                  <w:pPr>
                    <w:widowControl/>
                    <w:spacing w:line="240" w:lineRule="auto"/>
                    <w:rPr>
                      <w:rFonts w:hint="eastAsia" w:ascii="Times New Roman" w:hAnsi="Times New Roman" w:eastAsia="宋体" w:cs="Times New Roman"/>
                      <w:color w:val="000000" w:themeColor="text1"/>
                      <w:szCs w:val="21"/>
                      <w:lang w:val="en-US" w:eastAsia="zh-CN"/>
                      <w14:textFill>
                        <w14:solidFill>
                          <w14:schemeClr w14:val="tx1"/>
                        </w14:solidFill>
                      </w14:textFill>
                    </w:rPr>
                  </w:pPr>
                  <w:r>
                    <w:rPr>
                      <w:rFonts w:hint="eastAsia" w:eastAsia="宋体" w:cs="Times New Roman"/>
                      <w:color w:val="000000" w:themeColor="text1"/>
                      <w:szCs w:val="21"/>
                      <w:lang w:val="en-US" w:eastAsia="zh-CN"/>
                      <w14:textFill>
                        <w14:solidFill>
                          <w14:schemeClr w14:val="tx1"/>
                        </w14:solidFill>
                      </w14:textFill>
                    </w:rPr>
                    <w:t>本工程为改建项目，库容以及死水位均未发生变化，因此对周边地下水水位无影响，不会对土壤产生</w:t>
                  </w:r>
                  <w:r>
                    <w:rPr>
                      <w:rFonts w:hint="eastAsia" w:ascii="Times New Roman" w:hAnsi="Times New Roman" w:eastAsia="宋体" w:cs="Times New Roman"/>
                      <w:color w:val="000000" w:themeColor="text1"/>
                      <w:szCs w:val="21"/>
                      <w:lang w:val="en-US" w:eastAsia="zh-CN"/>
                      <w14:textFill>
                        <w14:solidFill>
                          <w14:schemeClr w14:val="tx1"/>
                        </w14:solidFill>
                      </w14:textFill>
                    </w:rPr>
                    <w:t>潜育化、沼泽化、盐碱化、沙化或植被退化演替等</w:t>
                  </w:r>
                  <w:r>
                    <w:rPr>
                      <w:rFonts w:hint="eastAsia" w:eastAsia="宋体" w:cs="Times New Roman"/>
                      <w:color w:val="000000" w:themeColor="text1"/>
                      <w:szCs w:val="21"/>
                      <w:lang w:val="en-US" w:eastAsia="zh-CN"/>
                      <w14:textFill>
                        <w14:solidFill>
                          <w14:schemeClr w14:val="tx1"/>
                        </w14:solidFill>
                      </w14:textFill>
                    </w:rPr>
                    <w:t>生态影响。</w:t>
                  </w:r>
                </w:p>
              </w:tc>
              <w:tc>
                <w:tcPr>
                  <w:tcW w:w="352" w:type="pct"/>
                  <w:tcBorders>
                    <w:top w:val="nil"/>
                    <w:left w:val="nil"/>
                    <w:bottom w:val="single" w:color="auto" w:sz="4" w:space="0"/>
                    <w:right w:val="single" w:color="auto" w:sz="4" w:space="0"/>
                  </w:tcBorders>
                  <w:noWrap/>
                  <w:vAlign w:val="center"/>
                </w:tcPr>
                <w:p w14:paraId="3514E2D1">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1145F2B6">
              <w:tblPrEx>
                <w:tblCellMar>
                  <w:top w:w="0" w:type="dxa"/>
                  <w:left w:w="108" w:type="dxa"/>
                  <w:bottom w:w="0" w:type="dxa"/>
                  <w:right w:w="108" w:type="dxa"/>
                </w:tblCellMar>
              </w:tblPrEx>
              <w:trPr>
                <w:trHeight w:val="2466" w:hRule="atLeast"/>
              </w:trPr>
              <w:tc>
                <w:tcPr>
                  <w:tcW w:w="352" w:type="pct"/>
                  <w:tcBorders>
                    <w:top w:val="nil"/>
                    <w:left w:val="single" w:color="auto" w:sz="4" w:space="0"/>
                    <w:bottom w:val="single" w:color="auto" w:sz="4" w:space="0"/>
                    <w:right w:val="single" w:color="auto" w:sz="4" w:space="0"/>
                  </w:tcBorders>
                  <w:noWrap/>
                  <w:vAlign w:val="center"/>
                </w:tcPr>
                <w:p w14:paraId="4A185E00">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eastAsia="zh-CN"/>
                      <w14:textFill>
                        <w14:solidFill>
                          <w14:schemeClr w14:val="tx1"/>
                        </w14:solidFill>
                      </w14:textFill>
                    </w:rPr>
                    <w:t>6</w:t>
                  </w:r>
                </w:p>
              </w:tc>
              <w:tc>
                <w:tcPr>
                  <w:tcW w:w="2245" w:type="pct"/>
                  <w:tcBorders>
                    <w:top w:val="nil"/>
                    <w:left w:val="nil"/>
                    <w:bottom w:val="single" w:color="auto" w:sz="4" w:space="0"/>
                    <w:right w:val="single" w:color="auto" w:sz="4" w:space="0"/>
                  </w:tcBorders>
                  <w:noWrap w:val="0"/>
                  <w:vAlign w:val="center"/>
                </w:tcPr>
                <w:p w14:paraId="7BC60B8E">
                  <w:pPr>
                    <w:widowControl/>
                    <w:spacing w:line="240" w:lineRule="auto"/>
                    <w:rPr>
                      <w:rFonts w:hint="default"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第八条项目对鱼类等水生生物的生境、物种多样性及资源量等造成不利影响的，提出了优化工程设计及调度、栖息地保护、水生生物通道恢复、增殖放流、拦鱼等措施。栖息地保护措施包括干（支）流生境保留、生境修复（或重建）等，采用生境保留的应明确河段范围及保护措施。水生生物通道恢复措施包括鱼道、升鱼机、集运鱼系统等，在必要的水工模型试验基础上，明确了过鱼对象、主要参数、运行要求等，且满足可研阶段设计深度要求。鱼类增殖放流措施应明确增殖站地点、增殖放流对象、放流规模、放流地点等。</w:t>
                  </w:r>
                </w:p>
              </w:tc>
              <w:tc>
                <w:tcPr>
                  <w:tcW w:w="2050" w:type="pct"/>
                  <w:tcBorders>
                    <w:top w:val="nil"/>
                    <w:left w:val="nil"/>
                    <w:bottom w:val="single" w:color="auto" w:sz="4" w:space="0"/>
                    <w:right w:val="single" w:color="auto" w:sz="4" w:space="0"/>
                  </w:tcBorders>
                  <w:noWrap w:val="0"/>
                  <w:vAlign w:val="center"/>
                </w:tcPr>
                <w:p w14:paraId="27277C01">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color w:val="000000" w:themeColor="text1"/>
                      <w:szCs w:val="21"/>
                      <w:lang w:eastAsia="zh-CN"/>
                      <w14:textFill>
                        <w14:solidFill>
                          <w14:schemeClr w14:val="tx1"/>
                        </w14:solidFill>
                      </w14:textFill>
                    </w:rPr>
                    <w:t>本项目经过生态调查以及地表水评价范围下游</w:t>
                  </w:r>
                  <w:r>
                    <w:rPr>
                      <w:rFonts w:hint="eastAsia"/>
                      <w:color w:val="000000" w:themeColor="text1"/>
                      <w:szCs w:val="21"/>
                      <w:lang w:val="en-US" w:eastAsia="zh-CN"/>
                      <w14:textFill>
                        <w14:solidFill>
                          <w14:schemeClr w14:val="tx1"/>
                        </w14:solidFill>
                      </w14:textFill>
                    </w:rPr>
                    <w:t>1km范围内，无土壤生态问题。</w:t>
                  </w:r>
                </w:p>
              </w:tc>
              <w:tc>
                <w:tcPr>
                  <w:tcW w:w="352" w:type="pct"/>
                  <w:tcBorders>
                    <w:top w:val="nil"/>
                    <w:left w:val="nil"/>
                    <w:bottom w:val="single" w:color="auto" w:sz="4" w:space="0"/>
                    <w:right w:val="single" w:color="auto" w:sz="4" w:space="0"/>
                  </w:tcBorders>
                  <w:noWrap/>
                  <w:vAlign w:val="center"/>
                </w:tcPr>
                <w:p w14:paraId="4A4F4E3B">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02E9FD0">
              <w:tblPrEx>
                <w:tblCellMar>
                  <w:top w:w="0" w:type="dxa"/>
                  <w:left w:w="108" w:type="dxa"/>
                  <w:bottom w:w="0" w:type="dxa"/>
                  <w:right w:w="108" w:type="dxa"/>
                </w:tblCellMar>
              </w:tblPrEx>
              <w:trPr>
                <w:trHeight w:val="277" w:hRule="atLeast"/>
              </w:trPr>
              <w:tc>
                <w:tcPr>
                  <w:tcW w:w="352" w:type="pct"/>
                  <w:tcBorders>
                    <w:top w:val="nil"/>
                    <w:left w:val="single" w:color="auto" w:sz="4" w:space="0"/>
                    <w:bottom w:val="single" w:color="auto" w:sz="4" w:space="0"/>
                    <w:right w:val="single" w:color="auto" w:sz="4" w:space="0"/>
                  </w:tcBorders>
                  <w:noWrap/>
                  <w:vAlign w:val="center"/>
                </w:tcPr>
                <w:p w14:paraId="699A145B">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14:textFill>
                        <w14:solidFill>
                          <w14:schemeClr w14:val="tx1"/>
                        </w14:solidFill>
                      </w14:textFill>
                    </w:rPr>
                  </w:pPr>
                  <w:r>
                    <w:rPr>
                      <w:rFonts w:hint="default" w:ascii="Times New Roman" w:hAnsi="Times New Roman" w:eastAsia="宋体" w:cs="Times New Roman"/>
                      <w:smallCaps w:val="0"/>
                      <w:color w:val="000000" w:themeColor="text1"/>
                      <w:kern w:val="0"/>
                      <w:sz w:val="21"/>
                      <w14:textFill>
                        <w14:solidFill>
                          <w14:schemeClr w14:val="tx1"/>
                        </w14:solidFill>
                      </w14:textFill>
                    </w:rPr>
                    <w:t>7</w:t>
                  </w:r>
                </w:p>
              </w:tc>
              <w:tc>
                <w:tcPr>
                  <w:tcW w:w="2245" w:type="pct"/>
                  <w:tcBorders>
                    <w:top w:val="nil"/>
                    <w:left w:val="nil"/>
                    <w:bottom w:val="single" w:color="auto" w:sz="4" w:space="0"/>
                    <w:right w:val="single" w:color="auto" w:sz="4" w:space="0"/>
                  </w:tcBorders>
                  <w:noWrap w:val="0"/>
                  <w:vAlign w:val="center"/>
                </w:tcPr>
                <w:p w14:paraId="5282A4D7">
                  <w:pPr>
                    <w:widowControl/>
                    <w:spacing w:line="240" w:lineRule="auto"/>
                    <w:ind w:firstLine="0" w:firstLineChars="0"/>
                    <w:rPr>
                      <w:rFonts w:hint="default" w:ascii="Times New Roman" w:hAnsi="Times New Roman" w:eastAsia="宋体" w:cs="Times New Roman"/>
                      <w:snapToGrid w:val="0"/>
                      <w:color w:val="000000" w:themeColor="text1"/>
                      <w:szCs w:val="21"/>
                      <w:highlight w:val="none"/>
                      <w14:textFill>
                        <w14:solidFill>
                          <w14:schemeClr w14:val="tx1"/>
                        </w14:solidFill>
                      </w14:textFill>
                    </w:rPr>
                  </w:pPr>
                  <w:r>
                    <w:rPr>
                      <w:rFonts w:ascii="Times New Roman" w:hAnsi="Times New Roman" w:eastAsia="宋体" w:cs="Times New Roman"/>
                      <w:snapToGrid w:val="0"/>
                      <w:color w:val="000000" w:themeColor="text1"/>
                      <w:szCs w:val="21"/>
                      <w:highlight w:val="none"/>
                      <w:lang w:val="en-US" w:eastAsia="zh-CN"/>
                      <w14:textFill>
                        <w14:solidFill>
                          <w14:schemeClr w14:val="tx1"/>
                        </w14:solidFill>
                      </w14:textFill>
                    </w:rPr>
                    <w:t>第九条项目对珍稀濒危和重点保护野生动、植物及其生境造</w:t>
                  </w:r>
                  <w:r>
                    <w:rPr>
                      <w:rFonts w:hint="eastAsia" w:ascii="Times New Roman" w:hAnsi="Times New Roman" w:eastAsia="宋体" w:cs="Times New Roman"/>
                      <w:snapToGrid w:val="0"/>
                      <w:color w:val="000000" w:themeColor="text1"/>
                      <w:szCs w:val="21"/>
                      <w:highlight w:val="none"/>
                      <w:lang w:val="en-US" w:eastAsia="zh-CN"/>
                      <w14:textFill>
                        <w14:solidFill>
                          <w14:schemeClr w14:val="tx1"/>
                        </w14:solidFill>
                      </w14:textFill>
                    </w:rPr>
                    <w:t>成影响的，提出了优化工程布置和调度运行方案、合理安排工期、应急救护、建设或保留动物通道、移栽、就地保护或再造类似生境等避让、减缓和补偿措施。项目涉及风景名胜区等环境敏感区并对景观产生影响的，提出了工程方案优化、景观塑造等措施。</w:t>
                  </w:r>
                </w:p>
              </w:tc>
              <w:tc>
                <w:tcPr>
                  <w:tcW w:w="2050" w:type="pct"/>
                  <w:tcBorders>
                    <w:top w:val="nil"/>
                    <w:left w:val="nil"/>
                    <w:bottom w:val="single" w:color="auto" w:sz="4" w:space="0"/>
                    <w:right w:val="single" w:color="auto" w:sz="4" w:space="0"/>
                  </w:tcBorders>
                  <w:noWrap w:val="0"/>
                  <w:vAlign w:val="center"/>
                </w:tcPr>
                <w:p w14:paraId="5A457049">
                  <w:pPr>
                    <w:widowControl/>
                    <w:spacing w:line="240" w:lineRule="auto"/>
                    <w:ind w:firstLine="0" w:firstLineChars="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color w:val="000000" w:themeColor="text1"/>
                      <w:szCs w:val="21"/>
                      <w14:textFill>
                        <w14:solidFill>
                          <w14:schemeClr w14:val="tx1"/>
                        </w14:solidFill>
                      </w14:textFill>
                    </w:rPr>
                    <w:t>本项目施工段无珍稀鱼类等水生生物的洄游通道及“三场”等重要生境，无珍稀濒危的鱼类。施工造成的鱼类暂时游走，水生生物多样性降低是临时的，施工结束后，鱼类会返回原处，施工对水生生物的影响很小。</w:t>
                  </w:r>
                  <w:r>
                    <w:rPr>
                      <w:rFonts w:hint="eastAsia"/>
                      <w:color w:val="000000" w:themeColor="text1"/>
                      <w:szCs w:val="21"/>
                      <w14:textFill>
                        <w14:solidFill>
                          <w14:schemeClr w14:val="tx1"/>
                        </w14:solidFill>
                      </w14:textFill>
                    </w:rPr>
                    <w:t>报告中</w:t>
                  </w:r>
                  <w:r>
                    <w:rPr>
                      <w:color w:val="000000" w:themeColor="text1"/>
                      <w:szCs w:val="21"/>
                      <w14:textFill>
                        <w14:solidFill>
                          <w14:schemeClr w14:val="tx1"/>
                        </w14:solidFill>
                      </w14:textFill>
                    </w:rPr>
                    <w:t>提出了优化工程设计及调度</w:t>
                  </w:r>
                  <w:r>
                    <w:rPr>
                      <w:rFonts w:hint="eastAsia"/>
                      <w:color w:val="000000" w:themeColor="text1"/>
                      <w:szCs w:val="21"/>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7C96414F">
                  <w:pPr>
                    <w:widowControl/>
                    <w:spacing w:line="240" w:lineRule="auto"/>
                    <w:ind w:firstLine="0" w:firstLineChars="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cs="Times New Roman"/>
                      <w:smallCaps w:val="0"/>
                      <w:color w:val="000000" w:themeColor="text1"/>
                      <w:kern w:val="0"/>
                      <w:sz w:val="21"/>
                      <w:lang w:val="en-US" w:eastAsia="zh-CN"/>
                      <w14:textFill>
                        <w14:solidFill>
                          <w14:schemeClr w14:val="tx1"/>
                        </w14:solidFill>
                      </w14:textFill>
                    </w:rPr>
                    <w:t>不涉及</w:t>
                  </w:r>
                </w:p>
              </w:tc>
            </w:tr>
            <w:tr w14:paraId="72E2361E">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05FF82BD">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eastAsia="zh-CN"/>
                      <w14:textFill>
                        <w14:solidFill>
                          <w14:schemeClr w14:val="tx1"/>
                        </w14:solidFill>
                      </w14:textFill>
                    </w:rPr>
                    <w:t>8</w:t>
                  </w:r>
                </w:p>
              </w:tc>
              <w:tc>
                <w:tcPr>
                  <w:tcW w:w="2245" w:type="pct"/>
                  <w:tcBorders>
                    <w:top w:val="nil"/>
                    <w:left w:val="nil"/>
                    <w:bottom w:val="single" w:color="auto" w:sz="4" w:space="0"/>
                    <w:right w:val="single" w:color="auto" w:sz="4" w:space="0"/>
                  </w:tcBorders>
                  <w:noWrap w:val="0"/>
                  <w:vAlign w:val="center"/>
                </w:tcPr>
                <w:p w14:paraId="1A4FDB0A">
                  <w:pPr>
                    <w:widowControl/>
                    <w:spacing w:line="240" w:lineRule="auto"/>
                    <w:ind w:firstLine="0" w:firstLineChars="0"/>
                    <w:rPr>
                      <w:rFonts w:hint="default"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第十条 项目施工组织方案具有环境合理性，对料场、弃土（渣）场等施工场地提出了水土流失防治和施工迹地生态恢复等措施。根据环境保护相关标准和要求，对施工期各类废（污）水、废气、噪声、固体废物等提出防治或处置措施。</w:t>
                  </w:r>
                </w:p>
              </w:tc>
              <w:tc>
                <w:tcPr>
                  <w:tcW w:w="2050" w:type="pct"/>
                  <w:tcBorders>
                    <w:top w:val="nil"/>
                    <w:left w:val="nil"/>
                    <w:bottom w:val="single" w:color="auto" w:sz="4" w:space="0"/>
                    <w:right w:val="single" w:color="auto" w:sz="4" w:space="0"/>
                  </w:tcBorders>
                  <w:noWrap w:val="0"/>
                  <w:vAlign w:val="center"/>
                </w:tcPr>
                <w:p w14:paraId="271A5FAF">
                  <w:pPr>
                    <w:widowControl/>
                    <w:spacing w:line="240" w:lineRule="auto"/>
                    <w:ind w:firstLine="0" w:firstLineChars="0"/>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lang w:eastAsia="zh-CN"/>
                      <w14:textFill>
                        <w14:solidFill>
                          <w14:schemeClr w14:val="tx1"/>
                        </w14:solidFill>
                      </w14:textFill>
                    </w:rPr>
                    <w:t>本工程不设置弃土场，在采取环评文件提出的措施后可有效减缓水土流失以及施工期污染物的影响。</w:t>
                  </w:r>
                </w:p>
              </w:tc>
              <w:tc>
                <w:tcPr>
                  <w:tcW w:w="352" w:type="pct"/>
                  <w:tcBorders>
                    <w:top w:val="nil"/>
                    <w:left w:val="nil"/>
                    <w:bottom w:val="single" w:color="auto" w:sz="4" w:space="0"/>
                    <w:right w:val="single" w:color="auto" w:sz="4" w:space="0"/>
                  </w:tcBorders>
                  <w:noWrap/>
                  <w:vAlign w:val="center"/>
                </w:tcPr>
                <w:p w14:paraId="73043BFB">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230EAA95">
              <w:tblPrEx>
                <w:tblCellMar>
                  <w:top w:w="0" w:type="dxa"/>
                  <w:left w:w="108" w:type="dxa"/>
                  <w:bottom w:w="0" w:type="dxa"/>
                  <w:right w:w="108" w:type="dxa"/>
                </w:tblCellMar>
              </w:tblPrEx>
              <w:trPr>
                <w:trHeight w:val="1080" w:hRule="atLeast"/>
              </w:trPr>
              <w:tc>
                <w:tcPr>
                  <w:tcW w:w="352" w:type="pct"/>
                  <w:tcBorders>
                    <w:top w:val="nil"/>
                    <w:left w:val="single" w:color="auto" w:sz="4" w:space="0"/>
                    <w:bottom w:val="single" w:color="auto" w:sz="4" w:space="0"/>
                    <w:right w:val="single" w:color="auto" w:sz="4" w:space="0"/>
                  </w:tcBorders>
                  <w:noWrap/>
                  <w:vAlign w:val="center"/>
                </w:tcPr>
                <w:p w14:paraId="64851A95">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9</w:t>
                  </w:r>
                </w:p>
              </w:tc>
              <w:tc>
                <w:tcPr>
                  <w:tcW w:w="2245" w:type="pct"/>
                  <w:tcBorders>
                    <w:top w:val="nil"/>
                    <w:left w:val="nil"/>
                    <w:bottom w:val="single" w:color="auto" w:sz="4" w:space="0"/>
                    <w:right w:val="single" w:color="auto" w:sz="4" w:space="0"/>
                  </w:tcBorders>
                  <w:noWrap w:val="0"/>
                  <w:vAlign w:val="center"/>
                </w:tcPr>
                <w:p w14:paraId="69FFF35E">
                  <w:pPr>
                    <w:widowControl/>
                    <w:spacing w:line="240" w:lineRule="auto"/>
                    <w:rPr>
                      <w:rFonts w:hint="eastAsia" w:ascii="Times New Roman" w:hAnsi="Times New Roman" w:eastAsia="宋体" w:cs="Times New Roman"/>
                      <w:smallCaps w:val="0"/>
                      <w:color w:val="000000" w:themeColor="text1"/>
                      <w:kern w:val="0"/>
                      <w:sz w:val="21"/>
                      <w:lang w:eastAsia="zh-CN"/>
                      <w14:textFill>
                        <w14:solidFill>
                          <w14:schemeClr w14:val="tx1"/>
                        </w14:solidFill>
                      </w14:textFill>
                    </w:rPr>
                  </w:pP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第</w:t>
                  </w: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十一条项目移民安置涉及的农业土地开垦、移民安置区建</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设、企业迁建、专业项目改复建工程等，其建设方式和选址具有环</w:t>
                  </w: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境合理性，对环境造成不利影响的，提出了生态保护、污水处理与</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垃圾处置等措施。针对城（集）镇迁建及配套的重大环保基础设施建设、重要交通和水利工程改复建、污染型企业迁建等重大移民安置专项工程，依法提出了单独开展环境影响评价要求。</w:t>
                  </w:r>
                </w:p>
              </w:tc>
              <w:tc>
                <w:tcPr>
                  <w:tcW w:w="2050" w:type="pct"/>
                  <w:tcBorders>
                    <w:top w:val="nil"/>
                    <w:left w:val="nil"/>
                    <w:bottom w:val="single" w:color="auto" w:sz="4" w:space="0"/>
                    <w:right w:val="single" w:color="auto" w:sz="4" w:space="0"/>
                  </w:tcBorders>
                  <w:noWrap w:val="0"/>
                  <w:vAlign w:val="center"/>
                </w:tcPr>
                <w:p w14:paraId="0B81ACD5">
                  <w:pPr>
                    <w:widowControl/>
                    <w:spacing w:line="240" w:lineRule="auto"/>
                    <w:ind w:firstLine="0" w:firstLineChars="0"/>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color w:val="000000" w:themeColor="text1"/>
                      <w:highlight w:val="none"/>
                      <w14:textFill>
                        <w14:solidFill>
                          <w14:schemeClr w14:val="tx1"/>
                        </w14:solidFill>
                      </w14:textFill>
                    </w:rPr>
                    <w:t>本工程不涉及移民安置和</w:t>
                  </w:r>
                  <w:r>
                    <w:rPr>
                      <w:snapToGrid w:val="0"/>
                      <w:color w:val="000000" w:themeColor="text1"/>
                      <w:szCs w:val="21"/>
                      <w:highlight w:val="none"/>
                      <w14:textFill>
                        <w14:solidFill>
                          <w14:schemeClr w14:val="tx1"/>
                        </w14:solidFill>
                      </w14:textFill>
                    </w:rPr>
                    <w:t>蓄滞洪区</w:t>
                  </w:r>
                  <w:r>
                    <w:rPr>
                      <w:rFonts w:hint="eastAsia"/>
                      <w:snapToGrid w:val="0"/>
                      <w:color w:val="000000" w:themeColor="text1"/>
                      <w:szCs w:val="21"/>
                      <w:highlight w:val="none"/>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270138AF">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lang w:val="en-US" w:eastAsia="zh-CN"/>
                      <w14:textFill>
                        <w14:solidFill>
                          <w14:schemeClr w14:val="tx1"/>
                        </w14:solidFill>
                      </w14:textFill>
                    </w:rPr>
                    <w:t>不涉及</w:t>
                  </w:r>
                </w:p>
              </w:tc>
            </w:tr>
            <w:tr w14:paraId="0E81DEDF">
              <w:tblPrEx>
                <w:tblCellMar>
                  <w:top w:w="0" w:type="dxa"/>
                  <w:left w:w="108" w:type="dxa"/>
                  <w:bottom w:w="0" w:type="dxa"/>
                  <w:right w:w="108" w:type="dxa"/>
                </w:tblCellMar>
              </w:tblPrEx>
              <w:trPr>
                <w:trHeight w:val="1080" w:hRule="atLeast"/>
              </w:trPr>
              <w:tc>
                <w:tcPr>
                  <w:tcW w:w="352" w:type="pct"/>
                  <w:tcBorders>
                    <w:top w:val="nil"/>
                    <w:left w:val="single" w:color="auto" w:sz="4" w:space="0"/>
                    <w:bottom w:val="single" w:color="auto" w:sz="4" w:space="0"/>
                    <w:right w:val="single" w:color="auto" w:sz="4" w:space="0"/>
                  </w:tcBorders>
                  <w:noWrap/>
                  <w:vAlign w:val="center"/>
                </w:tcPr>
                <w:p w14:paraId="2847D62F">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p>
              </w:tc>
              <w:tc>
                <w:tcPr>
                  <w:tcW w:w="2245" w:type="pct"/>
                  <w:tcBorders>
                    <w:top w:val="nil"/>
                    <w:left w:val="nil"/>
                    <w:bottom w:val="single" w:color="auto" w:sz="4" w:space="0"/>
                    <w:right w:val="single" w:color="auto" w:sz="4" w:space="0"/>
                  </w:tcBorders>
                  <w:noWrap w:val="0"/>
                  <w:vAlign w:val="center"/>
                </w:tcPr>
                <w:p w14:paraId="633CE0AC">
                  <w:pPr>
                    <w:widowControl/>
                    <w:spacing w:line="240" w:lineRule="auto"/>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第十一条项目移民安置涉及的农业土地开垦、移民安置区建设、企业迁建、专业项目改复建工程等，其建设方式和选址具有环境合理性，对环境造成不利影响的，提出了生态保护、污水处理与垃圾处置等措施。针对城（集）镇迁建及配套的重大环保基础设施建设、重要交通和水利工程改复建、污染型企业迁建等重大移民安置专项工程，依法提出了单独开展环境影响评价要求。</w:t>
                  </w:r>
                </w:p>
              </w:tc>
              <w:tc>
                <w:tcPr>
                  <w:tcW w:w="2050" w:type="pct"/>
                  <w:tcBorders>
                    <w:top w:val="nil"/>
                    <w:left w:val="nil"/>
                    <w:bottom w:val="single" w:color="auto" w:sz="4" w:space="0"/>
                    <w:right w:val="single" w:color="auto" w:sz="4" w:space="0"/>
                  </w:tcBorders>
                  <w:noWrap w:val="0"/>
                  <w:vAlign w:val="center"/>
                </w:tcPr>
                <w:p w14:paraId="3AF2DCC7">
                  <w:pPr>
                    <w:widowControl/>
                    <w:spacing w:line="240" w:lineRule="auto"/>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eastAsia="宋体" w:cs="Times New Roman"/>
                      <w:color w:val="000000" w:themeColor="text1"/>
                      <w:highlight w:val="none"/>
                      <w:lang w:val="en-US" w:eastAsia="zh-CN"/>
                      <w14:textFill>
                        <w14:solidFill>
                          <w14:schemeClr w14:val="tx1"/>
                        </w14:solidFill>
                      </w14:textFill>
                    </w:rPr>
                    <w:t>本工程不涉及移民安置及农业土地开垦。</w:t>
                  </w:r>
                </w:p>
              </w:tc>
              <w:tc>
                <w:tcPr>
                  <w:tcW w:w="352" w:type="pct"/>
                  <w:tcBorders>
                    <w:top w:val="nil"/>
                    <w:left w:val="nil"/>
                    <w:bottom w:val="single" w:color="auto" w:sz="4" w:space="0"/>
                    <w:right w:val="single" w:color="auto" w:sz="4" w:space="0"/>
                  </w:tcBorders>
                  <w:noWrap/>
                  <w:vAlign w:val="center"/>
                </w:tcPr>
                <w:p w14:paraId="1894E8A4">
                  <w:pPr>
                    <w:widowControl/>
                    <w:spacing w:line="240" w:lineRule="auto"/>
                    <w:ind w:firstLine="0" w:firstLineChars="0"/>
                    <w:rPr>
                      <w:rFonts w:hint="default" w:ascii="Times New Roman" w:hAnsi="Times New Roman" w:cs="Times New Roman"/>
                      <w:smallCaps w:val="0"/>
                      <w:color w:val="000000" w:themeColor="text1"/>
                      <w:kern w:val="0"/>
                      <w:sz w:val="21"/>
                      <w:lang w:val="en-US" w:eastAsia="zh-CN"/>
                      <w14:textFill>
                        <w14:solidFill>
                          <w14:schemeClr w14:val="tx1"/>
                        </w14:solidFill>
                      </w14:textFill>
                    </w:rPr>
                  </w:pPr>
                  <w:r>
                    <w:rPr>
                      <w:rFonts w:hint="eastAsia" w:cs="Times New Roman"/>
                      <w:smallCaps w:val="0"/>
                      <w:color w:val="000000" w:themeColor="text1"/>
                      <w:kern w:val="0"/>
                      <w:sz w:val="21"/>
                      <w:lang w:val="en-US" w:eastAsia="zh-CN"/>
                      <w14:textFill>
                        <w14:solidFill>
                          <w14:schemeClr w14:val="tx1"/>
                        </w14:solidFill>
                      </w14:textFill>
                    </w:rPr>
                    <w:t>不涉及</w:t>
                  </w:r>
                </w:p>
              </w:tc>
            </w:tr>
            <w:tr w14:paraId="1D8AC2B6">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77F18D7C">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10</w:t>
                  </w:r>
                </w:p>
              </w:tc>
              <w:tc>
                <w:tcPr>
                  <w:tcW w:w="2245" w:type="pct"/>
                  <w:tcBorders>
                    <w:top w:val="nil"/>
                    <w:left w:val="nil"/>
                    <w:bottom w:val="single" w:color="auto" w:sz="4" w:space="0"/>
                    <w:right w:val="single" w:color="auto" w:sz="4" w:space="0"/>
                  </w:tcBorders>
                  <w:noWrap w:val="0"/>
                  <w:vAlign w:val="center"/>
                </w:tcPr>
                <w:p w14:paraId="5169B9BF">
                  <w:pPr>
                    <w:widowControl/>
                    <w:spacing w:line="240" w:lineRule="auto"/>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第</w:t>
                  </w:r>
                  <w:r>
                    <w:rPr>
                      <w:rFonts w:hint="default" w:ascii="Times New Roman" w:hAnsi="Times New Roman" w:eastAsia="宋体" w:cs="Times New Roman"/>
                      <w:color w:val="000000" w:themeColor="text1"/>
                      <w:highlight w:val="none"/>
                      <w:lang w:val="en-US" w:eastAsia="zh-CN"/>
                      <w14:textFill>
                        <w14:solidFill>
                          <w14:schemeClr w14:val="tx1"/>
                        </w14:solidFill>
                      </w14:textFill>
                    </w:rPr>
                    <w:t>十二条项目存在水污染、富营养化或外来物种入侵等环境</w:t>
                  </w:r>
                  <w:r>
                    <w:rPr>
                      <w:rFonts w:hint="eastAsia" w:ascii="Times New Roman" w:hAnsi="Times New Roman" w:eastAsia="宋体" w:cs="Times New Roman"/>
                      <w:color w:val="000000" w:themeColor="text1"/>
                      <w:highlight w:val="none"/>
                      <w:lang w:val="en-US" w:eastAsia="zh-CN"/>
                      <w14:textFill>
                        <w14:solidFill>
                          <w14:schemeClr w14:val="tx1"/>
                        </w14:solidFill>
                      </w14:textFill>
                    </w:rPr>
                    <w:t>风险的，提出了针对性风险防范措施和环境应急预案编制、与地方人民政府及其相关部门和受影响单位建立应急联动机制的要求。</w:t>
                  </w:r>
                </w:p>
              </w:tc>
              <w:tc>
                <w:tcPr>
                  <w:tcW w:w="2050" w:type="pct"/>
                  <w:tcBorders>
                    <w:top w:val="nil"/>
                    <w:left w:val="nil"/>
                    <w:bottom w:val="single" w:color="auto" w:sz="4" w:space="0"/>
                    <w:right w:val="single" w:color="auto" w:sz="4" w:space="0"/>
                  </w:tcBorders>
                  <w:noWrap w:val="0"/>
                  <w:vAlign w:val="center"/>
                </w:tcPr>
                <w:p w14:paraId="47A4A264">
                  <w:pPr>
                    <w:widowControl/>
                    <w:spacing w:line="240" w:lineRule="auto"/>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w:t>
                  </w:r>
                  <w:r>
                    <w:rPr>
                      <w:rFonts w:hint="default" w:ascii="Times New Roman" w:hAnsi="Times New Roman" w:cs="Times New Roman"/>
                      <w:smallCaps w:val="0"/>
                      <w:color w:val="000000" w:themeColor="text1"/>
                      <w:kern w:val="0"/>
                      <w:sz w:val="21"/>
                      <w:lang w:val="en-US" w:eastAsia="zh-CN"/>
                      <w14:textFill>
                        <w14:solidFill>
                          <w14:schemeClr w14:val="tx1"/>
                        </w14:solidFill>
                      </w14:textFill>
                    </w:rPr>
                    <w:t>次</w:t>
                  </w:r>
                  <w:r>
                    <w:rPr>
                      <w:rFonts w:hint="default" w:ascii="Times New Roman" w:hAnsi="Times New Roman" w:cs="Times New Roman"/>
                      <w:smallCaps w:val="0"/>
                      <w:color w:val="000000" w:themeColor="text1"/>
                      <w:kern w:val="0"/>
                      <w:sz w:val="21"/>
                      <w14:textFill>
                        <w14:solidFill>
                          <w14:schemeClr w14:val="tx1"/>
                        </w14:solidFill>
                      </w14:textFill>
                    </w:rPr>
                    <w:t>为防洪</w:t>
                  </w:r>
                  <w:r>
                    <w:rPr>
                      <w:rFonts w:hint="default" w:ascii="Times New Roman" w:hAnsi="Times New Roman" w:cs="Times New Roman"/>
                      <w:smallCaps w:val="0"/>
                      <w:color w:val="000000" w:themeColor="text1"/>
                      <w:kern w:val="0"/>
                      <w:sz w:val="21"/>
                      <w:lang w:val="en-US" w:eastAsia="zh-CN"/>
                      <w14:textFill>
                        <w14:solidFill>
                          <w14:schemeClr w14:val="tx1"/>
                        </w14:solidFill>
                      </w14:textFill>
                    </w:rPr>
                    <w:t>提升</w:t>
                  </w:r>
                  <w:r>
                    <w:rPr>
                      <w:rFonts w:hint="default" w:ascii="Times New Roman" w:hAnsi="Times New Roman" w:cs="Times New Roman"/>
                      <w:smallCaps w:val="0"/>
                      <w:color w:val="000000" w:themeColor="text1"/>
                      <w:kern w:val="0"/>
                      <w:sz w:val="21"/>
                      <w14:textFill>
                        <w14:solidFill>
                          <w14:schemeClr w14:val="tx1"/>
                        </w14:solidFill>
                      </w14:textFill>
                    </w:rPr>
                    <w:t>工程，不存在河湖水质污染、富营养化或者外来物种入侵等环境风险。</w:t>
                  </w:r>
                </w:p>
              </w:tc>
              <w:tc>
                <w:tcPr>
                  <w:tcW w:w="352" w:type="pct"/>
                  <w:tcBorders>
                    <w:top w:val="nil"/>
                    <w:left w:val="nil"/>
                    <w:bottom w:val="single" w:color="auto" w:sz="4" w:space="0"/>
                    <w:right w:val="single" w:color="auto" w:sz="4" w:space="0"/>
                  </w:tcBorders>
                  <w:noWrap/>
                  <w:vAlign w:val="center"/>
                </w:tcPr>
                <w:p w14:paraId="0627AF99">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4723FAAC">
              <w:tblPrEx>
                <w:tblCellMar>
                  <w:top w:w="0" w:type="dxa"/>
                  <w:left w:w="108" w:type="dxa"/>
                  <w:bottom w:w="0" w:type="dxa"/>
                  <w:right w:w="108" w:type="dxa"/>
                </w:tblCellMar>
              </w:tblPrEx>
              <w:trPr>
                <w:trHeight w:val="1402" w:hRule="atLeast"/>
              </w:trPr>
              <w:tc>
                <w:tcPr>
                  <w:tcW w:w="352" w:type="pct"/>
                  <w:tcBorders>
                    <w:top w:val="nil"/>
                    <w:left w:val="single" w:color="auto" w:sz="4" w:space="0"/>
                    <w:bottom w:val="single" w:color="auto" w:sz="4" w:space="0"/>
                    <w:right w:val="single" w:color="auto" w:sz="4" w:space="0"/>
                  </w:tcBorders>
                  <w:noWrap/>
                  <w:vAlign w:val="center"/>
                </w:tcPr>
                <w:p w14:paraId="46863733">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11</w:t>
                  </w:r>
                </w:p>
              </w:tc>
              <w:tc>
                <w:tcPr>
                  <w:tcW w:w="2245" w:type="pct"/>
                  <w:tcBorders>
                    <w:top w:val="nil"/>
                    <w:left w:val="nil"/>
                    <w:bottom w:val="single" w:color="auto" w:sz="4" w:space="0"/>
                    <w:right w:val="single" w:color="auto" w:sz="4" w:space="0"/>
                  </w:tcBorders>
                  <w:noWrap w:val="0"/>
                  <w:vAlign w:val="center"/>
                </w:tcPr>
                <w:p w14:paraId="2C58D19D">
                  <w:pPr>
                    <w:widowControl/>
                    <w:spacing w:line="24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ascii="Times New Roman" w:hAnsi="Times New Roman" w:eastAsia="宋体" w:cs="Times New Roman"/>
                      <w:color w:val="000000" w:themeColor="text1"/>
                      <w:highlight w:val="none"/>
                      <w:lang w:val="en-US" w:eastAsia="zh-CN"/>
                      <w14:textFill>
                        <w14:solidFill>
                          <w14:schemeClr w14:val="tx1"/>
                        </w14:solidFill>
                      </w14:textFill>
                    </w:rPr>
                    <w:t>第十三条</w:t>
                  </w:r>
                  <w:r>
                    <w:rPr>
                      <w:rFonts w:hint="default" w:ascii="Times New Roman" w:hAnsi="Times New Roman" w:eastAsia="宋体" w:cs="Times New Roman"/>
                      <w:color w:val="000000" w:themeColor="text1"/>
                      <w:highlight w:val="none"/>
                      <w:lang w:val="en-US" w:eastAsia="zh-CN"/>
                      <w14:textFill>
                        <w14:solidFill>
                          <w14:schemeClr w14:val="tx1"/>
                        </w14:solidFill>
                      </w14:textFill>
                    </w:rPr>
                    <w:t>改、扩建项目应在全面梳理与项目有关的现有工程</w:t>
                  </w:r>
                  <w:r>
                    <w:rPr>
                      <w:rFonts w:hint="eastAsia" w:ascii="Times New Roman" w:hAnsi="Times New Roman" w:eastAsia="宋体" w:cs="Times New Roman"/>
                      <w:color w:val="000000" w:themeColor="text1"/>
                      <w:highlight w:val="none"/>
                      <w:lang w:val="en-US" w:eastAsia="zh-CN"/>
                      <w14:textFill>
                        <w14:solidFill>
                          <w14:schemeClr w14:val="tx1"/>
                        </w14:solidFill>
                      </w14:textFill>
                    </w:rPr>
                    <w:t>环境问题基础上，提出了“以新带老”措施。</w:t>
                  </w:r>
                </w:p>
              </w:tc>
              <w:tc>
                <w:tcPr>
                  <w:tcW w:w="2050" w:type="pct"/>
                  <w:tcBorders>
                    <w:top w:val="nil"/>
                    <w:left w:val="nil"/>
                    <w:bottom w:val="single" w:color="auto" w:sz="4" w:space="0"/>
                    <w:right w:val="single" w:color="auto" w:sz="4" w:space="0"/>
                  </w:tcBorders>
                  <w:shd w:val="clear" w:color="auto" w:fill="auto"/>
                  <w:noWrap w:val="0"/>
                  <w:vAlign w:val="center"/>
                </w:tcPr>
                <w:p w14:paraId="3FD793F7">
                  <w:pPr>
                    <w:widowControl/>
                    <w:spacing w:line="240" w:lineRule="auto"/>
                    <w:rPr>
                      <w:rFonts w:hint="default" w:ascii="Times New Roman" w:hAnsi="Times New Roman" w:eastAsia="宋体" w:cs="Times New Roman"/>
                      <w:smallCaps w:val="0"/>
                      <w:color w:val="000000" w:themeColor="text1"/>
                      <w:kern w:val="0"/>
                      <w:sz w:val="21"/>
                      <w:szCs w:val="24"/>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根据现状调查可知，</w:t>
                  </w:r>
                  <w:r>
                    <w:rPr>
                      <w:rFonts w:hint="default" w:ascii="Times New Roman" w:hAnsi="Times New Roman" w:cs="Times New Roman"/>
                      <w:color w:val="000000" w:themeColor="text1"/>
                      <w:highlight w:val="none"/>
                      <w:lang w:eastAsia="zh-CN"/>
                      <w14:textFill>
                        <w14:solidFill>
                          <w14:schemeClr w14:val="tx1"/>
                        </w14:solidFill>
                      </w14:textFill>
                    </w:rPr>
                    <w:t>青</w:t>
                  </w:r>
                  <w:r>
                    <w:rPr>
                      <w:rFonts w:hint="default" w:ascii="Times New Roman" w:hAnsi="Times New Roman" w:cs="Times New Roman"/>
                      <w:color w:val="000000" w:themeColor="text1"/>
                      <w:highlight w:val="none"/>
                      <w14:textFill>
                        <w14:solidFill>
                          <w14:schemeClr w14:val="tx1"/>
                        </w14:solidFill>
                      </w14:textFill>
                    </w:rPr>
                    <w:t>山水库运行多年，但是由于库区上游植被覆盖率较高，水土流失得到有效控制</w:t>
                  </w:r>
                  <w:r>
                    <w:rPr>
                      <w:rFonts w:hint="default" w:ascii="Times New Roman" w:hAnsi="Times New Roman" w:cs="Times New Roman"/>
                      <w:color w:val="000000" w:themeColor="text1"/>
                      <w:highlight w:val="none"/>
                      <w:lang w:val="en-US" w:eastAsia="zh-CN"/>
                      <w14:textFill>
                        <w14:solidFill>
                          <w14:schemeClr w14:val="tx1"/>
                        </w14:solidFill>
                      </w14:textFill>
                    </w:rPr>
                    <w:t>，因此不涉及</w:t>
                  </w:r>
                  <w:r>
                    <w:rPr>
                      <w:rFonts w:hint="default" w:ascii="Times New Roman" w:hAnsi="Times New Roman" w:cs="Times New Roman"/>
                      <w:smallCaps w:val="0"/>
                      <w:color w:val="000000" w:themeColor="text1"/>
                      <w:kern w:val="0"/>
                      <w:sz w:val="21"/>
                      <w14:textFill>
                        <w14:solidFill>
                          <w14:schemeClr w14:val="tx1"/>
                        </w14:solidFill>
                      </w14:textFill>
                    </w:rPr>
                    <w:t>“以新带老”措施</w:t>
                  </w:r>
                  <w:r>
                    <w:rPr>
                      <w:rFonts w:hint="default" w:ascii="Times New Roman" w:hAnsi="Times New Roman" w:cs="Times New Roman"/>
                      <w:smallCaps w:val="0"/>
                      <w:color w:val="000000" w:themeColor="text1"/>
                      <w:kern w:val="0"/>
                      <w:sz w:val="21"/>
                      <w:lang w:eastAsia="zh-CN"/>
                      <w14:textFill>
                        <w14:solidFill>
                          <w14:schemeClr w14:val="tx1"/>
                        </w14:solidFill>
                      </w14:textFill>
                    </w:rPr>
                    <w:t>。</w:t>
                  </w:r>
                </w:p>
              </w:tc>
              <w:tc>
                <w:tcPr>
                  <w:tcW w:w="352" w:type="pct"/>
                  <w:tcBorders>
                    <w:top w:val="nil"/>
                    <w:left w:val="nil"/>
                    <w:bottom w:val="single" w:color="auto" w:sz="4" w:space="0"/>
                    <w:right w:val="single" w:color="auto" w:sz="4" w:space="0"/>
                  </w:tcBorders>
                  <w:noWrap/>
                  <w:vAlign w:val="center"/>
                </w:tcPr>
                <w:p w14:paraId="2A731901">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1F7F3066">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35E01E2D">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12</w:t>
                  </w:r>
                </w:p>
              </w:tc>
              <w:tc>
                <w:tcPr>
                  <w:tcW w:w="2245" w:type="pct"/>
                  <w:tcBorders>
                    <w:top w:val="nil"/>
                    <w:left w:val="nil"/>
                    <w:bottom w:val="single" w:color="auto" w:sz="4" w:space="0"/>
                    <w:right w:val="single" w:color="auto" w:sz="4" w:space="0"/>
                  </w:tcBorders>
                  <w:noWrap w:val="0"/>
                  <w:vAlign w:val="center"/>
                </w:tcPr>
                <w:p w14:paraId="19885DE6">
                  <w:pPr>
                    <w:widowControl/>
                    <w:spacing w:line="240" w:lineRule="auto"/>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default" w:ascii="Times New Roman" w:hAnsi="Times New Roman" w:eastAsia="宋体" w:cs="Times New Roman"/>
                      <w:color w:val="000000" w:themeColor="text1"/>
                      <w:highlight w:val="none"/>
                      <w:lang w:val="en-US" w:eastAsia="zh-CN"/>
                      <w14:textFill>
                        <w14:solidFill>
                          <w14:schemeClr w14:val="tx1"/>
                        </w14:solidFill>
                      </w14:textFill>
                    </w:rPr>
                    <w:t>第十四条按相关导则及规定要求，制定了水环境、生态、土</w:t>
                  </w:r>
                  <w:r>
                    <w:rPr>
                      <w:rFonts w:hint="eastAsia" w:ascii="Times New Roman" w:hAnsi="Times New Roman" w:eastAsia="宋体" w:cs="Times New Roman"/>
                      <w:color w:val="000000" w:themeColor="text1"/>
                      <w:highlight w:val="none"/>
                      <w:lang w:val="en-US" w:eastAsia="zh-CN"/>
                      <w14:textFill>
                        <w14:solidFill>
                          <w14:schemeClr w14:val="tx1"/>
                        </w14:solidFill>
                      </w14:textFill>
                    </w:rPr>
                    <w:t>壤、大气、噪声等环境监测计划，明确了监测网点、因子、频次等有关要求，提出了根据监测评估结果开展环境影响后评价或优化环境保护措施的要求。根据需要和相关规定，提出了环境保护设计、环境监理、开展科学研究等环境管理要求和相关保障措施。</w:t>
                  </w:r>
                </w:p>
              </w:tc>
              <w:tc>
                <w:tcPr>
                  <w:tcW w:w="2050" w:type="pct"/>
                  <w:tcBorders>
                    <w:top w:val="nil"/>
                    <w:left w:val="nil"/>
                    <w:bottom w:val="single" w:color="auto" w:sz="4" w:space="0"/>
                    <w:right w:val="single" w:color="auto" w:sz="4" w:space="0"/>
                  </w:tcBorders>
                  <w:shd w:val="clear" w:color="auto" w:fill="auto"/>
                  <w:noWrap w:val="0"/>
                  <w:vAlign w:val="center"/>
                </w:tcPr>
                <w:p w14:paraId="7DCC1F62">
                  <w:pPr>
                    <w:widowControl/>
                    <w:spacing w:line="240" w:lineRule="auto"/>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本项目按</w:t>
                  </w:r>
                  <w:r>
                    <w:rPr>
                      <w:snapToGrid w:val="0"/>
                      <w:color w:val="000000" w:themeColor="text1"/>
                      <w:szCs w:val="21"/>
                      <w:highlight w:val="none"/>
                      <w14:textFill>
                        <w14:solidFill>
                          <w14:schemeClr w14:val="tx1"/>
                        </w14:solidFill>
                      </w14:textFill>
                    </w:rPr>
                    <w:t>本项目按照《建设项目环境影响报告表编制技术指南（生态影响类）（试行）》</w:t>
                  </w:r>
                  <w:r>
                    <w:rPr>
                      <w:rFonts w:hint="eastAsia"/>
                      <w:snapToGrid w:val="0"/>
                      <w:color w:val="000000" w:themeColor="text1"/>
                      <w:szCs w:val="21"/>
                      <w:highlight w:val="none"/>
                      <w:lang w:eastAsia="zh-CN"/>
                      <w14:textFill>
                        <w14:solidFill>
                          <w14:schemeClr w14:val="tx1"/>
                        </w14:solidFill>
                      </w14:textFill>
                    </w:rPr>
                    <w:t>的相关要求</w:t>
                  </w:r>
                  <w:r>
                    <w:rPr>
                      <w:rFonts w:hint="default" w:ascii="Times New Roman" w:hAnsi="Times New Roman" w:cs="Times New Roman"/>
                      <w:smallCaps w:val="0"/>
                      <w:color w:val="000000" w:themeColor="text1"/>
                      <w:kern w:val="0"/>
                      <w:sz w:val="21"/>
                      <w14:textFill>
                        <w14:solidFill>
                          <w14:schemeClr w14:val="tx1"/>
                        </w14:solidFill>
                      </w14:textFill>
                    </w:rPr>
                    <w:t>，制定了水环境、生态等环境监测计划，明确了监测网点、因子、频次等，并提出了环境管理有关要求。</w:t>
                  </w:r>
                </w:p>
              </w:tc>
              <w:tc>
                <w:tcPr>
                  <w:tcW w:w="352" w:type="pct"/>
                  <w:tcBorders>
                    <w:top w:val="nil"/>
                    <w:left w:val="nil"/>
                    <w:bottom w:val="single" w:color="auto" w:sz="4" w:space="0"/>
                    <w:right w:val="single" w:color="auto" w:sz="4" w:space="0"/>
                  </w:tcBorders>
                  <w:noWrap/>
                  <w:vAlign w:val="center"/>
                </w:tcPr>
                <w:p w14:paraId="57D269AF">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6A2F2363">
              <w:tblPrEx>
                <w:tblCellMar>
                  <w:top w:w="0" w:type="dxa"/>
                  <w:left w:w="108" w:type="dxa"/>
                  <w:bottom w:w="0" w:type="dxa"/>
                  <w:right w:w="108" w:type="dxa"/>
                </w:tblCellMar>
              </w:tblPrEx>
              <w:trPr>
                <w:trHeight w:val="810" w:hRule="atLeast"/>
              </w:trPr>
              <w:tc>
                <w:tcPr>
                  <w:tcW w:w="352" w:type="pct"/>
                  <w:tcBorders>
                    <w:top w:val="nil"/>
                    <w:left w:val="single" w:color="auto" w:sz="4" w:space="0"/>
                    <w:bottom w:val="single" w:color="auto" w:sz="4" w:space="0"/>
                    <w:right w:val="single" w:color="auto" w:sz="4" w:space="0"/>
                  </w:tcBorders>
                  <w:noWrap/>
                  <w:vAlign w:val="center"/>
                </w:tcPr>
                <w:p w14:paraId="10BB04C7">
                  <w:pPr>
                    <w:widowControl/>
                    <w:numPr>
                      <w:ilvl w:val="0"/>
                      <w:numId w:val="4"/>
                    </w:numPr>
                    <w:spacing w:line="240" w:lineRule="auto"/>
                    <w:ind w:left="425" w:leftChars="0" w:hanging="425" w:firstLineChars="0"/>
                    <w:jc w:val="cente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pPr>
                </w:p>
              </w:tc>
              <w:tc>
                <w:tcPr>
                  <w:tcW w:w="2245" w:type="pct"/>
                  <w:tcBorders>
                    <w:top w:val="nil"/>
                    <w:left w:val="nil"/>
                    <w:bottom w:val="single" w:color="auto" w:sz="4" w:space="0"/>
                    <w:right w:val="single" w:color="auto" w:sz="4" w:space="0"/>
                  </w:tcBorders>
                  <w:noWrap w:val="0"/>
                  <w:vAlign w:val="center"/>
                </w:tcPr>
                <w:p w14:paraId="2F5CE2E0">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第十五条对环境保护措施进行了深入论证，具有明确的责任</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主体、投资、时间节点和预期效果等，确保科学有效、安全可行、绿色协调。</w:t>
                  </w:r>
                </w:p>
              </w:tc>
              <w:tc>
                <w:tcPr>
                  <w:tcW w:w="2050" w:type="pct"/>
                  <w:tcBorders>
                    <w:top w:val="nil"/>
                    <w:left w:val="nil"/>
                    <w:bottom w:val="single" w:color="auto" w:sz="4" w:space="0"/>
                    <w:right w:val="single" w:color="auto" w:sz="4" w:space="0"/>
                  </w:tcBorders>
                  <w:shd w:val="clear" w:color="auto" w:fill="auto"/>
                  <w:noWrap w:val="0"/>
                  <w:vAlign w:val="center"/>
                </w:tcPr>
                <w:p w14:paraId="6E415EF2">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eastAsia="宋体" w:cs="Times New Roman"/>
                      <w:smallCaps w:val="0"/>
                      <w:color w:val="000000" w:themeColor="text1"/>
                      <w:kern w:val="0"/>
                      <w:sz w:val="21"/>
                      <w:lang w:val="en-US" w:eastAsia="zh-CN"/>
                      <w14:textFill>
                        <w14:solidFill>
                          <w14:schemeClr w14:val="tx1"/>
                        </w14:solidFill>
                      </w14:textFill>
                    </w:rPr>
                    <w:t>本项目对环境保护的措施进行了深入论证，从现状、影响到措施进行 有效论证</w:t>
                  </w:r>
                </w:p>
              </w:tc>
              <w:tc>
                <w:tcPr>
                  <w:tcW w:w="352" w:type="pct"/>
                  <w:tcBorders>
                    <w:top w:val="nil"/>
                    <w:left w:val="nil"/>
                    <w:bottom w:val="single" w:color="auto" w:sz="4" w:space="0"/>
                    <w:right w:val="single" w:color="auto" w:sz="4" w:space="0"/>
                  </w:tcBorders>
                  <w:noWrap/>
                  <w:vAlign w:val="center"/>
                </w:tcPr>
                <w:p w14:paraId="69689CF2">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4EB2EA1E">
              <w:tblPrEx>
                <w:tblCellMar>
                  <w:top w:w="0" w:type="dxa"/>
                  <w:left w:w="108" w:type="dxa"/>
                  <w:bottom w:w="0" w:type="dxa"/>
                  <w:right w:w="108" w:type="dxa"/>
                </w:tblCellMar>
              </w:tblPrEx>
              <w:trPr>
                <w:trHeight w:val="270" w:hRule="atLeast"/>
              </w:trPr>
              <w:tc>
                <w:tcPr>
                  <w:tcW w:w="352" w:type="pct"/>
                  <w:tcBorders>
                    <w:top w:val="nil"/>
                    <w:left w:val="single" w:color="auto" w:sz="4" w:space="0"/>
                    <w:bottom w:val="single" w:color="auto" w:sz="4" w:space="0"/>
                    <w:right w:val="single" w:color="auto" w:sz="4" w:space="0"/>
                  </w:tcBorders>
                  <w:noWrap/>
                  <w:vAlign w:val="center"/>
                </w:tcPr>
                <w:p w14:paraId="63557E87">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13</w:t>
                  </w:r>
                </w:p>
              </w:tc>
              <w:tc>
                <w:tcPr>
                  <w:tcW w:w="2245" w:type="pct"/>
                  <w:tcBorders>
                    <w:top w:val="nil"/>
                    <w:left w:val="nil"/>
                    <w:bottom w:val="single" w:color="auto" w:sz="4" w:space="0"/>
                    <w:right w:val="single" w:color="auto" w:sz="4" w:space="0"/>
                  </w:tcBorders>
                  <w:noWrap w:val="0"/>
                  <w:vAlign w:val="center"/>
                </w:tcPr>
                <w:p w14:paraId="7EF6EDD2">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第十</w:t>
                  </w:r>
                  <w:r>
                    <w:rPr>
                      <w:rFonts w:hint="eastAsia" w:cs="Times New Roman"/>
                      <w:smallCaps w:val="0"/>
                      <w:color w:val="000000" w:themeColor="text1"/>
                      <w:kern w:val="0"/>
                      <w:sz w:val="21"/>
                      <w:lang w:val="en-US" w:eastAsia="zh-CN"/>
                      <w14:textFill>
                        <w14:solidFill>
                          <w14:schemeClr w14:val="tx1"/>
                        </w14:solidFill>
                      </w14:textFill>
                    </w:rPr>
                    <w:t>六</w:t>
                  </w: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条</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 按相关规定开展了信息公开和公众参与</w:t>
                  </w:r>
                </w:p>
              </w:tc>
              <w:tc>
                <w:tcPr>
                  <w:tcW w:w="2050" w:type="pct"/>
                  <w:tcBorders>
                    <w:top w:val="nil"/>
                    <w:left w:val="nil"/>
                    <w:bottom w:val="single" w:color="auto" w:sz="4" w:space="0"/>
                    <w:right w:val="single" w:color="auto" w:sz="4" w:space="0"/>
                  </w:tcBorders>
                  <w:noWrap w:val="0"/>
                  <w:vAlign w:val="center"/>
                </w:tcPr>
                <w:p w14:paraId="2F9D15B6">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本次为编制环境影响报告表，不需要开展公众参与。</w:t>
                  </w:r>
                </w:p>
              </w:tc>
              <w:tc>
                <w:tcPr>
                  <w:tcW w:w="352" w:type="pct"/>
                  <w:tcBorders>
                    <w:top w:val="nil"/>
                    <w:left w:val="nil"/>
                    <w:bottom w:val="single" w:color="auto" w:sz="4" w:space="0"/>
                    <w:right w:val="single" w:color="auto" w:sz="4" w:space="0"/>
                  </w:tcBorders>
                  <w:noWrap/>
                  <w:vAlign w:val="center"/>
                </w:tcPr>
                <w:p w14:paraId="577075C6">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r w14:paraId="06F46498">
              <w:tblPrEx>
                <w:tblCellMar>
                  <w:top w:w="0" w:type="dxa"/>
                  <w:left w:w="108" w:type="dxa"/>
                  <w:bottom w:w="0" w:type="dxa"/>
                  <w:right w:w="108" w:type="dxa"/>
                </w:tblCellMar>
              </w:tblPrEx>
              <w:trPr>
                <w:trHeight w:val="540" w:hRule="atLeast"/>
              </w:trPr>
              <w:tc>
                <w:tcPr>
                  <w:tcW w:w="352" w:type="pct"/>
                  <w:tcBorders>
                    <w:top w:val="nil"/>
                    <w:left w:val="single" w:color="auto" w:sz="4" w:space="0"/>
                    <w:bottom w:val="single" w:color="auto" w:sz="4" w:space="0"/>
                    <w:right w:val="single" w:color="auto" w:sz="4" w:space="0"/>
                  </w:tcBorders>
                  <w:noWrap/>
                  <w:vAlign w:val="center"/>
                </w:tcPr>
                <w:p w14:paraId="6612696C">
                  <w:pPr>
                    <w:widowControl/>
                    <w:numPr>
                      <w:ilvl w:val="0"/>
                      <w:numId w:val="4"/>
                    </w:numPr>
                    <w:spacing w:line="240" w:lineRule="auto"/>
                    <w:ind w:left="425" w:leftChars="0" w:hanging="425" w:firstLineChars="0"/>
                    <w:jc w:val="cente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14</w:t>
                  </w:r>
                </w:p>
              </w:tc>
              <w:tc>
                <w:tcPr>
                  <w:tcW w:w="2245" w:type="pct"/>
                  <w:tcBorders>
                    <w:top w:val="nil"/>
                    <w:left w:val="nil"/>
                    <w:bottom w:val="single" w:color="auto" w:sz="4" w:space="0"/>
                    <w:right w:val="single" w:color="auto" w:sz="4" w:space="0"/>
                  </w:tcBorders>
                  <w:noWrap w:val="0"/>
                  <w:vAlign w:val="center"/>
                </w:tcPr>
                <w:p w14:paraId="46D44378">
                  <w:pPr>
                    <w:widowControl/>
                    <w:spacing w:line="240" w:lineRule="auto"/>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pP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第十</w:t>
                  </w:r>
                  <w:r>
                    <w:rPr>
                      <w:rFonts w:hint="eastAsia" w:cs="Times New Roman"/>
                      <w:smallCaps w:val="0"/>
                      <w:color w:val="000000" w:themeColor="text1"/>
                      <w:kern w:val="0"/>
                      <w:sz w:val="21"/>
                      <w:lang w:val="en-US" w:eastAsia="zh-CN"/>
                      <w14:textFill>
                        <w14:solidFill>
                          <w14:schemeClr w14:val="tx1"/>
                        </w14:solidFill>
                      </w14:textFill>
                    </w:rPr>
                    <w:t>七</w:t>
                  </w:r>
                  <w:r>
                    <w:rPr>
                      <w:rFonts w:hint="default" w:ascii="Times New Roman" w:hAnsi="Times New Roman" w:eastAsia="宋体" w:cs="Times New Roman"/>
                      <w:smallCaps w:val="0"/>
                      <w:color w:val="000000" w:themeColor="text1"/>
                      <w:kern w:val="0"/>
                      <w:sz w:val="21"/>
                      <w:lang w:val="en-US" w:eastAsia="zh-CN"/>
                      <w14:textFill>
                        <w14:solidFill>
                          <w14:schemeClr w14:val="tx1"/>
                        </w14:solidFill>
                      </w14:textFill>
                    </w:rPr>
                    <w:t>条</w:t>
                  </w:r>
                  <w:r>
                    <w:rPr>
                      <w:rFonts w:hint="eastAsia" w:ascii="Times New Roman" w:hAnsi="Times New Roman" w:eastAsia="宋体" w:cs="Times New Roman"/>
                      <w:smallCaps w:val="0"/>
                      <w:color w:val="000000" w:themeColor="text1"/>
                      <w:kern w:val="0"/>
                      <w:sz w:val="21"/>
                      <w:lang w:val="en-US" w:eastAsia="zh-CN"/>
                      <w14:textFill>
                        <w14:solidFill>
                          <w14:schemeClr w14:val="tx1"/>
                        </w14:solidFill>
                      </w14:textFill>
                    </w:rPr>
                    <w:t> 环境影响评价文件编制规范，符合相关管理规定和环评技术标准要求</w:t>
                  </w:r>
                </w:p>
              </w:tc>
              <w:tc>
                <w:tcPr>
                  <w:tcW w:w="2050" w:type="pct"/>
                  <w:tcBorders>
                    <w:top w:val="nil"/>
                    <w:left w:val="nil"/>
                    <w:bottom w:val="single" w:color="auto" w:sz="4" w:space="0"/>
                    <w:right w:val="single" w:color="auto" w:sz="4" w:space="0"/>
                  </w:tcBorders>
                  <w:noWrap w:val="0"/>
                  <w:vAlign w:val="center"/>
                </w:tcPr>
                <w:p w14:paraId="62C9D734">
                  <w:pPr>
                    <w:widowControl/>
                    <w:spacing w:line="240" w:lineRule="auto"/>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环境影响评价文件按规范、相关管理规定和环评技术标准要求进行编制。</w:t>
                  </w:r>
                </w:p>
              </w:tc>
              <w:tc>
                <w:tcPr>
                  <w:tcW w:w="352" w:type="pct"/>
                  <w:tcBorders>
                    <w:top w:val="nil"/>
                    <w:left w:val="nil"/>
                    <w:bottom w:val="single" w:color="auto" w:sz="4" w:space="0"/>
                    <w:right w:val="single" w:color="auto" w:sz="4" w:space="0"/>
                  </w:tcBorders>
                  <w:noWrap/>
                  <w:vAlign w:val="center"/>
                </w:tcPr>
                <w:p w14:paraId="41AB7AC5">
                  <w:pPr>
                    <w:widowControl/>
                    <w:spacing w:line="240" w:lineRule="auto"/>
                    <w:ind w:firstLine="0" w:firstLineChars="0"/>
                    <w:rPr>
                      <w:rFonts w:hint="default" w:ascii="Times New Roman" w:hAnsi="Times New Roman" w:cs="Times New Roman"/>
                      <w:smallCaps w:val="0"/>
                      <w:color w:val="000000" w:themeColor="text1"/>
                      <w:kern w:val="0"/>
                      <w:sz w:val="21"/>
                      <w14:textFill>
                        <w14:solidFill>
                          <w14:schemeClr w14:val="tx1"/>
                        </w14:solidFill>
                      </w14:textFill>
                    </w:rPr>
                  </w:pPr>
                  <w:r>
                    <w:rPr>
                      <w:rFonts w:hint="default" w:ascii="Times New Roman" w:hAnsi="Times New Roman" w:cs="Times New Roman"/>
                      <w:smallCaps w:val="0"/>
                      <w:color w:val="000000" w:themeColor="text1"/>
                      <w:kern w:val="0"/>
                      <w:sz w:val="21"/>
                      <w14:textFill>
                        <w14:solidFill>
                          <w14:schemeClr w14:val="tx1"/>
                        </w14:solidFill>
                      </w14:textFill>
                    </w:rPr>
                    <w:t>符合</w:t>
                  </w:r>
                </w:p>
              </w:tc>
            </w:tr>
          </w:tbl>
          <w:p w14:paraId="546285FE">
            <w:pPr>
              <w:adjustRightInd w:val="0"/>
              <w:snapToGrid w:val="0"/>
              <w:spacing w:before="120" w:beforeLines="50" w:line="360" w:lineRule="auto"/>
              <w:ind w:firstLine="480" w:firstLineChars="200"/>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p>
          <w:p w14:paraId="18896BF4">
            <w:pPr>
              <w:autoSpaceDE w:val="0"/>
              <w:autoSpaceDN w:val="0"/>
              <w:adjustRightInd w:val="0"/>
              <w:snapToGrid w:val="0"/>
              <w:spacing w:line="360" w:lineRule="auto"/>
              <w:ind w:firstLine="460" w:firstLineChars="200"/>
              <w:rPr>
                <w:rFonts w:hint="default" w:ascii="Times New Roman" w:hAnsi="Times New Roman" w:cs="Times New Roman" w:eastAsiaTheme="minorEastAsia"/>
                <w:color w:val="000000" w:themeColor="text1"/>
                <w:spacing w:val="-5"/>
                <w:sz w:val="24"/>
                <w:highlight w:val="none"/>
                <w14:textFill>
                  <w14:solidFill>
                    <w14:schemeClr w14:val="tx1"/>
                  </w14:solidFill>
                </w14:textFill>
              </w:rPr>
            </w:pPr>
          </w:p>
        </w:tc>
      </w:tr>
    </w:tbl>
    <w:p w14:paraId="0B81A016">
      <w:pPr>
        <w:spacing w:line="360" w:lineRule="auto"/>
        <w:outlineLvl w:val="0"/>
        <w:rPr>
          <w:rFonts w:hint="default" w:ascii="Times New Roman" w:hAnsi="Times New Roman" w:cs="Times New Roman" w:eastAsiaTheme="minorEastAsia"/>
          <w:color w:val="000000" w:themeColor="text1"/>
          <w:sz w:val="30"/>
          <w:highlight w:val="none"/>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fmt="decimal"/>
          <w:cols w:space="720" w:num="1"/>
          <w:docGrid w:linePitch="312" w:charSpace="0"/>
        </w:sectPr>
      </w:pPr>
    </w:p>
    <w:p w14:paraId="75EB3EEA">
      <w:pPr>
        <w:pStyle w:val="19"/>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6" w:name="_Toc22434"/>
      <w:bookmarkStart w:id="7" w:name="_Toc30385"/>
      <w:bookmarkStart w:id="8" w:name="_Toc19121"/>
      <w:bookmarkStart w:id="9" w:name="_Toc23812"/>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二、建设内容</w:t>
      </w:r>
      <w:bookmarkEnd w:id="6"/>
      <w:bookmarkEnd w:id="7"/>
      <w:bookmarkEnd w:id="8"/>
      <w:bookmarkEnd w:id="9"/>
    </w:p>
    <w:tbl>
      <w:tblPr>
        <w:tblStyle w:val="22"/>
        <w:tblW w:w="500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46"/>
        <w:gridCol w:w="8091"/>
      </w:tblGrid>
      <w:tr w14:paraId="581811F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2" w:hRule="atLeast"/>
          <w:jc w:val="center"/>
        </w:trPr>
        <w:tc>
          <w:tcPr>
            <w:tcW w:w="261" w:type="pct"/>
            <w:vAlign w:val="center"/>
          </w:tcPr>
          <w:p w14:paraId="5505DF8A">
            <w:pPr>
              <w:adjustRightInd w:val="0"/>
              <w:snapToGrid w:val="0"/>
              <w:jc w:val="center"/>
              <w:rPr>
                <w:rFonts w:hint="default" w:ascii="Times New Roman" w:hAnsi="Times New Roman" w:cs="Times New Roman" w:eastAsiaTheme="minorEastAsia"/>
                <w:color w:val="000000" w:themeColor="text1"/>
                <w:kern w:val="0"/>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地理位置</w:t>
            </w:r>
          </w:p>
        </w:tc>
        <w:tc>
          <w:tcPr>
            <w:tcW w:w="4738" w:type="pct"/>
            <w:vAlign w:val="center"/>
          </w:tcPr>
          <w:p w14:paraId="284FBB9F">
            <w:pPr>
              <w:adjustRightInd w:val="0"/>
              <w:snapToGrid w:val="0"/>
              <w:spacing w:before="120" w:beforeLines="50" w:line="360" w:lineRule="auto"/>
              <w:ind w:firstLine="48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青山水库除险加固工程</w:t>
            </w:r>
            <w:r>
              <w:rPr>
                <w:rFonts w:hint="default" w:ascii="Times New Roman" w:hAnsi="Times New Roman" w:cs="Times New Roman"/>
                <w:color w:val="000000" w:themeColor="text1"/>
                <w:sz w:val="24"/>
                <w:highlight w:val="none"/>
                <w14:textFill>
                  <w14:solidFill>
                    <w14:schemeClr w14:val="tx1"/>
                  </w14:solidFill>
                </w14:textFill>
              </w:rPr>
              <w:t>位于</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黑龙江省</w:t>
            </w: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鸡西市密山市太平乡</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水库大坝</w:t>
            </w: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中心</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：东经131°28'55.674"，北纬45°25'58.712"</w:t>
            </w:r>
            <w:r>
              <w:rPr>
                <w:rFonts w:hint="default" w:ascii="Times New Roman" w:hAnsi="Times New Roman" w:cs="Times New Roman"/>
                <w:color w:val="000000" w:themeColor="text1"/>
                <w:sz w:val="24"/>
                <w:highlight w:val="none"/>
                <w14:textFill>
                  <w14:solidFill>
                    <w14:schemeClr w14:val="tx1"/>
                  </w14:solidFill>
                </w14:textFill>
              </w:rPr>
              <w:t>。</w:t>
            </w:r>
          </w:p>
        </w:tc>
      </w:tr>
      <w:tr w14:paraId="45C1D1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0" w:hRule="atLeast"/>
          <w:jc w:val="center"/>
        </w:trPr>
        <w:tc>
          <w:tcPr>
            <w:tcW w:w="261" w:type="pct"/>
            <w:vAlign w:val="center"/>
          </w:tcPr>
          <w:p w14:paraId="25EBC374">
            <w:pPr>
              <w:adjustRightInd w:val="0"/>
              <w:snapToGrid w:val="0"/>
              <w:jc w:val="center"/>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项目组成及规模</w:t>
            </w:r>
          </w:p>
        </w:tc>
        <w:tc>
          <w:tcPr>
            <w:tcW w:w="4738" w:type="pct"/>
            <w:vAlign w:val="center"/>
          </w:tcPr>
          <w:p w14:paraId="37AC3EAC">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eastAsiaTheme="minorEastAsia"/>
                <w:b/>
                <w:bCs/>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4"/>
                <w:szCs w:val="24"/>
                <w:highlight w:val="none"/>
                <w:lang w:val="en-US" w:eastAsia="zh-CN"/>
                <w14:textFill>
                  <w14:solidFill>
                    <w14:schemeClr w14:val="tx1"/>
                  </w14:solidFill>
                </w14:textFill>
              </w:rPr>
              <w:t>1、</w:t>
            </w:r>
            <w:r>
              <w:rPr>
                <w:rFonts w:hint="eastAsia" w:cs="Times New Roman" w:eastAsiaTheme="minorEastAsia"/>
                <w:b/>
                <w:bCs/>
                <w:color w:val="000000" w:themeColor="text1"/>
                <w:sz w:val="24"/>
                <w:szCs w:val="24"/>
                <w:highlight w:val="none"/>
                <w:lang w:val="en-US" w:eastAsia="zh-CN"/>
                <w14:textFill>
                  <w14:solidFill>
                    <w14:schemeClr w14:val="tx1"/>
                  </w14:solidFill>
                </w14:textFill>
              </w:rPr>
              <w:t>项目概况</w:t>
            </w:r>
          </w:p>
          <w:p w14:paraId="7C037ACB">
            <w:pPr>
              <w:pStyle w:val="21"/>
              <w:keepNext w:val="0"/>
              <w:keepLines w:val="0"/>
              <w:pageBreakBefore w:val="0"/>
              <w:widowControl w:val="0"/>
              <w:kinsoku/>
              <w:wordWrap/>
              <w:overflowPunct/>
              <w:topLinePunct w:val="0"/>
              <w:autoSpaceDE/>
              <w:autoSpaceDN/>
              <w:bidi w:val="0"/>
              <w:spacing w:after="0" w:afterLines="0"/>
              <w:ind w:left="0" w:leftChars="0" w:firstLine="480" w:firstLineChars="200"/>
              <w:textAlignment w:val="auto"/>
              <w:rPr>
                <w:rFonts w:hint="eastAsia"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由于2023年及2024年连续两年超标准洪水，水库超负荷运行，出现影响安全的异常现象，密山水务局委托黑龙江省润源工程勘测设计有限公司对水库进行安全鉴定。</w:t>
            </w:r>
          </w:p>
          <w:p w14:paraId="4DF01537">
            <w:pPr>
              <w:pStyle w:val="21"/>
              <w:keepNext w:val="0"/>
              <w:keepLines w:val="0"/>
              <w:pageBreakBefore w:val="0"/>
              <w:widowControl w:val="0"/>
              <w:kinsoku/>
              <w:wordWrap/>
              <w:overflowPunct/>
              <w:topLinePunct w:val="0"/>
              <w:autoSpaceDE/>
              <w:autoSpaceDN/>
              <w:bidi w:val="0"/>
              <w:spacing w:after="0" w:afterLines="0"/>
              <w:ind w:left="0" w:leftChars="0" w:firstLine="480" w:firstLineChars="200"/>
              <w:textAlignment w:val="auto"/>
              <w:rPr>
                <w:rFonts w:hint="eastAsia"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hAnsi="Times New Roman" w:cs="Times New Roman" w:eastAsiaTheme="minorEastAsia"/>
                <w:color w:val="000000" w:themeColor="text1"/>
                <w:sz w:val="24"/>
                <w:szCs w:val="24"/>
                <w:highlight w:val="none"/>
                <w:lang w:val="en-US" w:eastAsia="zh-CN"/>
                <w14:textFill>
                  <w14:solidFill>
                    <w14:schemeClr w14:val="tx1"/>
                  </w14:solidFill>
                </w14:textFill>
              </w:rPr>
              <w:t>2024年11月14日密山市水务局取得密山市发展和改革局《关于密山市青山水库除险加固工程项目可行性研究报告的批复》密发改[2024]57号；</w:t>
            </w:r>
          </w:p>
          <w:p w14:paraId="370C387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hAnsi="Times New Roman" w:cs="Times New Roman" w:eastAsiaTheme="minorEastAsia"/>
                <w:color w:val="000000" w:themeColor="text1"/>
                <w:sz w:val="24"/>
                <w:szCs w:val="24"/>
                <w:highlight w:val="none"/>
                <w:lang w:val="en-US" w:eastAsia="zh-CN"/>
                <w14:textFill>
                  <w14:solidFill>
                    <w14:schemeClr w14:val="tx1"/>
                  </w14:solidFill>
                </w14:textFill>
              </w:rPr>
              <w:t>2024年12月30日密山市水务局取得鸡西市水务局《关于黑龙江密山市青山水库除险加固工程初步设计的批复》</w:t>
            </w:r>
            <w:r>
              <w:rPr>
                <w:rFonts w:hint="default"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t>鸡水复〔2024〕10号</w:t>
            </w:r>
            <w:r>
              <w:rPr>
                <w:rFonts w:hint="eastAsia" w:hAnsi="Times New Roman" w:cs="Times New Roman"/>
                <w:snapToGrid w:val="0"/>
                <w:color w:val="000000" w:themeColor="text1"/>
                <w:kern w:val="0"/>
                <w:sz w:val="24"/>
                <w:szCs w:val="24"/>
                <w:lang w:val="en-US" w:eastAsia="zh-CN" w:bidi="ar-SA"/>
                <w14:textFill>
                  <w14:solidFill>
                    <w14:schemeClr w14:val="tx1"/>
                  </w14:solidFill>
                </w14:textFill>
              </w:rPr>
              <w:t>。</w:t>
            </w:r>
          </w:p>
          <w:p w14:paraId="1E1167F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（1）</w:t>
            </w:r>
            <w:r>
              <w:rPr>
                <w:rFonts w:hint="eastAsia" w:cs="Times New Roman" w:eastAsiaTheme="minorEastAsia"/>
                <w:color w:val="000000" w:themeColor="text1"/>
                <w:sz w:val="24"/>
                <w:szCs w:val="24"/>
                <w:highlight w:val="none"/>
                <w:lang w:val="en-US" w:eastAsia="zh-CN"/>
                <w14:textFill>
                  <w14:solidFill>
                    <w14:schemeClr w14:val="tx1"/>
                  </w14:solidFill>
                </w14:textFill>
              </w:rPr>
              <w:t>根据</w:t>
            </w:r>
            <w:r>
              <w:rPr>
                <w:rFonts w:hint="eastAsia" w:hAnsi="Times New Roman" w:cs="Times New Roman" w:eastAsiaTheme="minorEastAsia"/>
                <w:color w:val="000000" w:themeColor="text1"/>
                <w:sz w:val="24"/>
                <w:szCs w:val="24"/>
                <w:highlight w:val="none"/>
                <w:lang w:val="en-US" w:eastAsia="zh-CN"/>
                <w14:textFill>
                  <w14:solidFill>
                    <w14:schemeClr w14:val="tx1"/>
                  </w14:solidFill>
                </w14:textFill>
              </w:rPr>
              <w:t>密发改[2024]57号</w:t>
            </w:r>
            <w:r>
              <w:rPr>
                <w:rFonts w:hint="eastAsia" w:cs="Times New Roman" w:eastAsiaTheme="minorEastAsia"/>
                <w:color w:val="000000" w:themeColor="text1"/>
                <w:sz w:val="24"/>
                <w:szCs w:val="24"/>
                <w:highlight w:val="none"/>
                <w:lang w:val="en-US" w:eastAsia="zh-CN"/>
                <w14:textFill>
                  <w14:solidFill>
                    <w14:schemeClr w14:val="tx1"/>
                  </w14:solidFill>
                </w14:textFill>
              </w:rPr>
              <w:t>与</w:t>
            </w:r>
            <w:r>
              <w:rPr>
                <w:rFonts w:hint="default"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t>鸡水复〔2024〕10号</w:t>
            </w:r>
            <w:r>
              <w:rPr>
                <w:rFonts w:hint="eastAsia" w:cs="Times New Roman"/>
                <w:snapToGrid w:val="0"/>
                <w:color w:val="000000" w:themeColor="text1"/>
                <w:kern w:val="0"/>
                <w:sz w:val="24"/>
                <w:szCs w:val="24"/>
                <w:lang w:val="en-US" w:eastAsia="zh-CN" w:bidi="ar-SA"/>
                <w14:textFill>
                  <w14:solidFill>
                    <w14:schemeClr w14:val="tx1"/>
                  </w14:solidFill>
                </w14:textFill>
              </w:rPr>
              <w:t>文件</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青山水库存在的主要问题有：</w:t>
            </w:r>
          </w:p>
          <w:p w14:paraId="0590034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①大坝上游坝坡输水洞旁存在一处塌陷，大坝桩号0+390-0+420下游坝坡坝体滑坡。</w:t>
            </w:r>
          </w:p>
          <w:p w14:paraId="4F85F6A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②溢洪道溢流堰体剥蚀、局部钢筋裸露；消力池左侧边墙倒塌，右侧边墙断裂。</w:t>
            </w:r>
          </w:p>
          <w:p w14:paraId="627D728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③输水洞启闭螺杆弯曲变形，闸门及启闭机等金属结构局部变形、锈蚀。</w:t>
            </w:r>
          </w:p>
          <w:p w14:paraId="1AE5BB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④水库管理设施无法满足现代化水库运行管理要求。</w:t>
            </w:r>
          </w:p>
          <w:p w14:paraId="3AC0801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⑤坝顶路面未硬化</w:t>
            </w:r>
            <w:r>
              <w:rPr>
                <w:rFonts w:hint="eastAsia" w:cs="Times New Roman" w:eastAsiaTheme="minorEastAsia"/>
                <w:color w:val="000000" w:themeColor="text1"/>
                <w:sz w:val="24"/>
                <w:szCs w:val="24"/>
                <w:highlight w:val="none"/>
                <w:lang w:val="en-US" w:eastAsia="zh-CN"/>
                <w14:textFill>
                  <w14:solidFill>
                    <w14:schemeClr w14:val="tx1"/>
                  </w14:solidFill>
                </w14:textFill>
              </w:rPr>
              <w:t>。</w:t>
            </w:r>
          </w:p>
          <w:p w14:paraId="3B5059D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⑥水库淤积</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w:t>
            </w:r>
          </w:p>
          <w:p w14:paraId="0F3DCB5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（2）鉴定结论</w:t>
            </w:r>
          </w:p>
          <w:p w14:paraId="525A1C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color w:val="000000" w:themeColor="text1"/>
                <w:lang w:val="en-US" w:eastAsia="zh-CN"/>
                <w14:textFill>
                  <w14:solidFill>
                    <w14:schemeClr w14:val="tx1"/>
                  </w14:solidFill>
                </w14:textFill>
              </w:rPr>
            </w:pPr>
            <w:r>
              <w:rPr>
                <w:rFonts w:hint="eastAsia" w:cs="Times New Roman" w:eastAsiaTheme="minorEastAsia"/>
                <w:color w:val="000000" w:themeColor="text1"/>
                <w:sz w:val="24"/>
                <w:szCs w:val="24"/>
                <w:highlight w:val="none"/>
                <w:lang w:val="en-US" w:eastAsia="zh-CN"/>
                <w14:textFill>
                  <w14:solidFill>
                    <w14:schemeClr w14:val="tx1"/>
                  </w14:solidFill>
                </w14:textFill>
              </w:rPr>
              <w:t>按照</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黑龙江省水利厅安排，黑龙江省水利科学研究院于2024年10月组织专家进行核查，核查认为大坝安全鉴定为“三类坝”，应开展除险加固消除险情和安全隐患。</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37"/>
              <w:gridCol w:w="3938"/>
            </w:tblGrid>
            <w:tr w14:paraId="3261E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7" w:type="dxa"/>
                </w:tcPr>
                <w:p w14:paraId="68BD3DFB">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drawing>
                      <wp:inline distT="0" distB="0" distL="114300" distR="114300">
                        <wp:extent cx="2356485" cy="1766570"/>
                        <wp:effectExtent l="0" t="0" r="5715" b="5080"/>
                        <wp:docPr id="44" name="图片 44" descr="1b93631fa6306b476d166e39ec2e1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1b93631fa6306b476d166e39ec2e1bb"/>
                                <pic:cNvPicPr>
                                  <a:picLocks noChangeAspect="1"/>
                                </pic:cNvPicPr>
                              </pic:nvPicPr>
                              <pic:blipFill>
                                <a:blip r:embed="rId18"/>
                                <a:stretch>
                                  <a:fillRect/>
                                </a:stretch>
                              </pic:blipFill>
                              <pic:spPr>
                                <a:xfrm>
                                  <a:off x="0" y="0"/>
                                  <a:ext cx="2356485" cy="1766570"/>
                                </a:xfrm>
                                <a:prstGeom prst="rect">
                                  <a:avLst/>
                                </a:prstGeom>
                              </pic:spPr>
                            </pic:pic>
                          </a:graphicData>
                        </a:graphic>
                      </wp:inline>
                    </w:drawing>
                  </w:r>
                </w:p>
              </w:tc>
              <w:tc>
                <w:tcPr>
                  <w:tcW w:w="3938" w:type="dxa"/>
                </w:tcPr>
                <w:p w14:paraId="5B499B1A">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drawing>
                      <wp:inline distT="0" distB="0" distL="114300" distR="114300">
                        <wp:extent cx="2356485" cy="1766570"/>
                        <wp:effectExtent l="0" t="0" r="5715" b="5080"/>
                        <wp:docPr id="45" name="图片 45" descr="cb2dc5c8fbbb2613a6b98cb06e410f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b2dc5c8fbbb2613a6b98cb06e410fa"/>
                                <pic:cNvPicPr>
                                  <a:picLocks noChangeAspect="1"/>
                                </pic:cNvPicPr>
                              </pic:nvPicPr>
                              <pic:blipFill>
                                <a:blip r:embed="rId19"/>
                                <a:stretch>
                                  <a:fillRect/>
                                </a:stretch>
                              </pic:blipFill>
                              <pic:spPr>
                                <a:xfrm>
                                  <a:off x="0" y="0"/>
                                  <a:ext cx="2356485" cy="1766570"/>
                                </a:xfrm>
                                <a:prstGeom prst="rect">
                                  <a:avLst/>
                                </a:prstGeom>
                              </pic:spPr>
                            </pic:pic>
                          </a:graphicData>
                        </a:graphic>
                      </wp:inline>
                    </w:drawing>
                  </w:r>
                </w:p>
              </w:tc>
            </w:tr>
            <w:tr w14:paraId="0BD02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7" w:type="dxa"/>
                </w:tcPr>
                <w:p w14:paraId="20B3ACD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现状背水侧</w:t>
                  </w:r>
                  <w:r>
                    <w:rPr>
                      <w:rFonts w:hint="eastAsia"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（土方堆叠无防护，无植被，土壤流失严重，存在</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滑坡</w:t>
                  </w:r>
                  <w:r>
                    <w:rPr>
                      <w:rFonts w:hint="eastAsia"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w:t>
                  </w:r>
                </w:p>
              </w:tc>
              <w:tc>
                <w:tcPr>
                  <w:tcW w:w="3938" w:type="dxa"/>
                </w:tcPr>
                <w:p w14:paraId="42609FFC">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现状迎水侧</w:t>
                  </w:r>
                </w:p>
              </w:tc>
            </w:tr>
            <w:tr w14:paraId="5AE17E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7" w:type="dxa"/>
                </w:tcPr>
                <w:p w14:paraId="205A54D7">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drawing>
                      <wp:inline distT="0" distB="0" distL="114300" distR="114300">
                        <wp:extent cx="2351405" cy="3136265"/>
                        <wp:effectExtent l="0" t="0" r="10795" b="6985"/>
                        <wp:docPr id="46" name="图片 46" descr="d49c07bae67535239eb6407a4e38b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d49c07bae67535239eb6407a4e38bbc"/>
                                <pic:cNvPicPr>
                                  <a:picLocks noChangeAspect="1"/>
                                </pic:cNvPicPr>
                              </pic:nvPicPr>
                              <pic:blipFill>
                                <a:blip r:embed="rId20"/>
                                <a:stretch>
                                  <a:fillRect/>
                                </a:stretch>
                              </pic:blipFill>
                              <pic:spPr>
                                <a:xfrm>
                                  <a:off x="0" y="0"/>
                                  <a:ext cx="2351405" cy="3136265"/>
                                </a:xfrm>
                                <a:prstGeom prst="rect">
                                  <a:avLst/>
                                </a:prstGeom>
                              </pic:spPr>
                            </pic:pic>
                          </a:graphicData>
                        </a:graphic>
                      </wp:inline>
                    </w:drawing>
                  </w:r>
                </w:p>
              </w:tc>
              <w:tc>
                <w:tcPr>
                  <w:tcW w:w="3938" w:type="dxa"/>
                </w:tcPr>
                <w:p w14:paraId="12684157">
                  <w:pPr>
                    <w:keepNext w:val="0"/>
                    <w:keepLines w:val="0"/>
                    <w:pageBreakBefore w:val="0"/>
                    <w:widowControl w:val="0"/>
                    <w:kinsoku/>
                    <w:wordWrap/>
                    <w:overflowPunct/>
                    <w:topLinePunct w:val="0"/>
                    <w:autoSpaceDE/>
                    <w:autoSpaceDN/>
                    <w:bidi w:val="0"/>
                    <w:spacing w:line="360" w:lineRule="auto"/>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drawing>
                      <wp:inline distT="0" distB="0" distL="114300" distR="114300">
                        <wp:extent cx="2363470" cy="3152140"/>
                        <wp:effectExtent l="0" t="0" r="17780" b="10160"/>
                        <wp:docPr id="48" name="图片 48" descr="1bc56e7e8bcd64e4eeb4ef7d1f7f5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1bc56e7e8bcd64e4eeb4ef7d1f7f5e2"/>
                                <pic:cNvPicPr>
                                  <a:picLocks noChangeAspect="1"/>
                                </pic:cNvPicPr>
                              </pic:nvPicPr>
                              <pic:blipFill>
                                <a:blip r:embed="rId21"/>
                                <a:stretch>
                                  <a:fillRect/>
                                </a:stretch>
                              </pic:blipFill>
                              <pic:spPr>
                                <a:xfrm>
                                  <a:off x="0" y="0"/>
                                  <a:ext cx="2363470" cy="3152140"/>
                                </a:xfrm>
                                <a:prstGeom prst="rect">
                                  <a:avLst/>
                                </a:prstGeom>
                              </pic:spPr>
                            </pic:pic>
                          </a:graphicData>
                        </a:graphic>
                      </wp:inline>
                    </w:drawing>
                  </w:r>
                </w:p>
              </w:tc>
            </w:tr>
            <w:tr w14:paraId="60CAA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7" w:type="dxa"/>
                </w:tcPr>
                <w:p w14:paraId="2CF19D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现状溢洪道</w:t>
                  </w:r>
                  <w:r>
                    <w:rPr>
                      <w:rFonts w:hint="eastAsia"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（墙体开裂）</w:t>
                  </w:r>
                </w:p>
              </w:tc>
              <w:tc>
                <w:tcPr>
                  <w:tcW w:w="3938" w:type="dxa"/>
                </w:tcPr>
                <w:p w14:paraId="440E49D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现状输水洞</w:t>
                  </w:r>
                  <w:r>
                    <w:rPr>
                      <w:rFonts w:hint="eastAsia"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闸门及启闭机等金属结构局部变形、锈蚀</w:t>
                  </w:r>
                  <w:r>
                    <w:rPr>
                      <w:rFonts w:hint="eastAsia"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w:t>
                  </w:r>
                </w:p>
              </w:tc>
            </w:tr>
            <w:tr w14:paraId="549DE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7" w:type="dxa"/>
                </w:tcPr>
                <w:p w14:paraId="18DDA609">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drawing>
                      <wp:inline distT="0" distB="0" distL="114300" distR="114300">
                        <wp:extent cx="2356485" cy="1766570"/>
                        <wp:effectExtent l="0" t="0" r="5715" b="5080"/>
                        <wp:docPr id="49" name="图片 49" descr="7080bc835197b4541045d01af6dee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7080bc835197b4541045d01af6dee41"/>
                                <pic:cNvPicPr>
                                  <a:picLocks noChangeAspect="1"/>
                                </pic:cNvPicPr>
                              </pic:nvPicPr>
                              <pic:blipFill>
                                <a:blip r:embed="rId22"/>
                                <a:stretch>
                                  <a:fillRect/>
                                </a:stretch>
                              </pic:blipFill>
                              <pic:spPr>
                                <a:xfrm>
                                  <a:off x="0" y="0"/>
                                  <a:ext cx="2356485" cy="1766570"/>
                                </a:xfrm>
                                <a:prstGeom prst="rect">
                                  <a:avLst/>
                                </a:prstGeom>
                              </pic:spPr>
                            </pic:pic>
                          </a:graphicData>
                        </a:graphic>
                      </wp:inline>
                    </w:drawing>
                  </w:r>
                </w:p>
              </w:tc>
              <w:tc>
                <w:tcPr>
                  <w:tcW w:w="3938" w:type="dxa"/>
                </w:tcPr>
                <w:p w14:paraId="12A0B0EE">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drawing>
                      <wp:inline distT="0" distB="0" distL="114300" distR="114300">
                        <wp:extent cx="2356485" cy="1766570"/>
                        <wp:effectExtent l="0" t="0" r="5715" b="5080"/>
                        <wp:docPr id="50" name="图片 50" descr="8d1c153c7640b40ce880a7c8c35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8d1c153c7640b40ce880a7c8c351259"/>
                                <pic:cNvPicPr>
                                  <a:picLocks noChangeAspect="1"/>
                                </pic:cNvPicPr>
                              </pic:nvPicPr>
                              <pic:blipFill>
                                <a:blip r:embed="rId23"/>
                                <a:stretch>
                                  <a:fillRect/>
                                </a:stretch>
                              </pic:blipFill>
                              <pic:spPr>
                                <a:xfrm>
                                  <a:off x="0" y="0"/>
                                  <a:ext cx="2356485" cy="1766570"/>
                                </a:xfrm>
                                <a:prstGeom prst="rect">
                                  <a:avLst/>
                                </a:prstGeom>
                              </pic:spPr>
                            </pic:pic>
                          </a:graphicData>
                        </a:graphic>
                      </wp:inline>
                    </w:drawing>
                  </w:r>
                </w:p>
              </w:tc>
            </w:tr>
            <w:tr w14:paraId="0E115C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37" w:type="dxa"/>
                </w:tcPr>
                <w:p w14:paraId="631D170E">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现状坝顶</w:t>
                  </w:r>
                  <w:r>
                    <w:rPr>
                      <w:rFonts w:hint="eastAsia"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（无路灯、无硬化）</w:t>
                  </w:r>
                </w:p>
              </w:tc>
              <w:tc>
                <w:tcPr>
                  <w:tcW w:w="3938" w:type="dxa"/>
                </w:tcPr>
                <w:p w14:paraId="7F0C03BD">
                  <w:pPr>
                    <w:keepNext w:val="0"/>
                    <w:keepLines w:val="0"/>
                    <w:pageBreakBefore w:val="0"/>
                    <w:widowControl w:val="0"/>
                    <w:kinsoku/>
                    <w:wordWrap/>
                    <w:overflowPunct/>
                    <w:topLinePunct w:val="0"/>
                    <w:autoSpaceDE/>
                    <w:autoSpaceDN/>
                    <w:bidi w:val="0"/>
                    <w:spacing w:line="360" w:lineRule="auto"/>
                    <w:jc w:val="center"/>
                    <w:textAlignment w:val="auto"/>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现状坝顶</w:t>
                  </w:r>
                  <w:r>
                    <w:rPr>
                      <w:rFonts w:hint="eastAsia" w:cs="Times New Roman" w:eastAsiaTheme="minorEastAsia"/>
                      <w:b w:val="0"/>
                      <w:bCs w:val="0"/>
                      <w:color w:val="000000" w:themeColor="text1"/>
                      <w:sz w:val="24"/>
                      <w:szCs w:val="24"/>
                      <w:highlight w:val="none"/>
                      <w:vertAlign w:val="baseline"/>
                      <w:lang w:val="en-US" w:eastAsia="zh-CN"/>
                      <w14:textFill>
                        <w14:solidFill>
                          <w14:schemeClr w14:val="tx1"/>
                        </w14:solidFill>
                      </w14:textFill>
                    </w:rPr>
                    <w:t>（丧失其相应功能）</w:t>
                  </w:r>
                </w:p>
              </w:tc>
            </w:tr>
          </w:tbl>
          <w:p w14:paraId="6FE2EBDB">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szCs w:val="24"/>
                <w:highlight w:val="none"/>
                <w:lang w:val="en-US" w:eastAsia="zh-CN"/>
                <w14:textFill>
                  <w14:solidFill>
                    <w14:schemeClr w14:val="tx1"/>
                  </w14:solidFill>
                </w14:textFill>
              </w:rPr>
              <w:t>2、项目组成</w:t>
            </w:r>
          </w:p>
          <w:p w14:paraId="3390F10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青山水库始建</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于1958年，后经1975、1979年2次续建，1988年竣工。青山水库枢纽工程现</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由土坝、溢洪道</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输水洞等组成。青山水库是一座以灌溉为主，兼顾防洪、养鱼等综合利用的水库。为了消除水库安全隐患使得水库正常运行，本次除险加固设计主要建设内容为坝体加固，溢洪道，输水洞养护加固，坝顶路面硬化，增设路灯以及大坝表面变形监测设施（GNSS）。</w:t>
            </w:r>
          </w:p>
          <w:p w14:paraId="0B1B0431">
            <w:pPr>
              <w:numPr>
                <w:ilvl w:val="0"/>
                <w:numId w:val="0"/>
              </w:numPr>
              <w:spacing w:line="360" w:lineRule="auto"/>
              <w:ind w:firstLine="480" w:firstLineChars="200"/>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按照《水利水电工程等级划分及洪水标准》（SL252-2017）的规定，青山水库总库容</w:t>
            </w:r>
            <w:r>
              <w:rPr>
                <w:rFonts w:hint="eastAsia"/>
                <w:color w:val="000000" w:themeColor="text1"/>
                <w:sz w:val="24"/>
                <w:szCs w:val="32"/>
                <w:lang w:val="en-US" w:eastAsia="zh-CN"/>
                <w14:textFill>
                  <w14:solidFill>
                    <w14:schemeClr w14:val="tx1"/>
                  </w14:solidFill>
                </w14:textFill>
              </w:rPr>
              <w:t>595</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万m</w:t>
            </w:r>
            <w:r>
              <w:rPr>
                <w:rFonts w:hint="default" w:ascii="Times New Roman" w:hAnsi="Times New Roman" w:cs="Times New Roman" w:eastAsiaTheme="minorEastAsia"/>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，属于小</w:t>
            </w:r>
            <w:r>
              <w:rPr>
                <w:rFonts w:hint="eastAsia" w:cs="Times New Roman" w:eastAsiaTheme="minorEastAsia"/>
                <w:color w:val="000000" w:themeColor="text1"/>
                <w:sz w:val="24"/>
                <w:highlight w:val="none"/>
                <w:lang w:val="en-US" w:eastAsia="zh-CN"/>
                <w14:textFill>
                  <w14:solidFill>
                    <w14:schemeClr w14:val="tx1"/>
                  </w14:solidFill>
                </w14:textFill>
              </w:rPr>
              <w:t>（I）</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水库工程</w:t>
            </w:r>
            <w:r>
              <w:rPr>
                <w:rFonts w:hint="eastAsia" w:cs="Times New Roman" w:eastAsiaTheme="minorEastAsia"/>
                <w:color w:val="000000" w:themeColor="text1"/>
                <w:sz w:val="24"/>
                <w:highlight w:val="none"/>
                <w:lang w:val="en-US" w:eastAsia="zh-CN"/>
                <w14:textFill>
                  <w14:solidFill>
                    <w14:schemeClr w14:val="tx1"/>
                  </w14:solidFill>
                </w14:textFill>
              </w:rPr>
              <w:t>，建筑级别为4级。</w:t>
            </w:r>
          </w:p>
          <w:p w14:paraId="45E2C355">
            <w:pPr>
              <w:spacing w:line="360" w:lineRule="auto"/>
              <w:ind w:firstLine="480" w:firstLineChars="200"/>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青山水库100年一遇校核洪水位180.11m；20年一遇设计洪水位179.57m。项目组成详见表2-1。</w:t>
            </w:r>
          </w:p>
          <w:p w14:paraId="01735C5C">
            <w:pPr>
              <w:pStyle w:val="34"/>
              <w:adjustRightInd w:val="0"/>
              <w:snapToGrid w:val="0"/>
              <w:ind w:firstLine="0"/>
              <w:jc w:val="center"/>
              <w:rPr>
                <w:rFonts w:hint="default" w:ascii="Times New Roman" w:hAnsi="Times New Roman" w:cs="Times New Roman" w:eastAsiaTheme="minorEastAsia"/>
                <w:b/>
                <w:bCs/>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cs="Times New Roman" w:eastAsiaTheme="minorEastAsia"/>
                <w:b/>
                <w:bCs/>
                <w:color w:val="000000" w:themeColor="text1"/>
                <w:kern w:val="2"/>
                <w:sz w:val="24"/>
                <w:szCs w:val="24"/>
                <w:highlight w:val="none"/>
                <w:lang w:val="en-US" w:eastAsia="zh-CN" w:bidi="ar-SA"/>
                <w14:textFill>
                  <w14:solidFill>
                    <w14:schemeClr w14:val="tx1"/>
                  </w14:solidFill>
                </w14:textFill>
              </w:rPr>
              <w:t>表2-1工程组成一览表</w:t>
            </w:r>
          </w:p>
          <w:tbl>
            <w:tblPr>
              <w:tblStyle w:val="23"/>
              <w:tblW w:w="78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8"/>
              <w:gridCol w:w="1000"/>
              <w:gridCol w:w="6047"/>
            </w:tblGrid>
            <w:tr w14:paraId="750521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tcBorders>
                    <w:tl2br w:val="nil"/>
                    <w:tr2bl w:val="nil"/>
                  </w:tcBorders>
                  <w:vAlign w:val="center"/>
                </w:tcPr>
                <w:p w14:paraId="254C5646">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分类</w:t>
                  </w:r>
                </w:p>
              </w:tc>
              <w:tc>
                <w:tcPr>
                  <w:tcW w:w="1000" w:type="dxa"/>
                  <w:tcBorders>
                    <w:tl2br w:val="nil"/>
                    <w:tr2bl w:val="nil"/>
                  </w:tcBorders>
                  <w:vAlign w:val="center"/>
                </w:tcPr>
                <w:p w14:paraId="2CC42197">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工程名称</w:t>
                  </w:r>
                </w:p>
              </w:tc>
              <w:tc>
                <w:tcPr>
                  <w:tcW w:w="6047" w:type="dxa"/>
                  <w:tcBorders>
                    <w:tl2br w:val="nil"/>
                    <w:tr2bl w:val="nil"/>
                  </w:tcBorders>
                  <w:vAlign w:val="center"/>
                </w:tcPr>
                <w:p w14:paraId="72EAAD93">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建设内容</w:t>
                  </w:r>
                </w:p>
              </w:tc>
            </w:tr>
            <w:tr w14:paraId="6E6476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55" w:hRule="atLeast"/>
                <w:jc w:val="center"/>
              </w:trPr>
              <w:tc>
                <w:tcPr>
                  <w:tcW w:w="828" w:type="dxa"/>
                  <w:vMerge w:val="restart"/>
                  <w:tcBorders>
                    <w:tl2br w:val="nil"/>
                    <w:tr2bl w:val="nil"/>
                  </w:tcBorders>
                  <w:shd w:val="clear" w:color="auto" w:fill="auto"/>
                  <w:vAlign w:val="center"/>
                </w:tcPr>
                <w:p w14:paraId="25032464">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主体工程</w:t>
                  </w:r>
                </w:p>
              </w:tc>
              <w:tc>
                <w:tcPr>
                  <w:tcW w:w="1000" w:type="dxa"/>
                  <w:tcBorders>
                    <w:tl2br w:val="nil"/>
                    <w:tr2bl w:val="nil"/>
                  </w:tcBorders>
                  <w:vAlign w:val="center"/>
                </w:tcPr>
                <w:p w14:paraId="4B523ADE">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坝</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体</w:t>
                  </w:r>
                  <w:r>
                    <w:rPr>
                      <w:rFonts w:hint="default" w:ascii="Times New Roman" w:hAnsi="Times New Roman" w:cs="Times New Roman" w:eastAsiaTheme="minorEastAsia"/>
                      <w:color w:val="000000" w:themeColor="text1"/>
                      <w:szCs w:val="21"/>
                      <w:highlight w:val="none"/>
                      <w14:textFill>
                        <w14:solidFill>
                          <w14:schemeClr w14:val="tx1"/>
                        </w14:solidFill>
                      </w14:textFill>
                    </w:rPr>
                    <w:t>工程</w:t>
                  </w:r>
                </w:p>
              </w:tc>
              <w:tc>
                <w:tcPr>
                  <w:tcW w:w="6047" w:type="dxa"/>
                  <w:tcBorders>
                    <w:tl2br w:val="nil"/>
                    <w:tr2bl w:val="nil"/>
                  </w:tcBorders>
                  <w:shd w:val="clear" w:color="auto" w:fill="auto"/>
                  <w:vAlign w:val="center"/>
                </w:tcPr>
                <w:p w14:paraId="6E983C58">
                  <w:pPr>
                    <w:pStyle w:val="28"/>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现状</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坝长540m，坝顶宽度5m，</w:t>
                  </w:r>
                  <w:r>
                    <w:rPr>
                      <w:rFonts w:hint="eastAsia" w:cs="Times New Roman"/>
                      <w:color w:val="000000" w:themeColor="text1"/>
                      <w:kern w:val="0"/>
                      <w:sz w:val="21"/>
                      <w:szCs w:val="21"/>
                      <w:lang w:val="en-US" w:eastAsia="zh-CN" w:bidi="ar"/>
                      <w14:textFill>
                        <w14:solidFill>
                          <w14:schemeClr w14:val="tx1"/>
                        </w14:solidFill>
                      </w14:textFill>
                    </w:rPr>
                    <w:t>项目实施后坝体规模不发生变化，起点坐标131.485323，45.431777；终点坐标131.478918，45.434053；</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坝的迎水坡坡比为1:3.0，背水坡坡比为1:2.5。迎水侧维持现有干砌石护坡；</w:t>
                  </w:r>
                </w:p>
                <w:p w14:paraId="5290E36B">
                  <w:pPr>
                    <w:pStyle w:val="28"/>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新增坝顶水泥混凝土硬化20cm厚下设水稳碎石基层20cm厚，路面宽度4.5m，坝顶设0.25m宽0.7m高路缘石，高出坝顶路面0.2m，照明设施14座</w:t>
                  </w:r>
                  <w:r>
                    <w:rPr>
                      <w:rFonts w:hint="default" w:ascii="Times New Roman" w:hAnsi="Times New Roman" w:cs="Times New Roman"/>
                      <w:color w:val="000000" w:themeColor="text1"/>
                      <w:kern w:val="0"/>
                      <w:sz w:val="21"/>
                      <w:szCs w:val="21"/>
                      <w:lang w:val="en-US" w:eastAsia="zh-CN" w:bidi="ar"/>
                      <w14:textFill>
                        <w14:solidFill>
                          <w14:schemeClr w14:val="tx1"/>
                        </w14:solidFill>
                      </w14:textFill>
                    </w:rPr>
                    <w:t>。</w:t>
                  </w:r>
                </w:p>
                <w:p w14:paraId="2BBAA62E">
                  <w:pPr>
                    <w:pStyle w:val="28"/>
                    <w:keepNext w:val="0"/>
                    <w:keepLines w:val="0"/>
                    <w:pageBreakBefore w:val="0"/>
                    <w:widowControl w:val="0"/>
                    <w:kinsoku/>
                    <w:wordWrap/>
                    <w:overflowPunct/>
                    <w:topLinePunct w:val="0"/>
                    <w:autoSpaceDE/>
                    <w:autoSpaceDN/>
                    <w:bidi w:val="0"/>
                    <w:adjustRightInd/>
                    <w:snapToGrid/>
                    <w:ind w:firstLine="420" w:firstLineChars="200"/>
                    <w:jc w:val="both"/>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本次建设</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拆除坝顶溢洪道启闭房；</w:t>
                  </w:r>
                  <w:r>
                    <w:rPr>
                      <w:rFonts w:hint="eastAsia" w:cs="Times New Roman"/>
                      <w:color w:val="000000" w:themeColor="text1"/>
                      <w:kern w:val="0"/>
                      <w:sz w:val="21"/>
                      <w:szCs w:val="21"/>
                      <w:lang w:val="en-US" w:eastAsia="zh-CN" w:bidi="ar"/>
                      <w14:textFill>
                        <w14:solidFill>
                          <w14:schemeClr w14:val="tx1"/>
                        </w14:solidFill>
                      </w14:textFill>
                    </w:rPr>
                    <w:t>改建</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坝段背水侧现状混凝土路以上坝坡碎石护坡20cm厚，每隔100m桩号设2m宽下坝台阶，坡脚混凝土矩形槽排水沟，现状混凝土路以下按比例放坡，部分坝段坡脚根据需要设需要棱体排水，整体下铺400g/m</w:t>
                  </w:r>
                  <w:r>
                    <w:rPr>
                      <w:rFonts w:hint="default" w:ascii="Times New Roman" w:hAnsi="Times New Roman" w:eastAsia="宋体" w:cs="Times New Roman"/>
                      <w:color w:val="000000" w:themeColor="text1"/>
                      <w:kern w:val="0"/>
                      <w:sz w:val="21"/>
                      <w:szCs w:val="21"/>
                      <w:vertAlign w:val="super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土工布。</w:t>
                  </w:r>
                </w:p>
              </w:tc>
            </w:tr>
            <w:tr w14:paraId="012C5F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tcBorders>
                    <w:tl2br w:val="nil"/>
                    <w:tr2bl w:val="nil"/>
                  </w:tcBorders>
                </w:tcPr>
                <w:p w14:paraId="3A04C650">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p>
              </w:tc>
              <w:tc>
                <w:tcPr>
                  <w:tcW w:w="1000" w:type="dxa"/>
                  <w:tcBorders>
                    <w:tl2br w:val="nil"/>
                    <w:tr2bl w:val="nil"/>
                  </w:tcBorders>
                  <w:vAlign w:val="center"/>
                </w:tcPr>
                <w:p w14:paraId="4699B134">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溢洪道工程</w:t>
                  </w:r>
                </w:p>
              </w:tc>
              <w:tc>
                <w:tcPr>
                  <w:tcW w:w="6047" w:type="dxa"/>
                  <w:tcBorders>
                    <w:tl2br w:val="nil"/>
                    <w:tr2bl w:val="nil"/>
                  </w:tcBorders>
                </w:tcPr>
                <w:p w14:paraId="4A05D080">
                  <w:pPr>
                    <w:keepNext w:val="0"/>
                    <w:keepLines w:val="0"/>
                    <w:pageBreakBefore w:val="0"/>
                    <w:widowControl/>
                    <w:suppressLineNumbers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溢洪道位于坝段桩号0+030，</w:t>
                  </w:r>
                  <w:r>
                    <w:rPr>
                      <w:rFonts w:hint="eastAsia" w:cs="Times New Roman"/>
                      <w:color w:val="000000" w:themeColor="text1"/>
                      <w:kern w:val="0"/>
                      <w:sz w:val="21"/>
                      <w:szCs w:val="21"/>
                      <w:lang w:val="en-US" w:eastAsia="zh-CN" w:bidi="ar"/>
                      <w14:textFill>
                        <w14:solidFill>
                          <w14:schemeClr w14:val="tx1"/>
                        </w14:solidFill>
                      </w14:textFill>
                    </w:rPr>
                    <w:t>坐标为131.483544，45.432339；</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溢洪道维持进口段不变</w:t>
                  </w: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w:t>
                  </w: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本次建设</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加固重建水毁消力池及海漫段，消力池分两级，均为钢筋混凝土结构。</w:t>
                  </w:r>
                </w:p>
                <w:p w14:paraId="4CC5E759">
                  <w:pPr>
                    <w:keepNext w:val="0"/>
                    <w:keepLines w:val="0"/>
                    <w:pageBreakBefore w:val="0"/>
                    <w:widowControl/>
                    <w:suppressLineNumbers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本次建设的</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一级消力池长22m，净宽4.5m，池深1m，钢筋混凝土底板厚1.5m，下设0.1m厚素混凝土垫层；二级消力池长22m，净宽4.5m，池深1.8m，钢筋混凝土底板厚1.5m，下设0.1m厚素混凝土垫层。边墙墙顶设安全防护围栏。</w:t>
                  </w:r>
                </w:p>
                <w:p w14:paraId="14798E52">
                  <w:pPr>
                    <w:keepNext w:val="0"/>
                    <w:keepLines w:val="0"/>
                    <w:pageBreakBefore w:val="0"/>
                    <w:widowControl/>
                    <w:suppressLineNumbers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本次建设的</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海漫段长25m，护底为钢筋石笼结构，护坡为格宾石笼结构，厚50cm，底宽4.5m，边坡坡比1:2.5，两侧坡顶设1m宽格宾石笼压顶，整体下铺400g/㎡土工布；海漫段尾部设干砌石防冲槽。</w:t>
                  </w:r>
                </w:p>
              </w:tc>
            </w:tr>
            <w:tr w14:paraId="24D9E2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tcBorders>
                    <w:tl2br w:val="nil"/>
                    <w:tr2bl w:val="nil"/>
                  </w:tcBorders>
                  <w:vAlign w:val="center"/>
                </w:tcPr>
                <w:p w14:paraId="4EA74F1A">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p>
              </w:tc>
              <w:tc>
                <w:tcPr>
                  <w:tcW w:w="1000" w:type="dxa"/>
                  <w:tcBorders>
                    <w:tl2br w:val="nil"/>
                    <w:tr2bl w:val="nil"/>
                  </w:tcBorders>
                  <w:vAlign w:val="center"/>
                </w:tcPr>
                <w:p w14:paraId="2E93C150">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输水洞</w:t>
                  </w:r>
                </w:p>
              </w:tc>
              <w:tc>
                <w:tcPr>
                  <w:tcW w:w="6047" w:type="dxa"/>
                  <w:tcBorders>
                    <w:tl2br w:val="nil"/>
                    <w:tr2bl w:val="nil"/>
                  </w:tcBorders>
                </w:tcPr>
                <w:p w14:paraId="5D8A8C38">
                  <w:pPr>
                    <w:keepNext w:val="0"/>
                    <w:keepLines w:val="0"/>
                    <w:pageBreakBefore w:val="0"/>
                    <w:widowControl/>
                    <w:suppressLineNumbers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color w:val="000000" w:themeColor="text1"/>
                      <w:sz w:val="21"/>
                      <w:szCs w:val="21"/>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输水洞坐标为131.479284，45.433943；本次</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重建水毁消力池及海漫段。消力池长13.2m，净宽4m，池深0.6m，底板厚1m，下设0.1m厚素混凝土垫层。边墙墙顶设安全防护围栏。</w:t>
                  </w:r>
                </w:p>
                <w:p w14:paraId="06042702">
                  <w:pPr>
                    <w:keepNext w:val="0"/>
                    <w:keepLines w:val="0"/>
                    <w:pageBreakBefore w:val="0"/>
                    <w:widowControl/>
                    <w:suppressLineNumbers w:val="0"/>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color w:val="000000" w:themeColor="text1"/>
                      <w:kern w:val="0"/>
                      <w:sz w:val="21"/>
                      <w:szCs w:val="21"/>
                      <w:lang w:val="en-US" w:eastAsia="zh-CN" w:bidi="ar"/>
                      <w14:textFill>
                        <w14:solidFill>
                          <w14:schemeClr w14:val="tx1"/>
                        </w14:solidFill>
                      </w14:textFill>
                    </w:rPr>
                    <w:t>本次建设的</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海漫段长25m，护底为钢筋石笼结构，护坡为格宾石笼结构，厚50cm，底宽4.5m，边坡坡比1:2，两侧坡顶设1m宽格宾石笼压顶，整体下铺400g/㎡土工布。</w:t>
                  </w:r>
                </w:p>
              </w:tc>
            </w:tr>
            <w:tr w14:paraId="19D56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restart"/>
                  <w:tcBorders>
                    <w:tl2br w:val="nil"/>
                    <w:tr2bl w:val="nil"/>
                  </w:tcBorders>
                  <w:vAlign w:val="center"/>
                </w:tcPr>
                <w:p w14:paraId="3C2BEF81">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辅助工程</w:t>
                  </w:r>
                </w:p>
              </w:tc>
              <w:tc>
                <w:tcPr>
                  <w:tcW w:w="1000" w:type="dxa"/>
                  <w:tcBorders>
                    <w:tl2br w:val="nil"/>
                    <w:tr2bl w:val="nil"/>
                  </w:tcBorders>
                  <w:shd w:val="clear" w:color="auto" w:fill="auto"/>
                  <w:vAlign w:val="center"/>
                </w:tcPr>
                <w:p w14:paraId="035538A6">
                  <w:pPr>
                    <w:jc w:val="center"/>
                    <w:rPr>
                      <w:rFonts w:hint="default" w:ascii="Times New Roman" w:hAnsi="Times New Roman" w:cs="Times New Roman" w:eastAsiaTheme="minorEastAsia"/>
                      <w:b w:val="0"/>
                      <w:bCs w:val="0"/>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生产生活区</w:t>
                  </w:r>
                </w:p>
              </w:tc>
              <w:tc>
                <w:tcPr>
                  <w:tcW w:w="6047" w:type="dxa"/>
                  <w:tcBorders>
                    <w:tl2br w:val="nil"/>
                    <w:tr2bl w:val="nil"/>
                  </w:tcBorders>
                </w:tcPr>
                <w:p w14:paraId="5C63F834">
                  <w:pPr>
                    <w:pStyle w:val="28"/>
                    <w:keepNext w:val="0"/>
                    <w:keepLines w:val="0"/>
                    <w:pageBreakBefore w:val="0"/>
                    <w:widowControl w:val="0"/>
                    <w:kinsoku/>
                    <w:wordWrap/>
                    <w:overflowPunct/>
                    <w:topLinePunct w:val="0"/>
                    <w:autoSpaceDE/>
                    <w:autoSpaceDN/>
                    <w:bidi w:val="0"/>
                    <w:adjustRightInd/>
                    <w:snapToGrid/>
                    <w:ind w:firstLine="420" w:firstLineChars="200"/>
                    <w:textAlignment w:val="auto"/>
                    <w:rPr>
                      <w:rFonts w:hint="eastAsia"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施工生产生活区集中布置1处</w:t>
                  </w:r>
                  <w:r>
                    <w:rPr>
                      <w:rFonts w:hint="eastAsia"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高峰期施工人员</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60</w:t>
                  </w:r>
                  <w:r>
                    <w:rPr>
                      <w:rFonts w:hint="default" w:ascii="Times New Roman" w:hAnsi="Times New Roman" w:cs="Times New Roman" w:eastAsiaTheme="minorEastAsia"/>
                      <w:color w:val="000000" w:themeColor="text1"/>
                      <w:szCs w:val="21"/>
                      <w:highlight w:val="none"/>
                      <w14:textFill>
                        <w14:solidFill>
                          <w14:schemeClr w14:val="tx1"/>
                        </w14:solidFill>
                      </w14:textFill>
                    </w:rPr>
                    <w:t>人</w:t>
                  </w:r>
                  <w:r>
                    <w:rPr>
                      <w:rFonts w:hint="eastAsia" w:cs="Times New Roman" w:eastAsiaTheme="minorEastAsia"/>
                      <w:color w:val="000000" w:themeColor="text1"/>
                      <w:szCs w:val="21"/>
                      <w:highlight w:val="none"/>
                      <w:lang w:eastAsia="zh-CN"/>
                      <w14:textFill>
                        <w14:solidFill>
                          <w14:schemeClr w14:val="tx1"/>
                        </w14:solidFill>
                      </w14:textFill>
                    </w:rPr>
                    <w:t>，占地性质为公共管理与公共服务用地。本工程冬季暂停施工时，无供暖需求。</w:t>
                  </w:r>
                </w:p>
              </w:tc>
            </w:tr>
            <w:tr w14:paraId="3B29F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tcBorders>
                    <w:tl2br w:val="nil"/>
                    <w:tr2bl w:val="nil"/>
                  </w:tcBorders>
                  <w:vAlign w:val="center"/>
                </w:tcPr>
                <w:p w14:paraId="12167BA5">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p>
              </w:tc>
              <w:tc>
                <w:tcPr>
                  <w:tcW w:w="1000" w:type="dxa"/>
                  <w:tcBorders>
                    <w:tl2br w:val="nil"/>
                    <w:tr2bl w:val="nil"/>
                  </w:tcBorders>
                  <w:shd w:val="clear" w:color="auto" w:fill="auto"/>
                  <w:vAlign w:val="center"/>
                </w:tcPr>
                <w:p w14:paraId="1A33E65E">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t>土石方</w:t>
                  </w:r>
                </w:p>
              </w:tc>
              <w:tc>
                <w:tcPr>
                  <w:tcW w:w="6047" w:type="dxa"/>
                  <w:tcBorders>
                    <w:tl2br w:val="nil"/>
                    <w:tr2bl w:val="nil"/>
                  </w:tcBorders>
                </w:tcPr>
                <w:p w14:paraId="54ECF067">
                  <w:pPr>
                    <w:pStyle w:val="28"/>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caps w:val="0"/>
                      <w:color w:val="000000" w:themeColor="text1"/>
                      <w:sz w:val="21"/>
                      <w:szCs w:val="24"/>
                      <w:highlight w:val="none"/>
                      <w:lang w:val="en-US" w:eastAsia="zh-CN"/>
                      <w14:textFill>
                        <w14:solidFill>
                          <w14:schemeClr w14:val="tx1"/>
                        </w14:solidFill>
                      </w14:textFill>
                    </w:rPr>
                    <w:t>工程动用土方总量为</w:t>
                  </w:r>
                  <w:r>
                    <w:rPr>
                      <w:rFonts w:hint="eastAsia" w:cs="Times New Roman"/>
                      <w:caps w:val="0"/>
                      <w:color w:val="000000" w:themeColor="text1"/>
                      <w:sz w:val="21"/>
                      <w:szCs w:val="24"/>
                      <w:highlight w:val="none"/>
                      <w:lang w:val="en-US" w:eastAsia="zh-CN"/>
                      <w14:textFill>
                        <w14:solidFill>
                          <w14:schemeClr w14:val="tx1"/>
                        </w14:solidFill>
                      </w14:textFill>
                    </w:rPr>
                    <w:t>4.20</w:t>
                  </w:r>
                  <w:r>
                    <w:rPr>
                      <w:rFonts w:hint="default" w:ascii="Times New Roman" w:hAnsi="Times New Roman" w:cs="Times New Roman"/>
                      <w:caps w:val="0"/>
                      <w:color w:val="000000" w:themeColor="text1"/>
                      <w:sz w:val="21"/>
                      <w:szCs w:val="24"/>
                      <w:highlight w:val="none"/>
                      <w:lang w:val="en-US" w:eastAsia="zh-CN"/>
                      <w14:textFill>
                        <w14:solidFill>
                          <w14:schemeClr w14:val="tx1"/>
                        </w14:solidFill>
                      </w14:textFill>
                    </w:rPr>
                    <w:t>万m</w:t>
                  </w:r>
                  <w:r>
                    <w:rPr>
                      <w:rFonts w:hint="default" w:ascii="Times New Roman" w:hAnsi="Times New Roman" w:cs="Times New Roman"/>
                      <w:caps w:val="0"/>
                      <w:color w:val="000000" w:themeColor="text1"/>
                      <w:sz w:val="21"/>
                      <w:szCs w:val="24"/>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1"/>
                      <w:szCs w:val="24"/>
                      <w:highlight w:val="none"/>
                      <w:lang w:val="en-US" w:eastAsia="zh-CN"/>
                      <w14:textFill>
                        <w14:solidFill>
                          <w14:schemeClr w14:val="tx1"/>
                        </w14:solidFill>
                      </w14:textFill>
                    </w:rPr>
                    <w:t>，其中挖方1.70万m</w:t>
                  </w:r>
                  <w:r>
                    <w:rPr>
                      <w:rFonts w:hint="default" w:ascii="Times New Roman" w:hAnsi="Times New Roman" w:cs="Times New Roman"/>
                      <w:caps w:val="0"/>
                      <w:color w:val="000000" w:themeColor="text1"/>
                      <w:sz w:val="21"/>
                      <w:szCs w:val="24"/>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1"/>
                      <w:szCs w:val="24"/>
                      <w:highlight w:val="none"/>
                      <w:lang w:val="en-US" w:eastAsia="zh-CN"/>
                      <w14:textFill>
                        <w14:solidFill>
                          <w14:schemeClr w14:val="tx1"/>
                        </w14:solidFill>
                      </w14:textFill>
                    </w:rPr>
                    <w:t>，填方1.70万m</w:t>
                  </w:r>
                  <w:r>
                    <w:rPr>
                      <w:rFonts w:hint="default" w:ascii="Times New Roman" w:hAnsi="Times New Roman" w:cs="Times New Roman"/>
                      <w:caps w:val="0"/>
                      <w:color w:val="000000" w:themeColor="text1"/>
                      <w:sz w:val="21"/>
                      <w:szCs w:val="24"/>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1"/>
                      <w:szCs w:val="24"/>
                      <w:highlight w:val="none"/>
                      <w:lang w:val="en-US" w:eastAsia="zh-CN"/>
                      <w14:textFill>
                        <w14:solidFill>
                          <w14:schemeClr w14:val="tx1"/>
                        </w14:solidFill>
                      </w14:textFill>
                    </w:rPr>
                    <w:t>，</w:t>
                  </w:r>
                  <w:r>
                    <w:rPr>
                      <w:rFonts w:hint="eastAsia" w:cs="Times New Roman"/>
                      <w:caps w:val="0"/>
                      <w:color w:val="000000" w:themeColor="text1"/>
                      <w:sz w:val="21"/>
                      <w:szCs w:val="24"/>
                      <w:highlight w:val="none"/>
                      <w:lang w:val="en-US" w:eastAsia="zh-CN"/>
                      <w14:textFill>
                        <w14:solidFill>
                          <w14:schemeClr w14:val="tx1"/>
                        </w14:solidFill>
                      </w14:textFill>
                    </w:rPr>
                    <w:t>石方填方量为0.8</w:t>
                  </w:r>
                  <w:r>
                    <w:rPr>
                      <w:rFonts w:hint="default" w:ascii="Times New Roman" w:hAnsi="Times New Roman" w:cs="Times New Roman"/>
                      <w:caps w:val="0"/>
                      <w:color w:val="000000" w:themeColor="text1"/>
                      <w:sz w:val="21"/>
                      <w:szCs w:val="24"/>
                      <w:highlight w:val="none"/>
                      <w:lang w:val="en-US" w:eastAsia="zh-CN"/>
                      <w14:textFill>
                        <w14:solidFill>
                          <w14:schemeClr w14:val="tx1"/>
                        </w14:solidFill>
                      </w14:textFill>
                    </w:rPr>
                    <w:t>万m</w:t>
                  </w:r>
                  <w:r>
                    <w:rPr>
                      <w:rFonts w:hint="default" w:ascii="Times New Roman" w:hAnsi="Times New Roman" w:cs="Times New Roman"/>
                      <w:caps w:val="0"/>
                      <w:color w:val="000000" w:themeColor="text1"/>
                      <w:sz w:val="21"/>
                      <w:szCs w:val="24"/>
                      <w:highlight w:val="none"/>
                      <w:vertAlign w:val="superscript"/>
                      <w:lang w:val="en-US" w:eastAsia="zh-CN"/>
                      <w14:textFill>
                        <w14:solidFill>
                          <w14:schemeClr w14:val="tx1"/>
                        </w14:solidFill>
                      </w14:textFill>
                    </w:rPr>
                    <w:t>3</w:t>
                  </w:r>
                  <w:r>
                    <w:rPr>
                      <w:rFonts w:hint="eastAsia" w:cs="Times New Roman"/>
                      <w:caps w:val="0"/>
                      <w:color w:val="000000" w:themeColor="text1"/>
                      <w:sz w:val="21"/>
                      <w:szCs w:val="24"/>
                      <w:highlight w:val="none"/>
                      <w:lang w:val="en-US" w:eastAsia="zh-CN"/>
                      <w14:textFill>
                        <w14:solidFill>
                          <w14:schemeClr w14:val="tx1"/>
                        </w14:solidFill>
                      </w14:textFill>
                    </w:rPr>
                    <w:t>，</w:t>
                  </w:r>
                  <w:r>
                    <w:rPr>
                      <w:rFonts w:hint="default" w:ascii="Times New Roman" w:hAnsi="Times New Roman" w:cs="Times New Roman"/>
                      <w:caps w:val="0"/>
                      <w:color w:val="000000" w:themeColor="text1"/>
                      <w:sz w:val="21"/>
                      <w:szCs w:val="24"/>
                      <w:highlight w:val="none"/>
                      <w:lang w:val="en-US" w:eastAsia="zh-CN"/>
                      <w14:textFill>
                        <w14:solidFill>
                          <w14:schemeClr w14:val="tx1"/>
                        </w14:solidFill>
                      </w14:textFill>
                    </w:rPr>
                    <w:t>无弃土</w:t>
                  </w:r>
                  <w:r>
                    <w:rPr>
                      <w:rFonts w:hint="eastAsia" w:cs="Times New Roman"/>
                      <w:caps w:val="0"/>
                      <w:color w:val="000000" w:themeColor="text1"/>
                      <w:sz w:val="21"/>
                      <w:szCs w:val="24"/>
                      <w:highlight w:val="none"/>
                      <w:lang w:val="en-US" w:eastAsia="zh-CN"/>
                      <w14:textFill>
                        <w14:solidFill>
                          <w14:schemeClr w14:val="tx1"/>
                        </w14:solidFill>
                      </w14:textFill>
                    </w:rPr>
                    <w:t>，本项目石方来源于密山市建材市场。</w:t>
                  </w:r>
                </w:p>
              </w:tc>
            </w:tr>
            <w:tr w14:paraId="35F5FF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restart"/>
                  <w:tcBorders>
                    <w:tl2br w:val="nil"/>
                    <w:tr2bl w:val="nil"/>
                  </w:tcBorders>
                  <w:vAlign w:val="center"/>
                </w:tcPr>
                <w:p w14:paraId="48E979C7">
                  <w:pPr>
                    <w:spacing w:line="240" w:lineRule="exact"/>
                    <w:jc w:val="center"/>
                    <w:rPr>
                      <w:rFonts w:hint="default" w:ascii="Times New Roman" w:hAnsi="Times New Roman" w:cs="Times New Roman" w:eastAsiaTheme="minorEastAsia"/>
                      <w:color w:val="000000" w:themeColor="text1"/>
                      <w:kern w:val="0"/>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工程</w:t>
                  </w:r>
                </w:p>
                <w:p w14:paraId="7FAE6C9D">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占地</w:t>
                  </w:r>
                </w:p>
              </w:tc>
              <w:tc>
                <w:tcPr>
                  <w:tcW w:w="1000" w:type="dxa"/>
                  <w:tcBorders>
                    <w:tl2br w:val="nil"/>
                    <w:tr2bl w:val="nil"/>
                  </w:tcBorders>
                  <w:shd w:val="clear" w:color="auto" w:fill="auto"/>
                  <w:vAlign w:val="center"/>
                </w:tcPr>
                <w:p w14:paraId="50AA853F">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t>永久占地</w:t>
                  </w:r>
                </w:p>
              </w:tc>
              <w:tc>
                <w:tcPr>
                  <w:tcW w:w="6047" w:type="dxa"/>
                  <w:tcBorders>
                    <w:tl2br w:val="nil"/>
                    <w:tr2bl w:val="nil"/>
                  </w:tcBorders>
                </w:tcPr>
                <w:p w14:paraId="6EBD664D">
                  <w:pPr>
                    <w:pStyle w:val="28"/>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本项目永久占地为水库已征用地，</w:t>
                  </w: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永久占地为坝体的坝前与坝后全部的区域占地类型为水工建筑用地，</w:t>
                  </w: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现状占地1.23hm</w:t>
                  </w:r>
                  <w:r>
                    <w:rPr>
                      <w:rFonts w:hint="default" w:ascii="Times New Roman" w:hAnsi="Times New Roman" w:cs="Times New Roman" w:eastAsiaTheme="minorEastAsia"/>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，不新增永久占地。</w:t>
                  </w:r>
                </w:p>
              </w:tc>
            </w:tr>
            <w:tr w14:paraId="022F14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8" w:type="dxa"/>
                  <w:vMerge w:val="continue"/>
                  <w:tcBorders>
                    <w:tl2br w:val="nil"/>
                    <w:tr2bl w:val="nil"/>
                  </w:tcBorders>
                </w:tcPr>
                <w:p w14:paraId="4B057B53">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p>
              </w:tc>
              <w:tc>
                <w:tcPr>
                  <w:tcW w:w="1000" w:type="dxa"/>
                  <w:tcBorders>
                    <w:tl2br w:val="nil"/>
                    <w:tr2bl w:val="nil"/>
                  </w:tcBorders>
                </w:tcPr>
                <w:p w14:paraId="7EE259AE">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临时占地</w:t>
                  </w:r>
                </w:p>
              </w:tc>
              <w:tc>
                <w:tcPr>
                  <w:tcW w:w="6047" w:type="dxa"/>
                  <w:tcBorders>
                    <w:tl2br w:val="nil"/>
                    <w:tr2bl w:val="nil"/>
                  </w:tcBorders>
                </w:tcPr>
                <w:p w14:paraId="3B66C3B1">
                  <w:pPr>
                    <w:pStyle w:val="28"/>
                    <w:keepNext w:val="0"/>
                    <w:keepLines w:val="0"/>
                    <w:pageBreakBefore w:val="0"/>
                    <w:widowControl w:val="0"/>
                    <w:kinsoku/>
                    <w:wordWrap/>
                    <w:overflowPunct/>
                    <w:topLinePunct w:val="0"/>
                    <w:autoSpaceDE/>
                    <w:autoSpaceDN/>
                    <w:bidi w:val="0"/>
                    <w:adjustRightInd/>
                    <w:snapToGrid/>
                    <w:ind w:firstLine="420" w:firstLineChars="200"/>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本项目临时占地位于坝体东侧的管理用房，占地面积0.1hm</w:t>
                  </w:r>
                  <w:r>
                    <w:rPr>
                      <w:rFonts w:hint="default" w:ascii="Times New Roman" w:hAnsi="Times New Roman" w:cs="Times New Roman" w:eastAsiaTheme="minorEastAsia"/>
                      <w:color w:val="000000" w:themeColor="text1"/>
                      <w:sz w:val="21"/>
                      <w:szCs w:val="21"/>
                      <w:highlight w:val="none"/>
                      <w:vertAlign w:val="superscript"/>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t>，现状为管理房空地，主要用于堆放钢筋、施工物料等，以及为工作人员提供休息场地。</w:t>
                  </w:r>
                  <w:r>
                    <w:rPr>
                      <w:rFonts w:hint="eastAsia" w:cs="Times New Roman" w:eastAsiaTheme="minorEastAsia"/>
                      <w:color w:val="000000" w:themeColor="text1"/>
                      <w:szCs w:val="21"/>
                      <w:highlight w:val="none"/>
                      <w:lang w:eastAsia="zh-CN"/>
                      <w14:textFill>
                        <w14:solidFill>
                          <w14:schemeClr w14:val="tx1"/>
                        </w14:solidFill>
                      </w14:textFill>
                    </w:rPr>
                    <w:t>占地性质为</w:t>
                  </w:r>
                  <w:r>
                    <w:rPr>
                      <w:rFonts w:hint="eastAsia" w:cs="Times New Roman"/>
                      <w:color w:val="000000" w:themeColor="text1"/>
                      <w:kern w:val="0"/>
                      <w:sz w:val="21"/>
                      <w:szCs w:val="21"/>
                      <w:lang w:val="en-US" w:eastAsia="zh-CN"/>
                      <w14:textFill>
                        <w14:solidFill>
                          <w14:schemeClr w14:val="tx1"/>
                        </w14:solidFill>
                      </w14:textFill>
                    </w:rPr>
                    <w:t>公共管理与公共服务用地</w:t>
                  </w:r>
                  <w:r>
                    <w:rPr>
                      <w:rFonts w:hint="eastAsia" w:cs="Times New Roman" w:eastAsiaTheme="minorEastAsia"/>
                      <w:color w:val="000000" w:themeColor="text1"/>
                      <w:szCs w:val="21"/>
                      <w:highlight w:val="none"/>
                      <w:lang w:eastAsia="zh-CN"/>
                      <w14:textFill>
                        <w14:solidFill>
                          <w14:schemeClr w14:val="tx1"/>
                        </w14:solidFill>
                      </w14:textFill>
                    </w:rPr>
                    <w:t>。</w:t>
                  </w:r>
                </w:p>
              </w:tc>
            </w:tr>
            <w:tr w14:paraId="42C3C8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tcBorders>
                    <w:tl2br w:val="nil"/>
                    <w:tr2bl w:val="nil"/>
                  </w:tcBorders>
                  <w:shd w:val="clear" w:color="auto" w:fill="auto"/>
                  <w:vAlign w:val="center"/>
                </w:tcPr>
                <w:p w14:paraId="4E88FAC7">
                  <w:pPr>
                    <w:spacing w:line="240" w:lineRule="exact"/>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lang w:bidi="ar"/>
                      <w14:textFill>
                        <w14:solidFill>
                          <w14:schemeClr w14:val="tx1"/>
                        </w14:solidFill>
                      </w14:textFill>
                    </w:rPr>
                    <w:t>公用工程</w:t>
                  </w:r>
                </w:p>
              </w:tc>
              <w:tc>
                <w:tcPr>
                  <w:tcW w:w="1000" w:type="dxa"/>
                  <w:tcBorders>
                    <w:tl2br w:val="nil"/>
                    <w:tr2bl w:val="nil"/>
                  </w:tcBorders>
                  <w:shd w:val="clear" w:color="auto" w:fill="auto"/>
                  <w:vAlign w:val="center"/>
                </w:tcPr>
                <w:p w14:paraId="376D8A5C">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水、电、通信</w:t>
                  </w:r>
                </w:p>
              </w:tc>
              <w:tc>
                <w:tcPr>
                  <w:tcW w:w="6047" w:type="dxa"/>
                  <w:tcBorders>
                    <w:tl2br w:val="nil"/>
                    <w:tr2bl w:val="nil"/>
                  </w:tcBorders>
                  <w:shd w:val="clear" w:color="auto" w:fill="auto"/>
                  <w:vAlign w:val="center"/>
                </w:tcPr>
                <w:p w14:paraId="0EDD578D">
                  <w:pPr>
                    <w:ind w:firstLine="420" w:firstLineChars="200"/>
                    <w:jc w:val="left"/>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（1）施工供水：</w:t>
                  </w:r>
                  <w:r>
                    <w:rPr>
                      <w:rFonts w:hint="default" w:ascii="Times New Roman" w:hAnsi="Times New Roman" w:cs="Times New Roman"/>
                      <w:color w:val="000000" w:themeColor="text1"/>
                      <w:highlight w:val="none"/>
                      <w14:textFill>
                        <w14:solidFill>
                          <w14:schemeClr w14:val="tx1"/>
                        </w14:solidFill>
                      </w14:textFill>
                    </w:rPr>
                    <w:t>本工程施工用水主要用于混凝土拌和、</w:t>
                  </w:r>
                  <w:r>
                    <w:rPr>
                      <w:rFonts w:hint="default" w:ascii="Times New Roman" w:hAnsi="Times New Roman" w:cs="Times New Roman"/>
                      <w:color w:val="000000" w:themeColor="text1"/>
                      <w:highlight w:val="none"/>
                      <w:lang w:eastAsia="zh-CN"/>
                      <w14:textFill>
                        <w14:solidFill>
                          <w14:schemeClr w14:val="tx1"/>
                        </w14:solidFill>
                      </w14:textFill>
                    </w:rPr>
                    <w:t>场地</w:t>
                  </w:r>
                  <w:r>
                    <w:rPr>
                      <w:rFonts w:hint="default" w:ascii="Times New Roman" w:hAnsi="Times New Roman" w:cs="Times New Roman"/>
                      <w:color w:val="000000" w:themeColor="text1"/>
                      <w:highlight w:val="none"/>
                      <w14:textFill>
                        <w14:solidFill>
                          <w14:schemeClr w14:val="tx1"/>
                        </w14:solidFill>
                      </w14:textFill>
                    </w:rPr>
                    <w:t>冲洗、</w:t>
                  </w:r>
                  <w:r>
                    <w:rPr>
                      <w:rFonts w:hint="default" w:ascii="Times New Roman" w:hAnsi="Times New Roman" w:cs="Times New Roman"/>
                      <w:color w:val="000000" w:themeColor="text1"/>
                      <w:highlight w:val="none"/>
                      <w:lang w:eastAsia="zh-CN"/>
                      <w14:textFill>
                        <w14:solidFill>
                          <w14:schemeClr w14:val="tx1"/>
                        </w14:solidFill>
                      </w14:textFill>
                    </w:rPr>
                    <w:t>养护</w:t>
                  </w:r>
                  <w:r>
                    <w:rPr>
                      <w:rFonts w:hint="default" w:ascii="Times New Roman" w:hAnsi="Times New Roman" w:cs="Times New Roman"/>
                      <w:color w:val="000000" w:themeColor="text1"/>
                      <w:highlight w:val="none"/>
                      <w14:textFill>
                        <w14:solidFill>
                          <w14:schemeClr w14:val="tx1"/>
                        </w14:solidFill>
                      </w14:textFill>
                    </w:rPr>
                    <w:t>大体积混凝等部位。施工用水采用水泵抽水，直接取自水库。施工及管理人员的生活用水，也取自水库</w:t>
                  </w: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p w14:paraId="68AF2EE0">
                  <w:pPr>
                    <w:ind w:firstLine="420" w:firstLineChars="200"/>
                    <w:jc w:val="left"/>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（2）施工供电：本工程施工用电采取90%网电，10%自发电</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由</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一组85kw移动式柴油机</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发电，油料去附近村屯加油站外购。</w:t>
                  </w:r>
                </w:p>
                <w:p w14:paraId="41164969">
                  <w:pPr>
                    <w:ind w:firstLine="420" w:firstLineChars="200"/>
                    <w:jc w:val="left"/>
                    <w:rPr>
                      <w:rFonts w:hint="eastAsia" w:ascii="Times New Roman" w:hAnsi="Times New Roman" w:cs="Times New Roman" w:eastAsiaTheme="minorEastAsia"/>
                      <w:color w:val="000000" w:themeColor="text1"/>
                      <w:szCs w:val="21"/>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（3）施工通信：库区内采用现有的通讯网络，经调查，公网覆盖全部施工区域，对外通信无障碍。场内通信可采用对讲机。</w:t>
                  </w:r>
                </w:p>
              </w:tc>
            </w:tr>
            <w:tr w14:paraId="2285F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restart"/>
                  <w:tcBorders>
                    <w:tl2br w:val="nil"/>
                    <w:tr2bl w:val="nil"/>
                  </w:tcBorders>
                  <w:shd w:val="clear" w:color="auto" w:fill="auto"/>
                  <w:vAlign w:val="center"/>
                </w:tcPr>
                <w:p w14:paraId="7F7AACF6">
                  <w:pPr>
                    <w:jc w:val="center"/>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环保工程</w:t>
                  </w:r>
                </w:p>
              </w:tc>
              <w:tc>
                <w:tcPr>
                  <w:tcW w:w="1000" w:type="dxa"/>
                  <w:tcBorders>
                    <w:tl2br w:val="nil"/>
                    <w:tr2bl w:val="nil"/>
                  </w:tcBorders>
                  <w:shd w:val="clear" w:color="auto" w:fill="auto"/>
                  <w:vAlign w:val="center"/>
                </w:tcPr>
                <w:p w14:paraId="66AB4475">
                  <w:pPr>
                    <w:jc w:val="center"/>
                    <w:rPr>
                      <w:rFonts w:hint="default" w:ascii="Times New Roman" w:hAnsi="Times New Roman" w:cs="Times New Roman" w:eastAsiaTheme="minorEastAsia"/>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kern w:val="0"/>
                      <w:szCs w:val="21"/>
                      <w:highlight w:val="none"/>
                      <w14:textFill>
                        <w14:solidFill>
                          <w14:schemeClr w14:val="tx1"/>
                        </w14:solidFill>
                      </w14:textFill>
                    </w:rPr>
                    <w:t>废污水</w:t>
                  </w:r>
                </w:p>
              </w:tc>
              <w:tc>
                <w:tcPr>
                  <w:tcW w:w="6047" w:type="dxa"/>
                  <w:tcBorders>
                    <w:tl2br w:val="nil"/>
                    <w:tr2bl w:val="nil"/>
                  </w:tcBorders>
                  <w:shd w:val="clear" w:color="auto" w:fill="auto"/>
                  <w:vAlign w:val="center"/>
                </w:tcPr>
                <w:p w14:paraId="7710D869">
                  <w:pPr>
                    <w:ind w:firstLine="420" w:firstLineChars="200"/>
                    <w:jc w:val="left"/>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生活污水</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排入防渗旱厕</w:t>
                  </w:r>
                  <w:r>
                    <w:rPr>
                      <w:rFonts w:hint="default" w:ascii="Times New Roman" w:hAnsi="Times New Roman" w:cs="Times New Roman" w:eastAsiaTheme="minorEastAsia"/>
                      <w:color w:val="000000" w:themeColor="text1"/>
                      <w:szCs w:val="21"/>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Cs w:val="21"/>
                      <w:highlight w:val="none"/>
                      <w14:textFill>
                        <w14:solidFill>
                          <w14:schemeClr w14:val="tx1"/>
                        </w14:solidFill>
                      </w14:textFill>
                    </w:rPr>
                    <w:t>定期清掏外运做农肥。</w:t>
                  </w:r>
                </w:p>
                <w:p w14:paraId="4F8F65CE">
                  <w:pPr>
                    <w:pStyle w:val="28"/>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生产废水建设沉淀池</w:t>
                  </w:r>
                  <w:r>
                    <w:rPr>
                      <w:rFonts w:hint="default" w:ascii="Times New Roman" w:hAnsi="Times New Roman" w:cs="Times New Roman"/>
                      <w:color w:val="000000" w:themeColor="text1"/>
                      <w:highlight w:val="none"/>
                      <w14:textFill>
                        <w14:solidFill>
                          <w14:schemeClr w14:val="tx1"/>
                        </w14:solidFill>
                      </w14:textFill>
                    </w:rPr>
                    <w:t>其尺寸为2.0m（长）×2.0m（宽）×</w:t>
                  </w:r>
                  <w:r>
                    <w:rPr>
                      <w:rFonts w:hint="eastAsia" w:cs="Times New Roman"/>
                      <w:color w:val="000000" w:themeColor="text1"/>
                      <w:highlight w:val="none"/>
                      <w:lang w:val="en-US" w:eastAsia="zh-CN"/>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.5m（高）</w:t>
                  </w:r>
                  <w:r>
                    <w:rPr>
                      <w:rFonts w:hint="default" w:ascii="Times New Roman" w:hAnsi="Times New Roman" w:cs="Times New Roman" w:eastAsiaTheme="minorEastAsia"/>
                      <w:color w:val="000000" w:themeColor="text1"/>
                      <w:lang w:val="en-US" w:eastAsia="zh-CN"/>
                      <w14:textFill>
                        <w14:solidFill>
                          <w14:schemeClr w14:val="tx1"/>
                        </w14:solidFill>
                      </w14:textFill>
                    </w:rPr>
                    <w:t>，</w:t>
                  </w:r>
                  <w:r>
                    <w:rPr>
                      <w:rFonts w:hint="eastAsia" w:cs="Times New Roman" w:eastAsiaTheme="minorEastAsia"/>
                      <w:color w:val="000000" w:themeColor="text1"/>
                      <w:lang w:val="en-US" w:eastAsia="zh-CN"/>
                      <w14:textFill>
                        <w14:solidFill>
                          <w14:schemeClr w14:val="tx1"/>
                        </w14:solidFill>
                      </w14:textFill>
                    </w:rPr>
                    <w:t>经过沉淀池沉淀后</w:t>
                  </w:r>
                  <w:r>
                    <w:rPr>
                      <w:rFonts w:hint="default" w:ascii="Times New Roman" w:hAnsi="Times New Roman" w:cs="Times New Roman" w:eastAsiaTheme="minorEastAsia"/>
                      <w:color w:val="000000" w:themeColor="text1"/>
                      <w:lang w:val="en-US" w:eastAsia="zh-CN"/>
                      <w14:textFill>
                        <w14:solidFill>
                          <w14:schemeClr w14:val="tx1"/>
                        </w14:solidFill>
                      </w14:textFill>
                    </w:rPr>
                    <w:t>上清液用于混凝土养护，以及洒水降尘，全部自然蒸发，沉淀的沉渣主要为泥沙，回用于混凝土的搅拌使用。</w:t>
                  </w:r>
                </w:p>
              </w:tc>
            </w:tr>
            <w:tr w14:paraId="0E655E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tcBorders>
                    <w:tl2br w:val="nil"/>
                    <w:tr2bl w:val="nil"/>
                  </w:tcBorders>
                </w:tcPr>
                <w:p w14:paraId="52F3C252">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p>
              </w:tc>
              <w:tc>
                <w:tcPr>
                  <w:tcW w:w="1000" w:type="dxa"/>
                  <w:tcBorders>
                    <w:tl2br w:val="nil"/>
                    <w:tr2bl w:val="nil"/>
                  </w:tcBorders>
                  <w:shd w:val="clear" w:color="auto" w:fill="auto"/>
                  <w:vAlign w:val="center"/>
                </w:tcPr>
                <w:p w14:paraId="67A27E63">
                  <w:pPr>
                    <w:jc w:val="center"/>
                    <w:rPr>
                      <w:rFonts w:hint="default" w:ascii="Times New Roman" w:hAnsi="Times New Roman" w:cs="Times New Roman" w:eastAsiaTheme="minorEastAsia"/>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kern w:val="0"/>
                      <w:szCs w:val="21"/>
                      <w:highlight w:val="none"/>
                      <w14:textFill>
                        <w14:solidFill>
                          <w14:schemeClr w14:val="tx1"/>
                        </w14:solidFill>
                      </w14:textFill>
                    </w:rPr>
                    <w:t>施工废气</w:t>
                  </w:r>
                </w:p>
              </w:tc>
              <w:tc>
                <w:tcPr>
                  <w:tcW w:w="6047" w:type="dxa"/>
                  <w:tcBorders>
                    <w:tl2br w:val="nil"/>
                    <w:tr2bl w:val="nil"/>
                  </w:tcBorders>
                  <w:shd w:val="clear" w:color="auto" w:fill="auto"/>
                  <w:vAlign w:val="center"/>
                </w:tcPr>
                <w:p w14:paraId="070ABC7B">
                  <w:pPr>
                    <w:ind w:firstLine="420" w:firstLineChars="200"/>
                    <w:jc w:val="left"/>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施工道路沿线洒水降尘；物料运输采用密封、苫盖等运输方式；物料堆存设置遮盖、</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洒水降尘</w:t>
                  </w:r>
                  <w:r>
                    <w:rPr>
                      <w:rFonts w:hint="default" w:ascii="Times New Roman" w:hAnsi="Times New Roman" w:cs="Times New Roman" w:eastAsiaTheme="minorEastAsia"/>
                      <w:color w:val="000000" w:themeColor="text1"/>
                      <w:szCs w:val="21"/>
                      <w:highlight w:val="none"/>
                      <w14:textFill>
                        <w14:solidFill>
                          <w14:schemeClr w14:val="tx1"/>
                        </w14:solidFill>
                      </w14:textFill>
                    </w:rPr>
                    <w:t>等；机械设备维修保养</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后方可进场使用</w:t>
                  </w: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5B6CE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tcBorders>
                    <w:tl2br w:val="nil"/>
                    <w:tr2bl w:val="nil"/>
                  </w:tcBorders>
                </w:tcPr>
                <w:p w14:paraId="22AB8E66">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p>
              </w:tc>
              <w:tc>
                <w:tcPr>
                  <w:tcW w:w="1000" w:type="dxa"/>
                  <w:tcBorders>
                    <w:tl2br w:val="nil"/>
                    <w:tr2bl w:val="nil"/>
                  </w:tcBorders>
                  <w:shd w:val="clear" w:color="auto" w:fill="auto"/>
                  <w:vAlign w:val="center"/>
                </w:tcPr>
                <w:p w14:paraId="3804BCD9">
                  <w:pPr>
                    <w:jc w:val="center"/>
                    <w:rPr>
                      <w:rFonts w:hint="default" w:ascii="Times New Roman" w:hAnsi="Times New Roman" w:cs="Times New Roman" w:eastAsiaTheme="minorEastAsia"/>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kern w:val="0"/>
                      <w:szCs w:val="21"/>
                      <w:highlight w:val="none"/>
                      <w14:textFill>
                        <w14:solidFill>
                          <w14:schemeClr w14:val="tx1"/>
                        </w14:solidFill>
                      </w14:textFill>
                    </w:rPr>
                    <w:t>施工噪声</w:t>
                  </w:r>
                </w:p>
              </w:tc>
              <w:tc>
                <w:tcPr>
                  <w:tcW w:w="6047" w:type="dxa"/>
                  <w:tcBorders>
                    <w:tl2br w:val="nil"/>
                    <w:tr2bl w:val="nil"/>
                  </w:tcBorders>
                  <w:shd w:val="clear" w:color="auto" w:fill="auto"/>
                  <w:vAlign w:val="center"/>
                </w:tcPr>
                <w:p w14:paraId="13EF1153">
                  <w:pPr>
                    <w:ind w:firstLine="420" w:firstLineChars="200"/>
                    <w:jc w:val="left"/>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运输建筑材料的车辆经过村屯时要减速行驶，并禁止鸣笛；合理安排施工作业时间；禁止夜间施工。</w:t>
                  </w:r>
                </w:p>
              </w:tc>
            </w:tr>
            <w:tr w14:paraId="7E7293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tcBorders>
                    <w:tl2br w:val="nil"/>
                    <w:tr2bl w:val="nil"/>
                  </w:tcBorders>
                </w:tcPr>
                <w:p w14:paraId="525CAC6A">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p>
              </w:tc>
              <w:tc>
                <w:tcPr>
                  <w:tcW w:w="1000" w:type="dxa"/>
                  <w:tcBorders>
                    <w:tl2br w:val="nil"/>
                    <w:tr2bl w:val="nil"/>
                  </w:tcBorders>
                  <w:shd w:val="clear" w:color="auto" w:fill="auto"/>
                  <w:vAlign w:val="center"/>
                </w:tcPr>
                <w:p w14:paraId="457BA568">
                  <w:pPr>
                    <w:jc w:val="center"/>
                    <w:rPr>
                      <w:rFonts w:hint="default" w:ascii="Times New Roman" w:hAnsi="Times New Roman" w:cs="Times New Roman" w:eastAsiaTheme="minorEastAsia"/>
                      <w:color w:val="000000" w:themeColor="text1"/>
                      <w:kern w:val="0"/>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bCs/>
                      <w:color w:val="000000" w:themeColor="text1"/>
                      <w:kern w:val="0"/>
                      <w:szCs w:val="21"/>
                      <w:highlight w:val="none"/>
                      <w14:textFill>
                        <w14:solidFill>
                          <w14:schemeClr w14:val="tx1"/>
                        </w14:solidFill>
                      </w14:textFill>
                    </w:rPr>
                    <w:t>固体废物</w:t>
                  </w:r>
                </w:p>
              </w:tc>
              <w:tc>
                <w:tcPr>
                  <w:tcW w:w="6047" w:type="dxa"/>
                  <w:tcBorders>
                    <w:tl2br w:val="nil"/>
                    <w:tr2bl w:val="nil"/>
                  </w:tcBorders>
                  <w:shd w:val="clear" w:color="auto" w:fill="auto"/>
                  <w:vAlign w:val="center"/>
                </w:tcPr>
                <w:p w14:paraId="42F99F52">
                  <w:pPr>
                    <w:ind w:firstLine="420" w:firstLineChars="200"/>
                    <w:jc w:val="left"/>
                    <w:rPr>
                      <w:rFonts w:hint="default" w:ascii="Times New Roman" w:hAnsi="Times New Roman" w:cs="Times New Roman" w:eastAsiaTheme="minorEastAsia"/>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施工期固体废物主要是施工人员生活垃圾。生活垃圾利用垃圾箱分类存放，定期外运处置。</w:t>
                  </w:r>
                </w:p>
              </w:tc>
            </w:tr>
            <w:tr w14:paraId="0C0A57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28" w:type="dxa"/>
                  <w:vMerge w:val="continue"/>
                  <w:tcBorders>
                    <w:tl2br w:val="nil"/>
                    <w:tr2bl w:val="nil"/>
                  </w:tcBorders>
                </w:tcPr>
                <w:p w14:paraId="0A92957D">
                  <w:pPr>
                    <w:pStyle w:val="28"/>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eastAsiaTheme="minorEastAsia"/>
                      <w:color w:val="000000" w:themeColor="text1"/>
                      <w:sz w:val="21"/>
                      <w:szCs w:val="21"/>
                      <w:highlight w:val="none"/>
                      <w:vertAlign w:val="baseline"/>
                      <w:lang w:val="en-US" w:eastAsia="zh-CN"/>
                      <w14:textFill>
                        <w14:solidFill>
                          <w14:schemeClr w14:val="tx1"/>
                        </w14:solidFill>
                      </w14:textFill>
                    </w:rPr>
                  </w:pPr>
                </w:p>
              </w:tc>
              <w:tc>
                <w:tcPr>
                  <w:tcW w:w="1000" w:type="dxa"/>
                  <w:tcBorders>
                    <w:tl2br w:val="nil"/>
                    <w:tr2bl w:val="nil"/>
                  </w:tcBorders>
                  <w:shd w:val="clear" w:color="auto" w:fill="auto"/>
                  <w:vAlign w:val="center"/>
                </w:tcPr>
                <w:p w14:paraId="584DE181">
                  <w:pPr>
                    <w:widowControl/>
                    <w:adjustRightInd w:val="0"/>
                    <w:snapToGrid w:val="0"/>
                    <w:spacing w:line="280" w:lineRule="exact"/>
                    <w:jc w:val="center"/>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人群健康保护措施</w:t>
                  </w:r>
                </w:p>
              </w:tc>
              <w:tc>
                <w:tcPr>
                  <w:tcW w:w="6047" w:type="dxa"/>
                  <w:tcBorders>
                    <w:tl2br w:val="nil"/>
                    <w:tr2bl w:val="nil"/>
                  </w:tcBorders>
                  <w:shd w:val="clear" w:color="auto" w:fill="auto"/>
                  <w:vAlign w:val="center"/>
                </w:tcPr>
                <w:p w14:paraId="32A67C53">
                  <w:pPr>
                    <w:widowControl/>
                    <w:adjustRightInd w:val="0"/>
                    <w:snapToGrid w:val="0"/>
                    <w:spacing w:line="280" w:lineRule="exact"/>
                    <w:ind w:firstLine="420" w:firstLineChars="200"/>
                    <w:rPr>
                      <w:rFonts w:hint="default" w:ascii="Times New Roman" w:hAnsi="Times New Roman" w:eastAsia="宋体" w:cs="Times New Roman"/>
                      <w:color w:val="000000" w:themeColor="text1"/>
                      <w:kern w:val="2"/>
                      <w:sz w:val="21"/>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施工人员进场前必须进行卫生检疫，并定期体检，明确卫生防疫负责人。</w:t>
                  </w:r>
                </w:p>
              </w:tc>
            </w:tr>
          </w:tbl>
          <w:p w14:paraId="76F559B4">
            <w:pPr>
              <w:spacing w:line="360" w:lineRule="auto"/>
              <w:ind w:firstLine="482" w:firstLineChars="200"/>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3</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w:t>
            </w:r>
            <w:r>
              <w:rPr>
                <w:rFonts w:hint="default" w:ascii="Times New Roman" w:hAnsi="Times New Roman" w:cs="Times New Roman" w:eastAsiaTheme="minorEastAsia"/>
                <w:b/>
                <w:bCs/>
                <w:color w:val="000000" w:themeColor="text1"/>
                <w:sz w:val="24"/>
                <w:highlight w:val="none"/>
                <w:lang w:eastAsia="zh-CN"/>
                <w14:textFill>
                  <w14:solidFill>
                    <w14:schemeClr w14:val="tx1"/>
                  </w14:solidFill>
                </w14:textFill>
              </w:rPr>
              <w:t>工程规模</w:t>
            </w:r>
          </w:p>
          <w:p w14:paraId="0C7ADAE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）设计洪水标准</w:t>
            </w:r>
          </w:p>
          <w:p w14:paraId="4E13F73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szCs w:val="24"/>
                <w:lang w:val="en-US" w:eastAsia="zh-CN" w:bidi="ar"/>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从工程安全、影响下游程度、工程规模等因素考虑，本阶段除险加固防洪复核采用洪水标准，</w:t>
            </w:r>
            <w:r>
              <w:rPr>
                <w:rFonts w:hint="default" w:ascii="Times New Roman" w:hAnsi="Times New Roman" w:cs="Times New Roman" w:eastAsiaTheme="minorEastAsia"/>
                <w:color w:val="FF0000"/>
                <w:sz w:val="24"/>
                <w:highlight w:val="none"/>
                <w:lang w:eastAsia="zh-CN"/>
              </w:rPr>
              <w:t>设</w:t>
            </w:r>
            <w:r>
              <w:rPr>
                <w:rFonts w:hint="default" w:ascii="Times New Roman" w:hAnsi="Times New Roman" w:eastAsia="宋体" w:cs="Times New Roman"/>
                <w:color w:val="FF0000"/>
                <w:kern w:val="0"/>
                <w:sz w:val="24"/>
                <w:szCs w:val="24"/>
                <w:lang w:val="en-US" w:eastAsia="zh-CN" w:bidi="ar"/>
              </w:rPr>
              <w:t>计为20年一遇洪水标准，100年一遇洪水校核。</w:t>
            </w:r>
            <w:r>
              <w:rPr>
                <w:rFonts w:hint="eastAsia" w:cs="Times New Roman"/>
                <w:color w:val="FF0000"/>
                <w:kern w:val="0"/>
                <w:sz w:val="24"/>
                <w:szCs w:val="24"/>
                <w:lang w:val="en-US" w:eastAsia="zh-CN" w:bidi="ar"/>
              </w:rPr>
              <w:t>本次建设不改变</w:t>
            </w:r>
            <w:r>
              <w:rPr>
                <w:rFonts w:hint="default" w:ascii="Times New Roman" w:hAnsi="Times New Roman" w:cs="Times New Roman"/>
                <w:color w:val="FF0000"/>
                <w:sz w:val="24"/>
                <w:szCs w:val="24"/>
                <w:lang w:val="en-US" w:eastAsia="zh-CN"/>
              </w:rPr>
              <w:t>设计标准、水库等级、库容</w:t>
            </w:r>
            <w:r>
              <w:rPr>
                <w:rFonts w:hint="eastAsia" w:cs="Times New Roman"/>
                <w:color w:val="FF0000"/>
                <w:sz w:val="24"/>
                <w:szCs w:val="24"/>
                <w:lang w:val="en-US" w:eastAsia="zh-CN"/>
              </w:rPr>
              <w:t>、水位等。</w:t>
            </w:r>
          </w:p>
          <w:p w14:paraId="63595F5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（2）正常蓄水位</w:t>
            </w:r>
          </w:p>
          <w:p w14:paraId="3A088DF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themeColor="text1"/>
                <w:lang w:val="en-US"/>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现状正常蓄水位177.50m，本次仍采用实际正常蓄水位177.5m不变，正常蓄水位相应库容为272.43×10</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14:paraId="2CBA235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（3）死水位</w:t>
            </w:r>
          </w:p>
          <w:p w14:paraId="04FC121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工程设计单位</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复核水库特性曲线</w:t>
            </w:r>
            <w:r>
              <w:rPr>
                <w:rFonts w:hint="eastAsia" w:cs="Times New Roman" w:eastAsiaTheme="minorEastAsia"/>
                <w:color w:val="000000" w:themeColor="text1"/>
                <w:sz w:val="24"/>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经复核后，仍然采用死水位172.50m，相应死库容为8.45×10</w:t>
            </w:r>
            <w:r>
              <w:rPr>
                <w:rFonts w:hint="default" w:ascii="Times New Roman" w:hAnsi="Times New Roman" w:cs="Times New Roman" w:eastAsiaTheme="minorEastAsia"/>
                <w:color w:val="000000" w:themeColor="text1"/>
                <w:sz w:val="24"/>
                <w:highlight w:val="none"/>
                <w:vertAlign w:val="superscript"/>
                <w:lang w:val="en-US" w:eastAsia="zh-CN"/>
                <w14:textFill>
                  <w14:solidFill>
                    <w14:schemeClr w14:val="tx1"/>
                  </w14:solidFill>
                </w14:textFill>
              </w:rPr>
              <w:t>4</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m</w:t>
            </w:r>
            <w:r>
              <w:rPr>
                <w:rFonts w:hint="default" w:ascii="Times New Roman" w:hAnsi="Times New Roman" w:cs="Times New Roman" w:eastAsiaTheme="minorEastAsia"/>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w:t>
            </w:r>
          </w:p>
          <w:p w14:paraId="118D9BB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bCs/>
                <w:color w:val="000000" w:themeColor="text1"/>
                <w:sz w:val="24"/>
                <w:highlight w:val="none"/>
                <w:lang w:val="en-US" w:eastAsia="zh-CN"/>
                <w14:textFill>
                  <w14:solidFill>
                    <w14:schemeClr w14:val="tx1"/>
                  </w14:solidFill>
                </w14:textFill>
              </w:rPr>
            </w:pPr>
            <w:r>
              <w:rPr>
                <w:rFonts w:hint="eastAsia" w:cs="Times New Roman"/>
                <w:b w:val="0"/>
                <w:bCs w:val="0"/>
                <w:color w:val="000000" w:themeColor="text1"/>
                <w:sz w:val="24"/>
                <w:highlight w:val="none"/>
                <w:lang w:val="en-US" w:eastAsia="zh-CN"/>
                <w14:textFill>
                  <w14:solidFill>
                    <w14:schemeClr w14:val="tx1"/>
                  </w14:solidFill>
                </w14:textFill>
              </w:rPr>
              <w:t>（4）清淤工程</w:t>
            </w:r>
          </w:p>
          <w:p w14:paraId="09D4325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
                <w:bCs/>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根据工程测算</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坝址以上年输沙量为1341t，水库运行期按50年计算，需要泥沙淤积库容为5.16×10</w:t>
            </w:r>
            <w:r>
              <w:rPr>
                <w:rFonts w:hint="default" w:ascii="Times New Roman" w:hAnsi="Times New Roman" w:cs="Times New Roman" w:eastAsiaTheme="minorEastAsia"/>
                <w:color w:val="000000" w:themeColor="text1"/>
                <w:sz w:val="24"/>
                <w:highlight w:val="none"/>
                <w:vertAlign w:val="superscript"/>
                <w:lang w:val="en-US" w:eastAsia="zh-CN"/>
                <w14:textFill>
                  <w14:solidFill>
                    <w14:schemeClr w14:val="tx1"/>
                  </w14:solidFill>
                </w14:textFill>
              </w:rPr>
              <w:t>4</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m</w:t>
            </w:r>
            <w:r>
              <w:rPr>
                <w:rFonts w:hint="default" w:ascii="Times New Roman" w:hAnsi="Times New Roman" w:cs="Times New Roman" w:eastAsiaTheme="minorEastAsia"/>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4"/>
                <w:highlight w:val="none"/>
                <w:vertAlign w:val="baseline"/>
                <w:lang w:val="en-US" w:eastAsia="zh-CN"/>
                <w14:textFill>
                  <w14:solidFill>
                    <w14:schemeClr w14:val="tx1"/>
                  </w14:solidFill>
                </w14:textFill>
              </w:rPr>
              <w:t>，</w:t>
            </w:r>
            <w:r>
              <w:rPr>
                <w:rFonts w:hint="eastAsia" w:cs="Times New Roman" w:eastAsiaTheme="minorEastAsia"/>
                <w:color w:val="000000" w:themeColor="text1"/>
                <w:sz w:val="24"/>
                <w:highlight w:val="none"/>
                <w:vertAlign w:val="baseline"/>
                <w:lang w:val="en-US" w:eastAsia="zh-CN"/>
                <w14:textFill>
                  <w14:solidFill>
                    <w14:schemeClr w14:val="tx1"/>
                  </w14:solidFill>
                </w14:textFill>
              </w:rPr>
              <w:t>本项目库容大于50年淤积库容，因此</w:t>
            </w:r>
            <w:r>
              <w:rPr>
                <w:rFonts w:hint="default" w:ascii="Times New Roman" w:hAnsi="Times New Roman" w:cs="Times New Roman" w:eastAsiaTheme="minorEastAsia"/>
                <w:color w:val="000000" w:themeColor="text1"/>
                <w:sz w:val="24"/>
                <w:highlight w:val="none"/>
                <w:vertAlign w:val="baseline"/>
                <w:lang w:val="en-US" w:eastAsia="zh-CN"/>
                <w14:textFill>
                  <w14:solidFill>
                    <w14:schemeClr w14:val="tx1"/>
                  </w14:solidFill>
                </w14:textFill>
              </w:rPr>
              <w:t>本工程</w:t>
            </w:r>
            <w:r>
              <w:rPr>
                <w:rFonts w:hint="eastAsia" w:cs="Times New Roman" w:eastAsiaTheme="minorEastAsia"/>
                <w:color w:val="000000" w:themeColor="text1"/>
                <w:sz w:val="24"/>
                <w:highlight w:val="none"/>
                <w:vertAlign w:val="baseline"/>
                <w:lang w:val="en-US" w:eastAsia="zh-CN"/>
                <w14:textFill>
                  <w14:solidFill>
                    <w14:schemeClr w14:val="tx1"/>
                  </w14:solidFill>
                </w14:textFill>
              </w:rPr>
              <w:t>不考虑</w:t>
            </w:r>
            <w:r>
              <w:rPr>
                <w:rFonts w:hint="default" w:ascii="Times New Roman" w:hAnsi="Times New Roman" w:cs="Times New Roman" w:eastAsiaTheme="minorEastAsia"/>
                <w:color w:val="000000" w:themeColor="text1"/>
                <w:sz w:val="24"/>
                <w:highlight w:val="none"/>
                <w:vertAlign w:val="baseline"/>
                <w:lang w:val="en-US" w:eastAsia="zh-CN"/>
                <w14:textFill>
                  <w14:solidFill>
                    <w14:schemeClr w14:val="tx1"/>
                  </w14:solidFill>
                </w14:textFill>
              </w:rPr>
              <w:t>清淤</w:t>
            </w:r>
            <w:r>
              <w:rPr>
                <w:rFonts w:hint="eastAsia" w:cs="Times New Roman" w:eastAsiaTheme="minorEastAsia"/>
                <w:color w:val="000000" w:themeColor="text1"/>
                <w:sz w:val="24"/>
                <w:highlight w:val="none"/>
                <w:vertAlign w:val="baseline"/>
                <w:lang w:val="en-US" w:eastAsia="zh-CN"/>
                <w14:textFill>
                  <w14:solidFill>
                    <w14:schemeClr w14:val="tx1"/>
                  </w14:solidFill>
                </w14:textFill>
              </w:rPr>
              <w:t>。具体详见下表2-2</w:t>
            </w:r>
          </w:p>
          <w:p w14:paraId="0CB761E4">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000000" w:themeColor="text1"/>
                <w:sz w:val="24"/>
                <w:highlight w:val="none"/>
                <w:lang w:val="en-US" w:eastAsia="zh-CN"/>
                <w14:textFill>
                  <w14:solidFill>
                    <w14:schemeClr w14:val="tx1"/>
                  </w14:solidFill>
                </w14:textFill>
              </w:rPr>
            </w:pPr>
            <w:r>
              <w:rPr>
                <w:rFonts w:hint="eastAsia" w:cs="Times New Roman" w:eastAsiaTheme="minorEastAsia"/>
                <w:b/>
                <w:bCs/>
                <w:color w:val="000000" w:themeColor="text1"/>
                <w:sz w:val="24"/>
                <w:highlight w:val="none"/>
                <w:vertAlign w:val="baseline"/>
                <w:lang w:val="en-US" w:eastAsia="zh-CN"/>
                <w14:textFill>
                  <w14:solidFill>
                    <w14:schemeClr w14:val="tx1"/>
                  </w14:solidFill>
                </w14:textFill>
              </w:rPr>
              <w:t>表2-2 工程规模表</w:t>
            </w:r>
          </w:p>
          <w:tbl>
            <w:tblPr>
              <w:tblStyle w:val="23"/>
              <w:tblW w:w="787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68"/>
              <w:gridCol w:w="2458"/>
              <w:gridCol w:w="2320"/>
              <w:gridCol w:w="1129"/>
            </w:tblGrid>
            <w:tr w14:paraId="40FB86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5FEF241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名称</w:t>
                  </w:r>
                </w:p>
              </w:tc>
              <w:tc>
                <w:tcPr>
                  <w:tcW w:w="2458" w:type="dxa"/>
                  <w:tcBorders>
                    <w:tl2br w:val="nil"/>
                    <w:tr2bl w:val="nil"/>
                  </w:tcBorders>
                  <w:vAlign w:val="center"/>
                </w:tcPr>
                <w:p w14:paraId="54B6668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单位</w:t>
                  </w:r>
                </w:p>
              </w:tc>
              <w:tc>
                <w:tcPr>
                  <w:tcW w:w="2320" w:type="dxa"/>
                  <w:tcBorders>
                    <w:tl2br w:val="nil"/>
                    <w:tr2bl w:val="nil"/>
                  </w:tcBorders>
                  <w:vAlign w:val="center"/>
                </w:tcPr>
                <w:p w14:paraId="5D90E31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设计特征</w:t>
                  </w:r>
                </w:p>
              </w:tc>
              <w:tc>
                <w:tcPr>
                  <w:tcW w:w="1129" w:type="dxa"/>
                  <w:tcBorders>
                    <w:tl2br w:val="nil"/>
                    <w:tr2bl w:val="nil"/>
                  </w:tcBorders>
                  <w:vAlign w:val="center"/>
                </w:tcPr>
                <w:p w14:paraId="120D3C5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备注</w:t>
                  </w:r>
                </w:p>
              </w:tc>
            </w:tr>
            <w:tr w14:paraId="5936AC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0563862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坝址以上汇水面积</w:t>
                  </w:r>
                </w:p>
              </w:tc>
              <w:tc>
                <w:tcPr>
                  <w:tcW w:w="2458" w:type="dxa"/>
                  <w:tcBorders>
                    <w:tl2br w:val="nil"/>
                    <w:tr2bl w:val="nil"/>
                  </w:tcBorders>
                  <w:vAlign w:val="center"/>
                </w:tcPr>
                <w:p w14:paraId="3DA7948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km</w:t>
                  </w:r>
                  <w:r>
                    <w:rPr>
                      <w:rFonts w:hint="eastAsia" w:cs="Times New Roman"/>
                      <w:b w:val="0"/>
                      <w:bCs w:val="0"/>
                      <w:color w:val="FF0000"/>
                      <w:sz w:val="21"/>
                      <w:szCs w:val="21"/>
                      <w:highlight w:val="none"/>
                      <w:vertAlign w:val="superscript"/>
                      <w:lang w:val="en-US" w:eastAsia="zh-CN"/>
                    </w:rPr>
                    <w:t>2</w:t>
                  </w:r>
                </w:p>
              </w:tc>
              <w:tc>
                <w:tcPr>
                  <w:tcW w:w="2320" w:type="dxa"/>
                  <w:tcBorders>
                    <w:tl2br w:val="nil"/>
                    <w:tr2bl w:val="nil"/>
                  </w:tcBorders>
                  <w:vAlign w:val="center"/>
                </w:tcPr>
                <w:p w14:paraId="60AB260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31.1</w:t>
                  </w:r>
                </w:p>
              </w:tc>
              <w:tc>
                <w:tcPr>
                  <w:tcW w:w="1129" w:type="dxa"/>
                  <w:tcBorders>
                    <w:tl2br w:val="nil"/>
                    <w:tr2bl w:val="nil"/>
                  </w:tcBorders>
                  <w:vAlign w:val="center"/>
                </w:tcPr>
                <w:p w14:paraId="3AF6A17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14:paraId="0DBF84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4F07678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水库规模</w:t>
                  </w:r>
                </w:p>
              </w:tc>
              <w:tc>
                <w:tcPr>
                  <w:tcW w:w="2458" w:type="dxa"/>
                  <w:tcBorders>
                    <w:tl2br w:val="nil"/>
                    <w:tr2bl w:val="nil"/>
                  </w:tcBorders>
                  <w:vAlign w:val="center"/>
                </w:tcPr>
                <w:p w14:paraId="2016481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w:t>
                  </w:r>
                </w:p>
              </w:tc>
              <w:tc>
                <w:tcPr>
                  <w:tcW w:w="2320" w:type="dxa"/>
                  <w:tcBorders>
                    <w:tl2br w:val="nil"/>
                    <w:tr2bl w:val="nil"/>
                  </w:tcBorders>
                  <w:vAlign w:val="center"/>
                </w:tcPr>
                <w:p w14:paraId="03BF993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小（I）型</w:t>
                  </w:r>
                </w:p>
              </w:tc>
              <w:tc>
                <w:tcPr>
                  <w:tcW w:w="1129" w:type="dxa"/>
                  <w:tcBorders>
                    <w:tl2br w:val="nil"/>
                    <w:tr2bl w:val="nil"/>
                  </w:tcBorders>
                  <w:vAlign w:val="center"/>
                </w:tcPr>
                <w:p w14:paraId="43A0E10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14:paraId="0C73DE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5B7D17E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校核洪水位</w:t>
                  </w:r>
                </w:p>
              </w:tc>
              <w:tc>
                <w:tcPr>
                  <w:tcW w:w="2458" w:type="dxa"/>
                  <w:tcBorders>
                    <w:tl2br w:val="nil"/>
                    <w:tr2bl w:val="nil"/>
                  </w:tcBorders>
                  <w:vAlign w:val="center"/>
                </w:tcPr>
                <w:p w14:paraId="644054E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m</w:t>
                  </w:r>
                </w:p>
              </w:tc>
              <w:tc>
                <w:tcPr>
                  <w:tcW w:w="2320" w:type="dxa"/>
                  <w:tcBorders>
                    <w:tl2br w:val="nil"/>
                    <w:tr2bl w:val="nil"/>
                  </w:tcBorders>
                  <w:vAlign w:val="center"/>
                </w:tcPr>
                <w:p w14:paraId="122D53C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180.11</w:t>
                  </w:r>
                </w:p>
              </w:tc>
              <w:tc>
                <w:tcPr>
                  <w:tcW w:w="1129" w:type="dxa"/>
                  <w:tcBorders>
                    <w:tl2br w:val="nil"/>
                    <w:tr2bl w:val="nil"/>
                  </w:tcBorders>
                  <w:vAlign w:val="center"/>
                </w:tcPr>
                <w:p w14:paraId="3F49B40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14:paraId="5AE46D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5EDB426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设计洪水位</w:t>
                  </w:r>
                </w:p>
              </w:tc>
              <w:tc>
                <w:tcPr>
                  <w:tcW w:w="2458" w:type="dxa"/>
                  <w:tcBorders>
                    <w:tl2br w:val="nil"/>
                    <w:tr2bl w:val="nil"/>
                  </w:tcBorders>
                  <w:vAlign w:val="center"/>
                </w:tcPr>
                <w:p w14:paraId="5317B00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m</w:t>
                  </w:r>
                </w:p>
              </w:tc>
              <w:tc>
                <w:tcPr>
                  <w:tcW w:w="2320" w:type="dxa"/>
                  <w:tcBorders>
                    <w:tl2br w:val="nil"/>
                    <w:tr2bl w:val="nil"/>
                  </w:tcBorders>
                  <w:vAlign w:val="center"/>
                </w:tcPr>
                <w:p w14:paraId="7D5F01A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179.57</w:t>
                  </w:r>
                </w:p>
              </w:tc>
              <w:tc>
                <w:tcPr>
                  <w:tcW w:w="1129" w:type="dxa"/>
                  <w:tcBorders>
                    <w:tl2br w:val="nil"/>
                    <w:tr2bl w:val="nil"/>
                  </w:tcBorders>
                  <w:vAlign w:val="center"/>
                </w:tcPr>
                <w:p w14:paraId="2C383FD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14:paraId="69B173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423D433B">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正常蓄水位</w:t>
                  </w:r>
                </w:p>
              </w:tc>
              <w:tc>
                <w:tcPr>
                  <w:tcW w:w="2458" w:type="dxa"/>
                  <w:tcBorders>
                    <w:tl2br w:val="nil"/>
                    <w:tr2bl w:val="nil"/>
                  </w:tcBorders>
                  <w:vAlign w:val="center"/>
                </w:tcPr>
                <w:p w14:paraId="1391A8E6">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m</w:t>
                  </w:r>
                </w:p>
              </w:tc>
              <w:tc>
                <w:tcPr>
                  <w:tcW w:w="2320" w:type="dxa"/>
                  <w:tcBorders>
                    <w:tl2br w:val="nil"/>
                    <w:tr2bl w:val="nil"/>
                  </w:tcBorders>
                  <w:vAlign w:val="center"/>
                </w:tcPr>
                <w:p w14:paraId="2F0592E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177.50</w:t>
                  </w:r>
                </w:p>
              </w:tc>
              <w:tc>
                <w:tcPr>
                  <w:tcW w:w="1129" w:type="dxa"/>
                  <w:tcBorders>
                    <w:tl2br w:val="nil"/>
                    <w:tr2bl w:val="nil"/>
                  </w:tcBorders>
                  <w:vAlign w:val="center"/>
                </w:tcPr>
                <w:p w14:paraId="28F2CFC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14:paraId="584181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5B32AD9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死水位</w:t>
                  </w:r>
                </w:p>
              </w:tc>
              <w:tc>
                <w:tcPr>
                  <w:tcW w:w="2458" w:type="dxa"/>
                  <w:tcBorders>
                    <w:tl2br w:val="nil"/>
                    <w:tr2bl w:val="nil"/>
                  </w:tcBorders>
                  <w:vAlign w:val="center"/>
                </w:tcPr>
                <w:p w14:paraId="22183AE7">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m</w:t>
                  </w:r>
                </w:p>
              </w:tc>
              <w:tc>
                <w:tcPr>
                  <w:tcW w:w="2320" w:type="dxa"/>
                  <w:tcBorders>
                    <w:tl2br w:val="nil"/>
                    <w:tr2bl w:val="nil"/>
                  </w:tcBorders>
                  <w:vAlign w:val="center"/>
                </w:tcPr>
                <w:p w14:paraId="298F6AD2">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172.50</w:t>
                  </w:r>
                </w:p>
              </w:tc>
              <w:tc>
                <w:tcPr>
                  <w:tcW w:w="1129" w:type="dxa"/>
                  <w:tcBorders>
                    <w:tl2br w:val="nil"/>
                    <w:tr2bl w:val="nil"/>
                  </w:tcBorders>
                  <w:vAlign w:val="center"/>
                </w:tcPr>
                <w:p w14:paraId="2B937BC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14:paraId="3CC53C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38398C6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总库容</w:t>
                  </w:r>
                </w:p>
              </w:tc>
              <w:tc>
                <w:tcPr>
                  <w:tcW w:w="2458" w:type="dxa"/>
                  <w:tcBorders>
                    <w:tl2br w:val="nil"/>
                    <w:tr2bl w:val="nil"/>
                  </w:tcBorders>
                  <w:vAlign w:val="center"/>
                </w:tcPr>
                <w:p w14:paraId="41F4544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lang w:val="en-US" w:eastAsia="zh-CN"/>
                    </w:rPr>
                    <w:t>10</w:t>
                  </w:r>
                  <w:r>
                    <w:rPr>
                      <w:rFonts w:hint="default" w:ascii="Times New Roman" w:hAnsi="Times New Roman" w:cs="Times New Roman" w:eastAsiaTheme="minorEastAsia"/>
                      <w:color w:val="FF0000"/>
                      <w:sz w:val="21"/>
                      <w:szCs w:val="21"/>
                      <w:highlight w:val="none"/>
                      <w:vertAlign w:val="superscript"/>
                      <w:lang w:val="en-US" w:eastAsia="zh-CN"/>
                    </w:rPr>
                    <w:t>4</w:t>
                  </w:r>
                  <w:r>
                    <w:rPr>
                      <w:rFonts w:hint="default" w:ascii="Times New Roman" w:hAnsi="Times New Roman" w:cs="Times New Roman" w:eastAsiaTheme="minorEastAsia"/>
                      <w:color w:val="FF0000"/>
                      <w:sz w:val="21"/>
                      <w:szCs w:val="21"/>
                      <w:highlight w:val="none"/>
                      <w:lang w:val="en-US" w:eastAsia="zh-CN"/>
                    </w:rPr>
                    <w:t>m</w:t>
                  </w:r>
                  <w:r>
                    <w:rPr>
                      <w:rFonts w:hint="default" w:ascii="Times New Roman" w:hAnsi="Times New Roman" w:cs="Times New Roman" w:eastAsiaTheme="minorEastAsia"/>
                      <w:color w:val="FF0000"/>
                      <w:sz w:val="21"/>
                      <w:szCs w:val="21"/>
                      <w:highlight w:val="none"/>
                      <w:vertAlign w:val="superscript"/>
                      <w:lang w:val="en-US" w:eastAsia="zh-CN"/>
                    </w:rPr>
                    <w:t>3</w:t>
                  </w:r>
                </w:p>
              </w:tc>
              <w:tc>
                <w:tcPr>
                  <w:tcW w:w="2320" w:type="dxa"/>
                  <w:tcBorders>
                    <w:tl2br w:val="nil"/>
                    <w:tr2bl w:val="nil"/>
                  </w:tcBorders>
                  <w:vAlign w:val="center"/>
                </w:tcPr>
                <w:p w14:paraId="11AF7BC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595</w:t>
                  </w:r>
                </w:p>
              </w:tc>
              <w:tc>
                <w:tcPr>
                  <w:tcW w:w="1129" w:type="dxa"/>
                  <w:tcBorders>
                    <w:tl2br w:val="nil"/>
                    <w:tr2bl w:val="nil"/>
                  </w:tcBorders>
                  <w:vAlign w:val="center"/>
                </w:tcPr>
                <w:p w14:paraId="6CFD14F0">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14:paraId="46891E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6D021499">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死库容</w:t>
                  </w:r>
                </w:p>
              </w:tc>
              <w:tc>
                <w:tcPr>
                  <w:tcW w:w="2458" w:type="dxa"/>
                  <w:tcBorders>
                    <w:tl2br w:val="nil"/>
                    <w:tr2bl w:val="nil"/>
                  </w:tcBorders>
                  <w:vAlign w:val="center"/>
                </w:tcPr>
                <w:p w14:paraId="44A7463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default" w:ascii="Times New Roman" w:hAnsi="Times New Roman" w:cs="Times New Roman" w:eastAsiaTheme="minorEastAsia"/>
                      <w:color w:val="FF0000"/>
                      <w:sz w:val="21"/>
                      <w:szCs w:val="21"/>
                      <w:highlight w:val="none"/>
                      <w:lang w:val="en-US" w:eastAsia="zh-CN"/>
                    </w:rPr>
                    <w:t>10</w:t>
                  </w:r>
                  <w:r>
                    <w:rPr>
                      <w:rFonts w:hint="default" w:ascii="Times New Roman" w:hAnsi="Times New Roman" w:cs="Times New Roman" w:eastAsiaTheme="minorEastAsia"/>
                      <w:color w:val="FF0000"/>
                      <w:sz w:val="21"/>
                      <w:szCs w:val="21"/>
                      <w:highlight w:val="none"/>
                      <w:vertAlign w:val="superscript"/>
                      <w:lang w:val="en-US" w:eastAsia="zh-CN"/>
                    </w:rPr>
                    <w:t>4</w:t>
                  </w:r>
                  <w:r>
                    <w:rPr>
                      <w:rFonts w:hint="default" w:ascii="Times New Roman" w:hAnsi="Times New Roman" w:cs="Times New Roman" w:eastAsiaTheme="minorEastAsia"/>
                      <w:color w:val="FF0000"/>
                      <w:sz w:val="21"/>
                      <w:szCs w:val="21"/>
                      <w:highlight w:val="none"/>
                      <w:lang w:val="en-US" w:eastAsia="zh-CN"/>
                    </w:rPr>
                    <w:t>m</w:t>
                  </w:r>
                  <w:r>
                    <w:rPr>
                      <w:rFonts w:hint="default" w:ascii="Times New Roman" w:hAnsi="Times New Roman" w:cs="Times New Roman" w:eastAsiaTheme="minorEastAsia"/>
                      <w:color w:val="FF0000"/>
                      <w:sz w:val="21"/>
                      <w:szCs w:val="21"/>
                      <w:highlight w:val="none"/>
                      <w:vertAlign w:val="superscript"/>
                      <w:lang w:val="en-US" w:eastAsia="zh-CN"/>
                    </w:rPr>
                    <w:t>3</w:t>
                  </w:r>
                </w:p>
              </w:tc>
              <w:tc>
                <w:tcPr>
                  <w:tcW w:w="2320" w:type="dxa"/>
                  <w:tcBorders>
                    <w:tl2br w:val="nil"/>
                    <w:tr2bl w:val="nil"/>
                  </w:tcBorders>
                  <w:vAlign w:val="center"/>
                </w:tcPr>
                <w:p w14:paraId="536218E8">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8.45</w:t>
                  </w:r>
                </w:p>
              </w:tc>
              <w:tc>
                <w:tcPr>
                  <w:tcW w:w="1129" w:type="dxa"/>
                  <w:tcBorders>
                    <w:tl2br w:val="nil"/>
                    <w:tr2bl w:val="nil"/>
                  </w:tcBorders>
                  <w:vAlign w:val="center"/>
                </w:tcPr>
                <w:p w14:paraId="6EEDD0EA">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14:paraId="120185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2EC1D2B4">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正常蓄水库容</w:t>
                  </w:r>
                </w:p>
              </w:tc>
              <w:tc>
                <w:tcPr>
                  <w:tcW w:w="2458" w:type="dxa"/>
                  <w:tcBorders>
                    <w:tl2br w:val="nil"/>
                    <w:tr2bl w:val="nil"/>
                  </w:tcBorders>
                  <w:vAlign w:val="center"/>
                </w:tcPr>
                <w:p w14:paraId="43F2A70F">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FF0000"/>
                      <w:sz w:val="21"/>
                      <w:szCs w:val="21"/>
                      <w:highlight w:val="none"/>
                      <w:lang w:val="en-US" w:eastAsia="zh-CN"/>
                    </w:rPr>
                  </w:pPr>
                  <w:r>
                    <w:rPr>
                      <w:rFonts w:hint="default" w:ascii="Times New Roman" w:hAnsi="Times New Roman" w:cs="Times New Roman" w:eastAsiaTheme="minorEastAsia"/>
                      <w:color w:val="FF0000"/>
                      <w:sz w:val="21"/>
                      <w:szCs w:val="21"/>
                      <w:highlight w:val="none"/>
                      <w:lang w:val="en-US" w:eastAsia="zh-CN"/>
                    </w:rPr>
                    <w:t>10</w:t>
                  </w:r>
                  <w:r>
                    <w:rPr>
                      <w:rFonts w:hint="default" w:ascii="Times New Roman" w:hAnsi="Times New Roman" w:cs="Times New Roman" w:eastAsiaTheme="minorEastAsia"/>
                      <w:color w:val="FF0000"/>
                      <w:sz w:val="21"/>
                      <w:szCs w:val="21"/>
                      <w:highlight w:val="none"/>
                      <w:vertAlign w:val="superscript"/>
                      <w:lang w:val="en-US" w:eastAsia="zh-CN"/>
                    </w:rPr>
                    <w:t>4</w:t>
                  </w:r>
                  <w:r>
                    <w:rPr>
                      <w:rFonts w:hint="default" w:ascii="Times New Roman" w:hAnsi="Times New Roman" w:cs="Times New Roman" w:eastAsiaTheme="minorEastAsia"/>
                      <w:color w:val="FF0000"/>
                      <w:sz w:val="21"/>
                      <w:szCs w:val="21"/>
                      <w:highlight w:val="none"/>
                      <w:lang w:val="en-US" w:eastAsia="zh-CN"/>
                    </w:rPr>
                    <w:t>m</w:t>
                  </w:r>
                  <w:r>
                    <w:rPr>
                      <w:rFonts w:hint="default" w:ascii="Times New Roman" w:hAnsi="Times New Roman" w:cs="Times New Roman" w:eastAsiaTheme="minorEastAsia"/>
                      <w:color w:val="FF0000"/>
                      <w:sz w:val="21"/>
                      <w:szCs w:val="21"/>
                      <w:highlight w:val="none"/>
                      <w:vertAlign w:val="superscript"/>
                      <w:lang w:val="en-US" w:eastAsia="zh-CN"/>
                    </w:rPr>
                    <w:t>3</w:t>
                  </w:r>
                </w:p>
              </w:tc>
              <w:tc>
                <w:tcPr>
                  <w:tcW w:w="2320" w:type="dxa"/>
                  <w:tcBorders>
                    <w:tl2br w:val="nil"/>
                    <w:tr2bl w:val="nil"/>
                  </w:tcBorders>
                  <w:vAlign w:val="center"/>
                </w:tcPr>
                <w:p w14:paraId="7807DBE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272.43</w:t>
                  </w:r>
                </w:p>
              </w:tc>
              <w:tc>
                <w:tcPr>
                  <w:tcW w:w="1129" w:type="dxa"/>
                  <w:tcBorders>
                    <w:tl2br w:val="nil"/>
                    <w:tr2bl w:val="nil"/>
                  </w:tcBorders>
                  <w:vAlign w:val="center"/>
                </w:tcPr>
                <w:p w14:paraId="10AB63C1">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r w14:paraId="06D655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968" w:type="dxa"/>
                  <w:tcBorders>
                    <w:tl2br w:val="nil"/>
                    <w:tr2bl w:val="nil"/>
                  </w:tcBorders>
                  <w:vAlign w:val="center"/>
                </w:tcPr>
                <w:p w14:paraId="3DEC2EC3">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兴利库容</w:t>
                  </w:r>
                </w:p>
              </w:tc>
              <w:tc>
                <w:tcPr>
                  <w:tcW w:w="2458" w:type="dxa"/>
                  <w:tcBorders>
                    <w:tl2br w:val="nil"/>
                    <w:tr2bl w:val="nil"/>
                  </w:tcBorders>
                  <w:vAlign w:val="center"/>
                </w:tcPr>
                <w:p w14:paraId="672B5F05">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FF0000"/>
                      <w:sz w:val="21"/>
                      <w:szCs w:val="21"/>
                      <w:highlight w:val="none"/>
                      <w:lang w:val="en-US" w:eastAsia="zh-CN"/>
                    </w:rPr>
                  </w:pPr>
                  <w:bookmarkStart w:id="140" w:name="_GoBack"/>
                  <w:bookmarkEnd w:id="140"/>
                  <w:r>
                    <w:rPr>
                      <w:rFonts w:hint="default" w:ascii="Times New Roman" w:hAnsi="Times New Roman" w:cs="Times New Roman" w:eastAsiaTheme="minorEastAsia"/>
                      <w:color w:val="FF0000"/>
                      <w:sz w:val="21"/>
                      <w:szCs w:val="21"/>
                      <w:highlight w:val="none"/>
                      <w:lang w:val="en-US" w:eastAsia="zh-CN"/>
                    </w:rPr>
                    <w:t>10</w:t>
                  </w:r>
                  <w:r>
                    <w:rPr>
                      <w:rFonts w:hint="default" w:ascii="Times New Roman" w:hAnsi="Times New Roman" w:cs="Times New Roman" w:eastAsiaTheme="minorEastAsia"/>
                      <w:color w:val="FF0000"/>
                      <w:sz w:val="21"/>
                      <w:szCs w:val="21"/>
                      <w:highlight w:val="none"/>
                      <w:vertAlign w:val="superscript"/>
                      <w:lang w:val="en-US" w:eastAsia="zh-CN"/>
                    </w:rPr>
                    <w:t>4</w:t>
                  </w:r>
                  <w:r>
                    <w:rPr>
                      <w:rFonts w:hint="default" w:ascii="Times New Roman" w:hAnsi="Times New Roman" w:cs="Times New Roman" w:eastAsiaTheme="minorEastAsia"/>
                      <w:color w:val="FF0000"/>
                      <w:sz w:val="21"/>
                      <w:szCs w:val="21"/>
                      <w:highlight w:val="none"/>
                      <w:lang w:val="en-US" w:eastAsia="zh-CN"/>
                    </w:rPr>
                    <w:t>m</w:t>
                  </w:r>
                  <w:r>
                    <w:rPr>
                      <w:rFonts w:hint="default" w:ascii="Times New Roman" w:hAnsi="Times New Roman" w:cs="Times New Roman" w:eastAsiaTheme="minorEastAsia"/>
                      <w:color w:val="FF0000"/>
                      <w:sz w:val="21"/>
                      <w:szCs w:val="21"/>
                      <w:highlight w:val="none"/>
                      <w:vertAlign w:val="superscript"/>
                      <w:lang w:val="en-US" w:eastAsia="zh-CN"/>
                    </w:rPr>
                    <w:t>3</w:t>
                  </w:r>
                </w:p>
              </w:tc>
              <w:tc>
                <w:tcPr>
                  <w:tcW w:w="2320" w:type="dxa"/>
                  <w:tcBorders>
                    <w:tl2br w:val="nil"/>
                    <w:tr2bl w:val="nil"/>
                  </w:tcBorders>
                  <w:vAlign w:val="center"/>
                </w:tcPr>
                <w:p w14:paraId="18ACB70D">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s="Times New Roman"/>
                      <w:b w:val="0"/>
                      <w:bCs w:val="0"/>
                      <w:color w:val="FF0000"/>
                      <w:sz w:val="21"/>
                      <w:szCs w:val="21"/>
                      <w:highlight w:val="none"/>
                      <w:vertAlign w:val="baseline"/>
                      <w:lang w:val="en-US" w:eastAsia="zh-CN"/>
                    </w:rPr>
                  </w:pPr>
                  <w:r>
                    <w:rPr>
                      <w:rFonts w:hint="eastAsia" w:cs="Times New Roman"/>
                      <w:b w:val="0"/>
                      <w:bCs w:val="0"/>
                      <w:color w:val="FF0000"/>
                      <w:sz w:val="21"/>
                      <w:szCs w:val="21"/>
                      <w:highlight w:val="none"/>
                      <w:vertAlign w:val="baseline"/>
                      <w:lang w:val="en-US" w:eastAsia="zh-CN"/>
                    </w:rPr>
                    <w:t>263.98</w:t>
                  </w:r>
                </w:p>
              </w:tc>
              <w:tc>
                <w:tcPr>
                  <w:tcW w:w="1129" w:type="dxa"/>
                  <w:tcBorders>
                    <w:tl2br w:val="nil"/>
                    <w:tr2bl w:val="nil"/>
                  </w:tcBorders>
                  <w:vAlign w:val="center"/>
                </w:tcPr>
                <w:p w14:paraId="658A3F2E">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val="0"/>
                      <w:bCs w:val="0"/>
                      <w:color w:val="FF0000"/>
                      <w:sz w:val="21"/>
                      <w:szCs w:val="21"/>
                      <w:highlight w:val="none"/>
                      <w:vertAlign w:val="baseline"/>
                      <w:lang w:val="en-US" w:eastAsia="zh-CN"/>
                    </w:rPr>
                  </w:pPr>
                </w:p>
              </w:tc>
            </w:tr>
          </w:tbl>
          <w:p w14:paraId="17AD015B">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24"/>
                <w:highlight w:val="none"/>
                <w:lang w:val="en-US" w:eastAsia="zh-CN"/>
                <w14:textFill>
                  <w14:solidFill>
                    <w14:schemeClr w14:val="tx1"/>
                  </w14:solidFill>
                </w14:textFill>
              </w:rPr>
              <w:t>4、工程占地</w:t>
            </w:r>
          </w:p>
          <w:p w14:paraId="53D59C0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kern w:val="0"/>
                <w:sz w:val="24"/>
                <w:lang w:eastAsia="zh-CN"/>
                <w14:textFill>
                  <w14:solidFill>
                    <w14:schemeClr w14:val="tx1"/>
                  </w14:solidFill>
                </w14:textFill>
              </w:rPr>
              <w:t>（</w:t>
            </w:r>
            <w:r>
              <w:rPr>
                <w:rFonts w:hint="default" w:ascii="Times New Roman" w:hAnsi="Times New Roman" w:cs="Times New Roman"/>
                <w:color w:val="000000" w:themeColor="text1"/>
                <w:kern w:val="0"/>
                <w:sz w:val="24"/>
                <w:lang w:val="en-US" w:eastAsia="zh-CN"/>
                <w14:textFill>
                  <w14:solidFill>
                    <w14:schemeClr w14:val="tx1"/>
                  </w14:solidFill>
                </w14:textFill>
              </w:rPr>
              <w:t>1</w:t>
            </w:r>
            <w:r>
              <w:rPr>
                <w:rFonts w:hint="default" w:ascii="Times New Roman" w:hAnsi="Times New Roman" w:cs="Times New Roman"/>
                <w:color w:val="000000" w:themeColor="text1"/>
                <w:kern w:val="0"/>
                <w:sz w:val="24"/>
                <w:lang w:eastAsia="zh-CN"/>
                <w14:textFill>
                  <w14:solidFill>
                    <w14:schemeClr w14:val="tx1"/>
                  </w14:solidFill>
                </w14:textFill>
              </w:rPr>
              <w:t>）永久占地</w:t>
            </w:r>
          </w:p>
          <w:p w14:paraId="35C845A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本</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工程</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在现有水库进行建设，不新增永久占地，水库现有占地情况为1.23hm</w:t>
            </w:r>
            <w:r>
              <w:rPr>
                <w:rFonts w:hint="default" w:ascii="Times New Roman" w:hAnsi="Times New Roman" w:cs="Times New Roman" w:eastAsiaTheme="minorEastAsia"/>
                <w:color w:val="000000" w:themeColor="text1"/>
                <w:sz w:val="24"/>
                <w:highlight w:val="none"/>
                <w:vertAlign w:val="superscript"/>
                <w:lang w:val="en-US" w:eastAsia="zh-CN"/>
                <w14:textFill>
                  <w14:solidFill>
                    <w14:schemeClr w14:val="tx1"/>
                  </w14:solidFill>
                </w14:textFill>
              </w:rPr>
              <w:t>2</w:t>
            </w:r>
            <w:r>
              <w:rPr>
                <w:rFonts w:hint="eastAsia" w:cs="Times New Roman" w:eastAsiaTheme="minorEastAsia"/>
                <w:color w:val="000000" w:themeColor="text1"/>
                <w:sz w:val="24"/>
                <w:highlight w:val="none"/>
                <w:lang w:val="en-US" w:eastAsia="zh-CN"/>
                <w14:textFill>
                  <w14:solidFill>
                    <w14:schemeClr w14:val="tx1"/>
                  </w14:solidFill>
                </w14:textFill>
              </w:rPr>
              <w:t>，永久占地内无表土，无需表土剥离。</w:t>
            </w:r>
          </w:p>
          <w:p w14:paraId="5E496358">
            <w:pPr>
              <w:spacing w:line="360" w:lineRule="auto"/>
              <w:ind w:firstLine="480" w:firstLineChars="200"/>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kern w:val="0"/>
                <w:sz w:val="24"/>
                <w:lang w:eastAsia="zh-CN"/>
                <w14:textFill>
                  <w14:solidFill>
                    <w14:schemeClr w14:val="tx1"/>
                  </w14:solidFill>
                </w14:textFill>
              </w:rPr>
              <w:t>（</w:t>
            </w:r>
            <w:r>
              <w:rPr>
                <w:rFonts w:hint="default" w:ascii="Times New Roman" w:hAnsi="Times New Roman" w:cs="Times New Roman"/>
                <w:color w:val="000000" w:themeColor="text1"/>
                <w:kern w:val="0"/>
                <w:sz w:val="24"/>
                <w:lang w:val="en-US" w:eastAsia="zh-CN"/>
                <w14:textFill>
                  <w14:solidFill>
                    <w14:schemeClr w14:val="tx1"/>
                  </w14:solidFill>
                </w14:textFill>
              </w:rPr>
              <w:t>2</w:t>
            </w:r>
            <w:r>
              <w:rPr>
                <w:rFonts w:hint="default" w:ascii="Times New Roman" w:hAnsi="Times New Roman" w:cs="Times New Roman"/>
                <w:color w:val="000000" w:themeColor="text1"/>
                <w:kern w:val="0"/>
                <w:sz w:val="24"/>
                <w:lang w:eastAsia="zh-CN"/>
                <w14:textFill>
                  <w14:solidFill>
                    <w14:schemeClr w14:val="tx1"/>
                  </w14:solidFill>
                </w14:textFill>
              </w:rPr>
              <w:t>）临时占地</w:t>
            </w:r>
          </w:p>
          <w:p w14:paraId="1D6F2D8B">
            <w:pPr>
              <w:spacing w:line="360" w:lineRule="auto"/>
              <w:ind w:firstLine="480" w:firstLineChars="200"/>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本工程临时占地位于大坝东侧的水库管理站内，</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占地性质为</w:t>
            </w:r>
            <w:r>
              <w:rPr>
                <w:rFonts w:hint="eastAsia" w:cs="Times New Roman" w:eastAsiaTheme="minorEastAsia"/>
                <w:color w:val="000000" w:themeColor="text1"/>
                <w:sz w:val="24"/>
                <w:szCs w:val="24"/>
                <w:highlight w:val="none"/>
                <w:lang w:eastAsia="zh-CN"/>
                <w14:textFill>
                  <w14:solidFill>
                    <w14:schemeClr w14:val="tx1"/>
                  </w14:solidFill>
                </w14:textFill>
              </w:rPr>
              <w:t>公共管理与公共服务用地</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，本项目临时占地不设置在生态红线范围内。占地面积为0.1hm</w:t>
            </w:r>
            <w:r>
              <w:rPr>
                <w:rFonts w:hint="default" w:ascii="Times New Roman" w:hAnsi="Times New Roman" w:eastAsia="宋体" w:cs="Times New Roman"/>
                <w:color w:val="000000" w:themeColor="text1"/>
                <w:kern w:val="0"/>
                <w:sz w:val="24"/>
                <w:vertAlign w:val="superscript"/>
                <w:lang w:val="en-US" w:eastAsia="zh-CN"/>
                <w14:textFill>
                  <w14:solidFill>
                    <w14:schemeClr w14:val="tx1"/>
                  </w14:solidFill>
                </w14:textFill>
              </w:rPr>
              <w:t>2</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，主要为施工仓库，仓库内主要存放存放钢筋以及钢筋加工、车辆停放、临时办公区等。</w:t>
            </w:r>
            <w:r>
              <w:rPr>
                <w:rFonts w:hint="eastAsia" w:cs="Times New Roman"/>
                <w:color w:val="000000" w:themeColor="text1"/>
                <w:kern w:val="0"/>
                <w:sz w:val="24"/>
                <w:lang w:val="en-US" w:eastAsia="zh-CN"/>
                <w14:textFill>
                  <w14:solidFill>
                    <w14:schemeClr w14:val="tx1"/>
                  </w14:solidFill>
                </w14:textFill>
              </w:rPr>
              <w:t>临时占地的</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水库管理站内</w:t>
            </w:r>
            <w:r>
              <w:rPr>
                <w:rFonts w:hint="eastAsia" w:cs="Times New Roman" w:eastAsiaTheme="minorEastAsia"/>
                <w:color w:val="000000" w:themeColor="text1"/>
                <w:sz w:val="24"/>
                <w:highlight w:val="none"/>
                <w:lang w:eastAsia="zh-CN"/>
                <w14:textFill>
                  <w14:solidFill>
                    <w14:schemeClr w14:val="tx1"/>
                  </w14:solidFill>
                </w14:textFill>
              </w:rPr>
              <w:t>现状硬化，无表土无需表土剥离。</w:t>
            </w:r>
          </w:p>
          <w:p w14:paraId="50B746D3">
            <w:pPr>
              <w:spacing w:line="360" w:lineRule="auto"/>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2604770</wp:posOffset>
                      </wp:positionH>
                      <wp:positionV relativeFrom="paragraph">
                        <wp:posOffset>796290</wp:posOffset>
                      </wp:positionV>
                      <wp:extent cx="1195070" cy="1020445"/>
                      <wp:effectExtent l="100965" t="6350" r="18415" b="78105"/>
                      <wp:wrapNone/>
                      <wp:docPr id="77" name="圆角矩形标注 77"/>
                      <wp:cNvGraphicFramePr/>
                      <a:graphic xmlns:a="http://schemas.openxmlformats.org/drawingml/2006/main">
                        <a:graphicData uri="http://schemas.microsoft.com/office/word/2010/wordprocessingShape">
                          <wps:wsp>
                            <wps:cNvSpPr/>
                            <wps:spPr>
                              <a:xfrm>
                                <a:off x="0" y="0"/>
                                <a:ext cx="1195070" cy="1020445"/>
                              </a:xfrm>
                              <a:prstGeom prst="wedgeRoundRectCallout">
                                <a:avLst>
                                  <a:gd name="adj1" fmla="val -54250"/>
                                  <a:gd name="adj2" fmla="val 56471"/>
                                  <a:gd name="adj3" fmla="val 16667"/>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D4D4275">
                                  <w:pPr>
                                    <w:jc w:val="left"/>
                                    <w:rPr>
                                      <w:rFonts w:hint="eastAsia" w:eastAsia="宋体"/>
                                      <w:b/>
                                      <w:bCs/>
                                      <w:lang w:eastAsia="zh-CN"/>
                                    </w:rPr>
                                  </w:pPr>
                                  <w:r>
                                    <w:rPr>
                                      <w:rFonts w:hint="eastAsia" w:eastAsia="宋体"/>
                                      <w:b/>
                                      <w:bCs/>
                                      <w:lang w:eastAsia="zh-CN"/>
                                    </w:rPr>
                                    <w:t>土方暂存</w:t>
                                  </w:r>
                                  <w:r>
                                    <w:rPr>
                                      <w:rFonts w:hint="eastAsia"/>
                                      <w:b/>
                                      <w:bCs/>
                                      <w:lang w:eastAsia="zh-CN"/>
                                    </w:rPr>
                                    <w:t>：</w:t>
                                  </w:r>
                                  <w:r>
                                    <w:rPr>
                                      <w:rFonts w:hint="eastAsia"/>
                                    </w:rPr>
                                    <w:t>施工</w:t>
                                  </w:r>
                                  <w:r>
                                    <w:rPr>
                                      <w:rFonts w:hint="eastAsia"/>
                                      <w:lang w:eastAsia="zh-CN"/>
                                    </w:rPr>
                                    <w:t>生活</w:t>
                                  </w:r>
                                  <w:r>
                                    <w:t>区</w:t>
                                  </w:r>
                                  <w:r>
                                    <w:rPr>
                                      <w:rFonts w:hint="eastAsia"/>
                                    </w:rPr>
                                    <w:t>：</w:t>
                                  </w:r>
                                  <w:r>
                                    <w:rPr>
                                      <w:rFonts w:hint="eastAsia"/>
                                      <w:lang w:eastAsia="zh-CN"/>
                                    </w:rPr>
                                    <w:t>土方单独堆放，苫布苫盖。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05.1pt;margin-top:62.7pt;height:80.35pt;width:94.1pt;z-index:251681792;v-text-anchor:middle;mso-width-relative:page;mso-height-relative:page;" filled="f" stroked="t" coordsize="21600,21600" o:gfxdata="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IwdTV7ZAAAACwEA&#10;AA8AAAAAAAAAAQAgAAAAIgAAAGRycy9kb3ducmV2LnhtbFBLAQIUABQAAAAIAIdO4kDtRLemxAIA&#10;AGwFAAAOAAAAAAAAAAEAIAAAACgBAABkcnMvZTJvRG9jLnhtbFBLBQYAAAAABgAGAFkBAABeBgAA&#10;AAA=&#10;" adj="-918,22998,14400">
                      <v:fill on="f" focussize="0,0"/>
                      <v:stroke weight="1pt" color="#FFFFFF [3212]" miterlimit="8" joinstyle="miter"/>
                      <v:imagedata o:title=""/>
                      <o:lock v:ext="edit" aspectratio="f"/>
                      <v:textbox>
                        <w:txbxContent>
                          <w:p w14:paraId="5D4D4275">
                            <w:pPr>
                              <w:jc w:val="left"/>
                              <w:rPr>
                                <w:rFonts w:hint="eastAsia" w:eastAsia="宋体"/>
                                <w:b/>
                                <w:bCs/>
                                <w:lang w:eastAsia="zh-CN"/>
                              </w:rPr>
                            </w:pPr>
                            <w:r>
                              <w:rPr>
                                <w:rFonts w:hint="eastAsia" w:eastAsia="宋体"/>
                                <w:b/>
                                <w:bCs/>
                                <w:lang w:eastAsia="zh-CN"/>
                              </w:rPr>
                              <w:t>土方暂存</w:t>
                            </w:r>
                            <w:r>
                              <w:rPr>
                                <w:rFonts w:hint="eastAsia"/>
                                <w:b/>
                                <w:bCs/>
                                <w:lang w:eastAsia="zh-CN"/>
                              </w:rPr>
                              <w:t>：</w:t>
                            </w:r>
                            <w:r>
                              <w:rPr>
                                <w:rFonts w:hint="eastAsia"/>
                              </w:rPr>
                              <w:t>施工</w:t>
                            </w:r>
                            <w:r>
                              <w:rPr>
                                <w:rFonts w:hint="eastAsia"/>
                                <w:lang w:eastAsia="zh-CN"/>
                              </w:rPr>
                              <w:t>生活</w:t>
                            </w:r>
                            <w:r>
                              <w:t>区</w:t>
                            </w:r>
                            <w:r>
                              <w:rPr>
                                <w:rFonts w:hint="eastAsia"/>
                              </w:rPr>
                              <w:t>：</w:t>
                            </w:r>
                            <w:r>
                              <w:rPr>
                                <w:rFonts w:hint="eastAsia"/>
                                <w:lang w:eastAsia="zh-CN"/>
                              </w:rPr>
                              <w:t>土方单独堆放，苫布苫盖。</w:t>
                            </w:r>
                          </w:p>
                        </w:txbxContent>
                      </v:textbox>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2402840</wp:posOffset>
                      </wp:positionH>
                      <wp:positionV relativeFrom="paragraph">
                        <wp:posOffset>2161540</wp:posOffset>
                      </wp:positionV>
                      <wp:extent cx="452120" cy="622935"/>
                      <wp:effectExtent l="125730" t="71120" r="127000" b="86995"/>
                      <wp:wrapNone/>
                      <wp:docPr id="19" name="矩形 19"/>
                      <wp:cNvGraphicFramePr/>
                      <a:graphic xmlns:a="http://schemas.openxmlformats.org/drawingml/2006/main">
                        <a:graphicData uri="http://schemas.microsoft.com/office/word/2010/wordprocessingShape">
                          <wps:wsp>
                            <wps:cNvSpPr/>
                            <wps:spPr>
                              <a:xfrm rot="19800000">
                                <a:off x="3846195" y="2957830"/>
                                <a:ext cx="452120" cy="622935"/>
                              </a:xfrm>
                              <a:prstGeom prst="rect">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9.2pt;margin-top:170.2pt;height:49.05pt;width:35.6pt;rotation:-1966080f;z-index:251667456;v-text-anchor:middle;mso-width-relative:page;mso-height-relative:page;" fillcolor="#4874CB [3204]" filled="t" stroked="f" coordsize="21600,21600" o:gfxdata="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HmoAY7WAAAACwEAAA8AAAAAAAAAAQAg&#10;AAAAIgAAAGRycy9kb3ducmV2LnhtbFBLAQIUABQAAAAIAIdO4kBq5zqEggIAAOcEAAAOAAAAAAAA&#10;AAEAIAAAACUBAABkcnMvZTJvRG9jLnhtbFBLBQYAAAAABgAGAFkBAAAZBg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2379345</wp:posOffset>
                      </wp:positionH>
                      <wp:positionV relativeFrom="paragraph">
                        <wp:posOffset>1729740</wp:posOffset>
                      </wp:positionV>
                      <wp:extent cx="222250" cy="257810"/>
                      <wp:effectExtent l="49530" t="38100" r="52070" b="46990"/>
                      <wp:wrapNone/>
                      <wp:docPr id="76" name="矩形 76"/>
                      <wp:cNvGraphicFramePr/>
                      <a:graphic xmlns:a="http://schemas.openxmlformats.org/drawingml/2006/main">
                        <a:graphicData uri="http://schemas.microsoft.com/office/word/2010/wordprocessingShape">
                          <wps:wsp>
                            <wps:cNvSpPr/>
                            <wps:spPr>
                              <a:xfrm rot="19800000">
                                <a:off x="0" y="0"/>
                                <a:ext cx="222250" cy="257810"/>
                              </a:xfrm>
                              <a:prstGeom prst="rect">
                                <a:avLst/>
                              </a:prstGeom>
                              <a:solidFill>
                                <a:schemeClr val="accent3">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35pt;margin-top:136.2pt;height:20.3pt;width:17.5pt;rotation:-1966080f;z-index:251680768;v-text-anchor:middle;mso-width-relative:page;mso-height-relative:page;" fillcolor="#FED961 [1942]" filled="t" stroked="f" coordsize="21600,21600" o:gfxdata="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HVG1C7aAAAACwEA&#10;AA8AAAAAAAAAAQAgAAAAIgAAAGRycy9kb3ducmV2LnhtbFBLAQIUABQAAAAIAIdO4kCweklHigIA&#10;ABQFAAAOAAAAAAAAAAEAIAAAACkBAABkcnMvZTJvRG9jLnhtbFBLBQYAAAAABgAGAFkBAAAlBgAA&#10;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2928620</wp:posOffset>
                      </wp:positionH>
                      <wp:positionV relativeFrom="paragraph">
                        <wp:posOffset>1889125</wp:posOffset>
                      </wp:positionV>
                      <wp:extent cx="238125" cy="622935"/>
                      <wp:effectExtent l="139700" t="17780" r="155575" b="26035"/>
                      <wp:wrapNone/>
                      <wp:docPr id="38" name="矩形 38"/>
                      <wp:cNvGraphicFramePr/>
                      <a:graphic xmlns:a="http://schemas.openxmlformats.org/drawingml/2006/main">
                        <a:graphicData uri="http://schemas.microsoft.com/office/word/2010/wordprocessingShape">
                          <wps:wsp>
                            <wps:cNvSpPr/>
                            <wps:spPr>
                              <a:xfrm rot="19800000">
                                <a:off x="0" y="0"/>
                                <a:ext cx="238125" cy="622935"/>
                              </a:xfrm>
                              <a:prstGeom prst="rect">
                                <a:avLst/>
                              </a:prstGeom>
                              <a:solidFill>
                                <a:schemeClr val="accent4">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6pt;margin-top:148.75pt;height:49.05pt;width:18.75pt;rotation:-1966080f;z-index:251669504;v-text-anchor:middle;mso-width-relative:page;mso-height-relative:page;" fillcolor="#ACD78E [1943]" filled="t" stroked="f" coordsize="21600,21600" o:gfxdata="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59m6DNkAAAAL&#10;AQAADwAAAAAAAAABACAAAAAiAAAAZHJzL2Rvd25yZXYueG1sUEsBAhQAFAAAAAgAh07iQMsCcaaN&#10;AgAAFAUAAA4AAAAAAAAAAQAgAAAAKAEAAGRycy9lMm9Eb2MueG1sUEsFBgAAAAAGAAYAWQEAACcG&#10;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3376930</wp:posOffset>
                      </wp:positionH>
                      <wp:positionV relativeFrom="paragraph">
                        <wp:posOffset>2320290</wp:posOffset>
                      </wp:positionV>
                      <wp:extent cx="926465" cy="354965"/>
                      <wp:effectExtent l="115570" t="81915" r="24765" b="20320"/>
                      <wp:wrapNone/>
                      <wp:docPr id="43" name="圆角矩形标注 43"/>
                      <wp:cNvGraphicFramePr/>
                      <a:graphic xmlns:a="http://schemas.openxmlformats.org/drawingml/2006/main">
                        <a:graphicData uri="http://schemas.microsoft.com/office/word/2010/wordprocessingShape">
                          <wps:wsp>
                            <wps:cNvSpPr/>
                            <wps:spPr>
                              <a:xfrm>
                                <a:off x="0" y="0"/>
                                <a:ext cx="926465" cy="354965"/>
                              </a:xfrm>
                              <a:prstGeom prst="wedgeRoundRectCallout">
                                <a:avLst>
                                  <a:gd name="adj1" fmla="val -57098"/>
                                  <a:gd name="adj2" fmla="val -69141"/>
                                  <a:gd name="adj3" fmla="val 16667"/>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46901D0B">
                                  <w:pPr>
                                    <w:jc w:val="left"/>
                                    <w:rPr>
                                      <w:rFonts w:hint="eastAsia" w:eastAsia="宋体"/>
                                      <w:b/>
                                      <w:bCs/>
                                      <w:lang w:eastAsia="zh-CN"/>
                                    </w:rPr>
                                  </w:pPr>
                                  <w:r>
                                    <w:rPr>
                                      <w:rFonts w:hint="eastAsia" w:eastAsia="宋体"/>
                                      <w:b/>
                                      <w:bCs/>
                                      <w:lang w:eastAsia="zh-CN"/>
                                    </w:rPr>
                                    <w:t>车辆停放区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5.9pt;margin-top:182.7pt;height:27.95pt;width:72.95pt;z-index:251670528;v-text-anchor:middle;mso-width-relative:page;mso-height-relative:page;" filled="f" stroked="t" coordsize="21600,21600" o:gfxdata="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NlHcbtwAAAAL&#10;AQAADwAAAAAAAAABACAAAAAiAAAAZHJzL2Rvd25yZXYueG1sUEsBAhQAFAAAAAgAh07iQNOYxArD&#10;AgAAawUAAA4AAAAAAAAAAQAgAAAAKwEAAGRycy9lMm9Eb2MueG1sUEsFBgAAAAAGAAYAWQEAAGAG&#10;AAAAAA==&#10;" adj="-1533,-4134,14400">
                      <v:fill on="f" focussize="0,0"/>
                      <v:stroke weight="1pt" color="#FFFFFF [3212]" miterlimit="8" joinstyle="miter"/>
                      <v:imagedata o:title=""/>
                      <o:lock v:ext="edit" aspectratio="f"/>
                      <v:textbox>
                        <w:txbxContent>
                          <w:p w14:paraId="46901D0B">
                            <w:pPr>
                              <w:jc w:val="left"/>
                              <w:rPr>
                                <w:rFonts w:hint="eastAsia" w:eastAsia="宋体"/>
                                <w:b/>
                                <w:bCs/>
                                <w:lang w:eastAsia="zh-CN"/>
                              </w:rPr>
                            </w:pPr>
                            <w:r>
                              <w:rPr>
                                <w:rFonts w:hint="eastAsia" w:eastAsia="宋体"/>
                                <w:b/>
                                <w:bCs/>
                                <w:lang w:eastAsia="zh-CN"/>
                              </w:rPr>
                              <w:t>车辆停放区</w:t>
                            </w:r>
                          </w:p>
                        </w:txbxContent>
                      </v:textbox>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2684780</wp:posOffset>
                      </wp:positionH>
                      <wp:positionV relativeFrom="paragraph">
                        <wp:posOffset>2828290</wp:posOffset>
                      </wp:positionV>
                      <wp:extent cx="822960" cy="354965"/>
                      <wp:effectExtent l="6350" t="97790" r="8890" b="23495"/>
                      <wp:wrapNone/>
                      <wp:docPr id="29" name="圆角矩形标注 29"/>
                      <wp:cNvGraphicFramePr/>
                      <a:graphic xmlns:a="http://schemas.openxmlformats.org/drawingml/2006/main">
                        <a:graphicData uri="http://schemas.microsoft.com/office/word/2010/wordprocessingShape">
                          <wps:wsp>
                            <wps:cNvSpPr/>
                            <wps:spPr>
                              <a:xfrm>
                                <a:off x="0" y="0"/>
                                <a:ext cx="822960" cy="354965"/>
                              </a:xfrm>
                              <a:prstGeom prst="wedgeRoundRectCallout">
                                <a:avLst>
                                  <a:gd name="adj1" fmla="val -42361"/>
                                  <a:gd name="adj2" fmla="val -73971"/>
                                  <a:gd name="adj3" fmla="val 16667"/>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736E9F1A">
                                  <w:pPr>
                                    <w:jc w:val="left"/>
                                    <w:rPr>
                                      <w:rFonts w:hint="eastAsia" w:eastAsia="宋体"/>
                                      <w:b/>
                                      <w:bCs/>
                                      <w:lang w:eastAsia="zh-CN"/>
                                    </w:rPr>
                                  </w:pPr>
                                  <w:r>
                                    <w:rPr>
                                      <w:rFonts w:hint="eastAsia" w:eastAsia="宋体"/>
                                      <w:b/>
                                      <w:bCs/>
                                      <w:lang w:eastAsia="zh-CN"/>
                                    </w:rPr>
                                    <w:t>施工仓库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11.4pt;margin-top:222.7pt;height:27.95pt;width:64.8pt;z-index:251668480;v-text-anchor:middle;mso-width-relative:page;mso-height-relative:page;" filled="f" stroked="t" coordsize="21600,21600" o:gfxdata="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g2z4h2gAAAAsBAAAP&#10;AAAAAAAAAAEAIAAAACIAAABkcnMvZG93bnJldi54bWxQSwECFAAUAAAACACHTuJAs1ifBsECAABr&#10;BQAADgAAAAAAAAABACAAAAApAQAAZHJzL2Uyb0RvYy54bWxQSwUGAAAAAAYABgBZAQAAXAYAAAAA&#10;" adj="1650,-5178,14400">
                      <v:fill on="f" focussize="0,0"/>
                      <v:stroke weight="1pt" color="#FFFFFF [3212]" miterlimit="8" joinstyle="miter"/>
                      <v:imagedata o:title=""/>
                      <o:lock v:ext="edit" aspectratio="f"/>
                      <v:textbox>
                        <w:txbxContent>
                          <w:p w14:paraId="736E9F1A">
                            <w:pPr>
                              <w:jc w:val="left"/>
                              <w:rPr>
                                <w:rFonts w:hint="eastAsia" w:eastAsia="宋体"/>
                                <w:b/>
                                <w:bCs/>
                                <w:lang w:eastAsia="zh-CN"/>
                              </w:rPr>
                            </w:pPr>
                            <w:r>
                              <w:rPr>
                                <w:rFonts w:hint="eastAsia" w:eastAsia="宋体"/>
                                <w:b/>
                                <w:bCs/>
                                <w:lang w:eastAsia="zh-CN"/>
                              </w:rPr>
                              <w:t>施工仓库</w:t>
                            </w:r>
                          </w:p>
                        </w:txbxContent>
                      </v:textbox>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563245</wp:posOffset>
                      </wp:positionH>
                      <wp:positionV relativeFrom="paragraph">
                        <wp:posOffset>2106930</wp:posOffset>
                      </wp:positionV>
                      <wp:extent cx="901700" cy="354965"/>
                      <wp:effectExtent l="6350" t="6350" r="6350" b="286385"/>
                      <wp:wrapNone/>
                      <wp:docPr id="18" name="圆角矩形标注 18"/>
                      <wp:cNvGraphicFramePr/>
                      <a:graphic xmlns:a="http://schemas.openxmlformats.org/drawingml/2006/main">
                        <a:graphicData uri="http://schemas.microsoft.com/office/word/2010/wordprocessingShape">
                          <wps:wsp>
                            <wps:cNvSpPr/>
                            <wps:spPr>
                              <a:xfrm>
                                <a:off x="2235835" y="3088005"/>
                                <a:ext cx="901700" cy="354965"/>
                              </a:xfrm>
                              <a:prstGeom prst="wedgeRoundRectCallout">
                                <a:avLst>
                                  <a:gd name="adj1" fmla="val 18875"/>
                                  <a:gd name="adj2" fmla="val 121198"/>
                                  <a:gd name="adj3" fmla="val 16667"/>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4A9F052">
                                  <w:pPr>
                                    <w:jc w:val="left"/>
                                    <w:rPr>
                                      <w:rFonts w:hint="eastAsia" w:eastAsia="宋体"/>
                                      <w:b/>
                                      <w:bCs/>
                                      <w:lang w:eastAsia="zh-CN"/>
                                    </w:rPr>
                                  </w:pPr>
                                  <w:r>
                                    <w:rPr>
                                      <w:rFonts w:hint="eastAsia"/>
                                      <w:b/>
                                      <w:bCs/>
                                      <w:lang w:eastAsia="zh-CN"/>
                                    </w:rPr>
                                    <w:t>办公生活区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4.35pt;margin-top:165.9pt;height:27.95pt;width:71pt;z-index:251666432;v-text-anchor:middle;mso-width-relative:page;mso-height-relative:page;" filled="f" stroked="t" coordsize="21600,21600" o:gfxdata="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PatHTfVAAAA&#10;CgEAAA8AAAAAAAAAAQAgAAAAIgAAAGRycy9kb3ducmV2LnhtbFBLAQIUABQAAAAIAIdO4kD/76lK&#10;ywIAAHYFAAAOAAAAAAAAAAEAIAAAACQBAABkcnMvZTJvRG9jLnhtbFBLBQYAAAAABgAGAFkBAABh&#10;BgAAAAA=&#10;" adj="14877,36979,14400">
                      <v:fill on="f" focussize="0,0"/>
                      <v:stroke weight="1pt" color="#FFFFFF [3212]" miterlimit="8" joinstyle="miter"/>
                      <v:imagedata o:title=""/>
                      <o:lock v:ext="edit" aspectratio="f"/>
                      <v:textbox>
                        <w:txbxContent>
                          <w:p w14:paraId="04A9F052">
                            <w:pPr>
                              <w:jc w:val="left"/>
                              <w:rPr>
                                <w:rFonts w:hint="eastAsia" w:eastAsia="宋体"/>
                                <w:b/>
                                <w:bCs/>
                                <w:lang w:eastAsia="zh-CN"/>
                              </w:rPr>
                            </w:pPr>
                            <w:r>
                              <w:rPr>
                                <w:rFonts w:hint="eastAsia"/>
                                <w:b/>
                                <w:bCs/>
                                <w:lang w:eastAsia="zh-CN"/>
                              </w:rPr>
                              <w:t>办公生活区</w:t>
                            </w:r>
                          </w:p>
                        </w:txbxContent>
                      </v:textbox>
                    </v:shape>
                  </w:pict>
                </mc:Fallback>
              </mc:AlternateContent>
            </w: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65408" behindDoc="0" locked="0" layoutInCell="1" allowOverlap="1">
                  <wp:simplePos x="0" y="0"/>
                  <wp:positionH relativeFrom="column">
                    <wp:posOffset>4347845</wp:posOffset>
                  </wp:positionH>
                  <wp:positionV relativeFrom="paragraph">
                    <wp:posOffset>31750</wp:posOffset>
                  </wp:positionV>
                  <wp:extent cx="359410" cy="641985"/>
                  <wp:effectExtent l="0" t="0" r="2540" b="5715"/>
                  <wp:wrapNone/>
                  <wp:docPr id="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
                          <pic:cNvPicPr>
                            <a:picLocks noChangeAspect="1"/>
                          </pic:cNvPicPr>
                        </pic:nvPicPr>
                        <pic:blipFill>
                          <a:blip r:embed="rId24"/>
                          <a:stretch>
                            <a:fillRect/>
                          </a:stretch>
                        </pic:blipFill>
                        <pic:spPr>
                          <a:xfrm>
                            <a:off x="0" y="0"/>
                            <a:ext cx="359410" cy="641985"/>
                          </a:xfrm>
                          <a:prstGeom prst="rect">
                            <a:avLst/>
                          </a:prstGeom>
                          <a:noFill/>
                          <a:ln>
                            <a:noFill/>
                          </a:ln>
                        </pic:spPr>
                      </pic:pic>
                    </a:graphicData>
                  </a:graphic>
                </wp:anchor>
              </w:drawing>
            </w:r>
            <w:r>
              <w:rPr>
                <w:rFonts w:hint="default" w:ascii="Times New Roman" w:hAnsi="Times New Roman" w:cs="Times New Roman"/>
                <w:color w:val="000000" w:themeColor="text1"/>
                <w14:textFill>
                  <w14:solidFill>
                    <w14:schemeClr w14:val="tx1"/>
                  </w14:solidFill>
                </w14:textFill>
              </w:rPr>
              <w:drawing>
                <wp:inline distT="0" distB="0" distL="114300" distR="114300">
                  <wp:extent cx="4762500" cy="3479165"/>
                  <wp:effectExtent l="0" t="0" r="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5"/>
                          <a:stretch>
                            <a:fillRect/>
                          </a:stretch>
                        </pic:blipFill>
                        <pic:spPr>
                          <a:xfrm>
                            <a:off x="0" y="0"/>
                            <a:ext cx="4762500" cy="3479165"/>
                          </a:xfrm>
                          <a:prstGeom prst="rect">
                            <a:avLst/>
                          </a:prstGeom>
                          <a:noFill/>
                          <a:ln>
                            <a:noFill/>
                          </a:ln>
                        </pic:spPr>
                      </pic:pic>
                    </a:graphicData>
                  </a:graphic>
                </wp:inline>
              </w:drawing>
            </w:r>
          </w:p>
          <w:p w14:paraId="40FE5FE0">
            <w:pPr>
              <w:spacing w:line="360" w:lineRule="auto"/>
              <w:jc w:val="center"/>
              <w:rPr>
                <w:rFonts w:hint="default" w:ascii="Times New Roman" w:hAnsi="Times New Roman" w:cs="Times New Roman"/>
                <w:b/>
                <w:color w:val="000000" w:themeColor="text1"/>
                <w:sz w:val="24"/>
                <w:highlight w:val="none"/>
                <w:lang w:val="en-US" w:eastAsia="zh-CN"/>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图</w:t>
            </w:r>
            <w:r>
              <w:rPr>
                <w:rFonts w:hint="default" w:ascii="Times New Roman" w:hAnsi="Times New Roman" w:cs="Times New Roman"/>
                <w:b/>
                <w:color w:val="000000" w:themeColor="text1"/>
                <w:sz w:val="24"/>
                <w:highlight w:val="none"/>
                <w:lang w:val="en-US" w:eastAsia="zh-CN"/>
                <w14:textFill>
                  <w14:solidFill>
                    <w14:schemeClr w14:val="tx1"/>
                  </w14:solidFill>
                </w14:textFill>
              </w:rPr>
              <w:t>2</w:t>
            </w:r>
            <w:r>
              <w:rPr>
                <w:rFonts w:hint="default" w:ascii="Times New Roman" w:hAnsi="Times New Roman" w:cs="Times New Roman"/>
                <w:b/>
                <w:color w:val="000000" w:themeColor="text1"/>
                <w:sz w:val="24"/>
                <w:highlight w:val="none"/>
                <w14:textFill>
                  <w14:solidFill>
                    <w14:schemeClr w14:val="tx1"/>
                  </w14:solidFill>
                </w14:textFill>
              </w:rPr>
              <w:t>-1</w:t>
            </w:r>
            <w:r>
              <w:rPr>
                <w:rFonts w:hint="default" w:ascii="Times New Roman" w:hAnsi="Times New Roman" w:cs="Times New Roman"/>
                <w:b/>
                <w:color w:val="000000" w:themeColor="text1"/>
                <w:sz w:val="24"/>
                <w:highlight w:val="none"/>
                <w:lang w:val="en-US" w:eastAsia="zh-CN"/>
                <w14:textFill>
                  <w14:solidFill>
                    <w14:schemeClr w14:val="tx1"/>
                  </w14:solidFill>
                </w14:textFill>
              </w:rPr>
              <w:t xml:space="preserve">   施工生产生活区总平面布置图</w:t>
            </w:r>
          </w:p>
          <w:p w14:paraId="356D7DFD">
            <w:pPr>
              <w:spacing w:line="360" w:lineRule="auto"/>
              <w:ind w:firstLine="482" w:firstLineChars="200"/>
              <w:rPr>
                <w:rFonts w:hint="default" w:ascii="Times New Roman" w:hAnsi="Times New Roman" w:cs="Times New Roman"/>
                <w:b/>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5、土石方工程</w:t>
            </w:r>
          </w:p>
          <w:p w14:paraId="2568150A">
            <w:pPr>
              <w:spacing w:line="360" w:lineRule="auto"/>
              <w:ind w:firstLine="480" w:firstLineChars="200"/>
              <w:rPr>
                <w:rFonts w:hint="default" w:ascii="Times New Roman" w:hAnsi="Times New Roman" w:cs="Times New Roman"/>
                <w:b w:val="0"/>
                <w:bCs/>
                <w:color w:val="000000" w:themeColor="text1"/>
                <w:sz w:val="24"/>
                <w:highlight w:val="none"/>
                <w:lang w:val="en-US" w:eastAsia="zh-CN"/>
                <w14:textFill>
                  <w14:solidFill>
                    <w14:schemeClr w14:val="tx1"/>
                  </w14:solidFill>
                </w14:textFill>
              </w:rPr>
            </w:pPr>
            <w:r>
              <w:rPr>
                <w:rFonts w:hint="default" w:ascii="Times New Roman" w:hAnsi="Times New Roman" w:cs="Times New Roman"/>
                <w:b w:val="0"/>
                <w:bCs/>
                <w:color w:val="000000" w:themeColor="text1"/>
                <w:sz w:val="24"/>
                <w:highlight w:val="none"/>
                <w:lang w:val="en-US" w:eastAsia="zh-CN"/>
                <w14:textFill>
                  <w14:solidFill>
                    <w14:schemeClr w14:val="tx1"/>
                  </w14:solidFill>
                </w14:textFill>
              </w:rPr>
              <w:t>根据现场踏查，大坝范围内已无表土，临时占地区无表土，现场土质良好，本工程施工时可充分利用挖填方</w:t>
            </w:r>
            <w:r>
              <w:rPr>
                <w:rFonts w:hint="eastAsia" w:cs="Times New Roman"/>
                <w:b w:val="0"/>
                <w:bCs/>
                <w:color w:val="000000" w:themeColor="text1"/>
                <w:sz w:val="24"/>
                <w:highlight w:val="none"/>
                <w:lang w:val="en-US" w:eastAsia="zh-CN"/>
                <w14:textFill>
                  <w14:solidFill>
                    <w14:schemeClr w14:val="tx1"/>
                  </w14:solidFill>
                </w14:textFill>
              </w:rPr>
              <w:t>，</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工程动用土方总量为</w:t>
            </w:r>
            <w:r>
              <w:rPr>
                <w:rFonts w:hint="eastAsia" w:cs="Times New Roman"/>
                <w:caps w:val="0"/>
                <w:color w:val="000000" w:themeColor="text1"/>
                <w:sz w:val="24"/>
                <w:szCs w:val="32"/>
                <w:highlight w:val="none"/>
                <w:lang w:val="en-US" w:eastAsia="zh-CN"/>
                <w14:textFill>
                  <w14:solidFill>
                    <w14:schemeClr w14:val="tx1"/>
                  </w14:solidFill>
                </w14:textFill>
              </w:rPr>
              <w:t>4.20</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，其中挖方1.70万m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，填方1.70万m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w:t>
            </w:r>
            <w:r>
              <w:rPr>
                <w:rFonts w:hint="eastAsia" w:cs="Times New Roman"/>
                <w:caps w:val="0"/>
                <w:color w:val="000000" w:themeColor="text1"/>
                <w:sz w:val="24"/>
                <w:szCs w:val="32"/>
                <w:highlight w:val="none"/>
                <w:lang w:val="en-US" w:eastAsia="zh-CN"/>
                <w14:textFill>
                  <w14:solidFill>
                    <w14:schemeClr w14:val="tx1"/>
                  </w14:solidFill>
                </w14:textFill>
              </w:rPr>
              <w:t>石方填方量为0.8</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eastAsia" w:cs="Times New Roman"/>
                <w:caps w:val="0"/>
                <w:color w:val="000000" w:themeColor="text1"/>
                <w:sz w:val="24"/>
                <w:szCs w:val="32"/>
                <w:highlight w:val="none"/>
                <w:lang w:val="en-US" w:eastAsia="zh-CN"/>
                <w14:textFill>
                  <w14:solidFill>
                    <w14:schemeClr w14:val="tx1"/>
                  </w14:solidFill>
                </w14:textFill>
              </w:rPr>
              <w:t>，</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无弃土</w:t>
            </w:r>
            <w:r>
              <w:rPr>
                <w:rFonts w:hint="eastAsia" w:cs="Times New Roman"/>
                <w:caps w:val="0"/>
                <w:color w:val="000000" w:themeColor="text1"/>
                <w:sz w:val="24"/>
                <w:szCs w:val="32"/>
                <w:highlight w:val="none"/>
                <w:lang w:val="en-US" w:eastAsia="zh-CN"/>
                <w14:textFill>
                  <w14:solidFill>
                    <w14:schemeClr w14:val="tx1"/>
                  </w14:solidFill>
                </w14:textFill>
              </w:rPr>
              <w:t>，本项目石方来源于密山市建材市场。</w:t>
            </w:r>
          </w:p>
          <w:p w14:paraId="7EE6F14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表2-</w:t>
            </w:r>
            <w:r>
              <w:rPr>
                <w:rFonts w:hint="eastAsia" w:cs="Times New Roman"/>
                <w:b/>
                <w:bCs/>
                <w:color w:val="000000" w:themeColor="text1"/>
                <w:kern w:val="0"/>
                <w:sz w:val="24"/>
                <w:lang w:val="en-US" w:eastAsia="zh-CN"/>
                <w14:textFill>
                  <w14:solidFill>
                    <w14:schemeClr w14:val="tx1"/>
                  </w14:solidFill>
                </w14:textFill>
              </w:rPr>
              <w:t>3</w:t>
            </w: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土石方平衡表（万m</w:t>
            </w:r>
            <w:r>
              <w:rPr>
                <w:rFonts w:hint="default" w:ascii="Times New Roman" w:hAnsi="Times New Roman" w:eastAsia="宋体" w:cs="Times New Roman"/>
                <w:b/>
                <w:bCs/>
                <w:color w:val="000000" w:themeColor="text1"/>
                <w:kern w:val="0"/>
                <w:sz w:val="24"/>
                <w:vertAlign w:val="superscript"/>
                <w:lang w:val="en-US" w:eastAsia="zh-CN"/>
                <w14:textFill>
                  <w14:solidFill>
                    <w14:schemeClr w14:val="tx1"/>
                  </w14:solidFill>
                </w14:textFill>
              </w:rPr>
              <w:t>3</w:t>
            </w: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w:t>
            </w:r>
          </w:p>
          <w:tbl>
            <w:tblPr>
              <w:tblStyle w:val="23"/>
              <w:tblW w:w="757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92"/>
              <w:gridCol w:w="1155"/>
              <w:gridCol w:w="1155"/>
              <w:gridCol w:w="1155"/>
              <w:gridCol w:w="1155"/>
              <w:gridCol w:w="1158"/>
            </w:tblGrid>
            <w:tr w14:paraId="26C49A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noWrap w:val="0"/>
                  <w:vAlign w:val="top"/>
                </w:tcPr>
                <w:p w14:paraId="38280588">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t>路段</w:t>
                  </w:r>
                </w:p>
              </w:tc>
              <w:tc>
                <w:tcPr>
                  <w:tcW w:w="1155" w:type="dxa"/>
                  <w:tcBorders>
                    <w:tl2br w:val="nil"/>
                    <w:tr2bl w:val="nil"/>
                  </w:tcBorders>
                  <w:noWrap w:val="0"/>
                  <w:vAlign w:val="top"/>
                </w:tcPr>
                <w:p w14:paraId="338942E4">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t>填方</w:t>
                  </w:r>
                </w:p>
              </w:tc>
              <w:tc>
                <w:tcPr>
                  <w:tcW w:w="1155" w:type="dxa"/>
                  <w:tcBorders>
                    <w:tl2br w:val="nil"/>
                    <w:tr2bl w:val="nil"/>
                  </w:tcBorders>
                  <w:noWrap w:val="0"/>
                  <w:vAlign w:val="top"/>
                </w:tcPr>
                <w:p w14:paraId="2AA31008">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t>挖方</w:t>
                  </w:r>
                </w:p>
              </w:tc>
              <w:tc>
                <w:tcPr>
                  <w:tcW w:w="1155" w:type="dxa"/>
                  <w:tcBorders>
                    <w:tl2br w:val="nil"/>
                    <w:tr2bl w:val="nil"/>
                  </w:tcBorders>
                  <w:noWrap w:val="0"/>
                  <w:vAlign w:val="top"/>
                </w:tcPr>
                <w:p w14:paraId="77466BC5">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t>借方</w:t>
                  </w:r>
                </w:p>
              </w:tc>
              <w:tc>
                <w:tcPr>
                  <w:tcW w:w="1155" w:type="dxa"/>
                  <w:tcBorders>
                    <w:tl2br w:val="nil"/>
                    <w:tr2bl w:val="nil"/>
                  </w:tcBorders>
                  <w:noWrap w:val="0"/>
                  <w:vAlign w:val="top"/>
                </w:tcPr>
                <w:p w14:paraId="6964A0F8">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t>利用方</w:t>
                  </w:r>
                </w:p>
              </w:tc>
              <w:tc>
                <w:tcPr>
                  <w:tcW w:w="1158" w:type="dxa"/>
                  <w:tcBorders>
                    <w:tl2br w:val="nil"/>
                    <w:tr2bl w:val="nil"/>
                  </w:tcBorders>
                  <w:noWrap w:val="0"/>
                  <w:vAlign w:val="top"/>
                </w:tcPr>
                <w:p w14:paraId="409D31A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t>弃方</w:t>
                  </w:r>
                </w:p>
              </w:tc>
            </w:tr>
            <w:tr w14:paraId="3C6242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noWrap w:val="0"/>
                  <w:vAlign w:val="top"/>
                </w:tcPr>
                <w:p w14:paraId="6205BD33">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t>本工程</w:t>
                  </w:r>
                  <w:r>
                    <w:rPr>
                      <w:rFonts w:hint="eastAsia" w:cs="Times New Roman"/>
                      <w:color w:val="000000" w:themeColor="text1"/>
                      <w:kern w:val="0"/>
                      <w:sz w:val="21"/>
                      <w:szCs w:val="21"/>
                      <w:vertAlign w:val="baseline"/>
                      <w:lang w:eastAsia="zh-CN"/>
                      <w14:textFill>
                        <w14:solidFill>
                          <w14:schemeClr w14:val="tx1"/>
                        </w14:solidFill>
                      </w14:textFill>
                    </w:rPr>
                    <w:t>土方</w:t>
                  </w:r>
                </w:p>
              </w:tc>
              <w:tc>
                <w:tcPr>
                  <w:tcW w:w="1155" w:type="dxa"/>
                  <w:tcBorders>
                    <w:tl2br w:val="nil"/>
                    <w:tr2bl w:val="nil"/>
                  </w:tcBorders>
                  <w:noWrap w:val="0"/>
                  <w:vAlign w:val="top"/>
                </w:tcPr>
                <w:p w14:paraId="22FA32FA">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1.70</w:t>
                  </w:r>
                </w:p>
              </w:tc>
              <w:tc>
                <w:tcPr>
                  <w:tcW w:w="1155" w:type="dxa"/>
                  <w:tcBorders>
                    <w:tl2br w:val="nil"/>
                    <w:tr2bl w:val="nil"/>
                  </w:tcBorders>
                  <w:noWrap w:val="0"/>
                  <w:vAlign w:val="top"/>
                </w:tcPr>
                <w:p w14:paraId="686971FC">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1.70</w:t>
                  </w:r>
                </w:p>
              </w:tc>
              <w:tc>
                <w:tcPr>
                  <w:tcW w:w="1155" w:type="dxa"/>
                  <w:tcBorders>
                    <w:tl2br w:val="nil"/>
                    <w:tr2bl w:val="nil"/>
                  </w:tcBorders>
                  <w:noWrap w:val="0"/>
                  <w:vAlign w:val="top"/>
                </w:tcPr>
                <w:p w14:paraId="2755D03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0</w:t>
                  </w:r>
                </w:p>
              </w:tc>
              <w:tc>
                <w:tcPr>
                  <w:tcW w:w="1155" w:type="dxa"/>
                  <w:tcBorders>
                    <w:tl2br w:val="nil"/>
                    <w:tr2bl w:val="nil"/>
                  </w:tcBorders>
                  <w:noWrap w:val="0"/>
                  <w:vAlign w:val="top"/>
                </w:tcPr>
                <w:p w14:paraId="4B93F13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1</w:t>
                  </w:r>
                  <w:r>
                    <w:rPr>
                      <w:rFonts w:hint="default" w:ascii="Times New Roman" w:hAnsi="Times New Roman" w:cs="Times New Roman"/>
                      <w:color w:val="000000" w:themeColor="text1"/>
                      <w:kern w:val="0"/>
                      <w:sz w:val="21"/>
                      <w:szCs w:val="21"/>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70</w:t>
                  </w:r>
                </w:p>
              </w:tc>
              <w:tc>
                <w:tcPr>
                  <w:tcW w:w="1158" w:type="dxa"/>
                  <w:tcBorders>
                    <w:tl2br w:val="nil"/>
                    <w:tr2bl w:val="nil"/>
                  </w:tcBorders>
                  <w:noWrap w:val="0"/>
                  <w:vAlign w:val="top"/>
                </w:tcPr>
                <w:p w14:paraId="44916451">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0</w:t>
                  </w:r>
                </w:p>
              </w:tc>
            </w:tr>
            <w:tr w14:paraId="5BF31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792" w:type="dxa"/>
                  <w:tcBorders>
                    <w:tl2br w:val="nil"/>
                    <w:tr2bl w:val="nil"/>
                  </w:tcBorders>
                  <w:noWrap w:val="0"/>
                  <w:vAlign w:val="top"/>
                </w:tcPr>
                <w:p w14:paraId="677EDA42">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t>本工程</w:t>
                  </w:r>
                  <w:r>
                    <w:rPr>
                      <w:rFonts w:hint="eastAsia" w:ascii="Times New Roman" w:hAnsi="Times New Roman" w:eastAsia="宋体" w:cs="Times New Roman"/>
                      <w:color w:val="000000" w:themeColor="text1"/>
                      <w:kern w:val="0"/>
                      <w:sz w:val="21"/>
                      <w:szCs w:val="21"/>
                      <w:vertAlign w:val="baseline"/>
                      <w:lang w:eastAsia="zh-CN"/>
                      <w14:textFill>
                        <w14:solidFill>
                          <w14:schemeClr w14:val="tx1"/>
                        </w14:solidFill>
                      </w14:textFill>
                    </w:rPr>
                    <w:t>石方</w:t>
                  </w:r>
                </w:p>
              </w:tc>
              <w:tc>
                <w:tcPr>
                  <w:tcW w:w="1155" w:type="dxa"/>
                  <w:tcBorders>
                    <w:tl2br w:val="nil"/>
                    <w:tr2bl w:val="nil"/>
                  </w:tcBorders>
                  <w:noWrap w:val="0"/>
                  <w:vAlign w:val="top"/>
                </w:tcPr>
                <w:p w14:paraId="7FC8DC69">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0.8</w:t>
                  </w:r>
                </w:p>
              </w:tc>
              <w:tc>
                <w:tcPr>
                  <w:tcW w:w="1155" w:type="dxa"/>
                  <w:tcBorders>
                    <w:tl2br w:val="nil"/>
                    <w:tr2bl w:val="nil"/>
                  </w:tcBorders>
                  <w:noWrap w:val="0"/>
                  <w:vAlign w:val="top"/>
                </w:tcPr>
                <w:p w14:paraId="7B766778">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w:t>
                  </w:r>
                </w:p>
              </w:tc>
              <w:tc>
                <w:tcPr>
                  <w:tcW w:w="1155" w:type="dxa"/>
                  <w:tcBorders>
                    <w:tl2br w:val="nil"/>
                    <w:tr2bl w:val="nil"/>
                  </w:tcBorders>
                  <w:noWrap w:val="0"/>
                  <w:vAlign w:val="top"/>
                </w:tcPr>
                <w:p w14:paraId="4061DB1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0.8</w:t>
                  </w:r>
                </w:p>
              </w:tc>
              <w:tc>
                <w:tcPr>
                  <w:tcW w:w="1155" w:type="dxa"/>
                  <w:tcBorders>
                    <w:tl2br w:val="nil"/>
                    <w:tr2bl w:val="nil"/>
                  </w:tcBorders>
                  <w:noWrap w:val="0"/>
                  <w:vAlign w:val="top"/>
                </w:tcPr>
                <w:p w14:paraId="5E9A44E1">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w:t>
                  </w:r>
                </w:p>
              </w:tc>
              <w:tc>
                <w:tcPr>
                  <w:tcW w:w="1158" w:type="dxa"/>
                  <w:tcBorders>
                    <w:tl2br w:val="nil"/>
                    <w:tr2bl w:val="nil"/>
                  </w:tcBorders>
                  <w:noWrap w:val="0"/>
                  <w:vAlign w:val="top"/>
                </w:tcPr>
                <w:p w14:paraId="5CCD1DB9">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w:t>
                  </w:r>
                </w:p>
              </w:tc>
            </w:tr>
            <w:tr w14:paraId="11E624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noWrap w:val="0"/>
                  <w:vAlign w:val="top"/>
                </w:tcPr>
                <w:p w14:paraId="77932B4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eastAsia" w:cs="Times New Roman"/>
                      <w:color w:val="000000" w:themeColor="text1"/>
                      <w:kern w:val="0"/>
                      <w:sz w:val="21"/>
                      <w:szCs w:val="21"/>
                      <w:vertAlign w:val="baseline"/>
                      <w:lang w:eastAsia="zh-CN"/>
                      <w14:textFill>
                        <w14:solidFill>
                          <w14:schemeClr w14:val="tx1"/>
                        </w14:solidFill>
                      </w14:textFill>
                    </w:rPr>
                    <w:t>施工生产生活区</w:t>
                  </w:r>
                </w:p>
              </w:tc>
              <w:tc>
                <w:tcPr>
                  <w:tcW w:w="1155" w:type="dxa"/>
                  <w:tcBorders>
                    <w:tl2br w:val="nil"/>
                    <w:tr2bl w:val="nil"/>
                  </w:tcBorders>
                  <w:noWrap w:val="0"/>
                  <w:vAlign w:val="top"/>
                </w:tcPr>
                <w:p w14:paraId="3803BB6D">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w:t>
                  </w:r>
                </w:p>
              </w:tc>
              <w:tc>
                <w:tcPr>
                  <w:tcW w:w="1155" w:type="dxa"/>
                  <w:tcBorders>
                    <w:tl2br w:val="nil"/>
                    <w:tr2bl w:val="nil"/>
                  </w:tcBorders>
                  <w:noWrap w:val="0"/>
                  <w:vAlign w:val="top"/>
                </w:tcPr>
                <w:p w14:paraId="0F6BAF0A">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w:t>
                  </w:r>
                </w:p>
              </w:tc>
              <w:tc>
                <w:tcPr>
                  <w:tcW w:w="1155" w:type="dxa"/>
                  <w:tcBorders>
                    <w:tl2br w:val="nil"/>
                    <w:tr2bl w:val="nil"/>
                  </w:tcBorders>
                  <w:noWrap w:val="0"/>
                  <w:vAlign w:val="top"/>
                </w:tcPr>
                <w:p w14:paraId="56CE435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w:t>
                  </w:r>
                </w:p>
              </w:tc>
              <w:tc>
                <w:tcPr>
                  <w:tcW w:w="1155" w:type="dxa"/>
                  <w:tcBorders>
                    <w:tl2br w:val="nil"/>
                    <w:tr2bl w:val="nil"/>
                  </w:tcBorders>
                  <w:noWrap w:val="0"/>
                  <w:vAlign w:val="top"/>
                </w:tcPr>
                <w:p w14:paraId="4AD61D06">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w:t>
                  </w:r>
                </w:p>
              </w:tc>
              <w:tc>
                <w:tcPr>
                  <w:tcW w:w="1158" w:type="dxa"/>
                  <w:tcBorders>
                    <w:tl2br w:val="nil"/>
                    <w:tr2bl w:val="nil"/>
                  </w:tcBorders>
                  <w:noWrap w:val="0"/>
                  <w:vAlign w:val="top"/>
                </w:tcPr>
                <w:p w14:paraId="428A5AAE">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w:t>
                  </w:r>
                </w:p>
              </w:tc>
            </w:tr>
            <w:tr w14:paraId="31092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92" w:type="dxa"/>
                  <w:tcBorders>
                    <w:tl2br w:val="nil"/>
                    <w:tr2bl w:val="nil"/>
                  </w:tcBorders>
                  <w:noWrap w:val="0"/>
                  <w:vAlign w:val="top"/>
                </w:tcPr>
                <w:p w14:paraId="51E810BB">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eastAsia="zh-CN"/>
                      <w14:textFill>
                        <w14:solidFill>
                          <w14:schemeClr w14:val="tx1"/>
                        </w14:solidFill>
                      </w14:textFill>
                    </w:rPr>
                    <w:t>合计</w:t>
                  </w:r>
                </w:p>
              </w:tc>
              <w:tc>
                <w:tcPr>
                  <w:tcW w:w="2310" w:type="dxa"/>
                  <w:gridSpan w:val="2"/>
                  <w:tcBorders>
                    <w:tl2br w:val="nil"/>
                    <w:tr2bl w:val="nil"/>
                  </w:tcBorders>
                  <w:shd w:val="clear" w:color="auto" w:fill="auto"/>
                  <w:noWrap w:val="0"/>
                  <w:vAlign w:val="top"/>
                </w:tcPr>
                <w:p w14:paraId="09257E80">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bidi="ar-SA"/>
                      <w14:textFill>
                        <w14:solidFill>
                          <w14:schemeClr w14:val="tx1"/>
                        </w14:solidFill>
                      </w14:textFill>
                    </w:rPr>
                    <w:t>4.20</w:t>
                  </w:r>
                </w:p>
              </w:tc>
              <w:tc>
                <w:tcPr>
                  <w:tcW w:w="1155" w:type="dxa"/>
                  <w:tcBorders>
                    <w:tl2br w:val="nil"/>
                    <w:tr2bl w:val="nil"/>
                  </w:tcBorders>
                  <w:shd w:val="clear" w:color="auto" w:fill="auto"/>
                  <w:noWrap w:val="0"/>
                  <w:vAlign w:val="top"/>
                </w:tcPr>
                <w:p w14:paraId="037332AF">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eastAsia" w:cs="Times New Roman"/>
                      <w:color w:val="000000" w:themeColor="text1"/>
                      <w:kern w:val="0"/>
                      <w:sz w:val="21"/>
                      <w:szCs w:val="21"/>
                      <w:vertAlign w:val="baseline"/>
                      <w:lang w:val="en-US" w:eastAsia="zh-CN"/>
                      <w14:textFill>
                        <w14:solidFill>
                          <w14:schemeClr w14:val="tx1"/>
                        </w14:solidFill>
                      </w14:textFill>
                    </w:rPr>
                    <w:t>0.8</w:t>
                  </w:r>
                </w:p>
              </w:tc>
              <w:tc>
                <w:tcPr>
                  <w:tcW w:w="1155" w:type="dxa"/>
                  <w:tcBorders>
                    <w:tl2br w:val="nil"/>
                    <w:tr2bl w:val="nil"/>
                  </w:tcBorders>
                  <w:shd w:val="clear" w:color="auto" w:fill="auto"/>
                  <w:noWrap w:val="0"/>
                  <w:vAlign w:val="top"/>
                </w:tcPr>
                <w:p w14:paraId="00ECDB81">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1</w:t>
                  </w:r>
                  <w:r>
                    <w:rPr>
                      <w:rFonts w:hint="default" w:ascii="Times New Roman" w:hAnsi="Times New Roman" w:cs="Times New Roman"/>
                      <w:color w:val="000000" w:themeColor="text1"/>
                      <w:kern w:val="0"/>
                      <w:sz w:val="21"/>
                      <w:szCs w:val="21"/>
                      <w:vertAlign w:val="baseline"/>
                      <w:lang w:val="en-US" w:eastAsia="zh-CN"/>
                      <w14:textFill>
                        <w14:solidFill>
                          <w14:schemeClr w14:val="tx1"/>
                        </w14:solidFill>
                      </w14:textFill>
                    </w:rPr>
                    <w:t>.</w:t>
                  </w: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70</w:t>
                  </w:r>
                </w:p>
              </w:tc>
              <w:tc>
                <w:tcPr>
                  <w:tcW w:w="1158" w:type="dxa"/>
                  <w:tcBorders>
                    <w:tl2br w:val="nil"/>
                    <w:tr2bl w:val="nil"/>
                  </w:tcBorders>
                  <w:shd w:val="clear" w:color="auto" w:fill="auto"/>
                  <w:noWrap w:val="0"/>
                  <w:vAlign w:val="top"/>
                </w:tcPr>
                <w:p w14:paraId="6AD23193">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14:textFill>
                        <w14:solidFill>
                          <w14:schemeClr w14:val="tx1"/>
                        </w14:solidFill>
                      </w14:textFill>
                    </w:rPr>
                    <w:t>0</w:t>
                  </w:r>
                </w:p>
              </w:tc>
            </w:tr>
          </w:tbl>
          <w:p w14:paraId="67B7FC20">
            <w:pPr>
              <w:spacing w:line="360" w:lineRule="auto"/>
              <w:ind w:firstLine="482" w:firstLineChars="200"/>
              <w:rPr>
                <w:rFonts w:hint="default" w:ascii="Times New Roman" w:hAnsi="Times New Roman" w:cs="Times New Roman"/>
                <w:b/>
                <w:bCs/>
                <w:color w:val="000000" w:themeColor="text1"/>
                <w:sz w:val="24"/>
                <w:highlight w:val="none"/>
                <w:lang w:val="en-US" w:eastAsia="zh-CN"/>
                <w14:textFill>
                  <w14:solidFill>
                    <w14:schemeClr w14:val="tx1"/>
                  </w14:solidFill>
                </w14:textFill>
              </w:rPr>
            </w:pPr>
            <w:r>
              <w:rPr>
                <w:rFonts w:hint="eastAsia" w:eastAsia="宋体" w:cs="Times New Roman"/>
                <w:b/>
                <w:bCs/>
                <w:color w:val="000000" w:themeColor="text1"/>
                <w:kern w:val="0"/>
                <w:sz w:val="24"/>
                <w:lang w:val="en-US" w:eastAsia="zh-CN"/>
                <w14:textFill>
                  <w14:solidFill>
                    <w14:schemeClr w14:val="tx1"/>
                  </w14:solidFill>
                </w14:textFill>
              </w:rPr>
              <w:t>6</w:t>
            </w: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w:t>
            </w:r>
            <w:r>
              <w:rPr>
                <w:rFonts w:hint="eastAsia" w:eastAsia="宋体" w:cs="Times New Roman"/>
                <w:b/>
                <w:bCs/>
                <w:color w:val="000000" w:themeColor="text1"/>
                <w:kern w:val="0"/>
                <w:sz w:val="24"/>
                <w:lang w:val="en-US" w:eastAsia="zh-CN"/>
                <w14:textFill>
                  <w14:solidFill>
                    <w14:schemeClr w14:val="tx1"/>
                  </w14:solidFill>
                </w14:textFill>
              </w:rPr>
              <w:t>本项目</w:t>
            </w: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工程</w:t>
            </w:r>
            <w:r>
              <w:rPr>
                <w:rFonts w:hint="eastAsia" w:eastAsia="宋体" w:cs="Times New Roman"/>
                <w:b/>
                <w:bCs/>
                <w:color w:val="000000" w:themeColor="text1"/>
                <w:kern w:val="0"/>
                <w:sz w:val="24"/>
                <w:lang w:val="en-US" w:eastAsia="zh-CN"/>
                <w14:textFill>
                  <w14:solidFill>
                    <w14:schemeClr w14:val="tx1"/>
                  </w14:solidFill>
                </w14:textFill>
              </w:rPr>
              <w:t>量汇总</w:t>
            </w:r>
          </w:p>
          <w:p w14:paraId="10E5CDF7">
            <w:pPr>
              <w:spacing w:line="360" w:lineRule="auto"/>
              <w:jc w:val="center"/>
              <w:rPr>
                <w:rFonts w:hint="default" w:cs="Times New Roman" w:eastAsiaTheme="minorEastAsia"/>
                <w:b w:val="0"/>
                <w:bCs/>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bCs/>
                <w:color w:val="000000" w:themeColor="text1"/>
                <w:kern w:val="0"/>
                <w:sz w:val="24"/>
                <w:lang w:val="en-US" w:eastAsia="zh-CN"/>
                <w14:textFill>
                  <w14:solidFill>
                    <w14:schemeClr w14:val="tx1"/>
                  </w14:solidFill>
                </w14:textFill>
              </w:rPr>
              <w:t>表2-</w:t>
            </w:r>
            <w:r>
              <w:rPr>
                <w:rFonts w:hint="eastAsia" w:cs="Times New Roman"/>
                <w:b/>
                <w:bCs/>
                <w:color w:val="000000" w:themeColor="text1"/>
                <w:kern w:val="0"/>
                <w:sz w:val="24"/>
                <w:lang w:val="en-US" w:eastAsia="zh-CN"/>
                <w14:textFill>
                  <w14:solidFill>
                    <w14:schemeClr w14:val="tx1"/>
                  </w14:solidFill>
                </w14:textFill>
              </w:rPr>
              <w:t>4</w:t>
            </w:r>
            <w:r>
              <w:rPr>
                <w:rFonts w:hint="eastAsia" w:eastAsia="宋体" w:cs="Times New Roman"/>
                <w:b/>
                <w:bCs/>
                <w:color w:val="000000" w:themeColor="text1"/>
                <w:kern w:val="0"/>
                <w:sz w:val="24"/>
                <w:lang w:val="en-US" w:eastAsia="zh-CN"/>
                <w14:textFill>
                  <w14:solidFill>
                    <w14:schemeClr w14:val="tx1"/>
                  </w14:solidFill>
                </w14:textFill>
              </w:rPr>
              <w:t xml:space="preserve"> 工程量汇总表</w:t>
            </w:r>
          </w:p>
          <w:tbl>
            <w:tblPr>
              <w:tblStyle w:val="23"/>
              <w:tblW w:w="78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49"/>
              <w:gridCol w:w="2850"/>
              <w:gridCol w:w="1707"/>
              <w:gridCol w:w="1969"/>
            </w:tblGrid>
            <w:tr w14:paraId="1FE24F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vAlign w:val="center"/>
                </w:tcPr>
                <w:p w14:paraId="262F90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序号</w:t>
                  </w:r>
                </w:p>
              </w:tc>
              <w:tc>
                <w:tcPr>
                  <w:tcW w:w="2850" w:type="dxa"/>
                  <w:tcBorders>
                    <w:tl2br w:val="nil"/>
                    <w:tr2bl w:val="nil"/>
                  </w:tcBorders>
                  <w:vAlign w:val="center"/>
                </w:tcPr>
                <w:p w14:paraId="45DC11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工程名称</w:t>
                  </w:r>
                </w:p>
              </w:tc>
              <w:tc>
                <w:tcPr>
                  <w:tcW w:w="1707" w:type="dxa"/>
                  <w:tcBorders>
                    <w:tl2br w:val="nil"/>
                    <w:tr2bl w:val="nil"/>
                  </w:tcBorders>
                  <w:vAlign w:val="center"/>
                </w:tcPr>
                <w:p w14:paraId="7DB61E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单位</w:t>
                  </w:r>
                </w:p>
              </w:tc>
              <w:tc>
                <w:tcPr>
                  <w:tcW w:w="1969" w:type="dxa"/>
                  <w:tcBorders>
                    <w:tl2br w:val="nil"/>
                    <w:tr2bl w:val="nil"/>
                  </w:tcBorders>
                  <w:vAlign w:val="center"/>
                </w:tcPr>
                <w:p w14:paraId="2954E2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数量</w:t>
                  </w:r>
                </w:p>
              </w:tc>
            </w:tr>
            <w:tr w14:paraId="768B5A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vAlign w:val="center"/>
                </w:tcPr>
                <w:p w14:paraId="59E0E3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一</w:t>
                  </w:r>
                </w:p>
              </w:tc>
              <w:tc>
                <w:tcPr>
                  <w:tcW w:w="2850" w:type="dxa"/>
                  <w:tcBorders>
                    <w:tl2br w:val="nil"/>
                    <w:tr2bl w:val="nil"/>
                  </w:tcBorders>
                  <w:vAlign w:val="center"/>
                </w:tcPr>
                <w:p w14:paraId="350A31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溢洪道工程</w:t>
                  </w:r>
                </w:p>
              </w:tc>
              <w:tc>
                <w:tcPr>
                  <w:tcW w:w="1707" w:type="dxa"/>
                  <w:tcBorders>
                    <w:tl2br w:val="nil"/>
                    <w:tr2bl w:val="nil"/>
                  </w:tcBorders>
                  <w:vAlign w:val="center"/>
                </w:tcPr>
                <w:p w14:paraId="4454636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p>
              </w:tc>
              <w:tc>
                <w:tcPr>
                  <w:tcW w:w="1969" w:type="dxa"/>
                  <w:tcBorders>
                    <w:tl2br w:val="nil"/>
                    <w:tr2bl w:val="nil"/>
                  </w:tcBorders>
                  <w:vAlign w:val="center"/>
                </w:tcPr>
                <w:p w14:paraId="434A76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p>
              </w:tc>
            </w:tr>
            <w:tr w14:paraId="479DAC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vAlign w:val="center"/>
                </w:tcPr>
                <w:p w14:paraId="58C9B3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（一）</w:t>
                  </w:r>
                </w:p>
              </w:tc>
              <w:tc>
                <w:tcPr>
                  <w:tcW w:w="2850" w:type="dxa"/>
                  <w:tcBorders>
                    <w:tl2br w:val="nil"/>
                    <w:tr2bl w:val="nil"/>
                  </w:tcBorders>
                  <w:vAlign w:val="center"/>
                </w:tcPr>
                <w:p w14:paraId="58C776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消力池拆除重建</w:t>
                  </w:r>
                </w:p>
              </w:tc>
              <w:tc>
                <w:tcPr>
                  <w:tcW w:w="1707" w:type="dxa"/>
                  <w:tcBorders>
                    <w:tl2br w:val="nil"/>
                    <w:tr2bl w:val="nil"/>
                  </w:tcBorders>
                  <w:vAlign w:val="center"/>
                </w:tcPr>
                <w:p w14:paraId="60680E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个</w:t>
                  </w:r>
                </w:p>
              </w:tc>
              <w:tc>
                <w:tcPr>
                  <w:tcW w:w="1969" w:type="dxa"/>
                  <w:tcBorders>
                    <w:tl2br w:val="nil"/>
                    <w:tr2bl w:val="nil"/>
                  </w:tcBorders>
                  <w:vAlign w:val="center"/>
                </w:tcPr>
                <w:p w14:paraId="67F1B7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b w:val="0"/>
                      <w:bCs/>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val="en-US" w:eastAsia="zh-CN"/>
                      <w14:textFill>
                        <w14:solidFill>
                          <w14:schemeClr w14:val="tx1"/>
                        </w14:solidFill>
                      </w14:textFill>
                    </w:rPr>
                    <w:t>1</w:t>
                  </w:r>
                </w:p>
              </w:tc>
            </w:tr>
            <w:tr w14:paraId="288C14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vAlign w:val="center"/>
                </w:tcPr>
                <w:p w14:paraId="05EC22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（二）</w:t>
                  </w:r>
                </w:p>
              </w:tc>
              <w:tc>
                <w:tcPr>
                  <w:tcW w:w="2850" w:type="dxa"/>
                  <w:tcBorders>
                    <w:tl2br w:val="nil"/>
                    <w:tr2bl w:val="nil"/>
                  </w:tcBorders>
                  <w:vAlign w:val="center"/>
                </w:tcPr>
                <w:p w14:paraId="58AF3F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溢流堰堰体及边墙修复</w:t>
                  </w:r>
                </w:p>
              </w:tc>
              <w:tc>
                <w:tcPr>
                  <w:tcW w:w="1707" w:type="dxa"/>
                  <w:tcBorders>
                    <w:tl2br w:val="nil"/>
                    <w:tr2bl w:val="nil"/>
                  </w:tcBorders>
                  <w:shd w:val="clear" w:color="auto" w:fill="auto"/>
                  <w:vAlign w:val="center"/>
                </w:tcPr>
                <w:p w14:paraId="66B82D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个</w:t>
                  </w:r>
                </w:p>
              </w:tc>
              <w:tc>
                <w:tcPr>
                  <w:tcW w:w="1969" w:type="dxa"/>
                  <w:tcBorders>
                    <w:tl2br w:val="nil"/>
                    <w:tr2bl w:val="nil"/>
                  </w:tcBorders>
                  <w:shd w:val="clear" w:color="auto" w:fill="auto"/>
                  <w:vAlign w:val="center"/>
                </w:tcPr>
                <w:p w14:paraId="51AFB5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val="en-US" w:eastAsia="zh-CN"/>
                      <w14:textFill>
                        <w14:solidFill>
                          <w14:schemeClr w14:val="tx1"/>
                        </w14:solidFill>
                      </w14:textFill>
                    </w:rPr>
                    <w:t>1</w:t>
                  </w:r>
                </w:p>
              </w:tc>
            </w:tr>
            <w:tr w14:paraId="594820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vAlign w:val="center"/>
                </w:tcPr>
                <w:p w14:paraId="6CAA36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二</w:t>
                  </w:r>
                </w:p>
              </w:tc>
              <w:tc>
                <w:tcPr>
                  <w:tcW w:w="2850" w:type="dxa"/>
                  <w:tcBorders>
                    <w:tl2br w:val="nil"/>
                    <w:tr2bl w:val="nil"/>
                  </w:tcBorders>
                  <w:vAlign w:val="center"/>
                </w:tcPr>
                <w:p w14:paraId="62050C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大坝工程</w:t>
                  </w:r>
                </w:p>
              </w:tc>
              <w:tc>
                <w:tcPr>
                  <w:tcW w:w="1707" w:type="dxa"/>
                  <w:tcBorders>
                    <w:tl2br w:val="nil"/>
                    <w:tr2bl w:val="nil"/>
                  </w:tcBorders>
                  <w:shd w:val="clear" w:color="auto" w:fill="auto"/>
                  <w:vAlign w:val="center"/>
                </w:tcPr>
                <w:p w14:paraId="657C22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p>
              </w:tc>
              <w:tc>
                <w:tcPr>
                  <w:tcW w:w="1969" w:type="dxa"/>
                  <w:tcBorders>
                    <w:tl2br w:val="nil"/>
                    <w:tr2bl w:val="nil"/>
                  </w:tcBorders>
                  <w:shd w:val="clear" w:color="auto" w:fill="auto"/>
                  <w:vAlign w:val="center"/>
                </w:tcPr>
                <w:p w14:paraId="0A6A74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p>
              </w:tc>
            </w:tr>
            <w:tr w14:paraId="432ABF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shd w:val="clear" w:color="auto" w:fill="auto"/>
                  <w:vAlign w:val="center"/>
                </w:tcPr>
                <w:p w14:paraId="0BEDD90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（一）</w:t>
                  </w:r>
                </w:p>
              </w:tc>
              <w:tc>
                <w:tcPr>
                  <w:tcW w:w="2850" w:type="dxa"/>
                  <w:tcBorders>
                    <w:tl2br w:val="nil"/>
                    <w:tr2bl w:val="nil"/>
                  </w:tcBorders>
                  <w:vAlign w:val="center"/>
                </w:tcPr>
                <w:p w14:paraId="162E7EF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硬化工程</w:t>
                  </w:r>
                </w:p>
              </w:tc>
              <w:tc>
                <w:tcPr>
                  <w:tcW w:w="1707" w:type="dxa"/>
                  <w:tcBorders>
                    <w:tl2br w:val="nil"/>
                    <w:tr2bl w:val="nil"/>
                  </w:tcBorders>
                  <w:shd w:val="clear" w:color="auto" w:fill="auto"/>
                  <w:vAlign w:val="center"/>
                </w:tcPr>
                <w:p w14:paraId="257A25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个</w:t>
                  </w:r>
                </w:p>
              </w:tc>
              <w:tc>
                <w:tcPr>
                  <w:tcW w:w="1969" w:type="dxa"/>
                  <w:tcBorders>
                    <w:tl2br w:val="nil"/>
                    <w:tr2bl w:val="nil"/>
                  </w:tcBorders>
                  <w:shd w:val="clear" w:color="auto" w:fill="auto"/>
                  <w:vAlign w:val="center"/>
                </w:tcPr>
                <w:p w14:paraId="426C04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val="en-US" w:eastAsia="zh-CN"/>
                      <w14:textFill>
                        <w14:solidFill>
                          <w14:schemeClr w14:val="tx1"/>
                        </w14:solidFill>
                      </w14:textFill>
                    </w:rPr>
                    <w:t>1</w:t>
                  </w:r>
                </w:p>
              </w:tc>
            </w:tr>
            <w:tr w14:paraId="1283DF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shd w:val="clear" w:color="auto" w:fill="auto"/>
                  <w:vAlign w:val="center"/>
                </w:tcPr>
                <w:p w14:paraId="1681B9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（二）</w:t>
                  </w:r>
                </w:p>
              </w:tc>
              <w:tc>
                <w:tcPr>
                  <w:tcW w:w="2850" w:type="dxa"/>
                  <w:tcBorders>
                    <w:tl2br w:val="nil"/>
                    <w:tr2bl w:val="nil"/>
                  </w:tcBorders>
                  <w:vAlign w:val="center"/>
                </w:tcPr>
                <w:p w14:paraId="06E6B7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照明工程</w:t>
                  </w:r>
                </w:p>
              </w:tc>
              <w:tc>
                <w:tcPr>
                  <w:tcW w:w="1707" w:type="dxa"/>
                  <w:tcBorders>
                    <w:tl2br w:val="nil"/>
                    <w:tr2bl w:val="nil"/>
                  </w:tcBorders>
                  <w:shd w:val="clear" w:color="auto" w:fill="auto"/>
                  <w:vAlign w:val="center"/>
                </w:tcPr>
                <w:p w14:paraId="4BA849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个</w:t>
                  </w:r>
                </w:p>
              </w:tc>
              <w:tc>
                <w:tcPr>
                  <w:tcW w:w="1969" w:type="dxa"/>
                  <w:tcBorders>
                    <w:tl2br w:val="nil"/>
                    <w:tr2bl w:val="nil"/>
                  </w:tcBorders>
                  <w:shd w:val="clear" w:color="auto" w:fill="auto"/>
                  <w:vAlign w:val="center"/>
                </w:tcPr>
                <w:p w14:paraId="733B6B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val="en-US" w:eastAsia="zh-CN"/>
                      <w14:textFill>
                        <w14:solidFill>
                          <w14:schemeClr w14:val="tx1"/>
                        </w14:solidFill>
                      </w14:textFill>
                    </w:rPr>
                    <w:t>1</w:t>
                  </w:r>
                </w:p>
              </w:tc>
            </w:tr>
            <w:tr w14:paraId="7AFAD2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vAlign w:val="center"/>
                </w:tcPr>
                <w:p w14:paraId="00852C8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（三）</w:t>
                  </w:r>
                </w:p>
              </w:tc>
              <w:tc>
                <w:tcPr>
                  <w:tcW w:w="2850" w:type="dxa"/>
                  <w:tcBorders>
                    <w:tl2br w:val="nil"/>
                    <w:tr2bl w:val="nil"/>
                  </w:tcBorders>
                  <w:vAlign w:val="center"/>
                </w:tcPr>
                <w:p w14:paraId="2CE7F0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坝体修复工程</w:t>
                  </w:r>
                </w:p>
              </w:tc>
              <w:tc>
                <w:tcPr>
                  <w:tcW w:w="1707" w:type="dxa"/>
                  <w:tcBorders>
                    <w:tl2br w:val="nil"/>
                    <w:tr2bl w:val="nil"/>
                  </w:tcBorders>
                  <w:shd w:val="clear" w:color="auto" w:fill="auto"/>
                  <w:vAlign w:val="center"/>
                </w:tcPr>
                <w:p w14:paraId="7A9B83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个</w:t>
                  </w:r>
                </w:p>
              </w:tc>
              <w:tc>
                <w:tcPr>
                  <w:tcW w:w="1969" w:type="dxa"/>
                  <w:tcBorders>
                    <w:tl2br w:val="nil"/>
                    <w:tr2bl w:val="nil"/>
                  </w:tcBorders>
                  <w:shd w:val="clear" w:color="auto" w:fill="auto"/>
                  <w:vAlign w:val="center"/>
                </w:tcPr>
                <w:p w14:paraId="1F95A5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val="en-US" w:eastAsia="zh-CN"/>
                      <w14:textFill>
                        <w14:solidFill>
                          <w14:schemeClr w14:val="tx1"/>
                        </w14:solidFill>
                      </w14:textFill>
                    </w:rPr>
                    <w:t>1</w:t>
                  </w:r>
                </w:p>
              </w:tc>
            </w:tr>
            <w:tr w14:paraId="2CEC30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vAlign w:val="center"/>
                </w:tcPr>
                <w:p w14:paraId="2BDFCE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（四）</w:t>
                  </w:r>
                </w:p>
              </w:tc>
              <w:tc>
                <w:tcPr>
                  <w:tcW w:w="2850" w:type="dxa"/>
                  <w:tcBorders>
                    <w:tl2br w:val="nil"/>
                    <w:tr2bl w:val="nil"/>
                  </w:tcBorders>
                  <w:vAlign w:val="center"/>
                </w:tcPr>
                <w:p w14:paraId="335491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背水侧坝体工程及排水</w:t>
                  </w:r>
                </w:p>
              </w:tc>
              <w:tc>
                <w:tcPr>
                  <w:tcW w:w="1707" w:type="dxa"/>
                  <w:tcBorders>
                    <w:tl2br w:val="nil"/>
                    <w:tr2bl w:val="nil"/>
                  </w:tcBorders>
                  <w:shd w:val="clear" w:color="auto" w:fill="auto"/>
                  <w:vAlign w:val="center"/>
                </w:tcPr>
                <w:p w14:paraId="24EB0B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个</w:t>
                  </w:r>
                </w:p>
              </w:tc>
              <w:tc>
                <w:tcPr>
                  <w:tcW w:w="1969" w:type="dxa"/>
                  <w:tcBorders>
                    <w:tl2br w:val="nil"/>
                    <w:tr2bl w:val="nil"/>
                  </w:tcBorders>
                  <w:shd w:val="clear" w:color="auto" w:fill="auto"/>
                  <w:vAlign w:val="center"/>
                </w:tcPr>
                <w:p w14:paraId="4EAA26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val="en-US" w:eastAsia="zh-CN"/>
                      <w14:textFill>
                        <w14:solidFill>
                          <w14:schemeClr w14:val="tx1"/>
                        </w14:solidFill>
                      </w14:textFill>
                    </w:rPr>
                    <w:t>1</w:t>
                  </w:r>
                </w:p>
              </w:tc>
            </w:tr>
            <w:tr w14:paraId="3D9A0A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vAlign w:val="center"/>
                </w:tcPr>
                <w:p w14:paraId="67AA0E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三</w:t>
                  </w:r>
                </w:p>
              </w:tc>
              <w:tc>
                <w:tcPr>
                  <w:tcW w:w="2850" w:type="dxa"/>
                  <w:tcBorders>
                    <w:tl2br w:val="nil"/>
                    <w:tr2bl w:val="nil"/>
                  </w:tcBorders>
                  <w:vAlign w:val="center"/>
                </w:tcPr>
                <w:p w14:paraId="5703DB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输水洞</w:t>
                  </w:r>
                </w:p>
              </w:tc>
              <w:tc>
                <w:tcPr>
                  <w:tcW w:w="1707" w:type="dxa"/>
                  <w:tcBorders>
                    <w:tl2br w:val="nil"/>
                    <w:tr2bl w:val="nil"/>
                  </w:tcBorders>
                  <w:shd w:val="clear" w:color="auto" w:fill="auto"/>
                  <w:vAlign w:val="center"/>
                </w:tcPr>
                <w:p w14:paraId="5E9B62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p>
              </w:tc>
              <w:tc>
                <w:tcPr>
                  <w:tcW w:w="1969" w:type="dxa"/>
                  <w:tcBorders>
                    <w:tl2br w:val="nil"/>
                    <w:tr2bl w:val="nil"/>
                  </w:tcBorders>
                  <w:shd w:val="clear" w:color="auto" w:fill="auto"/>
                  <w:vAlign w:val="center"/>
                </w:tcPr>
                <w:p w14:paraId="2DEC6A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p>
              </w:tc>
            </w:tr>
            <w:tr w14:paraId="547BCF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49" w:type="dxa"/>
                  <w:tcBorders>
                    <w:tl2br w:val="nil"/>
                    <w:tr2bl w:val="nil"/>
                  </w:tcBorders>
                  <w:vAlign w:val="center"/>
                </w:tcPr>
                <w:p w14:paraId="4C78E9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（一）</w:t>
                  </w:r>
                </w:p>
              </w:tc>
              <w:tc>
                <w:tcPr>
                  <w:tcW w:w="2850" w:type="dxa"/>
                  <w:tcBorders>
                    <w:tl2br w:val="nil"/>
                    <w:tr2bl w:val="nil"/>
                  </w:tcBorders>
                  <w:vAlign w:val="center"/>
                </w:tcPr>
                <w:p w14:paraId="70A84F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输水洞修复及建设工程</w:t>
                  </w:r>
                </w:p>
              </w:tc>
              <w:tc>
                <w:tcPr>
                  <w:tcW w:w="1707" w:type="dxa"/>
                  <w:tcBorders>
                    <w:tl2br w:val="nil"/>
                    <w:tr2bl w:val="nil"/>
                  </w:tcBorders>
                  <w:shd w:val="clear" w:color="auto" w:fill="auto"/>
                  <w:vAlign w:val="center"/>
                </w:tcPr>
                <w:p w14:paraId="3AA37C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eastAsia="zh-CN"/>
                      <w14:textFill>
                        <w14:solidFill>
                          <w14:schemeClr w14:val="tx1"/>
                        </w14:solidFill>
                      </w14:textFill>
                    </w:rPr>
                    <w:t>个</w:t>
                  </w:r>
                </w:p>
              </w:tc>
              <w:tc>
                <w:tcPr>
                  <w:tcW w:w="1969" w:type="dxa"/>
                  <w:tcBorders>
                    <w:tl2br w:val="nil"/>
                    <w:tr2bl w:val="nil"/>
                  </w:tcBorders>
                  <w:shd w:val="clear" w:color="auto" w:fill="auto"/>
                  <w:vAlign w:val="center"/>
                </w:tcPr>
                <w:p w14:paraId="3A0B2AF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b w:val="0"/>
                      <w:bCs/>
                      <w:color w:val="000000" w:themeColor="text1"/>
                      <w:kern w:val="2"/>
                      <w:sz w:val="21"/>
                      <w:szCs w:val="21"/>
                      <w:highlight w:val="none"/>
                      <w:vertAlign w:val="baseline"/>
                      <w:lang w:val="en-US" w:eastAsia="zh-CN" w:bidi="ar-SA"/>
                      <w14:textFill>
                        <w14:solidFill>
                          <w14:schemeClr w14:val="tx1"/>
                        </w14:solidFill>
                      </w14:textFill>
                    </w:rPr>
                  </w:pPr>
                  <w:r>
                    <w:rPr>
                      <w:rFonts w:hint="eastAsia" w:cs="Times New Roman" w:eastAsiaTheme="minorEastAsia"/>
                      <w:b w:val="0"/>
                      <w:bCs/>
                      <w:color w:val="000000" w:themeColor="text1"/>
                      <w:sz w:val="21"/>
                      <w:szCs w:val="21"/>
                      <w:highlight w:val="none"/>
                      <w:vertAlign w:val="baseline"/>
                      <w:lang w:val="en-US" w:eastAsia="zh-CN"/>
                      <w14:textFill>
                        <w14:solidFill>
                          <w14:schemeClr w14:val="tx1"/>
                        </w14:solidFill>
                      </w14:textFill>
                    </w:rPr>
                    <w:t>1</w:t>
                  </w:r>
                </w:p>
              </w:tc>
            </w:tr>
          </w:tbl>
          <w:p w14:paraId="1A9F728A">
            <w:pPr>
              <w:spacing w:line="360" w:lineRule="auto"/>
              <w:ind w:firstLine="480" w:firstLineChars="200"/>
              <w:rPr>
                <w:rFonts w:hint="eastAsia" w:cs="Times New Roman" w:eastAsiaTheme="minorEastAsia"/>
                <w:b w:val="0"/>
                <w:bCs/>
                <w:color w:val="000000" w:themeColor="text1"/>
                <w:sz w:val="24"/>
                <w:highlight w:val="none"/>
                <w:lang w:eastAsia="zh-CN"/>
                <w14:textFill>
                  <w14:solidFill>
                    <w14:schemeClr w14:val="tx1"/>
                  </w14:solidFill>
                </w14:textFill>
              </w:rPr>
            </w:pPr>
          </w:p>
          <w:p w14:paraId="74EA2D0A">
            <w:pPr>
              <w:pStyle w:val="28"/>
              <w:rPr>
                <w:rFonts w:hint="default" w:ascii="Times New Roman" w:hAnsi="Times New Roman" w:cs="Times New Roman" w:eastAsiaTheme="minorEastAsia"/>
                <w:bCs/>
                <w:color w:val="000000" w:themeColor="text1"/>
                <w:szCs w:val="21"/>
                <w:highlight w:val="none"/>
                <w14:textFill>
                  <w14:solidFill>
                    <w14:schemeClr w14:val="tx1"/>
                  </w14:solidFill>
                </w14:textFill>
              </w:rPr>
            </w:pPr>
          </w:p>
        </w:tc>
      </w:tr>
      <w:tr w14:paraId="3F9BEB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8" w:hRule="atLeast"/>
          <w:jc w:val="center"/>
        </w:trPr>
        <w:tc>
          <w:tcPr>
            <w:tcW w:w="261" w:type="pct"/>
            <w:vAlign w:val="center"/>
          </w:tcPr>
          <w:p w14:paraId="0624FFF6">
            <w:pPr>
              <w:adjustRightInd w:val="0"/>
              <w:snapToGrid w:val="0"/>
              <w:rPr>
                <w:rFonts w:hint="default" w:ascii="Times New Roman" w:hAnsi="Times New Roman" w:cs="Times New Roman" w:eastAsiaTheme="minorEastAsia"/>
                <w:color w:val="000000" w:themeColor="text1"/>
                <w:kern w:val="0"/>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总平面及现场布置</w:t>
            </w:r>
          </w:p>
        </w:tc>
        <w:tc>
          <w:tcPr>
            <w:tcW w:w="4738" w:type="pct"/>
            <w:vAlign w:val="center"/>
          </w:tcPr>
          <w:p w14:paraId="6B3A628E">
            <w:pPr>
              <w:spacing w:before="120" w:beforeLines="50" w:line="360" w:lineRule="auto"/>
              <w:ind w:firstLine="482" w:firstLineChars="200"/>
              <w:rPr>
                <w:rFonts w:hint="default" w:ascii="Times New Roman" w:hAnsi="Times New Roman" w:cs="Times New Roman" w:eastAsiaTheme="minorEastAsia"/>
                <w:b/>
                <w:bCs/>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总平面布置</w:t>
            </w:r>
          </w:p>
          <w:p w14:paraId="21654DAE">
            <w:pPr>
              <w:spacing w:line="360" w:lineRule="auto"/>
              <w:ind w:firstLine="480" w:firstLineChars="200"/>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本工程为水库加固工程，本项目实施后，</w:t>
            </w:r>
            <w:r>
              <w:rPr>
                <w:rFonts w:hint="default" w:ascii="Times New Roman" w:hAnsi="Times New Roman" w:cs="Times New Roman"/>
                <w:color w:val="000000" w:themeColor="text1"/>
                <w:sz w:val="24"/>
                <w:szCs w:val="24"/>
                <w:highlight w:val="none"/>
                <w14:textFill>
                  <w14:solidFill>
                    <w14:schemeClr w14:val="tx1"/>
                  </w14:solidFill>
                </w14:textFill>
              </w:rPr>
              <w:t>水库工程总体</w:t>
            </w:r>
            <w:r>
              <w:rPr>
                <w:rFonts w:hint="default" w:ascii="Times New Roman" w:hAnsi="Times New Roman" w:cs="Times New Roman"/>
                <w:color w:val="000000" w:themeColor="text1"/>
                <w:sz w:val="24"/>
                <w:szCs w:val="24"/>
                <w:highlight w:val="none"/>
                <w:lang w:eastAsia="zh-CN"/>
                <w14:textFill>
                  <w14:solidFill>
                    <w14:schemeClr w14:val="tx1"/>
                  </w14:solidFill>
                </w14:textFill>
              </w:rPr>
              <w:t>布局不变，</w:t>
            </w:r>
            <w:r>
              <w:rPr>
                <w:rFonts w:hint="default" w:ascii="Times New Roman" w:hAnsi="Times New Roman" w:cs="Times New Roman" w:eastAsiaTheme="minorEastAsia"/>
                <w:color w:val="000000" w:themeColor="text1"/>
                <w:sz w:val="24"/>
                <w:highlight w:val="none"/>
                <w14:textFill>
                  <w14:solidFill>
                    <w14:schemeClr w14:val="tx1"/>
                  </w14:solidFill>
                </w14:textFill>
              </w:rPr>
              <w:t>溢洪道、泄洪输水洞</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位置不变，输水与泄洪能力不变。</w:t>
            </w:r>
          </w:p>
          <w:p w14:paraId="7366B980">
            <w:pPr>
              <w:spacing w:line="360" w:lineRule="auto"/>
              <w:ind w:firstLine="480" w:firstLineChars="200"/>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青山水库大坝坝长540m，坝顶宽度5m，坝的迎水坡坡比为1:3.0，背水坡坡比为1:2.5。溢洪道位于坝段桩号0+040，输水洞位于坝段桩号0+400</w:t>
            </w:r>
            <w:r>
              <w:rPr>
                <w:rFonts w:hint="eastAsia" w:cs="Times New Roman" w:eastAsiaTheme="minorEastAsia"/>
                <w:color w:val="000000" w:themeColor="text1"/>
                <w:sz w:val="24"/>
                <w:highlight w:val="none"/>
                <w:lang w:val="en-US" w:eastAsia="zh-CN"/>
                <w14:textFill>
                  <w14:solidFill>
                    <w14:schemeClr w14:val="tx1"/>
                  </w14:solidFill>
                </w14:textFill>
              </w:rPr>
              <w:t>。</w:t>
            </w:r>
          </w:p>
          <w:p w14:paraId="3971523D">
            <w:pPr>
              <w:spacing w:line="360" w:lineRule="auto"/>
              <w:ind w:firstLine="480" w:firstLineChars="200"/>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p>
          <w:p w14:paraId="705151E4">
            <w:pPr>
              <w:adjustRightInd w:val="0"/>
              <w:snapToGrid w:val="0"/>
              <w:spacing w:line="360" w:lineRule="auto"/>
              <w:rPr>
                <w:rFonts w:hint="default" w:ascii="Times New Roman" w:hAnsi="Times New Roman" w:cs="Times New Roman"/>
                <w:color w:val="000000" w:themeColor="text1"/>
                <w:highlight w:val="none"/>
                <w14:textFill>
                  <w14:solidFill>
                    <w14:schemeClr w14:val="tx1"/>
                  </w14:solidFill>
                </w14:textFill>
              </w:rPr>
            </w:pPr>
          </w:p>
        </w:tc>
      </w:tr>
      <w:tr w14:paraId="6D50050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1" w:type="pct"/>
            <w:vAlign w:val="center"/>
          </w:tcPr>
          <w:p w14:paraId="0AB3F91D">
            <w:pPr>
              <w:adjustRightInd w:val="0"/>
              <w:snapToGrid w:val="0"/>
              <w:jc w:val="center"/>
              <w:rPr>
                <w:rFonts w:hint="default" w:ascii="Times New Roman" w:hAnsi="Times New Roman" w:cs="Times New Roman" w:eastAsiaTheme="minorEastAsia"/>
                <w:color w:val="000000" w:themeColor="text1"/>
                <w:kern w:val="0"/>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14:textFill>
                  <w14:solidFill>
                    <w14:schemeClr w14:val="tx1"/>
                  </w14:solidFill>
                </w14:textFill>
              </w:rPr>
              <w:t>施工方案</w:t>
            </w:r>
          </w:p>
        </w:tc>
        <w:tc>
          <w:tcPr>
            <w:tcW w:w="4738" w:type="pct"/>
            <w:vAlign w:val="center"/>
          </w:tcPr>
          <w:p w14:paraId="31850F99">
            <w:pPr>
              <w:spacing w:line="360" w:lineRule="auto"/>
              <w:ind w:firstLine="482" w:firstLineChars="200"/>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b/>
                <w:color w:val="000000" w:themeColor="text1"/>
                <w:sz w:val="24"/>
                <w:highlight w:val="none"/>
                <w14:textFill>
                  <w14:solidFill>
                    <w14:schemeClr w14:val="tx1"/>
                  </w14:solidFill>
                </w14:textFill>
              </w:rPr>
              <w:t>主体工程施工</w:t>
            </w:r>
          </w:p>
          <w:p w14:paraId="114580F5">
            <w:pPr>
              <w:spacing w:line="360" w:lineRule="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4997450" cy="1390650"/>
                  <wp:effectExtent l="0" t="0" r="12700" b="0"/>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26"/>
                          <a:stretch>
                            <a:fillRect/>
                          </a:stretch>
                        </pic:blipFill>
                        <pic:spPr>
                          <a:xfrm>
                            <a:off x="0" y="0"/>
                            <a:ext cx="4997450" cy="1390650"/>
                          </a:xfrm>
                          <a:prstGeom prst="rect">
                            <a:avLst/>
                          </a:prstGeom>
                          <a:noFill/>
                          <a:ln>
                            <a:noFill/>
                          </a:ln>
                        </pic:spPr>
                      </pic:pic>
                    </a:graphicData>
                  </a:graphic>
                </wp:inline>
              </w:drawing>
            </w:r>
          </w:p>
          <w:p w14:paraId="74C3BFDB">
            <w:pPr>
              <w:spacing w:line="360" w:lineRule="auto"/>
              <w:ind w:firstLine="480"/>
              <w:jc w:val="cente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b/>
                <w:color w:val="000000" w:themeColor="text1"/>
                <w:sz w:val="24"/>
                <w:highlight w:val="none"/>
                <w14:textFill>
                  <w14:solidFill>
                    <w14:schemeClr w14:val="tx1"/>
                  </w14:solidFill>
                </w14:textFill>
              </w:rPr>
              <w:t>图</w:t>
            </w:r>
            <w:r>
              <w:rPr>
                <w:rFonts w:hint="default" w:ascii="Times New Roman" w:hAnsi="Times New Roman" w:cs="Times New Roman"/>
                <w:b/>
                <w:color w:val="000000" w:themeColor="text1"/>
                <w:sz w:val="24"/>
                <w:highlight w:val="none"/>
                <w:lang w:val="en-US" w:eastAsia="zh-CN"/>
                <w14:textFill>
                  <w14:solidFill>
                    <w14:schemeClr w14:val="tx1"/>
                  </w14:solidFill>
                </w14:textFill>
              </w:rPr>
              <w:t>2</w:t>
            </w:r>
            <w:r>
              <w:rPr>
                <w:rFonts w:hint="default" w:ascii="Times New Roman" w:hAnsi="Times New Roman" w:cs="Times New Roman"/>
                <w:b/>
                <w:color w:val="000000" w:themeColor="text1"/>
                <w:sz w:val="24"/>
                <w:highlight w:val="none"/>
                <w14:textFill>
                  <w14:solidFill>
                    <w14:schemeClr w14:val="tx1"/>
                  </w14:solidFill>
                </w14:textFill>
              </w:rPr>
              <w:t>-</w:t>
            </w:r>
            <w:r>
              <w:rPr>
                <w:rFonts w:hint="eastAsia" w:ascii="Times New Roman" w:hAnsi="Times New Roman" w:cs="Times New Roman"/>
                <w:b/>
                <w:color w:val="000000" w:themeColor="text1"/>
                <w:sz w:val="24"/>
                <w:highlight w:val="none"/>
                <w:lang w:val="en-US" w:eastAsia="zh-CN"/>
                <w14:textFill>
                  <w14:solidFill>
                    <w14:schemeClr w14:val="tx1"/>
                  </w14:solidFill>
                </w14:textFill>
              </w:rPr>
              <w:t>2</w:t>
            </w:r>
            <w:r>
              <w:rPr>
                <w:rFonts w:hint="eastAsia" w:ascii="Times New Roman" w:hAnsi="Times New Roman" w:eastAsia="宋体" w:cs="Times New Roman"/>
                <w:b/>
                <w:color w:val="000000" w:themeColor="text1"/>
                <w:sz w:val="24"/>
                <w:highlight w:val="none"/>
                <w:lang w:val="en-US" w:eastAsia="zh-CN"/>
                <w14:textFill>
                  <w14:solidFill>
                    <w14:schemeClr w14:val="tx1"/>
                  </w14:solidFill>
                </w14:textFill>
              </w:rPr>
              <w:t xml:space="preserve"> 一般施工工艺流程及产污节点图</w:t>
            </w:r>
          </w:p>
          <w:p w14:paraId="41F30D4B">
            <w:pPr>
              <w:spacing w:line="360" w:lineRule="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4998720" cy="1336675"/>
                  <wp:effectExtent l="0" t="0" r="11430" b="15875"/>
                  <wp:docPr id="13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7"/>
                          <pic:cNvPicPr>
                            <a:picLocks noChangeAspect="1"/>
                          </pic:cNvPicPr>
                        </pic:nvPicPr>
                        <pic:blipFill>
                          <a:blip r:embed="rId27"/>
                          <a:stretch>
                            <a:fillRect/>
                          </a:stretch>
                        </pic:blipFill>
                        <pic:spPr>
                          <a:xfrm>
                            <a:off x="0" y="0"/>
                            <a:ext cx="4998720" cy="1336675"/>
                          </a:xfrm>
                          <a:prstGeom prst="rect">
                            <a:avLst/>
                          </a:prstGeom>
                          <a:noFill/>
                          <a:ln>
                            <a:noFill/>
                          </a:ln>
                        </pic:spPr>
                      </pic:pic>
                    </a:graphicData>
                  </a:graphic>
                </wp:inline>
              </w:drawing>
            </w:r>
          </w:p>
          <w:p w14:paraId="3DC4420F">
            <w:pPr>
              <w:spacing w:line="360" w:lineRule="auto"/>
              <w:ind w:firstLine="480"/>
              <w:jc w:val="cente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sz w:val="24"/>
                <w:highlight w:val="none"/>
                <w14:textFill>
                  <w14:solidFill>
                    <w14:schemeClr w14:val="tx1"/>
                  </w14:solidFill>
                </w14:textFill>
              </w:rPr>
              <w:t>图</w:t>
            </w: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2-</w:t>
            </w:r>
            <w:r>
              <w:rPr>
                <w:rFonts w:hint="eastAsia" w:ascii="Times New Roman" w:hAnsi="Times New Roman" w:cs="Times New Roman" w:eastAsiaTheme="minorEastAsia"/>
                <w:b/>
                <w:bCs/>
                <w:color w:val="000000" w:themeColor="text1"/>
                <w:sz w:val="24"/>
                <w:highlight w:val="none"/>
                <w:lang w:val="en-US" w:eastAsia="zh-CN"/>
                <w14:textFill>
                  <w14:solidFill>
                    <w14:schemeClr w14:val="tx1"/>
                  </w14:solidFill>
                </w14:textFill>
              </w:rPr>
              <w:t>3 输水洞施工工艺流程及产污节点图</w:t>
            </w:r>
          </w:p>
          <w:p w14:paraId="7045C371">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（1）土方工程</w:t>
            </w:r>
          </w:p>
          <w:p w14:paraId="3C67E5B6">
            <w:pPr>
              <w:spacing w:line="360" w:lineRule="auto"/>
              <w:ind w:firstLine="480"/>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土方开挖：1m</w:t>
            </w:r>
            <w:r>
              <w:rPr>
                <w:rFonts w:hint="default" w:ascii="Times New Roman" w:hAnsi="Times New Roman" w:cs="Times New Roman" w:eastAsiaTheme="minorEastAsia"/>
                <w:color w:val="000000" w:themeColor="text1"/>
                <w:sz w:val="24"/>
                <w:highlight w:val="none"/>
                <w:vertAlign w:val="superscript"/>
                <w14:textFill>
                  <w14:solidFill>
                    <w14:schemeClr w14:val="tx1"/>
                  </w14:solidFill>
                </w14:textFill>
              </w:rPr>
              <w:t>3</w:t>
            </w:r>
            <w:r>
              <w:rPr>
                <w:rFonts w:hint="default" w:ascii="Times New Roman" w:hAnsi="Times New Roman" w:cs="Times New Roman" w:eastAsiaTheme="minorEastAsia"/>
                <w:color w:val="000000" w:themeColor="text1"/>
                <w:sz w:val="24"/>
                <w:highlight w:val="none"/>
                <w14:textFill>
                  <w14:solidFill>
                    <w14:schemeClr w14:val="tx1"/>
                  </w14:solidFill>
                </w14:textFill>
              </w:rPr>
              <w:t>挖掘机开挖，将回填所需的土方就近堆放在工作面以外的场地上</w:t>
            </w:r>
            <w:r>
              <w:rPr>
                <w:rFonts w:hint="eastAsia" w:cs="Times New Roman" w:eastAsiaTheme="minorEastAsia"/>
                <w:color w:val="000000" w:themeColor="text1"/>
                <w:sz w:val="24"/>
                <w:highlight w:val="none"/>
                <w:lang w:eastAsia="zh-CN"/>
                <w14:textFill>
                  <w14:solidFill>
                    <w14:schemeClr w14:val="tx1"/>
                  </w14:solidFill>
                </w14:textFill>
              </w:rPr>
              <w:t>，会产生噪声影响、大气影响。</w:t>
            </w:r>
          </w:p>
          <w:p w14:paraId="2C9DEE70">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土方回填：采用103kw推土机推运，夯实机压实，压实度为0.96。最终的碾压遍数和摊平厚度由现场碾压试验确定，碾压施工应符合施工规范规定的要求</w:t>
            </w:r>
            <w:r>
              <w:rPr>
                <w:rFonts w:hint="eastAsia" w:cs="Times New Roman" w:eastAsiaTheme="minorEastAsia"/>
                <w:color w:val="000000" w:themeColor="text1"/>
                <w:sz w:val="24"/>
                <w:highlight w:val="none"/>
                <w:lang w:eastAsia="zh-CN"/>
                <w14:textFill>
                  <w14:solidFill>
                    <w14:schemeClr w14:val="tx1"/>
                  </w14:solidFill>
                </w14:textFill>
              </w:rPr>
              <w:t>会产生噪声影响、大气影响。</w:t>
            </w:r>
          </w:p>
          <w:p w14:paraId="13161BF9">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（2）石方工程</w:t>
            </w:r>
          </w:p>
          <w:p w14:paraId="67BF0C25">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自卸汽车运输原料，人工铺筑。</w:t>
            </w:r>
          </w:p>
          <w:p w14:paraId="0B108175">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（3）土工膜</w:t>
            </w:r>
          </w:p>
          <w:p w14:paraId="4FA70E19">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土工膜下基面应清除杂物、平整，自下游侧向上游侧平展铺设，顶部和底部应予固定，坡面上应设防滑钉，随铺随压重。拼接采用胶接法黏合时其搭接宽度为5～7cm。</w:t>
            </w:r>
          </w:p>
          <w:p w14:paraId="7C0F2E20">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4</w:t>
            </w:r>
            <w:r>
              <w:rPr>
                <w:rFonts w:hint="default" w:ascii="Times New Roman" w:hAnsi="Times New Roman" w:cs="Times New Roman" w:eastAsiaTheme="minorEastAsia"/>
                <w:color w:val="000000" w:themeColor="text1"/>
                <w:sz w:val="24"/>
                <w:highlight w:val="none"/>
                <w14:textFill>
                  <w14:solidFill>
                    <w14:schemeClr w14:val="tx1"/>
                  </w14:solidFill>
                </w14:textFill>
              </w:rPr>
              <w:t>）砼工程：</w:t>
            </w:r>
            <w:r>
              <w:rPr>
                <w:rFonts w:hint="default" w:ascii="Times New Roman" w:hAnsi="Times New Roman" w:cs="Times New Roman"/>
                <w:color w:val="000000" w:themeColor="text1"/>
                <w:sz w:val="24"/>
                <w:highlight w:val="none"/>
                <w:lang w:eastAsia="zh-CN"/>
                <w14:textFill>
                  <w14:solidFill>
                    <w14:schemeClr w14:val="tx1"/>
                  </w14:solidFill>
                </w14:textFill>
              </w:rPr>
              <w:t>本工程设置</w:t>
            </w:r>
            <w:r>
              <w:rPr>
                <w:rFonts w:hint="default" w:ascii="Times New Roman" w:hAnsi="Times New Roman" w:cs="Times New Roman"/>
                <w:color w:val="000000" w:themeColor="text1"/>
                <w:sz w:val="24"/>
                <w:highlight w:val="none"/>
                <w:lang w:val="en-US" w:eastAsia="zh-CN"/>
                <w14:textFill>
                  <w14:solidFill>
                    <w14:schemeClr w14:val="tx1"/>
                  </w14:solidFill>
                </w14:textFill>
              </w:rPr>
              <w:t>0.8m³的</w:t>
            </w:r>
            <w:r>
              <w:rPr>
                <w:rFonts w:hint="default" w:ascii="Times New Roman" w:hAnsi="Times New Roman" w:cs="Times New Roman"/>
                <w:color w:val="000000" w:themeColor="text1"/>
                <w:sz w:val="24"/>
                <w:highlight w:val="none"/>
                <w14:textFill>
                  <w14:solidFill>
                    <w14:schemeClr w14:val="tx1"/>
                  </w14:solidFill>
                </w14:textFill>
              </w:rPr>
              <w:t>混凝土拌合</w:t>
            </w:r>
            <w:r>
              <w:rPr>
                <w:rFonts w:hint="default" w:ascii="Times New Roman" w:hAnsi="Times New Roman" w:cs="Times New Roman"/>
                <w:color w:val="000000" w:themeColor="text1"/>
                <w:sz w:val="24"/>
                <w:highlight w:val="none"/>
                <w:lang w:eastAsia="zh-CN"/>
                <w14:textFill>
                  <w14:solidFill>
                    <w14:schemeClr w14:val="tx1"/>
                  </w14:solidFill>
                </w14:textFill>
              </w:rPr>
              <w:t>机</w:t>
            </w:r>
            <w:r>
              <w:rPr>
                <w:rFonts w:hint="default" w:ascii="Times New Roman" w:hAnsi="Times New Roman" w:cs="Times New Roman" w:eastAsiaTheme="minorEastAsia"/>
                <w:color w:val="000000" w:themeColor="text1"/>
                <w:sz w:val="24"/>
                <w:highlight w:val="none"/>
                <w14:textFill>
                  <w14:solidFill>
                    <w14:schemeClr w14:val="tx1"/>
                  </w14:solidFill>
                </w14:textFill>
              </w:rPr>
              <w:t>，1.1kW振捣棒振捣，部分表面采用平面振捣器振捣。高处采用履带机吊运入仓。</w:t>
            </w:r>
          </w:p>
          <w:p w14:paraId="6E93F668">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5</w:t>
            </w:r>
            <w:r>
              <w:rPr>
                <w:rFonts w:hint="default" w:ascii="Times New Roman" w:hAnsi="Times New Roman" w:cs="Times New Roman" w:eastAsiaTheme="minorEastAsia"/>
                <w:color w:val="000000" w:themeColor="text1"/>
                <w:sz w:val="24"/>
                <w:highlight w:val="none"/>
                <w14:textFill>
                  <w14:solidFill>
                    <w14:schemeClr w14:val="tx1"/>
                  </w14:solidFill>
                </w14:textFill>
              </w:rPr>
              <w:t>）钢筋制安：就近钢筋加工厂加工，机械调直，切断，弯钩，人工除锈。</w:t>
            </w:r>
          </w:p>
          <w:p w14:paraId="4FF2101B">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6</w:t>
            </w:r>
            <w:r>
              <w:rPr>
                <w:rFonts w:hint="default" w:ascii="Times New Roman" w:hAnsi="Times New Roman" w:cs="Times New Roman" w:eastAsiaTheme="minorEastAsia"/>
                <w:color w:val="000000" w:themeColor="text1"/>
                <w:sz w:val="24"/>
                <w:highlight w:val="none"/>
                <w14:textFill>
                  <w14:solidFill>
                    <w14:schemeClr w14:val="tx1"/>
                  </w14:solidFill>
                </w14:textFill>
              </w:rPr>
              <w:t>）砂砾垫层：采用人工铺筑，施工时坡面处理完成并经过验收后，按设计要求进行垫层分层填筑施工。原料运到施工段附近，按设计厚度要求人工进行铺筑。</w:t>
            </w:r>
          </w:p>
          <w:p w14:paraId="472EE074">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7</w:t>
            </w:r>
            <w:r>
              <w:rPr>
                <w:rFonts w:hint="default" w:ascii="Times New Roman" w:hAnsi="Times New Roman" w:cs="Times New Roman" w:eastAsiaTheme="minorEastAsia"/>
                <w:color w:val="000000" w:themeColor="text1"/>
                <w:sz w:val="24"/>
                <w:highlight w:val="none"/>
                <w14:textFill>
                  <w14:solidFill>
                    <w14:schemeClr w14:val="tx1"/>
                  </w14:solidFill>
                </w14:textFill>
              </w:rPr>
              <w:t>）金属结构安装：采用工厂加工，汽运到现场吊装、定位。</w:t>
            </w:r>
          </w:p>
          <w:p w14:paraId="31963F2A">
            <w:pPr>
              <w:spacing w:line="360" w:lineRule="auto"/>
              <w:ind w:firstLine="480"/>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8</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）构筑物整形，通过模具对混凝土进行固定，修护，会产生固废影响。</w:t>
            </w:r>
          </w:p>
          <w:p w14:paraId="6A4D7877">
            <w:pPr>
              <w:spacing w:line="360" w:lineRule="auto"/>
              <w:ind w:firstLine="480"/>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pPr>
            <w:r>
              <w:rPr>
                <w:rFonts w:hint="eastAsia" w:cs="Times New Roman" w:eastAsiaTheme="minorEastAsia"/>
                <w:b/>
                <w:bCs/>
                <w:color w:val="000000" w:themeColor="text1"/>
                <w:sz w:val="24"/>
                <w:highlight w:val="none"/>
                <w:lang w:val="en-US" w:eastAsia="zh-CN"/>
                <w14:textFill>
                  <w14:solidFill>
                    <w14:schemeClr w14:val="tx1"/>
                  </w14:solidFill>
                </w14:textFill>
              </w:rPr>
              <w:t>2、施工方法及方案</w:t>
            </w:r>
          </w:p>
          <w:p w14:paraId="24194D6A">
            <w:pPr>
              <w:spacing w:line="360" w:lineRule="auto"/>
              <w:ind w:firstLine="480"/>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本次加固施工对水库下部分工程采用下调水位后再施工，枯水期利用大坝旧输水洞下调水位后，进行施工，施工库区水位维持在</w:t>
            </w:r>
            <w:r>
              <w:rPr>
                <w:rFonts w:hint="eastAsia" w:cs="Times New Roman" w:eastAsiaTheme="minorEastAsia"/>
                <w:color w:val="000000" w:themeColor="text1"/>
                <w:sz w:val="24"/>
                <w:highlight w:val="none"/>
                <w:lang w:val="en-US" w:eastAsia="zh-CN"/>
                <w14:textFill>
                  <w14:solidFill>
                    <w14:schemeClr w14:val="tx1"/>
                  </w14:solidFill>
                </w14:textFill>
              </w:rPr>
              <w:t>177.50m以下，无需施工围堰</w:t>
            </w:r>
            <w:r>
              <w:rPr>
                <w:rFonts w:hint="eastAsia" w:cs="Times New Roman" w:eastAsiaTheme="minorEastAsia"/>
                <w:color w:val="000000" w:themeColor="text1"/>
                <w:sz w:val="24"/>
                <w:highlight w:val="none"/>
                <w:lang w:eastAsia="zh-CN"/>
                <w14:textFill>
                  <w14:solidFill>
                    <w14:schemeClr w14:val="tx1"/>
                  </w14:solidFill>
                </w14:textFill>
              </w:rPr>
              <w:t>，施工期无需抽水，无涉水工程，如在枯水期遭遇大量来水，水库水位上涨影响施工时，可暂停大坝坝体、输水洞、</w:t>
            </w:r>
            <w:r>
              <w:rPr>
                <w:rFonts w:hint="default" w:cs="Times New Roman" w:eastAsiaTheme="minorEastAsia"/>
                <w:color w:val="000000" w:themeColor="text1"/>
                <w:sz w:val="24"/>
                <w:highlight w:val="none"/>
                <w:lang w:eastAsia="zh-CN"/>
                <w14:textFill>
                  <w14:solidFill>
                    <w14:schemeClr w14:val="tx1"/>
                  </w14:solidFill>
                </w14:textFill>
              </w:rPr>
              <w:t>溢洪道</w:t>
            </w:r>
            <w:r>
              <w:rPr>
                <w:rFonts w:hint="eastAsia" w:cs="Times New Roman" w:eastAsiaTheme="minorEastAsia"/>
                <w:color w:val="000000" w:themeColor="text1"/>
                <w:sz w:val="24"/>
                <w:highlight w:val="none"/>
                <w:lang w:eastAsia="zh-CN"/>
                <w14:textFill>
                  <w14:solidFill>
                    <w14:schemeClr w14:val="tx1"/>
                  </w14:solidFill>
                </w14:textFill>
              </w:rPr>
              <w:t>的施工，短时间内待水库水位下降后，再继续施工。</w:t>
            </w:r>
          </w:p>
          <w:p w14:paraId="07083EB2">
            <w:pPr>
              <w:spacing w:line="360" w:lineRule="auto"/>
              <w:ind w:firstLine="480"/>
              <w:rPr>
                <w:rFonts w:hint="default" w:ascii="Times New Roman" w:hAnsi="Times New Roman" w:cs="Times New Roman" w:eastAsiaTheme="minorEastAsia"/>
                <w:b/>
                <w:bCs/>
                <w:color w:val="000000" w:themeColor="text1"/>
                <w:sz w:val="24"/>
                <w:highlight w:val="none"/>
                <w14:textFill>
                  <w14:solidFill>
                    <w14:schemeClr w14:val="tx1"/>
                  </w14:solidFill>
                </w14:textFill>
              </w:rPr>
            </w:pPr>
            <w:r>
              <w:rPr>
                <w:rFonts w:hint="eastAsia" w:cs="Times New Roman" w:eastAsiaTheme="minorEastAsia"/>
                <w:b/>
                <w:bCs/>
                <w:color w:val="000000" w:themeColor="text1"/>
                <w:sz w:val="24"/>
                <w:highlight w:val="none"/>
                <w:lang w:val="en-US" w:eastAsia="zh-CN"/>
                <w14:textFill>
                  <w14:solidFill>
                    <w14:schemeClr w14:val="tx1"/>
                  </w14:solidFill>
                </w14:textFill>
              </w:rPr>
              <w:t>3</w:t>
            </w: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施工时序</w:t>
            </w:r>
          </w:p>
          <w:p w14:paraId="0934D74E">
            <w:pPr>
              <w:spacing w:line="360" w:lineRule="auto"/>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本工程总工期为1年，预计202</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5</w:t>
            </w:r>
            <w:r>
              <w:rPr>
                <w:rFonts w:hint="default" w:ascii="Times New Roman" w:hAnsi="Times New Roman" w:cs="Times New Roman" w:eastAsiaTheme="minorEastAsia"/>
                <w:color w:val="000000" w:themeColor="text1"/>
                <w:sz w:val="24"/>
                <w:highlight w:val="none"/>
                <w14:textFill>
                  <w14:solidFill>
                    <w14:schemeClr w14:val="tx1"/>
                  </w14:solidFill>
                </w14:textFill>
              </w:rPr>
              <w:t>年</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8</w:t>
            </w:r>
            <w:r>
              <w:rPr>
                <w:rFonts w:hint="default" w:ascii="Times New Roman" w:hAnsi="Times New Roman" w:cs="Times New Roman" w:eastAsiaTheme="minorEastAsia"/>
                <w:color w:val="000000" w:themeColor="text1"/>
                <w:sz w:val="24"/>
                <w:highlight w:val="none"/>
                <w14:textFill>
                  <w14:solidFill>
                    <w14:schemeClr w14:val="tx1"/>
                  </w14:solidFill>
                </w14:textFill>
              </w:rPr>
              <w:t>月开工，202</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6</w:t>
            </w:r>
            <w:r>
              <w:rPr>
                <w:rFonts w:hint="default" w:ascii="Times New Roman" w:hAnsi="Times New Roman" w:cs="Times New Roman" w:eastAsiaTheme="minorEastAsia"/>
                <w:color w:val="000000" w:themeColor="text1"/>
                <w:sz w:val="24"/>
                <w:highlight w:val="none"/>
                <w14:textFill>
                  <w14:solidFill>
                    <w14:schemeClr w14:val="tx1"/>
                  </w14:solidFill>
                </w14:textFill>
              </w:rPr>
              <w:t>年</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7</w:t>
            </w:r>
            <w:r>
              <w:rPr>
                <w:rFonts w:hint="default" w:ascii="Times New Roman" w:hAnsi="Times New Roman" w:cs="Times New Roman" w:eastAsiaTheme="minorEastAsia"/>
                <w:color w:val="000000" w:themeColor="text1"/>
                <w:sz w:val="24"/>
                <w:highlight w:val="none"/>
                <w14:textFill>
                  <w14:solidFill>
                    <w14:schemeClr w14:val="tx1"/>
                  </w14:solidFill>
                </w14:textFill>
              </w:rPr>
              <w:t>月完工。</w:t>
            </w:r>
          </w:p>
        </w:tc>
      </w:tr>
      <w:tr w14:paraId="07ED65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7" w:hRule="atLeast"/>
          <w:jc w:val="center"/>
        </w:trPr>
        <w:tc>
          <w:tcPr>
            <w:tcW w:w="261" w:type="pct"/>
            <w:vAlign w:val="center"/>
          </w:tcPr>
          <w:p w14:paraId="30BE9DB3">
            <w:pPr>
              <w:adjustRightInd w:val="0"/>
              <w:snapToGrid w:val="0"/>
              <w:jc w:val="cente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其他</w:t>
            </w:r>
          </w:p>
        </w:tc>
        <w:tc>
          <w:tcPr>
            <w:tcW w:w="4738" w:type="pct"/>
            <w:vAlign w:val="center"/>
          </w:tcPr>
          <w:p w14:paraId="74CEB68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eastAsia" w:cs="Times New Roman" w:eastAsiaTheme="minorEastAsia"/>
                <w:color w:val="000000" w:themeColor="text1"/>
                <w:kern w:val="0"/>
                <w:sz w:val="24"/>
                <w:szCs w:val="24"/>
                <w:highlight w:val="none"/>
                <w:lang w:val="en-US" w:eastAsia="zh-CN"/>
                <w14:textFill>
                  <w14:solidFill>
                    <w14:schemeClr w14:val="tx1"/>
                  </w14:solidFill>
                </w14:textFill>
              </w:rPr>
            </w:pPr>
            <w:r>
              <w:rPr>
                <w:rFonts w:hint="eastAsia" w:cs="Times New Roman" w:eastAsiaTheme="minorEastAsia"/>
                <w:color w:val="000000" w:themeColor="text1"/>
                <w:kern w:val="0"/>
                <w:sz w:val="24"/>
                <w:szCs w:val="24"/>
                <w:highlight w:val="none"/>
                <w:lang w:val="en-US" w:eastAsia="zh-CN"/>
                <w14:textFill>
                  <w14:solidFill>
                    <w14:schemeClr w14:val="tx1"/>
                  </w14:solidFill>
                </w14:textFill>
              </w:rPr>
              <w:t>本工程属于改建项目，在大坝原位建设，输水洞、溢洪道在原位修复改建，</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运行多年已与周围环境达到新的平衡，</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若改变选址以及</w:t>
            </w:r>
            <w:r>
              <w:rPr>
                <w:rFonts w:hint="eastAsia" w:cs="Times New Roman" w:eastAsiaTheme="minorEastAsia"/>
                <w:color w:val="000000" w:themeColor="text1"/>
                <w:kern w:val="0"/>
                <w:sz w:val="24"/>
                <w:szCs w:val="24"/>
                <w:highlight w:val="none"/>
                <w:lang w:val="en-US" w:eastAsia="zh-CN"/>
                <w14:textFill>
                  <w14:solidFill>
                    <w14:schemeClr w14:val="tx1"/>
                  </w14:solidFill>
                </w14:textFill>
              </w:rPr>
              <w:t>输水洞、溢洪道，会导致较大的生态影响，以及对河道的改变造成对下游水体的影响，因此本工程无比选方案；</w:t>
            </w:r>
          </w:p>
          <w:p w14:paraId="7EDB62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cs="Times New Roman" w:eastAsiaTheme="minorEastAsia"/>
                <w:color w:val="000000" w:themeColor="text1"/>
                <w:kern w:val="0"/>
                <w:sz w:val="24"/>
                <w:szCs w:val="24"/>
                <w:highlight w:val="none"/>
                <w:lang w:val="en-US" w:eastAsia="zh-CN"/>
                <w14:textFill>
                  <w14:solidFill>
                    <w14:schemeClr w14:val="tx1"/>
                  </w14:solidFill>
                </w14:textFill>
              </w:rPr>
            </w:pPr>
            <w:r>
              <w:rPr>
                <w:rFonts w:hint="eastAsia" w:cs="Times New Roman" w:eastAsiaTheme="minorEastAsia"/>
                <w:color w:val="000000" w:themeColor="text1"/>
                <w:kern w:val="0"/>
                <w:sz w:val="24"/>
                <w:szCs w:val="24"/>
                <w:highlight w:val="none"/>
                <w:lang w:val="en-US" w:eastAsia="zh-CN"/>
                <w14:textFill>
                  <w14:solidFill>
                    <w14:schemeClr w14:val="tx1"/>
                  </w14:solidFill>
                </w14:textFill>
              </w:rPr>
              <w:t>本工程选择非农业灌溉期以及枯水期进行施工，最大限度的降低对水库功能的影响，为避让保证青山水库下游生态须水量，以及保证本青山水库的使用功能致使工期较长，因此施工无替代方案。</w:t>
            </w:r>
          </w:p>
        </w:tc>
      </w:tr>
    </w:tbl>
    <w:p w14:paraId="21059779">
      <w:pPr>
        <w:pStyle w:val="19"/>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sectPr>
          <w:footerReference r:id="rId7"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10" w:name="_Toc13546"/>
    </w:p>
    <w:p w14:paraId="6E97CD7B">
      <w:pPr>
        <w:pStyle w:val="19"/>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11" w:name="_Toc7084"/>
      <w:bookmarkStart w:id="12" w:name="_Toc13218"/>
      <w:bookmarkStart w:id="13" w:name="_Toc32729"/>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三、生态环境现状、保护目标及评价标准</w:t>
      </w:r>
      <w:bookmarkEnd w:id="10"/>
      <w:bookmarkEnd w:id="11"/>
      <w:bookmarkEnd w:id="12"/>
      <w:bookmarkEnd w:id="13"/>
    </w:p>
    <w:tbl>
      <w:tblPr>
        <w:tblStyle w:val="22"/>
        <w:tblW w:w="91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47"/>
        <w:gridCol w:w="8210"/>
      </w:tblGrid>
      <w:tr w14:paraId="7E1202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68" w:hRule="atLeast"/>
          <w:jc w:val="center"/>
        </w:trPr>
        <w:tc>
          <w:tcPr>
            <w:tcW w:w="947" w:type="dxa"/>
            <w:vAlign w:val="center"/>
          </w:tcPr>
          <w:p w14:paraId="7D97FBE6">
            <w:pPr>
              <w:adjustRightInd w:val="0"/>
              <w:snapToGrid w:val="0"/>
              <w:jc w:val="center"/>
              <w:rPr>
                <w:rFonts w:hint="default" w:ascii="Times New Roman" w:hAnsi="Times New Roman" w:cs="Times New Roman" w:eastAsiaTheme="minorEastAsia"/>
                <w:color w:val="000000" w:themeColor="text1"/>
                <w:kern w:val="0"/>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14:textFill>
                  <w14:solidFill>
                    <w14:schemeClr w14:val="tx1"/>
                  </w14:solidFill>
                </w14:textFill>
              </w:rPr>
              <w:t>生态环境现状</w:t>
            </w:r>
          </w:p>
        </w:tc>
        <w:tc>
          <w:tcPr>
            <w:tcW w:w="8210" w:type="dxa"/>
            <w:vAlign w:val="center"/>
          </w:tcPr>
          <w:p w14:paraId="1026DDDB">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b/>
                <w:color w:val="000000" w:themeColor="text1"/>
                <w:sz w:val="24"/>
                <w:highlight w:val="none"/>
                <w14:textFill>
                  <w14:solidFill>
                    <w14:schemeClr w14:val="tx1"/>
                  </w14:solidFill>
                </w14:textFill>
              </w:rPr>
              <w:t>生态环境现状</w:t>
            </w:r>
          </w:p>
          <w:p w14:paraId="5D26685D">
            <w:pPr>
              <w:keepNext w:val="0"/>
              <w:keepLines w:val="0"/>
              <w:pageBreakBefore w:val="0"/>
              <w:widowControl w:val="0"/>
              <w:kinsoku/>
              <w:wordWrap/>
              <w:overflowPunct/>
              <w:topLinePunct w:val="0"/>
              <w:autoSpaceDE/>
              <w:autoSpaceDN/>
              <w:bidi w:val="0"/>
              <w:adjustRightInd/>
              <w:snapToGrid/>
              <w:spacing w:line="360" w:lineRule="auto"/>
              <w:ind w:left="0" w:firstLine="482" w:firstLineChars="200"/>
              <w:textAlignment w:val="auto"/>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b/>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color w:val="000000" w:themeColor="text1"/>
                <w:sz w:val="24"/>
                <w:highlight w:val="none"/>
                <w14:textFill>
                  <w14:solidFill>
                    <w14:schemeClr w14:val="tx1"/>
                  </w14:solidFill>
                </w14:textFill>
              </w:rPr>
              <w:t>主体功能区规划</w:t>
            </w:r>
          </w:p>
          <w:p w14:paraId="2FFF1CF6">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根据《国务院关于印发全国主体功能区规划的通知》（国务院国发[2010]46号），我国国土空间分为以下主体功能区：按开发方式，分为优化开发区域、重点开发区域、限制开发区域和禁止开发区域。</w:t>
            </w:r>
            <w:r>
              <w:rPr>
                <w:rFonts w:hint="default" w:ascii="Times New Roman" w:hAnsi="Times New Roman" w:cs="Times New Roman"/>
                <w:color w:val="000000" w:themeColor="text1"/>
                <w:sz w:val="24"/>
                <w:szCs w:val="24"/>
                <w:lang w:eastAsia="zh-CN"/>
                <w14:textFill>
                  <w14:solidFill>
                    <w14:schemeClr w14:val="tx1"/>
                  </w14:solidFill>
                </w14:textFill>
              </w:rPr>
              <w:t>根据</w:t>
            </w:r>
            <w:r>
              <w:rPr>
                <w:rFonts w:hint="default" w:ascii="Times New Roman" w:hAnsi="Times New Roman" w:cs="Times New Roman"/>
                <w:color w:val="000000" w:themeColor="text1"/>
                <w:kern w:val="0"/>
                <w:sz w:val="24"/>
                <w:szCs w:val="24"/>
                <w14:textFill>
                  <w14:solidFill>
                    <w14:schemeClr w14:val="tx1"/>
                  </w14:solidFill>
                </w14:textFill>
              </w:rPr>
              <w:t>《黑龙江省主体功能区规划》（黑龙江省人民政府黑政发〔2012〕29号），黑龙江省全省区域内主体功能区分为国家级和省级重点开发区域、限制开发区域和禁止开发区域二级三类区域。重点开发区域是全省工业化和城市化的重要支撑区，限制开发区域的农产品主产区是国家粮食安全的重要保障区，限制开发区域的重点生态功能区和禁止开发区域是国家和全省生态安全的重要保障区</w:t>
            </w:r>
            <w:r>
              <w:rPr>
                <w:rFonts w:hint="default" w:ascii="Times New Roman" w:hAnsi="Times New Roman" w:cs="Times New Roman"/>
                <w:color w:val="000000" w:themeColor="text1"/>
                <w:sz w:val="24"/>
                <w:szCs w:val="24"/>
                <w14:textFill>
                  <w14:solidFill>
                    <w14:schemeClr w14:val="tx1"/>
                  </w14:solidFill>
                </w14:textFill>
              </w:rPr>
              <w:t>。</w:t>
            </w:r>
          </w:p>
          <w:p w14:paraId="386DA0F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本项目所在</w:t>
            </w:r>
            <w:r>
              <w:rPr>
                <w:rFonts w:hint="eastAsia" w:cs="Times New Roman"/>
                <w:color w:val="000000" w:themeColor="text1"/>
                <w:sz w:val="24"/>
                <w:szCs w:val="24"/>
                <w:lang w:eastAsia="zh-CN"/>
                <w14:textFill>
                  <w14:solidFill>
                    <w14:schemeClr w14:val="tx1"/>
                  </w14:solidFill>
                </w14:textFill>
              </w:rPr>
              <w:t>地</w:t>
            </w:r>
            <w:r>
              <w:rPr>
                <w:rFonts w:hint="default" w:ascii="Times New Roman" w:hAnsi="Times New Roman" w:eastAsia="宋体" w:cs="Times New Roman"/>
                <w:color w:val="000000" w:themeColor="text1"/>
                <w:sz w:val="24"/>
                <w:szCs w:val="24"/>
                <w:lang w:eastAsia="zh-CN"/>
                <w14:textFill>
                  <w14:solidFill>
                    <w14:schemeClr w14:val="tx1"/>
                  </w14:solidFill>
                </w14:textFill>
              </w:rPr>
              <w:t>的鸡西市密山市位于国家级限制开发区域（重点生态功能区），</w:t>
            </w:r>
            <w:r>
              <w:rPr>
                <w:rFonts w:hint="default" w:ascii="Times New Roman" w:hAnsi="Times New Roman" w:cs="Times New Roman"/>
                <w:color w:val="000000" w:themeColor="text1"/>
                <w:kern w:val="0"/>
                <w:sz w:val="24"/>
                <w:szCs w:val="24"/>
                <w14:textFill>
                  <w14:solidFill>
                    <w14:schemeClr w14:val="tx1"/>
                  </w14:solidFill>
                </w14:textFill>
              </w:rPr>
              <w:t>本项目在黑龙江省主体功能区划中的位置见</w:t>
            </w:r>
            <w:r>
              <w:rPr>
                <w:rFonts w:hint="eastAsia" w:cs="Times New Roman"/>
                <w:color w:val="000000" w:themeColor="text1"/>
                <w:kern w:val="0"/>
                <w:sz w:val="24"/>
                <w:szCs w:val="24"/>
                <w:lang w:eastAsia="zh-CN"/>
                <w14:textFill>
                  <w14:solidFill>
                    <w14:schemeClr w14:val="tx1"/>
                  </w14:solidFill>
                </w14:textFill>
              </w:rPr>
              <w:t>附</w:t>
            </w:r>
            <w:r>
              <w:rPr>
                <w:rFonts w:hint="default" w:ascii="Times New Roman" w:hAnsi="Times New Roman" w:cs="Times New Roman"/>
                <w:color w:val="000000" w:themeColor="text1"/>
                <w:kern w:val="0"/>
                <w:sz w:val="24"/>
                <w:szCs w:val="24"/>
                <w14:textFill>
                  <w14:solidFill>
                    <w14:schemeClr w14:val="tx1"/>
                  </w14:solidFill>
                </w14:textFill>
              </w:rPr>
              <w:t>图</w:t>
            </w:r>
            <w:r>
              <w:rPr>
                <w:rFonts w:hint="eastAsia" w:cs="Times New Roman"/>
                <w:color w:val="000000" w:themeColor="text1"/>
                <w:kern w:val="0"/>
                <w:sz w:val="24"/>
                <w:szCs w:val="24"/>
                <w:lang w:val="en-US" w:eastAsia="zh-CN"/>
                <w14:textFill>
                  <w14:solidFill>
                    <w14:schemeClr w14:val="tx1"/>
                  </w14:solidFill>
                </w14:textFill>
              </w:rPr>
              <w:t>10</w:t>
            </w:r>
            <w:r>
              <w:rPr>
                <w:rFonts w:hint="default" w:ascii="Times New Roman" w:hAnsi="Times New Roman" w:cs="Times New Roman"/>
                <w:color w:val="000000" w:themeColor="text1"/>
                <w:kern w:val="0"/>
                <w:sz w:val="24"/>
                <w:szCs w:val="24"/>
                <w14:textFill>
                  <w14:solidFill>
                    <w14:schemeClr w14:val="tx1"/>
                  </w14:solidFill>
                </w14:textFill>
              </w:rPr>
              <w:t>。</w:t>
            </w:r>
          </w:p>
          <w:p w14:paraId="294FF3F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国家级限制开发区域（重点生态功能区）</w:t>
            </w:r>
            <w:r>
              <w:rPr>
                <w:rFonts w:hint="default" w:ascii="Times New Roman" w:hAnsi="Times New Roman" w:cs="Times New Roman"/>
                <w:color w:val="000000" w:themeColor="text1"/>
                <w:kern w:val="0"/>
                <w:sz w:val="24"/>
                <w:szCs w:val="24"/>
                <w14:textFill>
                  <w14:solidFill>
                    <w14:schemeClr w14:val="tx1"/>
                  </w14:solidFill>
                </w14:textFill>
              </w:rPr>
              <w:t>功能定位</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以提供生态产品为主，保障生态安全的重要区域，人与自然和谐相处的示范区。</w:t>
            </w:r>
          </w:p>
          <w:p w14:paraId="6D55FFBE">
            <w:pPr>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国家级限制开发区域（重点生态功能区）</w:t>
            </w:r>
            <w:r>
              <w:rPr>
                <w:rFonts w:hint="default" w:ascii="Times New Roman" w:hAnsi="Times New Roman" w:cs="Times New Roman" w:eastAsiaTheme="minorEastAsia"/>
                <w:color w:val="000000" w:themeColor="text1"/>
                <w:sz w:val="24"/>
                <w:highlight w:val="none"/>
                <w14:textFill>
                  <w14:solidFill>
                    <w14:schemeClr w14:val="tx1"/>
                  </w14:solidFill>
                </w14:textFill>
              </w:rPr>
              <w:t>发展方向：</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加强生态环境保护，促进生态修复，禁止非保护性采伐，力争全面停止主伐，植树造林，涵养水源，开展以中幼林抚育为重点的森林抚育经营，保护野生动物；在资源环境可承载的范围内，适度开发林木和水资源，科学有序开发矿产资源；因地制宜发展优势特色产业，加快发展以生态旅游、特色种养殖、绿色食品加工、北药开发、清洁能源等为主的接续和替代产业，形成生态主导型产业格局；合理分布农业人口，完善城乡基础设施，居民享受的公共服务和基本生活条件与省内其他地区大体相同；繁荣边疆和少数民族地区经济，保障社会稳定；基本建立起完备的林业生态体系、发达的产业体系和繁荣的生态文化体系。</w:t>
            </w:r>
          </w:p>
          <w:p w14:paraId="2FD0EF18">
            <w:pPr>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w:t>
            </w:r>
            <w:r>
              <w:rPr>
                <w:rFonts w:hint="default" w:ascii="Times New Roman" w:hAnsi="Times New Roman" w:cs="Times New Roman"/>
                <w:color w:val="000000" w:themeColor="text1"/>
                <w:kern w:val="0"/>
                <w:sz w:val="24"/>
                <w:szCs w:val="24"/>
                <w:lang w:eastAsia="zh-CN"/>
                <w14:textFill>
                  <w14:solidFill>
                    <w14:schemeClr w14:val="tx1"/>
                  </w14:solidFill>
                </w14:textFill>
              </w:rPr>
              <w:t>为水库加固工程，</w:t>
            </w:r>
            <w:r>
              <w:rPr>
                <w:rFonts w:hint="default" w:ascii="Times New Roman" w:hAnsi="Times New Roman" w:cs="Times New Roman"/>
                <w:color w:val="000000" w:themeColor="text1"/>
                <w:kern w:val="0"/>
                <w:sz w:val="24"/>
                <w:szCs w:val="24"/>
                <w14:textFill>
                  <w14:solidFill>
                    <w14:schemeClr w14:val="tx1"/>
                  </w14:solidFill>
                </w14:textFill>
              </w:rPr>
              <w:t>工程对生态的影响为</w:t>
            </w:r>
            <w:r>
              <w:rPr>
                <w:rFonts w:hint="default" w:ascii="Times New Roman" w:hAnsi="Times New Roman" w:cs="Times New Roman"/>
                <w:color w:val="000000" w:themeColor="text1"/>
                <w:kern w:val="0"/>
                <w:sz w:val="24"/>
                <w:szCs w:val="24"/>
                <w:lang w:eastAsia="zh-CN"/>
                <w14:textFill>
                  <w14:solidFill>
                    <w14:schemeClr w14:val="tx1"/>
                  </w14:solidFill>
                </w14:textFill>
              </w:rPr>
              <w:t>正向，</w:t>
            </w:r>
            <w:r>
              <w:rPr>
                <w:rFonts w:hint="default" w:ascii="Times New Roman" w:hAnsi="Times New Roman" w:cs="Times New Roman"/>
                <w:color w:val="000000" w:themeColor="text1"/>
                <w:kern w:val="0"/>
                <w:sz w:val="24"/>
                <w:szCs w:val="24"/>
                <w14:textFill>
                  <w14:solidFill>
                    <w14:schemeClr w14:val="tx1"/>
                  </w14:solidFill>
                </w14:textFill>
              </w:rPr>
              <w:t>能够控制影响在较小的空间范围内，不涉及居民区</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因此符合</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国家级限制开发区域（重点生态功能区）</w:t>
            </w:r>
            <w:r>
              <w:rPr>
                <w:rFonts w:hint="default" w:ascii="Times New Roman" w:hAnsi="Times New Roman" w:cs="Times New Roman"/>
                <w:color w:val="000000" w:themeColor="text1"/>
                <w:kern w:val="0"/>
                <w:sz w:val="24"/>
                <w:szCs w:val="24"/>
                <w14:textFill>
                  <w14:solidFill>
                    <w14:schemeClr w14:val="tx1"/>
                  </w14:solidFill>
                </w14:textFill>
              </w:rPr>
              <w:t>管控要求。</w:t>
            </w:r>
          </w:p>
          <w:p w14:paraId="34D1C42B">
            <w:pPr>
              <w:keepNext/>
              <w:adjustRightInd w:val="0"/>
              <w:snapToGrid w:val="0"/>
              <w:spacing w:line="360" w:lineRule="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b/>
                <w:color w:val="000000" w:themeColor="text1"/>
                <w:sz w:val="24"/>
                <w:szCs w:val="24"/>
                <w:lang w:eastAsia="zh-CN"/>
                <w14:textFill>
                  <w14:solidFill>
                    <w14:schemeClr w14:val="tx1"/>
                  </w14:solidFill>
                </w14:textFill>
              </w:rPr>
              <w:t>（</w:t>
            </w:r>
            <w:r>
              <w:rPr>
                <w:rFonts w:hint="default" w:ascii="Times New Roman" w:hAnsi="Times New Roman" w:cs="Times New Roman"/>
                <w:b/>
                <w:color w:val="000000" w:themeColor="text1"/>
                <w:sz w:val="24"/>
                <w:szCs w:val="24"/>
                <w:lang w:val="en-US" w:eastAsia="zh-CN"/>
                <w14:textFill>
                  <w14:solidFill>
                    <w14:schemeClr w14:val="tx1"/>
                  </w14:solidFill>
                </w14:textFill>
              </w:rPr>
              <w:t>2</w:t>
            </w:r>
            <w:r>
              <w:rPr>
                <w:rFonts w:hint="default" w:ascii="Times New Roman" w:hAnsi="Times New Roman" w:cs="Times New Roman"/>
                <w:b/>
                <w:color w:val="000000" w:themeColor="text1"/>
                <w:sz w:val="24"/>
                <w:szCs w:val="24"/>
                <w:lang w:eastAsia="zh-CN"/>
                <w14:textFill>
                  <w14:solidFill>
                    <w14:schemeClr w14:val="tx1"/>
                  </w14:solidFill>
                </w14:textFill>
              </w:rPr>
              <w:t>）生态环境现状</w:t>
            </w:r>
          </w:p>
          <w:p w14:paraId="3D74F988">
            <w:pPr>
              <w:keepNext w:val="0"/>
              <w:keepLines w:val="0"/>
              <w:pageBreakBefore w:val="0"/>
              <w:widowControl w:val="0"/>
              <w:kinsoku/>
              <w:wordWrap/>
              <w:overflowPunct/>
              <w:topLinePunct w:val="0"/>
              <w:bidi w:val="0"/>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根据《黑龙江省生态功能区划》，</w:t>
            </w:r>
            <w:r>
              <w:rPr>
                <w:rFonts w:hint="default" w:ascii="Times New Roman" w:hAnsi="Times New Roman" w:cs="Times New Roman"/>
                <w:color w:val="000000" w:themeColor="text1"/>
                <w:kern w:val="0"/>
                <w:sz w:val="24"/>
                <w:szCs w:val="24"/>
                <w:lang w:eastAsia="zh-CN"/>
                <w14:textFill>
                  <w14:solidFill>
                    <w14:schemeClr w14:val="tx1"/>
                  </w14:solidFill>
                </w14:textFill>
              </w:rPr>
              <w:t>密山市</w:t>
            </w:r>
            <w:r>
              <w:rPr>
                <w:rFonts w:hint="default" w:ascii="Times New Roman" w:hAnsi="Times New Roman" w:cs="Times New Roman"/>
                <w:color w:val="000000" w:themeColor="text1"/>
                <w:kern w:val="0"/>
                <w:sz w:val="24"/>
                <w:szCs w:val="24"/>
                <w14:textFill>
                  <w14:solidFill>
                    <w14:schemeClr w14:val="tx1"/>
                  </w14:solidFill>
                </w14:textFill>
              </w:rPr>
              <w:t>所处区域属于</w:t>
            </w:r>
            <w:r>
              <w:rPr>
                <w:rFonts w:hint="default" w:ascii="Times New Roman" w:hAnsi="Times New Roman" w:cs="Times New Roman"/>
                <w:color w:val="000000" w:themeColor="text1"/>
                <w:sz w:val="24"/>
                <w:szCs w:val="24"/>
                <w14:textFill>
                  <w14:solidFill>
                    <w14:schemeClr w14:val="tx1"/>
                  </w14:solidFill>
                </w14:textFill>
              </w:rPr>
              <w:t>I</w:t>
            </w:r>
            <w:r>
              <w:rPr>
                <w:rFonts w:hint="default" w:ascii="Times New Roman" w:hAnsi="Times New Roman" w:cs="Times New Roman"/>
                <w:color w:val="000000" w:themeColor="text1"/>
                <w:kern w:val="0"/>
                <w:sz w:val="24"/>
                <w:szCs w:val="24"/>
                <w14:textFill>
                  <w14:solidFill>
                    <w14:schemeClr w14:val="tx1"/>
                  </w14:solidFill>
                </w14:textFill>
              </w:rPr>
              <w:t>—3—</w:t>
            </w:r>
            <w:r>
              <w:rPr>
                <w:rFonts w:hint="default" w:ascii="Times New Roman" w:hAnsi="Times New Roman" w:cs="Times New Roman"/>
                <w:color w:val="000000" w:themeColor="text1"/>
                <w:kern w:val="0"/>
                <w:sz w:val="24"/>
                <w:szCs w:val="24"/>
                <w:lang w:val="en-US" w:eastAsia="zh-CN"/>
                <w14:textFill>
                  <w14:solidFill>
                    <w14:schemeClr w14:val="tx1"/>
                  </w14:solidFill>
                </w14:textFill>
              </w:rPr>
              <w:t>3</w:t>
            </w:r>
            <w:r>
              <w:rPr>
                <w:rFonts w:hint="default" w:ascii="Times New Roman" w:hAnsi="Times New Roman" w:cs="Times New Roman"/>
                <w:color w:val="000000" w:themeColor="text1"/>
                <w:kern w:val="0"/>
                <w:sz w:val="24"/>
                <w:szCs w:val="24"/>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兴凯湖农、牧、渔业与湿地及生物多样性保护生态功能区</w:t>
            </w:r>
            <w:r>
              <w:rPr>
                <w:rFonts w:hint="default" w:ascii="Times New Roman" w:hAnsi="Times New Roman" w:cs="Times New Roman"/>
                <w:color w:val="000000" w:themeColor="text1"/>
                <w:kern w:val="0"/>
                <w:sz w:val="24"/>
                <w:szCs w:val="24"/>
                <w14:textFill>
                  <w14:solidFill>
                    <w14:schemeClr w14:val="tx1"/>
                  </w14:solidFill>
                </w14:textFill>
              </w:rPr>
              <w:t>所在区域的主要生态问题、生态环境敏感性、主要生态系统服务功能、保护措施与发展方向见表3.1-1。</w:t>
            </w:r>
          </w:p>
          <w:p w14:paraId="0852E637">
            <w:pPr>
              <w:keepNext/>
              <w:widowControl/>
              <w:adjustRightInd w:val="0"/>
              <w:snapToGrid w:val="0"/>
              <w:spacing w:line="360" w:lineRule="auto"/>
              <w:jc w:val="center"/>
              <w:rPr>
                <w:rFonts w:hint="default" w:ascii="Times New Roman" w:hAnsi="Times New Roman" w:cs="Times New Roman"/>
                <w:b/>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14:textFill>
                  <w14:solidFill>
                    <w14:schemeClr w14:val="tx1"/>
                  </w14:solidFill>
                </w14:textFill>
              </w:rPr>
              <w:t>表3</w:t>
            </w:r>
            <w:r>
              <w:rPr>
                <w:rFonts w:hint="default" w:ascii="Times New Roman" w:hAnsi="Times New Roman" w:cs="Times New Roman"/>
                <w:b/>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b/>
                <w:color w:val="000000" w:themeColor="text1"/>
                <w:kern w:val="0"/>
                <w:sz w:val="24"/>
                <w:szCs w:val="24"/>
                <w14:textFill>
                  <w14:solidFill>
                    <w14:schemeClr w14:val="tx1"/>
                  </w14:solidFill>
                </w14:textFill>
              </w:rPr>
              <w:t>项目涉及生态功能区情况表</w:t>
            </w:r>
          </w:p>
          <w:tbl>
            <w:tblPr>
              <w:tblStyle w:val="36"/>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37"/>
              <w:gridCol w:w="1152"/>
              <w:gridCol w:w="915"/>
              <w:gridCol w:w="738"/>
              <w:gridCol w:w="1289"/>
              <w:gridCol w:w="1113"/>
              <w:gridCol w:w="843"/>
              <w:gridCol w:w="1097"/>
            </w:tblGrid>
            <w:tr w14:paraId="23276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18" w:type="pct"/>
                  <w:gridSpan w:val="3"/>
                  <w:vAlign w:val="center"/>
                </w:tcPr>
                <w:p w14:paraId="6F569362">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生态功能分区单元</w:t>
                  </w:r>
                </w:p>
              </w:tc>
              <w:tc>
                <w:tcPr>
                  <w:tcW w:w="462" w:type="pct"/>
                  <w:vMerge w:val="restart"/>
                  <w:vAlign w:val="center"/>
                </w:tcPr>
                <w:p w14:paraId="67611AC6">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所在区域面积</w:t>
                  </w:r>
                </w:p>
              </w:tc>
              <w:tc>
                <w:tcPr>
                  <w:tcW w:w="807" w:type="pct"/>
                  <w:vMerge w:val="restart"/>
                  <w:vAlign w:val="center"/>
                </w:tcPr>
                <w:p w14:paraId="134D07A8">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主要生态环境问题</w:t>
                  </w:r>
                </w:p>
              </w:tc>
              <w:tc>
                <w:tcPr>
                  <w:tcW w:w="697" w:type="pct"/>
                  <w:vMerge w:val="restart"/>
                  <w:vAlign w:val="center"/>
                </w:tcPr>
                <w:p w14:paraId="0D2B76D3">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生态环境敏感性</w:t>
                  </w:r>
                </w:p>
              </w:tc>
              <w:tc>
                <w:tcPr>
                  <w:tcW w:w="528" w:type="pct"/>
                  <w:vMerge w:val="restart"/>
                  <w:vAlign w:val="center"/>
                </w:tcPr>
                <w:p w14:paraId="06D16570">
                  <w:pPr>
                    <w:keepNext/>
                    <w:autoSpaceDE/>
                    <w:autoSpaceDN/>
                    <w:adjustRightInd w:val="0"/>
                    <w:snapToGrid w:val="0"/>
                    <w:jc w:val="center"/>
                    <w:rPr>
                      <w:rFonts w:hint="default" w:ascii="Times New Roman" w:hAnsi="Times New Roman" w:cs="Times New Roman" w:eastAsiaTheme="minorEastAsia"/>
                      <w:color w:val="000000" w:themeColor="text1"/>
                      <w:lang w:eastAsia="zh-CN"/>
                      <w14:textFill>
                        <w14:solidFill>
                          <w14:schemeClr w14:val="tx1"/>
                        </w14:solidFill>
                      </w14:textFill>
                    </w:rPr>
                  </w:pPr>
                  <w:r>
                    <w:rPr>
                      <w:rFonts w:hint="default" w:ascii="Times New Roman" w:hAnsi="Times New Roman" w:cs="Times New Roman" w:eastAsiaTheme="minorEastAsia"/>
                      <w:color w:val="000000" w:themeColor="text1"/>
                      <w:lang w:eastAsia="zh-CN"/>
                      <w14:textFill>
                        <w14:solidFill>
                          <w14:schemeClr w14:val="tx1"/>
                        </w14:solidFill>
                      </w14:textFill>
                    </w:rPr>
                    <w:t>主要生态系统服务</w:t>
                  </w:r>
                  <w:r>
                    <w:rPr>
                      <w:rFonts w:hint="eastAsia" w:cs="Times New Roman" w:eastAsiaTheme="minorEastAsia"/>
                      <w:color w:val="000000" w:themeColor="text1"/>
                      <w:lang w:eastAsia="zh-CN"/>
                      <w14:textFill>
                        <w14:solidFill>
                          <w14:schemeClr w14:val="tx1"/>
                        </w14:solidFill>
                      </w14:textFill>
                    </w:rPr>
                    <w:t>功能</w:t>
                  </w:r>
                </w:p>
              </w:tc>
              <w:tc>
                <w:tcPr>
                  <w:tcW w:w="687" w:type="pct"/>
                  <w:vMerge w:val="restart"/>
                  <w:vAlign w:val="center"/>
                </w:tcPr>
                <w:p w14:paraId="2A2D33C2">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保护措施与发展方向</w:t>
                  </w:r>
                </w:p>
              </w:tc>
            </w:tr>
            <w:tr w14:paraId="5BA04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0" w:hRule="atLeast"/>
                <w:jc w:val="center"/>
              </w:trPr>
              <w:tc>
                <w:tcPr>
                  <w:tcW w:w="524" w:type="pct"/>
                  <w:vAlign w:val="center"/>
                </w:tcPr>
                <w:p w14:paraId="3A2F6B3B">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生态区</w:t>
                  </w:r>
                </w:p>
              </w:tc>
              <w:tc>
                <w:tcPr>
                  <w:tcW w:w="721" w:type="pct"/>
                  <w:vAlign w:val="center"/>
                </w:tcPr>
                <w:p w14:paraId="48317F44">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生态亚区</w:t>
                  </w:r>
                </w:p>
              </w:tc>
              <w:tc>
                <w:tcPr>
                  <w:tcW w:w="573" w:type="pct"/>
                  <w:vAlign w:val="center"/>
                </w:tcPr>
                <w:p w14:paraId="2DEC1C76">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eastAsia="en-US"/>
                      <w14:textFill>
                        <w14:solidFill>
                          <w14:schemeClr w14:val="tx1"/>
                        </w14:solidFill>
                      </w14:textFill>
                    </w:rPr>
                    <w:t>生态功能区</w:t>
                  </w:r>
                </w:p>
              </w:tc>
              <w:tc>
                <w:tcPr>
                  <w:tcW w:w="462" w:type="pct"/>
                  <w:vMerge w:val="continue"/>
                  <w:vAlign w:val="center"/>
                </w:tcPr>
                <w:p w14:paraId="560C9CA7">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p>
              </w:tc>
              <w:tc>
                <w:tcPr>
                  <w:tcW w:w="807" w:type="pct"/>
                  <w:vMerge w:val="continue"/>
                  <w:vAlign w:val="center"/>
                </w:tcPr>
                <w:p w14:paraId="3CE29EF1">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p>
              </w:tc>
              <w:tc>
                <w:tcPr>
                  <w:tcW w:w="697" w:type="pct"/>
                  <w:vMerge w:val="continue"/>
                  <w:vAlign w:val="center"/>
                </w:tcPr>
                <w:p w14:paraId="5CF84915">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p>
              </w:tc>
              <w:tc>
                <w:tcPr>
                  <w:tcW w:w="528" w:type="pct"/>
                  <w:vMerge w:val="continue"/>
                  <w:vAlign w:val="center"/>
                </w:tcPr>
                <w:p w14:paraId="3C189A0C">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p>
              </w:tc>
              <w:tc>
                <w:tcPr>
                  <w:tcW w:w="687" w:type="pct"/>
                  <w:vMerge w:val="continue"/>
                  <w:vAlign w:val="center"/>
                </w:tcPr>
                <w:p w14:paraId="16DA9C06">
                  <w:pPr>
                    <w:keepNext/>
                    <w:autoSpaceDE/>
                    <w:autoSpaceDN/>
                    <w:adjustRightInd w:val="0"/>
                    <w:snapToGrid w:val="0"/>
                    <w:jc w:val="center"/>
                    <w:rPr>
                      <w:rFonts w:hint="default" w:ascii="Times New Roman" w:hAnsi="Times New Roman" w:cs="Times New Roman" w:eastAsiaTheme="minorEastAsia"/>
                      <w:color w:val="000000" w:themeColor="text1"/>
                      <w:lang w:eastAsia="en-US"/>
                      <w14:textFill>
                        <w14:solidFill>
                          <w14:schemeClr w14:val="tx1"/>
                        </w14:solidFill>
                      </w14:textFill>
                    </w:rPr>
                  </w:pPr>
                </w:p>
              </w:tc>
            </w:tr>
            <w:tr w14:paraId="4ADBA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7" w:hRule="atLeast"/>
                <w:jc w:val="center"/>
              </w:trPr>
              <w:tc>
                <w:tcPr>
                  <w:tcW w:w="524" w:type="pct"/>
                  <w:vAlign w:val="center"/>
                </w:tcPr>
                <w:p w14:paraId="2EE7CC58">
                  <w:pPr>
                    <w:keepNext/>
                    <w:autoSpaceDE/>
                    <w:autoSpaceDN/>
                    <w:adjustRightInd w:val="0"/>
                    <w:snapToGrid w:val="0"/>
                    <w:rPr>
                      <w:rFonts w:hint="default" w:ascii="Times New Roman" w:hAnsi="Times New Roman" w:cs="Times New Roman" w:eastAsiaTheme="minorEastAsia"/>
                      <w:color w:val="000000" w:themeColor="text1"/>
                      <w:lang w:eastAsia="zh-CN"/>
                      <w14:textFill>
                        <w14:solidFill>
                          <w14:schemeClr w14:val="tx1"/>
                        </w14:solidFill>
                      </w14:textFill>
                    </w:rPr>
                  </w:pPr>
                  <w:r>
                    <w:rPr>
                      <w:rFonts w:hint="default" w:ascii="Times New Roman" w:hAnsi="Times New Roman" w:cs="Times New Roman" w:eastAsiaTheme="minorEastAsia"/>
                      <w:color w:val="000000" w:themeColor="text1"/>
                      <w:lang w:eastAsia="zh-CN"/>
                      <w14:textFill>
                        <w14:solidFill>
                          <w14:schemeClr w14:val="tx1"/>
                        </w14:solidFill>
                      </w14:textFill>
                    </w:rPr>
                    <w:t>I-3三江平原农业与湿地生态区</w:t>
                  </w:r>
                </w:p>
              </w:tc>
              <w:tc>
                <w:tcPr>
                  <w:tcW w:w="721" w:type="pct"/>
                  <w:vAlign w:val="center"/>
                </w:tcPr>
                <w:p w14:paraId="0D9706F1">
                  <w:pPr>
                    <w:keepNext/>
                    <w:autoSpaceDE/>
                    <w:autoSpaceDN/>
                    <w:adjustRightInd w:val="0"/>
                    <w:snapToGrid w:val="0"/>
                    <w:rPr>
                      <w:rFonts w:hint="default" w:ascii="Times New Roman" w:hAnsi="Times New Roman" w:cs="Times New Roman" w:eastAsiaTheme="minorEastAsia"/>
                      <w:color w:val="000000" w:themeColor="text1"/>
                      <w:lang w:val="en-US"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I-3-3兴凯湖平原农业与湿地生态亚区</w:t>
                  </w:r>
                </w:p>
              </w:tc>
              <w:tc>
                <w:tcPr>
                  <w:tcW w:w="573" w:type="pct"/>
                  <w:vAlign w:val="center"/>
                </w:tcPr>
                <w:p w14:paraId="5F89A472">
                  <w:pPr>
                    <w:keepNext/>
                    <w:autoSpaceDE/>
                    <w:autoSpaceDN/>
                    <w:adjustRightInd w:val="0"/>
                    <w:snapToGrid w:val="0"/>
                    <w:rPr>
                      <w:rFonts w:hint="default" w:ascii="Times New Roman" w:hAnsi="Times New Roman" w:cs="Times New Roman" w:eastAsiaTheme="minorEastAsia"/>
                      <w:color w:val="000000" w:themeColor="text1"/>
                      <w:lang w:val="en-US" w:eastAsia="en-US"/>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I-3-3-3兴凯湖农、牧、渔业与湿地及生物多样性保护生态功能区</w:t>
                  </w:r>
                </w:p>
              </w:tc>
              <w:tc>
                <w:tcPr>
                  <w:tcW w:w="462" w:type="pct"/>
                  <w:vAlign w:val="center"/>
                </w:tcPr>
                <w:p w14:paraId="3E769D2E">
                  <w:pPr>
                    <w:keepNext/>
                    <w:autoSpaceDE/>
                    <w:autoSpaceDN/>
                    <w:adjustRightInd w:val="0"/>
                    <w:snapToGrid w:val="0"/>
                    <w:rPr>
                      <w:rFonts w:hint="default" w:ascii="Times New Roman" w:hAnsi="Times New Roman" w:cs="Times New Roman" w:eastAsiaTheme="minorEastAsia"/>
                      <w:color w:val="000000" w:themeColor="text1"/>
                      <w:lang w:eastAsia="en-US"/>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密山市，面积7843平方公里</w:t>
                  </w:r>
                </w:p>
              </w:tc>
              <w:tc>
                <w:tcPr>
                  <w:tcW w:w="807" w:type="pct"/>
                  <w:vAlign w:val="center"/>
                </w:tcPr>
                <w:p w14:paraId="6778B989">
                  <w:pPr>
                    <w:keepNext/>
                    <w:autoSpaceDE/>
                    <w:autoSpaceDN/>
                    <w:adjustRightInd w:val="0"/>
                    <w:snapToGrid w:val="0"/>
                    <w:rPr>
                      <w:rFonts w:hint="default" w:ascii="Times New Roman" w:hAnsi="Times New Roman" w:cs="Times New Roman" w:eastAsiaTheme="minorEastAsia"/>
                      <w:color w:val="000000" w:themeColor="text1"/>
                      <w:lang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湖泊水体有潜在富营养化的趋势；湿地保护区被耕地包围，湿地生态功能衰退</w:t>
                  </w:r>
                </w:p>
              </w:tc>
              <w:tc>
                <w:tcPr>
                  <w:tcW w:w="697" w:type="pct"/>
                  <w:vAlign w:val="center"/>
                </w:tcPr>
                <w:p w14:paraId="1D72B615">
                  <w:pPr>
                    <w:keepNext/>
                    <w:autoSpaceDE/>
                    <w:autoSpaceDN/>
                    <w:adjustRightInd w:val="0"/>
                    <w:snapToGrid w:val="0"/>
                    <w:rPr>
                      <w:rFonts w:hint="default" w:ascii="Times New Roman" w:hAnsi="Times New Roman" w:cs="Times New Roman" w:eastAsiaTheme="minorEastAsia"/>
                      <w:color w:val="000000" w:themeColor="text1"/>
                      <w:lang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该区东南部边缘地区生物多样性敏感性为极敏感，高度敏感性地区所占面积较大</w:t>
                  </w:r>
                </w:p>
              </w:tc>
              <w:tc>
                <w:tcPr>
                  <w:tcW w:w="528" w:type="pct"/>
                  <w:vAlign w:val="center"/>
                </w:tcPr>
                <w:p w14:paraId="54BFFA07">
                  <w:pPr>
                    <w:keepNext/>
                    <w:autoSpaceDE/>
                    <w:autoSpaceDN/>
                    <w:adjustRightInd w:val="0"/>
                    <w:snapToGrid w:val="0"/>
                    <w:rPr>
                      <w:rFonts w:hint="default" w:ascii="Times New Roman" w:hAnsi="Times New Roman" w:cs="Times New Roman" w:eastAsiaTheme="minorEastAsia"/>
                      <w:color w:val="000000" w:themeColor="text1"/>
                      <w:lang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土壤保持、生物多样性保护、自然人文景观保护、农牧渔生产、旅游</w:t>
                  </w:r>
                </w:p>
              </w:tc>
              <w:tc>
                <w:tcPr>
                  <w:tcW w:w="687" w:type="pct"/>
                  <w:vAlign w:val="center"/>
                </w:tcPr>
                <w:p w14:paraId="63E7B36F">
                  <w:pPr>
                    <w:keepNext/>
                    <w:autoSpaceDE/>
                    <w:autoSpaceDN/>
                    <w:adjustRightInd w:val="0"/>
                    <w:snapToGrid w:val="0"/>
                    <w:rPr>
                      <w:rFonts w:hint="default" w:ascii="Times New Roman" w:hAnsi="Times New Roman" w:cs="Times New Roman" w:eastAsiaTheme="minorEastAsia"/>
                      <w:color w:val="000000" w:themeColor="text1"/>
                      <w:lang w:eastAsia="zh-CN"/>
                      <w14:textFill>
                        <w14:solidFill>
                          <w14:schemeClr w14:val="tx1"/>
                        </w14:solidFill>
                      </w14:textFill>
                    </w:rPr>
                  </w:pPr>
                  <w:r>
                    <w:rPr>
                      <w:rFonts w:hint="default" w:ascii="Times New Roman" w:hAnsi="Times New Roman" w:cs="Times New Roman" w:eastAsiaTheme="minorEastAsia"/>
                      <w:color w:val="000000" w:themeColor="text1"/>
                      <w:lang w:val="en-US" w:eastAsia="zh-CN"/>
                      <w14:textFill>
                        <w14:solidFill>
                          <w14:schemeClr w14:val="tx1"/>
                        </w14:solidFill>
                      </w14:textFill>
                    </w:rPr>
                    <w:t>加强保护区建设，以减少人为因素对其的影响，改善周围湿地质量。科学发展农牧渔业</w:t>
                  </w:r>
                </w:p>
              </w:tc>
            </w:tr>
          </w:tbl>
          <w:p w14:paraId="33AF4906">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本项目位于密山市，项目无新增永久占地，现有征地范围内</w:t>
            </w:r>
            <w:r>
              <w:rPr>
                <w:rFonts w:hint="default" w:ascii="Times New Roman" w:hAnsi="Times New Roman" w:cs="Times New Roman"/>
                <w:color w:val="000000" w:themeColor="text1"/>
                <w:kern w:val="0"/>
                <w:sz w:val="24"/>
                <w:szCs w:val="24"/>
                <w14:textFill>
                  <w14:solidFill>
                    <w14:schemeClr w14:val="tx1"/>
                  </w14:solidFill>
                </w14:textFill>
              </w:rPr>
              <w:t>不涉及永久基本农田、自然保护区、森林公园等生态敏感目标。本工程施工过程中，采用避让、减缓、恢复等生态保护措施，降低工程对生态系统和生物多样性的破坏。工程通过优化施工现场布置，减少对野生动物栖息地的破坏。工程在运行期无污染物排放，不会对区域生物多样性维护产生不利影响和水源涵养等功能定位产生不利影响</w:t>
            </w:r>
            <w:r>
              <w:rPr>
                <w:rFonts w:hint="default" w:ascii="Times New Roman" w:hAnsi="Times New Roman" w:cs="Times New Roman"/>
                <w:color w:val="000000" w:themeColor="text1"/>
                <w:kern w:val="0"/>
                <w:sz w:val="24"/>
                <w:szCs w:val="24"/>
                <w:lang w:eastAsia="zh-CN"/>
                <w14:textFill>
                  <w14:solidFill>
                    <w14:schemeClr w14:val="tx1"/>
                  </w14:solidFill>
                </w14:textFill>
              </w:rPr>
              <w:t>。</w:t>
            </w:r>
          </w:p>
          <w:p w14:paraId="7B666633">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color w:val="000000" w:themeColor="text1"/>
                <w:kern w:val="0"/>
                <w:sz w:val="24"/>
                <w:szCs w:val="24"/>
                <w:lang w:eastAsia="zh-CN"/>
                <w14:textFill>
                  <w14:solidFill>
                    <w14:schemeClr w14:val="tx1"/>
                  </w14:solidFill>
                </w14:textFill>
              </w:rPr>
              <w:t>）土地利用类型</w:t>
            </w:r>
          </w:p>
          <w:p w14:paraId="3E38843E">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密山市以</w:t>
            </w:r>
            <w:r>
              <w:rPr>
                <w:rFonts w:hint="default" w:ascii="Times New Roman" w:hAnsi="Times New Roman" w:cs="Times New Roman"/>
                <w:color w:val="000000" w:themeColor="text1"/>
                <w:kern w:val="0"/>
                <w:sz w:val="24"/>
                <w:szCs w:val="24"/>
                <w:lang w:val="en-US" w:eastAsia="zh-CN"/>
                <w14:textFill>
                  <w14:solidFill>
                    <w14:schemeClr w14:val="tx1"/>
                  </w14:solidFill>
                </w14:textFill>
              </w:rPr>
              <w:t>土地利用以农业生产为主，本项目占地</w:t>
            </w:r>
            <w:r>
              <w:rPr>
                <w:rFonts w:hint="default" w:ascii="Times New Roman" w:hAnsi="Times New Roman" w:cs="Times New Roman"/>
                <w:color w:val="000000" w:themeColor="text1"/>
                <w:kern w:val="0"/>
                <w:sz w:val="24"/>
                <w:szCs w:val="24"/>
                <w:lang w:eastAsia="zh-CN"/>
                <w14:textFill>
                  <w14:solidFill>
                    <w14:schemeClr w14:val="tx1"/>
                  </w14:solidFill>
                </w14:textFill>
              </w:rPr>
              <w:t>不涉及生态红线等自然保护区，</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密山市</w:t>
            </w:r>
            <w:r>
              <w:rPr>
                <w:rFonts w:hint="default" w:ascii="Times New Roman" w:hAnsi="Times New Roman" w:cs="Times New Roman"/>
                <w:color w:val="000000" w:themeColor="text1"/>
                <w:kern w:val="0"/>
                <w:sz w:val="24"/>
                <w:szCs w:val="24"/>
                <w:lang w:val="en-US" w:eastAsia="zh-CN"/>
                <w14:textFill>
                  <w14:solidFill>
                    <w14:schemeClr w14:val="tx1"/>
                  </w14:solidFill>
                </w14:textFill>
              </w:rPr>
              <w:t>扩大经济发展</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，未利用土地面积持续减少，在保证基本农田不被占用的情况下，土地利用方式也由农业向工业、交通、居住等建设用地方向转变</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项目周围主要用地类型为耕地、林地、河流水面等，项目周围植被类型为农田植被、灌木林地、草甸植被和沼泽植被等。农田植被主要有水稻、玉米等；灌木林地主要有杨树、柳树、榆树等灌木丛，主要为农田防护林和村屯绿化林，均为一般林地，不涉及生态公益林；草甸植被主要分布在沿岸滩地，有狗尾巴草、猪尾巴草、星星草等；沼泽植被主要为草本沼泽，多为芦苇、苔草等植物组成，草群茂密，结构清晰。</w:t>
            </w:r>
          </w:p>
          <w:p w14:paraId="16CDF686">
            <w:pPr>
              <w:keepNext/>
              <w:widowControl/>
              <w:adjustRightInd w:val="0"/>
              <w:snapToGrid w:val="0"/>
              <w:spacing w:line="360" w:lineRule="auto"/>
              <w:ind w:firstLine="480" w:firstLineChars="200"/>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lang w:val="en-US" w:eastAsia="zh-CN"/>
                <w14:textFill>
                  <w14:solidFill>
                    <w14:schemeClr w14:val="tx1"/>
                  </w14:solidFill>
                </w14:textFill>
              </w:rPr>
              <w:t>2</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植物类型</w:t>
            </w:r>
          </w:p>
          <w:p w14:paraId="2661A7CA">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工程所在区域内植物属长白植物区系。地带性植被为温带针阔叶混交林，但由于地表常有不同程度的积水，形成大面积的隐域性的沼泽植被和沼泽化植被。区内植物种类繁多，植被类型主要包括森林植被、草甸植被和沼泽植被。草甸植被又分为典型草甸和沼泽化草甸植被，典型草甸以中生植物为主，小叶章为优势种，包括小叶章草甸、小叶章——杂草草甸。沼泽化草甸以中湿生、湿中生植物为主，小叶章、修氏苔草、芦苇为优势种，包括小叶章——修氏苔草、小叶章——苔草、小叶章——芦苇沼泽草甸。沼泽植被以湿生、沼生植物为主，芦苇、苔草为优势种，包括芦苇沼泽、灰脉——灰株苔草沼泽、芦苇——小叶章沼泽、毛果苔草沼泽、漂筏苔草沼泽。</w:t>
            </w:r>
          </w:p>
          <w:p w14:paraId="0E248B5F">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本项目占地区主要种植水稻、玉米等农作物，工程施工生产生活区、物料暂存场占用地类为</w:t>
            </w:r>
            <w:r>
              <w:rPr>
                <w:rFonts w:hint="eastAsia" w:cs="Times New Roman" w:eastAsiaTheme="minorEastAsia"/>
                <w:color w:val="000000" w:themeColor="text1"/>
                <w:sz w:val="24"/>
                <w:szCs w:val="24"/>
                <w:highlight w:val="none"/>
                <w:lang w:eastAsia="zh-CN"/>
                <w14:textFill>
                  <w14:solidFill>
                    <w14:schemeClr w14:val="tx1"/>
                  </w14:solidFill>
                </w14:textFill>
              </w:rPr>
              <w:t>公共管理与公共服务用地</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经过现场调查和查阅资料，工程占地范围内没有国家级及省级重点保护植物分布，没有法定挂牌的古树名木分布等</w:t>
            </w:r>
            <w:r>
              <w:rPr>
                <w:rFonts w:hint="default" w:ascii="Times New Roman" w:hAnsi="Times New Roman" w:cs="Times New Roman"/>
                <w:color w:val="000000" w:themeColor="text1"/>
                <w:kern w:val="0"/>
                <w:sz w:val="24"/>
                <w:szCs w:val="24"/>
                <w:lang w:eastAsia="zh-CN"/>
                <w14:textFill>
                  <w14:solidFill>
                    <w14:schemeClr w14:val="tx1"/>
                  </w14:solidFill>
                </w14:textFill>
              </w:rPr>
              <w:t>。</w:t>
            </w:r>
          </w:p>
          <w:p w14:paraId="37A5FEA1">
            <w:pPr>
              <w:keepNext/>
              <w:adjustRightInd w:val="0"/>
              <w:snapToGrid w:val="0"/>
              <w:spacing w:line="360" w:lineRule="auto"/>
              <w:ind w:firstLine="480" w:firstLineChars="200"/>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lang w:val="en-US" w:eastAsia="zh-CN"/>
                <w14:textFill>
                  <w14:solidFill>
                    <w14:schemeClr w14:val="tx1"/>
                  </w14:solidFill>
                </w14:textFill>
              </w:rPr>
              <w:t>3</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野生动物</w:t>
            </w:r>
          </w:p>
          <w:p w14:paraId="76262892">
            <w:pPr>
              <w:keepNext/>
              <w:adjustRightInd w:val="0"/>
              <w:snapToGrid w:val="0"/>
              <w:spacing w:line="360" w:lineRule="auto"/>
              <w:ind w:firstLine="480" w:firstLineChars="200"/>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区域动物地理区划上属古北界东北区长白山亚区，区域内国家级保护动物8种，有黑熊、棕熊、紫貂、水獭、猞猁、马鹿、梅花鹿、雪兔，目前梅花鹿已绝迹。区域内鸟类资源非常丰富，鸟类有200多种，国家一级保护鸟类有金雕、丹顶鹤、白头鹤、白鹤、中华秋沙鸭，国家二级保护鸟类有天鹅、鸳鸯、白额雁、花尾棒鸡（飞龙）、灰鹤、白枕鹤等20多种。两栖动物在种类较少，但有较好的森林环境，中国林蛙、黑龙江林蛙数量较多。爬行类常见有龙江草蜥、黄脊游蛇、蝮蛇等。</w:t>
            </w:r>
          </w:p>
          <w:p w14:paraId="30EF712F">
            <w:pPr>
              <w:keepNext/>
              <w:adjustRightInd w:val="0"/>
              <w:snapToGrid w:val="0"/>
              <w:spacing w:line="360" w:lineRule="auto"/>
              <w:ind w:firstLine="480" w:firstLineChars="200"/>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经调查分析，工程占地区由于耕种等人为活动频繁，因此无大型猛禽分布，动物以啮齿类及飞禽类居多，包括麻雀、喜鹊、家燕等。评价区域内爬行动物数量较少，哺乳动物常见的动物多为小型食肉兽和啮齿类动物，比如普通田鼠、褐家鼠、小家鼠等，此外还有普通刺猬、东北兔、黄鼬等偶见。调查中未发现国家和省级重点保护物种，也未发现仅在当地分布的特有种，区域内无保护级别的野生动物。占地范围内无湿地生态系统分布。</w:t>
            </w:r>
          </w:p>
          <w:p w14:paraId="5FE19289">
            <w:pPr>
              <w:keepNext/>
              <w:adjustRightInd w:val="0"/>
              <w:snapToGrid w:val="0"/>
              <w:spacing w:line="360" w:lineRule="auto"/>
              <w:ind w:firstLine="480" w:firstLineChars="200"/>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综上，本项目永久占地外500m范围内、地下工程及供水管线附近无自然保护区、风景名胜区、世界文化和自然遗产、饮用水水源保护区、森林公园、重点文物保护单位；也</w:t>
            </w:r>
            <w:r>
              <w:rPr>
                <w:rFonts w:hint="eastAsia" w:cs="Times New Roman"/>
                <w:color w:val="000000" w:themeColor="text1"/>
                <w:kern w:val="0"/>
                <w:sz w:val="24"/>
                <w:szCs w:val="24"/>
                <w:lang w:eastAsia="zh-CN"/>
                <w14:textFill>
                  <w14:solidFill>
                    <w14:schemeClr w14:val="tx1"/>
                  </w14:solidFill>
                </w14:textFill>
              </w:rPr>
              <w:t>不具有</w:t>
            </w:r>
            <w:r>
              <w:rPr>
                <w:rFonts w:hint="default" w:ascii="Times New Roman" w:hAnsi="Times New Roman" w:cs="Times New Roman"/>
                <w:color w:val="000000" w:themeColor="text1"/>
                <w:kern w:val="0"/>
                <w:sz w:val="24"/>
                <w:szCs w:val="24"/>
                <w14:textFill>
                  <w14:solidFill>
                    <w14:schemeClr w14:val="tx1"/>
                  </w14:solidFill>
                </w14:textFill>
              </w:rPr>
              <w:t>特殊历史、文化、科学、民族意义的保护地等环境敏感区。调查未见珍稀、濒危野生动物和保护物种。</w:t>
            </w:r>
          </w:p>
          <w:p w14:paraId="2CAB1C3D">
            <w:pPr>
              <w:autoSpaceDE w:val="0"/>
              <w:autoSpaceDN w:val="0"/>
              <w:adjustRightInd w:val="0"/>
              <w:snapToGrid w:val="0"/>
              <w:spacing w:line="360" w:lineRule="auto"/>
              <w:ind w:firstLine="480" w:firstLineChars="200"/>
              <w:textAlignment w:val="cente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bookmarkStart w:id="14" w:name="_Hlk158128144"/>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4）水生生物</w:t>
            </w:r>
          </w:p>
          <w:p w14:paraId="1E67E9C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pPr>
            <w:r>
              <w:rPr>
                <w:rFonts w:ascii="Times New Roman" w:hAnsi="Times New Roman" w:cs="Times New Roman" w:eastAsiaTheme="majorEastAsia"/>
                <w:i w:val="0"/>
                <w:iCs w:val="0"/>
                <w:color w:val="000000" w:themeColor="text1"/>
                <w:sz w:val="24"/>
                <w:szCs w:val="32"/>
                <w14:textFill>
                  <w14:solidFill>
                    <w14:schemeClr w14:val="tx1"/>
                  </w14:solidFill>
                </w14:textFill>
              </w:rPr>
              <w:t>根据历史资料，了解不同季节鱼类主要集中地和鱼类种群组成，结合鱼类生物学特性和水文学特征，分析鱼类“三场”分布情况，并通过有经验的渔业工作者和捕捞人员进行验证，来确定鱼类产卵场。</w:t>
            </w:r>
          </w:p>
          <w:p w14:paraId="5357E395">
            <w:pPr>
              <w:autoSpaceDE w:val="0"/>
              <w:autoSpaceDN w:val="0"/>
              <w:adjustRightInd w:val="0"/>
              <w:snapToGrid w:val="0"/>
              <w:spacing w:line="360" w:lineRule="auto"/>
              <w:ind w:firstLine="480" w:firstLineChars="200"/>
              <w:textAlignment w:val="center"/>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根据</w:t>
            </w:r>
            <w:r>
              <w:rPr>
                <w:rFonts w:hint="eastAsia" w:cs="Times New Roman"/>
                <w:color w:val="000000" w:themeColor="text1"/>
                <w:kern w:val="0"/>
                <w:sz w:val="24"/>
                <w:szCs w:val="21"/>
                <w:highlight w:val="none"/>
                <w:lang w:val="en-US" w:eastAsia="zh-CN" w:bidi="ar-SA"/>
                <w14:textFill>
                  <w14:solidFill>
                    <w14:schemeClr w14:val="tx1"/>
                  </w14:solidFill>
                </w14:textFill>
              </w:rPr>
              <w:t>现场实地调查</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w:t>
            </w:r>
            <w:r>
              <w:rPr>
                <w:rFonts w:hint="eastAsia" w:ascii="Times New Roman" w:hAnsi="Times New Roman" w:cs="Times New Roman"/>
                <w:color w:val="000000" w:themeColor="text1"/>
                <w:kern w:val="0"/>
                <w:sz w:val="24"/>
                <w:szCs w:val="21"/>
                <w:highlight w:val="none"/>
                <w:lang w:val="en-US" w:eastAsia="zh-CN" w:bidi="ar-SA"/>
                <w14:textFill>
                  <w14:solidFill>
                    <w14:schemeClr w14:val="tx1"/>
                  </w14:solidFill>
                </w14:textFill>
              </w:rPr>
              <w:t>青山水库</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无</w:t>
            </w:r>
            <w:r>
              <w:rPr>
                <w:rFonts w:hint="eastAsia" w:cs="Times New Roman"/>
                <w:color w:val="000000" w:themeColor="text1"/>
                <w:kern w:val="0"/>
                <w:sz w:val="24"/>
                <w:szCs w:val="21"/>
                <w:highlight w:val="none"/>
                <w:lang w:val="en-US" w:eastAsia="zh-CN" w:bidi="ar-SA"/>
                <w14:textFill>
                  <w14:solidFill>
                    <w14:schemeClr w14:val="tx1"/>
                  </w14:solidFill>
                </w14:textFill>
              </w:rPr>
              <w:t>重要的</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鱼类“三场一通道”存在，水中鱼类资源较少</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。调查范围内均无特殊保护水生动物，未发现</w:t>
            </w:r>
            <w:r>
              <w:rPr>
                <w:rFonts w:hint="eastAsia" w:cs="Times New Roman"/>
                <w:color w:val="000000" w:themeColor="text1"/>
                <w:kern w:val="0"/>
                <w:sz w:val="24"/>
                <w:szCs w:val="21"/>
                <w:highlight w:val="none"/>
                <w:lang w:val="en-US" w:eastAsia="zh-CN" w:bidi="ar-SA"/>
                <w14:textFill>
                  <w14:solidFill>
                    <w14:schemeClr w14:val="tx1"/>
                  </w14:solidFill>
                </w14:textFill>
              </w:rPr>
              <w:t>重要的</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鱼类三场及洄游通道分布</w:t>
            </w:r>
            <w:r>
              <w:rPr>
                <w:rFonts w:hint="default" w:ascii="Times New Roman" w:hAnsi="Times New Roman" w:cs="Times New Roman" w:eastAsiaTheme="minorEastAsia"/>
                <w:color w:val="000000" w:themeColor="text1"/>
                <w:sz w:val="24"/>
                <w:highlight w:val="none"/>
                <w14:textFill>
                  <w14:solidFill>
                    <w14:schemeClr w14:val="tx1"/>
                  </w14:solidFill>
                </w14:textFill>
              </w:rPr>
              <w:t>。</w:t>
            </w:r>
            <w:bookmarkEnd w:id="14"/>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经调查：评价范围内不涉及</w:t>
            </w:r>
            <w:r>
              <w:rPr>
                <w:rFonts w:ascii="Times New Roman" w:hAnsi="Times New Roman" w:cs="Times New Roman" w:eastAsiaTheme="majorEastAsia"/>
                <w:i w:val="0"/>
                <w:iCs w:val="0"/>
                <w:color w:val="000000" w:themeColor="text1"/>
                <w:sz w:val="24"/>
                <w:szCs w:val="32"/>
                <w:lang w:val="en-US" w:eastAsia="zh-CN"/>
                <w14:textFill>
                  <w14:solidFill>
                    <w14:schemeClr w14:val="tx1"/>
                  </w14:solidFill>
                </w14:textFill>
              </w:rPr>
              <w:t>国家公园、自然保护区、风景名胜区、世界文化和自然</w:t>
            </w:r>
            <w:r>
              <w:rPr>
                <w:rFonts w:hint="eastAsia" w:ascii="Times New Roman" w:hAnsi="Times New Roman" w:cs="Times New Roman" w:eastAsiaTheme="majorEastAsia"/>
                <w:i w:val="0"/>
                <w:iCs w:val="0"/>
                <w:color w:val="000000" w:themeColor="text1"/>
                <w:sz w:val="24"/>
                <w:szCs w:val="32"/>
                <w:lang w:val="en-US" w:eastAsia="zh-CN"/>
                <w14:textFill>
                  <w14:solidFill>
                    <w14:schemeClr w14:val="tx1"/>
                  </w14:solidFill>
                </w14:textFill>
              </w:rPr>
              <w:t>遗产地、海洋特别保护区、饮用水水源保护区</w:t>
            </w:r>
            <w:r>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水产种质资源保护区、自然保护区等环境敏感区。</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施工期运行调度方案</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采取</w:t>
            </w:r>
            <w:r>
              <w:rPr>
                <w:rFonts w:hint="eastAsia" w:ascii="Times New Roman" w:hAnsi="Times New Roman" w:cs="Times New Roman"/>
                <w:color w:val="000000" w:themeColor="text1"/>
                <w:kern w:val="0"/>
                <w:sz w:val="24"/>
                <w:szCs w:val="21"/>
                <w:highlight w:val="none"/>
                <w:lang w:val="en-US" w:eastAsia="zh-CN" w:bidi="ar-SA"/>
                <w14:textFill>
                  <w14:solidFill>
                    <w14:schemeClr w14:val="tx1"/>
                  </w14:solidFill>
                </w14:textFill>
              </w:rPr>
              <w:t>降低水库水位的方式，不对水体进行扰动</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，且其影响随施工期结束影响消失，项目整体建设对水库河流生态环境及水质影响较小</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w:t>
            </w:r>
          </w:p>
          <w:p w14:paraId="5BA04B7E">
            <w:pPr>
              <w:keepNext/>
              <w:adjustRightInd w:val="0"/>
              <w:snapToGrid w:val="0"/>
              <w:spacing w:line="360" w:lineRule="auto"/>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lang w:val="en-US" w:eastAsia="zh-CN"/>
                <w14:textFill>
                  <w14:solidFill>
                    <w14:schemeClr w14:val="tx1"/>
                  </w14:solidFill>
                </w14:textFill>
              </w:rPr>
              <w:t>2、</w:t>
            </w:r>
            <w:r>
              <w:rPr>
                <w:rFonts w:hint="default" w:ascii="Times New Roman" w:hAnsi="Times New Roman" w:cs="Times New Roman"/>
                <w:b/>
                <w:color w:val="000000" w:themeColor="text1"/>
                <w:kern w:val="0"/>
                <w:sz w:val="24"/>
                <w:szCs w:val="24"/>
                <w14:textFill>
                  <w14:solidFill>
                    <w14:schemeClr w14:val="tx1"/>
                  </w14:solidFill>
                </w14:textFill>
              </w:rPr>
              <w:t>大气环境</w:t>
            </w:r>
          </w:p>
          <w:p w14:paraId="6494081A">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本项目位于黑龙江省</w:t>
            </w:r>
            <w:r>
              <w:rPr>
                <w:rFonts w:hint="default" w:ascii="Times New Roman" w:hAnsi="Times New Roman" w:cs="Times New Roman"/>
                <w:color w:val="000000" w:themeColor="text1"/>
                <w:kern w:val="0"/>
                <w:sz w:val="24"/>
                <w:szCs w:val="24"/>
                <w:lang w:eastAsia="zh-CN"/>
                <w14:textFill>
                  <w14:solidFill>
                    <w14:schemeClr w14:val="tx1"/>
                  </w14:solidFill>
                </w14:textFill>
              </w:rPr>
              <w:t>鸡西市密山市，根据</w:t>
            </w:r>
            <w:r>
              <w:rPr>
                <w:rFonts w:hint="default" w:ascii="Times New Roman" w:hAnsi="Times New Roman" w:cs="Times New Roman"/>
                <w:color w:val="000000" w:themeColor="text1"/>
                <w:kern w:val="0"/>
                <w:sz w:val="24"/>
                <w:szCs w:val="24"/>
                <w14:textFill>
                  <w14:solidFill>
                    <w14:schemeClr w14:val="tx1"/>
                  </w14:solidFill>
                </w14:textFill>
              </w:rPr>
              <w:t>《202</w:t>
            </w:r>
            <w:r>
              <w:rPr>
                <w:rFonts w:hint="default" w:ascii="Times New Roman" w:hAnsi="Times New Roman" w:cs="Times New Roman"/>
                <w:color w:val="000000" w:themeColor="text1"/>
                <w:kern w:val="0"/>
                <w:sz w:val="24"/>
                <w:szCs w:val="24"/>
                <w:lang w:val="en-US" w:eastAsia="zh-CN"/>
                <w14:textFill>
                  <w14:solidFill>
                    <w14:schemeClr w14:val="tx1"/>
                  </w14:solidFill>
                </w14:textFill>
              </w:rPr>
              <w:t>4</w:t>
            </w:r>
            <w:r>
              <w:rPr>
                <w:rFonts w:hint="default" w:ascii="Times New Roman" w:hAnsi="Times New Roman" w:cs="Times New Roman"/>
                <w:color w:val="000000" w:themeColor="text1"/>
                <w:kern w:val="0"/>
                <w:sz w:val="24"/>
                <w:szCs w:val="24"/>
                <w14:textFill>
                  <w14:solidFill>
                    <w14:schemeClr w14:val="tx1"/>
                  </w14:solidFill>
                </w14:textFill>
              </w:rPr>
              <w:t>年黑龙江省生态环境质量状况》</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14:textFill>
                  <w14:solidFill>
                    <w14:schemeClr w14:val="tx1"/>
                  </w14:solidFill>
                </w14:textFill>
              </w:rPr>
              <w:t>2024年</w:t>
            </w:r>
            <w:r>
              <w:rPr>
                <w:rFonts w:hint="default" w:ascii="Times New Roman" w:hAnsi="Times New Roman" w:cs="Times New Roman"/>
                <w:color w:val="000000" w:themeColor="text1"/>
                <w:kern w:val="0"/>
                <w:sz w:val="24"/>
                <w:szCs w:val="24"/>
                <w:lang w:eastAsia="zh-CN"/>
                <w14:textFill>
                  <w14:solidFill>
                    <w14:schemeClr w14:val="tx1"/>
                  </w14:solidFill>
                </w14:textFill>
              </w:rPr>
              <w:t>鸡西市</w:t>
            </w:r>
            <w:r>
              <w:rPr>
                <w:rFonts w:hint="default" w:ascii="Times New Roman" w:hAnsi="Times New Roman" w:cs="Times New Roman"/>
                <w:color w:val="000000" w:themeColor="text1"/>
                <w:kern w:val="0"/>
                <w:sz w:val="24"/>
                <w:szCs w:val="24"/>
                <w14:textFill>
                  <w14:solidFill>
                    <w14:schemeClr w14:val="tx1"/>
                  </w14:solidFill>
                </w14:textFill>
              </w:rPr>
              <w:t>环境空气基本污染物PM</w:t>
            </w:r>
            <w:r>
              <w:rPr>
                <w:rFonts w:hint="default" w:ascii="Times New Roman" w:hAnsi="Times New Roman" w:cs="Times New Roman"/>
                <w:color w:val="000000" w:themeColor="text1"/>
                <w:kern w:val="0"/>
                <w:sz w:val="24"/>
                <w:szCs w:val="24"/>
                <w:vertAlign w:val="subscript"/>
                <w14:textFill>
                  <w14:solidFill>
                    <w14:schemeClr w14:val="tx1"/>
                  </w14:solidFill>
                </w14:textFill>
              </w:rPr>
              <w:t>10</w:t>
            </w:r>
            <w:r>
              <w:rPr>
                <w:rFonts w:hint="default" w:ascii="Times New Roman" w:hAnsi="Times New Roman" w:cs="Times New Roman"/>
                <w:color w:val="000000" w:themeColor="text1"/>
                <w:kern w:val="0"/>
                <w:sz w:val="24"/>
                <w:szCs w:val="24"/>
                <w14:textFill>
                  <w14:solidFill>
                    <w14:schemeClr w14:val="tx1"/>
                  </w14:solidFill>
                </w14:textFill>
              </w:rPr>
              <w:t>、PM</w:t>
            </w:r>
            <w:r>
              <w:rPr>
                <w:rFonts w:hint="default" w:ascii="Times New Roman" w:hAnsi="Times New Roman" w:cs="Times New Roman"/>
                <w:color w:val="000000" w:themeColor="text1"/>
                <w:kern w:val="0"/>
                <w:sz w:val="24"/>
                <w:szCs w:val="24"/>
                <w:vertAlign w:val="subscript"/>
                <w14:textFill>
                  <w14:solidFill>
                    <w14:schemeClr w14:val="tx1"/>
                  </w14:solidFill>
                </w14:textFill>
              </w:rPr>
              <w:t>2.5</w:t>
            </w:r>
            <w:r>
              <w:rPr>
                <w:rFonts w:hint="default" w:ascii="Times New Roman" w:hAnsi="Times New Roman" w:cs="Times New Roman"/>
                <w:color w:val="000000" w:themeColor="text1"/>
                <w:kern w:val="0"/>
                <w:sz w:val="24"/>
                <w:szCs w:val="24"/>
                <w14:textFill>
                  <w14:solidFill>
                    <w14:schemeClr w14:val="tx1"/>
                  </w14:solidFill>
                </w14:textFill>
              </w:rPr>
              <w:t>、SO</w:t>
            </w:r>
            <w:r>
              <w:rPr>
                <w:rFonts w:hint="default" w:ascii="Times New Roman" w:hAnsi="Times New Roman" w:cs="Times New Roman"/>
                <w:color w:val="000000" w:themeColor="text1"/>
                <w:kern w:val="0"/>
                <w:sz w:val="24"/>
                <w:szCs w:val="24"/>
                <w:vertAlign w:val="subscript"/>
                <w14:textFill>
                  <w14:solidFill>
                    <w14:schemeClr w14:val="tx1"/>
                  </w14:solidFill>
                </w14:textFill>
              </w:rPr>
              <w:t>2</w:t>
            </w:r>
            <w:r>
              <w:rPr>
                <w:rFonts w:hint="default" w:ascii="Times New Roman" w:hAnsi="Times New Roman" w:cs="Times New Roman"/>
                <w:color w:val="000000" w:themeColor="text1"/>
                <w:kern w:val="0"/>
                <w:sz w:val="24"/>
                <w:szCs w:val="24"/>
                <w14:textFill>
                  <w14:solidFill>
                    <w14:schemeClr w14:val="tx1"/>
                  </w14:solidFill>
                </w14:textFill>
              </w:rPr>
              <w:t>、NO</w:t>
            </w:r>
            <w:r>
              <w:rPr>
                <w:rFonts w:hint="default" w:ascii="Times New Roman" w:hAnsi="Times New Roman" w:cs="Times New Roman"/>
                <w:color w:val="000000" w:themeColor="text1"/>
                <w:kern w:val="0"/>
                <w:sz w:val="24"/>
                <w:szCs w:val="24"/>
                <w:vertAlign w:val="subscript"/>
                <w14:textFill>
                  <w14:solidFill>
                    <w14:schemeClr w14:val="tx1"/>
                  </w14:solidFill>
                </w14:textFill>
              </w:rPr>
              <w:t>2</w:t>
            </w:r>
            <w:r>
              <w:rPr>
                <w:rFonts w:hint="default" w:ascii="Times New Roman" w:hAnsi="Times New Roman" w:cs="Times New Roman"/>
                <w:color w:val="000000" w:themeColor="text1"/>
                <w:kern w:val="0"/>
                <w:sz w:val="24"/>
                <w:szCs w:val="24"/>
                <w14:textFill>
                  <w14:solidFill>
                    <w14:schemeClr w14:val="tx1"/>
                  </w14:solidFill>
                </w14:textFill>
              </w:rPr>
              <w:t>、CO和O</w:t>
            </w:r>
            <w:r>
              <w:rPr>
                <w:rFonts w:hint="default" w:ascii="Times New Roman" w:hAnsi="Times New Roman" w:cs="Times New Roman"/>
                <w:color w:val="000000" w:themeColor="text1"/>
                <w:kern w:val="0"/>
                <w:sz w:val="24"/>
                <w:szCs w:val="24"/>
                <w:vertAlign w:val="subscript"/>
                <w14:textFill>
                  <w14:solidFill>
                    <w14:schemeClr w14:val="tx1"/>
                  </w14:solidFill>
                </w14:textFill>
              </w:rPr>
              <w:t>3</w:t>
            </w:r>
            <w:r>
              <w:rPr>
                <w:rFonts w:hint="default" w:ascii="Times New Roman" w:hAnsi="Times New Roman" w:cs="Times New Roman"/>
                <w:color w:val="000000" w:themeColor="text1"/>
                <w:kern w:val="0"/>
                <w:sz w:val="24"/>
                <w:szCs w:val="24"/>
                <w14:textFill>
                  <w14:solidFill>
                    <w14:schemeClr w14:val="tx1"/>
                  </w14:solidFill>
                </w14:textFill>
              </w:rPr>
              <w:t>的环境空气质量及区域达标情况判定见表</w:t>
            </w:r>
            <w:r>
              <w:rPr>
                <w:rFonts w:hint="eastAsia" w:cs="Times New Roman"/>
                <w:color w:val="000000" w:themeColor="text1"/>
                <w:kern w:val="0"/>
                <w:sz w:val="24"/>
                <w:szCs w:val="24"/>
                <w:lang w:val="en-US" w:eastAsia="zh-CN"/>
                <w14:textFill>
                  <w14:solidFill>
                    <w14:schemeClr w14:val="tx1"/>
                  </w14:solidFill>
                </w14:textFill>
              </w:rPr>
              <w:t>3-2</w:t>
            </w:r>
            <w:r>
              <w:rPr>
                <w:rFonts w:hint="default" w:ascii="Times New Roman" w:hAnsi="Times New Roman" w:cs="Times New Roman"/>
                <w:color w:val="000000" w:themeColor="text1"/>
                <w:kern w:val="0"/>
                <w:sz w:val="24"/>
                <w:szCs w:val="24"/>
                <w14:textFill>
                  <w14:solidFill>
                    <w14:schemeClr w14:val="tx1"/>
                  </w14:solidFill>
                </w14:textFill>
              </w:rPr>
              <w:t>。</w:t>
            </w:r>
          </w:p>
          <w:p w14:paraId="5DA9F664">
            <w:pPr>
              <w:keepNext/>
              <w:adjustRightInd w:val="0"/>
              <w:snapToGrid w:val="0"/>
              <w:spacing w:line="360" w:lineRule="auto"/>
              <w:ind w:left="15" w:leftChars="-55" w:hanging="130" w:hangingChars="54"/>
              <w:jc w:val="center"/>
              <w:rPr>
                <w:rFonts w:hint="default" w:ascii="Times New Roman" w:hAnsi="Times New Roman" w:cs="Times New Roman"/>
                <w:b/>
                <w:color w:val="000000" w:themeColor="text1"/>
                <w:sz w:val="24"/>
                <w:szCs w:val="24"/>
                <w14:textFill>
                  <w14:solidFill>
                    <w14:schemeClr w14:val="tx1"/>
                  </w14:solidFill>
                </w14:textFill>
              </w:rPr>
            </w:pPr>
            <w:r>
              <w:rPr>
                <w:rFonts w:hint="default" w:ascii="Times New Roman" w:hAnsi="Times New Roman" w:cs="Times New Roman"/>
                <w:b/>
                <w:color w:val="000000" w:themeColor="text1"/>
                <w:sz w:val="24"/>
                <w:szCs w:val="24"/>
                <w14:textFill>
                  <w14:solidFill>
                    <w14:schemeClr w14:val="tx1"/>
                  </w14:solidFill>
                </w14:textFill>
              </w:rPr>
              <w:t>表3</w:t>
            </w:r>
            <w:r>
              <w:rPr>
                <w:rFonts w:hint="default" w:ascii="Times New Roman" w:hAnsi="Times New Roman" w:cs="Times New Roman"/>
                <w:b/>
                <w:color w:val="000000" w:themeColor="text1"/>
                <w:sz w:val="24"/>
                <w:szCs w:val="24"/>
                <w:lang w:val="en-US" w:eastAsia="zh-CN"/>
                <w14:textFill>
                  <w14:solidFill>
                    <w14:schemeClr w14:val="tx1"/>
                  </w14:solidFill>
                </w14:textFill>
              </w:rPr>
              <w:t>-2</w:t>
            </w:r>
            <w:r>
              <w:rPr>
                <w:rFonts w:hint="default" w:ascii="Times New Roman" w:hAnsi="Times New Roman" w:cs="Times New Roman"/>
                <w:b/>
                <w:color w:val="000000" w:themeColor="text1"/>
                <w:sz w:val="24"/>
                <w:szCs w:val="24"/>
                <w14:textFill>
                  <w14:solidFill>
                    <w14:schemeClr w14:val="tx1"/>
                  </w14:solidFill>
                </w14:textFill>
              </w:rPr>
              <w:t>区域空气质量现状评价表单位：</w:t>
            </w:r>
            <w:r>
              <w:rPr>
                <w:rFonts w:hint="default" w:ascii="Times New Roman" w:hAnsi="Times New Roman" w:cs="Times New Roman"/>
                <w:color w:val="000000" w:themeColor="text1"/>
                <w:sz w:val="24"/>
                <w:szCs w:val="24"/>
                <w14:textFill>
                  <w14:solidFill>
                    <w14:schemeClr w14:val="tx1"/>
                  </w14:solidFill>
                </w14:textFill>
              </w:rPr>
              <w:t>（μg/m</w:t>
            </w:r>
            <w:r>
              <w:rPr>
                <w:rFonts w:hint="default" w:ascii="Times New Roman" w:hAnsi="Times New Roman" w:cs="Times New Roman"/>
                <w:color w:val="000000" w:themeColor="text1"/>
                <w:sz w:val="24"/>
                <w:szCs w:val="24"/>
                <w:vertAlign w:val="superscript"/>
                <w14:textFill>
                  <w14:solidFill>
                    <w14:schemeClr w14:val="tx1"/>
                  </w14:solidFill>
                </w14:textFill>
              </w:rPr>
              <w:t>3</w:t>
            </w:r>
            <w:r>
              <w:rPr>
                <w:rFonts w:hint="default" w:ascii="Times New Roman" w:hAnsi="Times New Roman" w:cs="Times New Roman"/>
                <w:color w:val="000000" w:themeColor="text1"/>
                <w:sz w:val="24"/>
                <w:szCs w:val="24"/>
                <w14:textFill>
                  <w14:solidFill>
                    <w14:schemeClr w14:val="tx1"/>
                  </w14:solidFill>
                </w14:textFill>
              </w:rPr>
              <w:t>）</w:t>
            </w:r>
          </w:p>
          <w:tbl>
            <w:tblPr>
              <w:tblStyle w:val="22"/>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0"/>
              <w:gridCol w:w="2103"/>
              <w:gridCol w:w="1176"/>
              <w:gridCol w:w="940"/>
              <w:gridCol w:w="1644"/>
              <w:gridCol w:w="1176"/>
            </w:tblGrid>
            <w:tr w14:paraId="07263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5C5E47F2">
                  <w:pPr>
                    <w:jc w:val="center"/>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污染物</w:t>
                  </w:r>
                </w:p>
              </w:tc>
              <w:tc>
                <w:tcPr>
                  <w:tcW w:w="1317" w:type="pct"/>
                  <w:vAlign w:val="center"/>
                </w:tcPr>
                <w:p w14:paraId="27FB0527">
                  <w:pPr>
                    <w:jc w:val="center"/>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评价指标</w:t>
                  </w:r>
                </w:p>
              </w:tc>
              <w:tc>
                <w:tcPr>
                  <w:tcW w:w="736" w:type="pct"/>
                  <w:vAlign w:val="center"/>
                </w:tcPr>
                <w:p w14:paraId="640174C5">
                  <w:pPr>
                    <w:jc w:val="center"/>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现状浓度</w:t>
                  </w:r>
                </w:p>
              </w:tc>
              <w:tc>
                <w:tcPr>
                  <w:tcW w:w="589" w:type="pct"/>
                  <w:vAlign w:val="center"/>
                </w:tcPr>
                <w:p w14:paraId="26E98DF9">
                  <w:pPr>
                    <w:jc w:val="center"/>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标准值</w:t>
                  </w:r>
                </w:p>
              </w:tc>
              <w:tc>
                <w:tcPr>
                  <w:tcW w:w="1030" w:type="pct"/>
                  <w:vAlign w:val="center"/>
                </w:tcPr>
                <w:p w14:paraId="68F84C37">
                  <w:pPr>
                    <w:jc w:val="center"/>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占标率（%）</w:t>
                  </w:r>
                </w:p>
              </w:tc>
              <w:tc>
                <w:tcPr>
                  <w:tcW w:w="736" w:type="pct"/>
                  <w:vAlign w:val="center"/>
                </w:tcPr>
                <w:p w14:paraId="1890D41E">
                  <w:pPr>
                    <w:jc w:val="center"/>
                    <w:rPr>
                      <w:rFonts w:hint="default" w:ascii="Times New Roman" w:hAnsi="Times New Roman" w:cs="Times New Roman"/>
                      <w:b/>
                      <w:color w:val="000000" w:themeColor="text1"/>
                      <w14:textFill>
                        <w14:solidFill>
                          <w14:schemeClr w14:val="tx1"/>
                        </w14:solidFill>
                      </w14:textFill>
                    </w:rPr>
                  </w:pPr>
                  <w:r>
                    <w:rPr>
                      <w:rFonts w:hint="default" w:ascii="Times New Roman" w:hAnsi="Times New Roman" w:cs="Times New Roman"/>
                      <w:b/>
                      <w:color w:val="000000" w:themeColor="text1"/>
                      <w14:textFill>
                        <w14:solidFill>
                          <w14:schemeClr w14:val="tx1"/>
                        </w14:solidFill>
                      </w14:textFill>
                    </w:rPr>
                    <w:t>达标情况</w:t>
                  </w:r>
                </w:p>
              </w:tc>
            </w:tr>
            <w:tr w14:paraId="75C68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606E0DA1">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PM</w:t>
                  </w:r>
                  <w:r>
                    <w:rPr>
                      <w:rFonts w:hint="default" w:ascii="Times New Roman" w:hAnsi="Times New Roman" w:cs="Times New Roman"/>
                      <w:color w:val="000000" w:themeColor="text1"/>
                      <w:vertAlign w:val="subscript"/>
                      <w14:textFill>
                        <w14:solidFill>
                          <w14:schemeClr w14:val="tx1"/>
                        </w14:solidFill>
                      </w14:textFill>
                    </w:rPr>
                    <w:t>2.5</w:t>
                  </w:r>
                </w:p>
              </w:tc>
              <w:tc>
                <w:tcPr>
                  <w:tcW w:w="1317" w:type="pct"/>
                  <w:vAlign w:val="center"/>
                </w:tcPr>
                <w:p w14:paraId="790DD617">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年平均浓度</w:t>
                  </w:r>
                </w:p>
              </w:tc>
              <w:tc>
                <w:tcPr>
                  <w:tcW w:w="736" w:type="pct"/>
                  <w:vAlign w:val="center"/>
                </w:tcPr>
                <w:p w14:paraId="22DB332F">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27</w:t>
                  </w:r>
                </w:p>
              </w:tc>
              <w:tc>
                <w:tcPr>
                  <w:tcW w:w="589" w:type="pct"/>
                  <w:vAlign w:val="center"/>
                </w:tcPr>
                <w:p w14:paraId="4E474B3E">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35</w:t>
                  </w:r>
                </w:p>
              </w:tc>
              <w:tc>
                <w:tcPr>
                  <w:tcW w:w="1030" w:type="pct"/>
                  <w:vAlign w:val="center"/>
                </w:tcPr>
                <w:p w14:paraId="201E7A11">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77.14</w:t>
                  </w:r>
                </w:p>
              </w:tc>
              <w:tc>
                <w:tcPr>
                  <w:tcW w:w="736" w:type="pct"/>
                  <w:vAlign w:val="center"/>
                </w:tcPr>
                <w:p w14:paraId="4C3DB145">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达标</w:t>
                  </w:r>
                </w:p>
              </w:tc>
            </w:tr>
            <w:tr w14:paraId="21405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5D5FC1DA">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PM</w:t>
                  </w:r>
                  <w:r>
                    <w:rPr>
                      <w:rFonts w:hint="default" w:ascii="Times New Roman" w:hAnsi="Times New Roman" w:cs="Times New Roman"/>
                      <w:color w:val="000000" w:themeColor="text1"/>
                      <w:vertAlign w:val="subscript"/>
                      <w14:textFill>
                        <w14:solidFill>
                          <w14:schemeClr w14:val="tx1"/>
                        </w14:solidFill>
                      </w14:textFill>
                    </w:rPr>
                    <w:t>10</w:t>
                  </w:r>
                </w:p>
              </w:tc>
              <w:tc>
                <w:tcPr>
                  <w:tcW w:w="1317" w:type="pct"/>
                  <w:vAlign w:val="center"/>
                </w:tcPr>
                <w:p w14:paraId="3D9CC181">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年平均浓度</w:t>
                  </w:r>
                </w:p>
              </w:tc>
              <w:tc>
                <w:tcPr>
                  <w:tcW w:w="736" w:type="pct"/>
                  <w:vAlign w:val="center"/>
                </w:tcPr>
                <w:p w14:paraId="41B84EA0">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46</w:t>
                  </w:r>
                </w:p>
              </w:tc>
              <w:tc>
                <w:tcPr>
                  <w:tcW w:w="589" w:type="pct"/>
                  <w:vAlign w:val="center"/>
                </w:tcPr>
                <w:p w14:paraId="56AD2505">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70</w:t>
                  </w:r>
                </w:p>
              </w:tc>
              <w:tc>
                <w:tcPr>
                  <w:tcW w:w="1030" w:type="pct"/>
                  <w:vAlign w:val="center"/>
                </w:tcPr>
                <w:p w14:paraId="4B7202F0">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65.71</w:t>
                  </w:r>
                </w:p>
              </w:tc>
              <w:tc>
                <w:tcPr>
                  <w:tcW w:w="736" w:type="pct"/>
                  <w:vAlign w:val="center"/>
                </w:tcPr>
                <w:p w14:paraId="6FE78E05">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达标</w:t>
                  </w:r>
                </w:p>
              </w:tc>
            </w:tr>
            <w:tr w14:paraId="1BD0D1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shd w:val="clear" w:color="auto" w:fill="auto"/>
                  <w:vAlign w:val="center"/>
                </w:tcPr>
                <w:p w14:paraId="7D0B4B8D">
                  <w:pPr>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SO</w:t>
                  </w:r>
                  <w:r>
                    <w:rPr>
                      <w:rFonts w:hint="default" w:ascii="Times New Roman" w:hAnsi="Times New Roman" w:cs="Times New Roman"/>
                      <w:color w:val="000000" w:themeColor="text1"/>
                      <w:vertAlign w:val="subscript"/>
                      <w14:textFill>
                        <w14:solidFill>
                          <w14:schemeClr w14:val="tx1"/>
                        </w14:solidFill>
                      </w14:textFill>
                    </w:rPr>
                    <w:t>2</w:t>
                  </w:r>
                </w:p>
              </w:tc>
              <w:tc>
                <w:tcPr>
                  <w:tcW w:w="1317" w:type="pct"/>
                  <w:shd w:val="clear" w:color="auto" w:fill="auto"/>
                  <w:vAlign w:val="center"/>
                </w:tcPr>
                <w:p w14:paraId="7EDE4D2A">
                  <w:pPr>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年平均浓度</w:t>
                  </w:r>
                </w:p>
              </w:tc>
              <w:tc>
                <w:tcPr>
                  <w:tcW w:w="736" w:type="pct"/>
                  <w:shd w:val="clear" w:color="auto" w:fill="auto"/>
                  <w:vAlign w:val="center"/>
                </w:tcPr>
                <w:p w14:paraId="13242361">
                  <w:pPr>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s="Times New Roman"/>
                      <w:color w:val="000000" w:themeColor="text1"/>
                      <w:kern w:val="2"/>
                      <w:sz w:val="21"/>
                      <w:szCs w:val="24"/>
                      <w:lang w:val="en-US" w:eastAsia="zh-CN" w:bidi="ar-SA"/>
                      <w14:textFill>
                        <w14:solidFill>
                          <w14:schemeClr w14:val="tx1"/>
                        </w14:solidFill>
                      </w14:textFill>
                    </w:rPr>
                    <w:t>8</w:t>
                  </w:r>
                </w:p>
              </w:tc>
              <w:tc>
                <w:tcPr>
                  <w:tcW w:w="589" w:type="pct"/>
                  <w:shd w:val="clear" w:color="auto" w:fill="auto"/>
                  <w:vAlign w:val="center"/>
                </w:tcPr>
                <w:p w14:paraId="352FDE58">
                  <w:pPr>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60</w:t>
                  </w:r>
                </w:p>
              </w:tc>
              <w:tc>
                <w:tcPr>
                  <w:tcW w:w="1030" w:type="pct"/>
                  <w:shd w:val="clear" w:color="auto" w:fill="auto"/>
                  <w:vAlign w:val="center"/>
                </w:tcPr>
                <w:p w14:paraId="7D882C77">
                  <w:pPr>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s="Times New Roman"/>
                      <w:color w:val="000000" w:themeColor="text1"/>
                      <w:lang w:val="en-US" w:eastAsia="zh-CN"/>
                      <w14:textFill>
                        <w14:solidFill>
                          <w14:schemeClr w14:val="tx1"/>
                        </w14:solidFill>
                      </w14:textFill>
                    </w:rPr>
                    <w:t>13.33</w:t>
                  </w:r>
                </w:p>
              </w:tc>
              <w:tc>
                <w:tcPr>
                  <w:tcW w:w="736" w:type="pct"/>
                  <w:shd w:val="clear" w:color="auto" w:fill="auto"/>
                  <w:vAlign w:val="center"/>
                </w:tcPr>
                <w:p w14:paraId="095E2DE0">
                  <w:pPr>
                    <w:jc w:val="center"/>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达标</w:t>
                  </w:r>
                </w:p>
              </w:tc>
            </w:tr>
            <w:tr w14:paraId="1F138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3C7E6C26">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NO</w:t>
                  </w:r>
                  <w:r>
                    <w:rPr>
                      <w:rFonts w:hint="default" w:ascii="Times New Roman" w:hAnsi="Times New Roman" w:cs="Times New Roman"/>
                      <w:color w:val="000000" w:themeColor="text1"/>
                      <w:vertAlign w:val="subscript"/>
                      <w14:textFill>
                        <w14:solidFill>
                          <w14:schemeClr w14:val="tx1"/>
                        </w14:solidFill>
                      </w14:textFill>
                    </w:rPr>
                    <w:t>2</w:t>
                  </w:r>
                </w:p>
              </w:tc>
              <w:tc>
                <w:tcPr>
                  <w:tcW w:w="1317" w:type="pct"/>
                  <w:vAlign w:val="center"/>
                </w:tcPr>
                <w:p w14:paraId="5907B296">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年平均浓度</w:t>
                  </w:r>
                </w:p>
              </w:tc>
              <w:tc>
                <w:tcPr>
                  <w:tcW w:w="736" w:type="pct"/>
                  <w:vAlign w:val="center"/>
                </w:tcPr>
                <w:p w14:paraId="175B1AF5">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17</w:t>
                  </w:r>
                </w:p>
              </w:tc>
              <w:tc>
                <w:tcPr>
                  <w:tcW w:w="589" w:type="pct"/>
                  <w:vAlign w:val="center"/>
                </w:tcPr>
                <w:p w14:paraId="1D25E327">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40</w:t>
                  </w:r>
                </w:p>
              </w:tc>
              <w:tc>
                <w:tcPr>
                  <w:tcW w:w="1030" w:type="pct"/>
                  <w:vAlign w:val="center"/>
                </w:tcPr>
                <w:p w14:paraId="518800D8">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eastAsia" w:cs="Times New Roman"/>
                      <w:color w:val="000000" w:themeColor="text1"/>
                      <w:lang w:val="en-US" w:eastAsia="zh-CN"/>
                      <w14:textFill>
                        <w14:solidFill>
                          <w14:schemeClr w14:val="tx1"/>
                        </w14:solidFill>
                      </w14:textFill>
                    </w:rPr>
                    <w:t>42.50</w:t>
                  </w:r>
                </w:p>
              </w:tc>
              <w:tc>
                <w:tcPr>
                  <w:tcW w:w="736" w:type="pct"/>
                  <w:vAlign w:val="center"/>
                </w:tcPr>
                <w:p w14:paraId="699548B7">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达标</w:t>
                  </w:r>
                </w:p>
              </w:tc>
            </w:tr>
            <w:tr w14:paraId="75F61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4016A75E">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CO</w:t>
                  </w:r>
                </w:p>
              </w:tc>
              <w:tc>
                <w:tcPr>
                  <w:tcW w:w="2103" w:type="dxa"/>
                  <w:vAlign w:val="center"/>
                </w:tcPr>
                <w:p w14:paraId="401F8496">
                  <w:pPr>
                    <w:pStyle w:val="7"/>
                    <w:keepNext w:val="0"/>
                    <w:keepLines w:val="0"/>
                    <w:pageBreakBefore w:val="0"/>
                    <w:widowControl/>
                    <w:suppressLineNumbers w:val="0"/>
                    <w:shd w:val="clear" w:color="auto" w:fill="auto"/>
                    <w:tabs>
                      <w:tab w:val="left" w:pos="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第95百分位数日平均质量浓度</w:t>
                  </w:r>
                </w:p>
              </w:tc>
              <w:tc>
                <w:tcPr>
                  <w:tcW w:w="736" w:type="pct"/>
                  <w:vAlign w:val="center"/>
                </w:tcPr>
                <w:p w14:paraId="142E3441">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1000</w:t>
                  </w:r>
                </w:p>
              </w:tc>
              <w:tc>
                <w:tcPr>
                  <w:tcW w:w="589" w:type="pct"/>
                  <w:vAlign w:val="center"/>
                </w:tcPr>
                <w:p w14:paraId="4B975936">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4000</w:t>
                  </w:r>
                </w:p>
              </w:tc>
              <w:tc>
                <w:tcPr>
                  <w:tcW w:w="1030" w:type="pct"/>
                  <w:vAlign w:val="center"/>
                </w:tcPr>
                <w:p w14:paraId="08463DE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25.00</w:t>
                  </w:r>
                </w:p>
              </w:tc>
              <w:tc>
                <w:tcPr>
                  <w:tcW w:w="736" w:type="pct"/>
                  <w:vAlign w:val="center"/>
                </w:tcPr>
                <w:p w14:paraId="09C216EC">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达标</w:t>
                  </w:r>
                </w:p>
              </w:tc>
            </w:tr>
            <w:tr w14:paraId="5A273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7D0B4CC4">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O</w:t>
                  </w:r>
                  <w:r>
                    <w:rPr>
                      <w:rFonts w:hint="default" w:ascii="Times New Roman" w:hAnsi="Times New Roman" w:cs="Times New Roman"/>
                      <w:color w:val="000000" w:themeColor="text1"/>
                      <w:vertAlign w:val="subscript"/>
                      <w14:textFill>
                        <w14:solidFill>
                          <w14:schemeClr w14:val="tx1"/>
                        </w14:solidFill>
                      </w14:textFill>
                    </w:rPr>
                    <w:t>3</w:t>
                  </w:r>
                </w:p>
              </w:tc>
              <w:tc>
                <w:tcPr>
                  <w:tcW w:w="2103" w:type="dxa"/>
                  <w:vAlign w:val="center"/>
                </w:tcPr>
                <w:p w14:paraId="358CFF4D">
                  <w:pPr>
                    <w:pStyle w:val="7"/>
                    <w:keepNext w:val="0"/>
                    <w:keepLines w:val="0"/>
                    <w:pageBreakBefore w:val="0"/>
                    <w:widowControl/>
                    <w:suppressLineNumbers w:val="0"/>
                    <w:shd w:val="clear" w:color="auto" w:fill="auto"/>
                    <w:tabs>
                      <w:tab w:val="left" w:pos="0"/>
                    </w:tabs>
                    <w:kinsoku/>
                    <w:wordWrap/>
                    <w:overflowPunct/>
                    <w:topLinePunct w:val="0"/>
                    <w:autoSpaceDE/>
                    <w:autoSpaceDN/>
                    <w:bidi w:val="0"/>
                    <w:adjustRightInd/>
                    <w:snapToGrid w:val="0"/>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日最大8小时滑动平均值第90百分位数</w:t>
                  </w:r>
                </w:p>
              </w:tc>
              <w:tc>
                <w:tcPr>
                  <w:tcW w:w="736" w:type="pct"/>
                  <w:vAlign w:val="center"/>
                </w:tcPr>
                <w:p w14:paraId="7D2B0FCD">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90</w:t>
                  </w:r>
                </w:p>
              </w:tc>
              <w:tc>
                <w:tcPr>
                  <w:tcW w:w="589" w:type="pct"/>
                  <w:vAlign w:val="center"/>
                </w:tcPr>
                <w:p w14:paraId="780A1BB6">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160</w:t>
                  </w:r>
                </w:p>
              </w:tc>
              <w:tc>
                <w:tcPr>
                  <w:tcW w:w="1030" w:type="pct"/>
                  <w:vAlign w:val="center"/>
                </w:tcPr>
                <w:p w14:paraId="36D61937">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56.25</w:t>
                  </w:r>
                </w:p>
              </w:tc>
              <w:tc>
                <w:tcPr>
                  <w:tcW w:w="736" w:type="pct"/>
                  <w:vAlign w:val="center"/>
                </w:tcPr>
                <w:p w14:paraId="4E9235CF">
                  <w:pPr>
                    <w:jc w:val="center"/>
                    <w:rPr>
                      <w:rFonts w:hint="default" w:ascii="Times New Roman" w:hAnsi="Times New Roman" w:cs="Times New Roman"/>
                      <w:color w:val="000000" w:themeColor="text1"/>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t>达标</w:t>
                  </w:r>
                </w:p>
              </w:tc>
            </w:tr>
          </w:tbl>
          <w:p w14:paraId="24541429">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根据上表数据可知，202</w:t>
            </w:r>
            <w:r>
              <w:rPr>
                <w:rFonts w:hint="default" w:ascii="Times New Roman" w:hAnsi="Times New Roman" w:cs="Times New Roman"/>
                <w:color w:val="000000" w:themeColor="text1"/>
                <w:kern w:val="0"/>
                <w:sz w:val="24"/>
                <w:szCs w:val="24"/>
                <w:lang w:val="en-US" w:eastAsia="zh-CN"/>
                <w14:textFill>
                  <w14:solidFill>
                    <w14:schemeClr w14:val="tx1"/>
                  </w14:solidFill>
                </w14:textFill>
              </w:rPr>
              <w:t>4</w:t>
            </w:r>
            <w:r>
              <w:rPr>
                <w:rFonts w:hint="default" w:ascii="Times New Roman" w:hAnsi="Times New Roman" w:cs="Times New Roman"/>
                <w:color w:val="000000" w:themeColor="text1"/>
                <w:kern w:val="0"/>
                <w:sz w:val="24"/>
                <w:szCs w:val="24"/>
                <w14:textFill>
                  <w14:solidFill>
                    <w14:schemeClr w14:val="tx1"/>
                  </w14:solidFill>
                </w14:textFill>
              </w:rPr>
              <w:t>年</w:t>
            </w:r>
            <w:r>
              <w:rPr>
                <w:rFonts w:hint="default" w:ascii="Times New Roman" w:hAnsi="Times New Roman" w:cs="Times New Roman"/>
                <w:color w:val="000000" w:themeColor="text1"/>
                <w:kern w:val="0"/>
                <w:sz w:val="24"/>
                <w:szCs w:val="24"/>
                <w:lang w:eastAsia="zh-CN"/>
                <w14:textFill>
                  <w14:solidFill>
                    <w14:schemeClr w14:val="tx1"/>
                  </w14:solidFill>
                </w14:textFill>
              </w:rPr>
              <w:t>鸡西</w:t>
            </w:r>
            <w:r>
              <w:rPr>
                <w:rFonts w:hint="default" w:ascii="Times New Roman" w:hAnsi="Times New Roman" w:cs="Times New Roman"/>
                <w:color w:val="000000" w:themeColor="text1"/>
                <w:kern w:val="0"/>
                <w:sz w:val="24"/>
                <w:szCs w:val="24"/>
                <w14:textFill>
                  <w14:solidFill>
                    <w14:schemeClr w14:val="tx1"/>
                  </w14:solidFill>
                </w14:textFill>
              </w:rPr>
              <w:t>市区域空气质量满足《环境空气质量标准》（GB3095-2012）的二级标准限值要求，</w:t>
            </w:r>
            <w:r>
              <w:rPr>
                <w:rFonts w:hint="default" w:ascii="Times New Roman" w:hAnsi="Times New Roman" w:cs="Times New Roman"/>
                <w:color w:val="000000" w:themeColor="text1"/>
                <w:kern w:val="0"/>
                <w:sz w:val="24"/>
                <w:szCs w:val="24"/>
                <w:lang w:eastAsia="zh-CN"/>
                <w14:textFill>
                  <w14:solidFill>
                    <w14:schemeClr w14:val="tx1"/>
                  </w14:solidFill>
                </w14:textFill>
              </w:rPr>
              <w:t>鸡西</w:t>
            </w:r>
            <w:r>
              <w:rPr>
                <w:rFonts w:hint="default" w:ascii="Times New Roman" w:hAnsi="Times New Roman" w:cs="Times New Roman"/>
                <w:color w:val="000000" w:themeColor="text1"/>
                <w:kern w:val="0"/>
                <w:sz w:val="24"/>
                <w:szCs w:val="24"/>
                <w14:textFill>
                  <w14:solidFill>
                    <w14:schemeClr w14:val="tx1"/>
                  </w14:solidFill>
                </w14:textFill>
              </w:rPr>
              <w:t>市属于环境空气质量达标区，空气环境质量良好。</w:t>
            </w:r>
          </w:p>
          <w:p w14:paraId="099FCA1B">
            <w:pPr>
              <w:keepNext/>
              <w:adjustRightInd w:val="0"/>
              <w:snapToGrid w:val="0"/>
              <w:spacing w:line="360" w:lineRule="auto"/>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lang w:val="en-US" w:eastAsia="zh-CN"/>
                <w14:textFill>
                  <w14:solidFill>
                    <w14:schemeClr w14:val="tx1"/>
                  </w14:solidFill>
                </w14:textFill>
              </w:rPr>
              <w:t>3、声</w:t>
            </w:r>
            <w:r>
              <w:rPr>
                <w:rFonts w:hint="default" w:ascii="Times New Roman" w:hAnsi="Times New Roman" w:cs="Times New Roman"/>
                <w:b/>
                <w:color w:val="000000" w:themeColor="text1"/>
                <w:kern w:val="0"/>
                <w:sz w:val="24"/>
                <w:szCs w:val="24"/>
                <w14:textFill>
                  <w14:solidFill>
                    <w14:schemeClr w14:val="tx1"/>
                  </w14:solidFill>
                </w14:textFill>
              </w:rPr>
              <w:t>环境</w:t>
            </w:r>
          </w:p>
          <w:p w14:paraId="437A3249">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szCs w:val="24"/>
                <w:lang w:eastAsia="zh-CN"/>
                <w14:textFill>
                  <w14:solidFill>
                    <w14:schemeClr w14:val="tx1"/>
                  </w14:solidFill>
                </w14:textFill>
              </w:rPr>
              <w:t>根据</w:t>
            </w:r>
            <w:r>
              <w:rPr>
                <w:rFonts w:hint="default" w:ascii="Times New Roman" w:hAnsi="Times New Roman" w:cs="Times New Roman"/>
                <w:color w:val="000000" w:themeColor="text1"/>
                <w:kern w:val="0"/>
                <w:sz w:val="24"/>
                <w:szCs w:val="24"/>
                <w14:textFill>
                  <w14:solidFill>
                    <w14:schemeClr w14:val="tx1"/>
                  </w14:solidFill>
                </w14:textFill>
              </w:rPr>
              <w:t>《202</w:t>
            </w:r>
            <w:r>
              <w:rPr>
                <w:rFonts w:hint="default" w:ascii="Times New Roman" w:hAnsi="Times New Roman" w:cs="Times New Roman"/>
                <w:color w:val="000000" w:themeColor="text1"/>
                <w:kern w:val="0"/>
                <w:sz w:val="24"/>
                <w:szCs w:val="24"/>
                <w:lang w:val="en-US" w:eastAsia="zh-CN"/>
                <w14:textFill>
                  <w14:solidFill>
                    <w14:schemeClr w14:val="tx1"/>
                  </w14:solidFill>
                </w14:textFill>
              </w:rPr>
              <w:t>4</w:t>
            </w:r>
            <w:r>
              <w:rPr>
                <w:rFonts w:hint="default" w:ascii="Times New Roman" w:hAnsi="Times New Roman" w:cs="Times New Roman"/>
                <w:color w:val="000000" w:themeColor="text1"/>
                <w:kern w:val="0"/>
                <w:sz w:val="24"/>
                <w:szCs w:val="24"/>
                <w14:textFill>
                  <w14:solidFill>
                    <w14:schemeClr w14:val="tx1"/>
                  </w14:solidFill>
                </w14:textFill>
              </w:rPr>
              <w:t>年黑龙江省生态环境质量状况》</w:t>
            </w:r>
            <w:r>
              <w:rPr>
                <w:rFonts w:hint="default" w:ascii="Times New Roman" w:hAnsi="Times New Roman" w:cs="Times New Roman"/>
                <w:color w:val="000000" w:themeColor="text1"/>
                <w:kern w:val="0"/>
                <w:sz w:val="24"/>
                <w:szCs w:val="24"/>
                <w:lang w:eastAsia="zh-CN"/>
                <w14:textFill>
                  <w14:solidFill>
                    <w14:schemeClr w14:val="tx1"/>
                  </w14:solidFill>
                </w14:textFill>
              </w:rPr>
              <w:t>数据可知，</w:t>
            </w:r>
            <w:r>
              <w:rPr>
                <w:rFonts w:hint="default" w:ascii="Times New Roman" w:hAnsi="Times New Roman" w:cs="Times New Roman"/>
                <w:color w:val="000000" w:themeColor="text1"/>
                <w:kern w:val="0"/>
                <w:sz w:val="24"/>
                <w:szCs w:val="24"/>
                <w:lang w:val="en-US" w:eastAsia="zh-CN"/>
                <w14:textFill>
                  <w14:solidFill>
                    <w14:schemeClr w14:val="tx1"/>
                  </w14:solidFill>
                </w14:textFill>
              </w:rPr>
              <w:t>2024年</w:t>
            </w:r>
            <w:r>
              <w:rPr>
                <w:rFonts w:hint="default" w:ascii="Times New Roman" w:hAnsi="Times New Roman" w:cs="Times New Roman"/>
                <w:color w:val="000000" w:themeColor="text1"/>
                <w:kern w:val="0"/>
                <w:sz w:val="24"/>
                <w:szCs w:val="24"/>
                <w:lang w:eastAsia="zh-CN"/>
                <w14:textFill>
                  <w14:solidFill>
                    <w14:schemeClr w14:val="tx1"/>
                  </w14:solidFill>
                </w14:textFill>
              </w:rPr>
              <w:t>鸡西市区域环境昼间平均等效声级为</w:t>
            </w:r>
            <w:r>
              <w:rPr>
                <w:rFonts w:hint="default" w:ascii="Times New Roman" w:hAnsi="Times New Roman" w:cs="Times New Roman"/>
                <w:color w:val="000000" w:themeColor="text1"/>
                <w:kern w:val="0"/>
                <w:sz w:val="24"/>
                <w:szCs w:val="24"/>
                <w:lang w:val="en-US" w:eastAsia="zh-CN"/>
                <w14:textFill>
                  <w14:solidFill>
                    <w14:schemeClr w14:val="tx1"/>
                  </w14:solidFill>
                </w14:textFill>
              </w:rPr>
              <w:t>53.6dB（A），</w:t>
            </w:r>
            <w:r>
              <w:rPr>
                <w:rFonts w:hint="default" w:ascii="Times New Roman" w:hAnsi="Times New Roman" w:eastAsia="宋体" w:cs="Times New Roman"/>
                <w:color w:val="000000" w:themeColor="text1"/>
                <w:sz w:val="24"/>
                <w:szCs w:val="24"/>
                <w14:textFill>
                  <w14:solidFill>
                    <w14:schemeClr w14:val="tx1"/>
                  </w14:solidFill>
                </w14:textFill>
              </w:rPr>
              <w:t>昼间声环境</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质量较好，本项目远离城市，因此评价等级好，声环境可以满足《声环境质量标准》（GB3096-2008）一类标准。</w:t>
            </w:r>
          </w:p>
          <w:p w14:paraId="1BE7430F">
            <w:pPr>
              <w:keepNext/>
              <w:adjustRightInd w:val="0"/>
              <w:snapToGrid w:val="0"/>
              <w:spacing w:line="360" w:lineRule="auto"/>
              <w:jc w:val="left"/>
              <w:rPr>
                <w:rFonts w:hint="default" w:ascii="Times New Roman" w:hAnsi="Times New Roman" w:eastAsia="宋体" w:cs="Times New Roman"/>
                <w:b/>
                <w:color w:val="000000" w:themeColor="text1"/>
                <w:kern w:val="0"/>
                <w:sz w:val="24"/>
                <w:szCs w:val="24"/>
                <w:lang w:val="en-US" w:eastAsia="zh-CN"/>
                <w14:textFill>
                  <w14:solidFill>
                    <w14:schemeClr w14:val="tx1"/>
                  </w14:solidFill>
                </w14:textFill>
              </w:rPr>
            </w:pPr>
            <w:r>
              <w:rPr>
                <w:rFonts w:hint="default" w:ascii="Times New Roman" w:hAnsi="Times New Roman" w:eastAsia="宋体" w:cs="Times New Roman"/>
                <w:b/>
                <w:color w:val="000000" w:themeColor="text1"/>
                <w:kern w:val="0"/>
                <w:sz w:val="24"/>
                <w:szCs w:val="24"/>
                <w:lang w:val="en-US" w:eastAsia="zh-CN"/>
                <w14:textFill>
                  <w14:solidFill>
                    <w14:schemeClr w14:val="tx1"/>
                  </w14:solidFill>
                </w14:textFill>
              </w:rPr>
              <w:t>4、地表水</w:t>
            </w:r>
          </w:p>
          <w:p w14:paraId="6BC94947">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水功能区划</w:t>
            </w:r>
          </w:p>
          <w:p w14:paraId="3C84C17B">
            <w:pPr>
              <w:spacing w:line="360" w:lineRule="auto"/>
              <w:ind w:firstLine="480" w:firstLineChars="200"/>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根据《全国重要江河湖泊水功能区划（2011～2030年）》，</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青山水库</w:t>
            </w:r>
            <w:r>
              <w:rPr>
                <w:rFonts w:hint="eastAsia" w:cs="Times New Roman" w:eastAsiaTheme="minorEastAsia"/>
                <w:color w:val="000000" w:themeColor="text1"/>
                <w:sz w:val="24"/>
                <w:highlight w:val="none"/>
                <w:lang w:eastAsia="zh-CN"/>
                <w14:textFill>
                  <w14:solidFill>
                    <w14:schemeClr w14:val="tx1"/>
                  </w14:solidFill>
                </w14:textFill>
              </w:rPr>
              <w:t>通过锅盔河汇入</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穆棱河</w:t>
            </w:r>
            <w:r>
              <w:rPr>
                <w:rFonts w:hint="eastAsia" w:cs="Times New Roman" w:eastAsiaTheme="minorEastAsia"/>
                <w:color w:val="000000" w:themeColor="text1"/>
                <w:sz w:val="24"/>
                <w:highlight w:val="none"/>
                <w:lang w:eastAsia="zh-CN"/>
                <w14:textFill>
                  <w14:solidFill>
                    <w14:schemeClr w14:val="tx1"/>
                  </w14:solidFill>
                </w14:textFill>
              </w:rPr>
              <w:t>，锅盔河</w:t>
            </w:r>
            <w:r>
              <w:rPr>
                <w:rFonts w:hint="default" w:ascii="Times New Roman" w:hAnsi="Times New Roman" w:cs="Times New Roman" w:eastAsiaTheme="minorEastAsia"/>
                <w:color w:val="000000" w:themeColor="text1"/>
                <w:sz w:val="24"/>
                <w:highlight w:val="none"/>
                <w14:textFill>
                  <w14:solidFill>
                    <w14:schemeClr w14:val="tx1"/>
                  </w14:solidFill>
                </w14:textFill>
              </w:rPr>
              <w:t>支流并未划分水功能区，也并无国控水质监测断面，但</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最终汇入穆棱河</w:t>
            </w:r>
            <w:r>
              <w:rPr>
                <w:rFonts w:hint="default" w:ascii="Times New Roman" w:hAnsi="Times New Roman" w:cs="Times New Roman" w:eastAsiaTheme="minorEastAsia"/>
                <w:color w:val="000000" w:themeColor="text1"/>
                <w:sz w:val="24"/>
                <w:highlight w:val="none"/>
                <w14:textFill>
                  <w14:solidFill>
                    <w14:schemeClr w14:val="tx1"/>
                  </w14:solidFill>
                </w14:textFill>
              </w:rPr>
              <w:t>所涉及的功能区为穆棱河鸡西市开发利用区</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按照支流不低于干流水质的原则，本次评价对</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 w:val="24"/>
                <w:highlight w:val="none"/>
                <w14:textFill>
                  <w14:solidFill>
                    <w14:schemeClr w14:val="tx1"/>
                  </w14:solidFill>
                </w14:textFill>
              </w:rPr>
              <w:t>水库水质按Ⅲ类标准执行。</w:t>
            </w:r>
          </w:p>
          <w:p w14:paraId="5858B9DF">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水质现状</w:t>
            </w:r>
          </w:p>
          <w:p w14:paraId="0D4240A3">
            <w:pPr>
              <w:spacing w:line="360" w:lineRule="auto"/>
              <w:ind w:firstLine="480" w:firstLineChars="200"/>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本次</w:t>
            </w:r>
            <w:r>
              <w:rPr>
                <w:rFonts w:hint="eastAsia"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 w:val="24"/>
                <w:highlight w:val="none"/>
                <w14:textFill>
                  <w14:solidFill>
                    <w14:schemeClr w14:val="tx1"/>
                  </w14:solidFill>
                </w14:textFill>
              </w:rPr>
              <w:t>水库水质现状委托</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黑龙江汉风环境检测技术有限公司</w:t>
            </w:r>
            <w:r>
              <w:rPr>
                <w:rFonts w:hint="default" w:ascii="Times New Roman" w:hAnsi="Times New Roman" w:cs="Times New Roman" w:eastAsiaTheme="minorEastAsia"/>
                <w:color w:val="000000" w:themeColor="text1"/>
                <w:sz w:val="24"/>
                <w:highlight w:val="none"/>
                <w14:textFill>
                  <w14:solidFill>
                    <w14:schemeClr w14:val="tx1"/>
                  </w14:solidFill>
                </w14:textFill>
              </w:rPr>
              <w:t>进行检测</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监测数据及评价结果见表</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3-3，</w:t>
            </w:r>
            <w:r>
              <w:rPr>
                <w:rFonts w:hint="default" w:ascii="Times New Roman" w:hAnsi="Times New Roman" w:cs="Times New Roman" w:eastAsiaTheme="minorEastAsia"/>
                <w:color w:val="000000" w:themeColor="text1"/>
                <w:sz w:val="24"/>
                <w:highlight w:val="none"/>
                <w14:textFill>
                  <w14:solidFill>
                    <w14:schemeClr w14:val="tx1"/>
                  </w14:solidFill>
                </w14:textFill>
              </w:rPr>
              <w:t>监测结果表明，</w:t>
            </w:r>
            <w:r>
              <w:rPr>
                <w:rFonts w:hint="eastAsia"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 w:val="24"/>
                <w:highlight w:val="none"/>
                <w14:textFill>
                  <w14:solidFill>
                    <w14:schemeClr w14:val="tx1"/>
                  </w14:solidFill>
                </w14:textFill>
              </w:rPr>
              <w:t>水库现状水质满足Ⅲ类要求。</w:t>
            </w:r>
          </w:p>
          <w:p w14:paraId="0616A406">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center"/>
              <w:textAlignment w:val="auto"/>
              <w:rPr>
                <w:rFonts w:hint="default" w:ascii="Times New Roman" w:hAnsi="Times New Roman" w:cs="Times New Roman" w:eastAsiaTheme="minorEastAsia"/>
                <w:b/>
                <w:bCs/>
                <w:color w:val="000000" w:themeColor="text1"/>
                <w:sz w:val="24"/>
                <w:szCs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szCs w:val="24"/>
                <w:highlight w:val="none"/>
                <w14:textFill>
                  <w14:solidFill>
                    <w14:schemeClr w14:val="tx1"/>
                  </w14:solidFill>
                </w14:textFill>
              </w:rPr>
              <w:t>表</w:t>
            </w:r>
            <w:r>
              <w:rPr>
                <w:rFonts w:hint="default" w:ascii="Times New Roman" w:hAnsi="Times New Roman" w:cs="Times New Roman" w:eastAsiaTheme="minorEastAsia"/>
                <w:b/>
                <w:bCs/>
                <w:color w:val="000000" w:themeColor="text1"/>
                <w:sz w:val="24"/>
                <w:szCs w:val="24"/>
                <w:highlight w:val="none"/>
                <w:lang w:val="en-US" w:eastAsia="zh-CN"/>
                <w14:textFill>
                  <w14:solidFill>
                    <w14:schemeClr w14:val="tx1"/>
                  </w14:solidFill>
                </w14:textFill>
              </w:rPr>
              <w:t xml:space="preserve">3-3 </w:t>
            </w:r>
            <w:r>
              <w:rPr>
                <w:rFonts w:hint="default" w:ascii="Times New Roman" w:hAnsi="Times New Roman" w:cs="Times New Roman" w:eastAsiaTheme="minorEastAsia"/>
                <w:b/>
                <w:bCs/>
                <w:color w:val="000000" w:themeColor="text1"/>
                <w:sz w:val="24"/>
                <w:szCs w:val="24"/>
                <w:highlight w:val="none"/>
                <w:lang w:eastAsia="zh-CN"/>
                <w14:textFill>
                  <w14:solidFill>
                    <w14:schemeClr w14:val="tx1"/>
                  </w14:solidFill>
                </w14:textFill>
              </w:rPr>
              <w:t>青山</w:t>
            </w:r>
            <w:r>
              <w:rPr>
                <w:rFonts w:hint="default" w:ascii="Times New Roman" w:hAnsi="Times New Roman" w:cs="Times New Roman" w:eastAsiaTheme="minorEastAsia"/>
                <w:b/>
                <w:bCs/>
                <w:color w:val="000000" w:themeColor="text1"/>
                <w:sz w:val="24"/>
                <w:szCs w:val="24"/>
                <w:highlight w:val="none"/>
                <w14:textFill>
                  <w14:solidFill>
                    <w14:schemeClr w14:val="tx1"/>
                  </w14:solidFill>
                </w14:textFill>
              </w:rPr>
              <w:t>水库水质监测结果单位：mg/L</w:t>
            </w:r>
          </w:p>
          <w:tbl>
            <w:tblPr>
              <w:tblStyle w:val="22"/>
              <w:tblpPr w:leftFromText="180" w:rightFromText="180" w:vertAnchor="text" w:horzAnchor="page" w:tblpX="125" w:tblpY="75"/>
              <w:tblOverlap w:val="never"/>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38"/>
              <w:gridCol w:w="1132"/>
              <w:gridCol w:w="1271"/>
              <w:gridCol w:w="1334"/>
              <w:gridCol w:w="2516"/>
            </w:tblGrid>
            <w:tr w14:paraId="7DD24A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vMerge w:val="restart"/>
                  <w:vAlign w:val="center"/>
                </w:tcPr>
                <w:p w14:paraId="30AEB96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检测项目</w:t>
                  </w:r>
                </w:p>
              </w:tc>
              <w:tc>
                <w:tcPr>
                  <w:tcW w:w="2338" w:type="pct"/>
                  <w:gridSpan w:val="3"/>
                  <w:vAlign w:val="center"/>
                </w:tcPr>
                <w:p w14:paraId="4510478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样品编号及点位</w:t>
                  </w:r>
                </w:p>
              </w:tc>
              <w:tc>
                <w:tcPr>
                  <w:tcW w:w="1574" w:type="pct"/>
                  <w:vMerge w:val="restart"/>
                  <w:vAlign w:val="center"/>
                </w:tcPr>
                <w:p w14:paraId="0F40892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单位</w:t>
                  </w:r>
                </w:p>
              </w:tc>
            </w:tr>
            <w:tr w14:paraId="428623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3" w:hRule="atLeast"/>
              </w:trPr>
              <w:tc>
                <w:tcPr>
                  <w:tcW w:w="1087" w:type="pct"/>
                  <w:vMerge w:val="continue"/>
                  <w:vAlign w:val="center"/>
                </w:tcPr>
                <w:p w14:paraId="04A6DF3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338" w:type="pct"/>
                  <w:gridSpan w:val="3"/>
                  <w:vAlign w:val="center"/>
                </w:tcPr>
                <w:p w14:paraId="7B7A8B2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eastAsia" w:ascii="Times New Roman" w:hAnsi="Times New Roman" w:cs="Times New Roman" w:eastAsiaTheme="minorEastAsia"/>
                      <w:color w:val="000000" w:themeColor="text1"/>
                      <w:szCs w:val="21"/>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Cs w:val="21"/>
                      <w:highlight w:val="none"/>
                      <w14:textFill>
                        <w14:solidFill>
                          <w14:schemeClr w14:val="tx1"/>
                        </w14:solidFill>
                      </w14:textFill>
                    </w:rPr>
                    <w:t>水库坝体附近1#</w:t>
                  </w:r>
                </w:p>
              </w:tc>
              <w:tc>
                <w:tcPr>
                  <w:tcW w:w="1574" w:type="pct"/>
                  <w:vMerge w:val="continue"/>
                  <w:vAlign w:val="center"/>
                </w:tcPr>
                <w:p w14:paraId="5D6C583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p>
              </w:tc>
            </w:tr>
            <w:tr w14:paraId="696542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6" w:hRule="atLeast"/>
              </w:trPr>
              <w:tc>
                <w:tcPr>
                  <w:tcW w:w="1087" w:type="pct"/>
                  <w:vMerge w:val="continue"/>
                  <w:vAlign w:val="center"/>
                </w:tcPr>
                <w:p w14:paraId="09457E4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708" w:type="pct"/>
                  <w:shd w:val="clear" w:color="auto" w:fill="auto"/>
                  <w:vAlign w:val="center"/>
                </w:tcPr>
                <w:p w14:paraId="00E709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15</w:t>
                  </w:r>
                </w:p>
              </w:tc>
              <w:tc>
                <w:tcPr>
                  <w:tcW w:w="795" w:type="pct"/>
                  <w:shd w:val="clear" w:color="auto" w:fill="auto"/>
                  <w:vAlign w:val="center"/>
                </w:tcPr>
                <w:p w14:paraId="1669598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16</w:t>
                  </w:r>
                </w:p>
              </w:tc>
              <w:tc>
                <w:tcPr>
                  <w:tcW w:w="834" w:type="pct"/>
                  <w:shd w:val="clear" w:color="auto" w:fill="auto"/>
                  <w:vAlign w:val="center"/>
                </w:tcPr>
                <w:p w14:paraId="3BE677B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17</w:t>
                  </w:r>
                </w:p>
              </w:tc>
              <w:tc>
                <w:tcPr>
                  <w:tcW w:w="1574" w:type="pct"/>
                  <w:vMerge w:val="continue"/>
                  <w:vAlign w:val="center"/>
                </w:tcPr>
                <w:p w14:paraId="533B93D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p>
              </w:tc>
            </w:tr>
            <w:tr w14:paraId="4A085B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6" w:hRule="atLeast"/>
              </w:trPr>
              <w:tc>
                <w:tcPr>
                  <w:tcW w:w="1087" w:type="pct"/>
                  <w:shd w:val="clear" w:color="auto" w:fill="auto"/>
                  <w:vAlign w:val="center"/>
                </w:tcPr>
                <w:p w14:paraId="095A065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透明度</w:t>
                  </w:r>
                </w:p>
              </w:tc>
              <w:tc>
                <w:tcPr>
                  <w:tcW w:w="708" w:type="pct"/>
                  <w:shd w:val="clear" w:color="auto" w:fill="auto"/>
                  <w:vAlign w:val="center"/>
                </w:tcPr>
                <w:p w14:paraId="7DC32BA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72</w:t>
                  </w:r>
                </w:p>
              </w:tc>
              <w:tc>
                <w:tcPr>
                  <w:tcW w:w="795" w:type="pct"/>
                  <w:shd w:val="clear" w:color="auto" w:fill="auto"/>
                  <w:vAlign w:val="center"/>
                </w:tcPr>
                <w:p w14:paraId="6676984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71</w:t>
                  </w:r>
                </w:p>
              </w:tc>
              <w:tc>
                <w:tcPr>
                  <w:tcW w:w="834" w:type="pct"/>
                  <w:shd w:val="clear" w:color="auto" w:fill="auto"/>
                  <w:vAlign w:val="center"/>
                </w:tcPr>
                <w:p w14:paraId="6F9E658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68</w:t>
                  </w:r>
                </w:p>
              </w:tc>
              <w:tc>
                <w:tcPr>
                  <w:tcW w:w="1574" w:type="pct"/>
                  <w:shd w:val="clear" w:color="auto" w:fill="auto"/>
                  <w:vAlign w:val="center"/>
                </w:tcPr>
                <w:p w14:paraId="7E08BE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spacing w:val="-11"/>
                      <w:kern w:val="0"/>
                      <w:sz w:val="21"/>
                      <w:szCs w:val="21"/>
                      <w:u w:val="none"/>
                      <w:lang w:val="en-US" w:eastAsia="zh-CN" w:bidi="ar"/>
                      <w14:textFill>
                        <w14:solidFill>
                          <w14:schemeClr w14:val="tx1"/>
                        </w14:solidFill>
                      </w14:textFill>
                    </w:rPr>
                    <w:t>cm</w:t>
                  </w:r>
                </w:p>
              </w:tc>
            </w:tr>
            <w:tr w14:paraId="626BE7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319B30F5">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pH</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值</w:t>
                  </w:r>
                </w:p>
              </w:tc>
              <w:tc>
                <w:tcPr>
                  <w:tcW w:w="708" w:type="pct"/>
                  <w:shd w:val="clear" w:color="auto" w:fill="auto"/>
                  <w:vAlign w:val="center"/>
                </w:tcPr>
                <w:p w14:paraId="422A464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7.4</w:t>
                  </w:r>
                </w:p>
              </w:tc>
              <w:tc>
                <w:tcPr>
                  <w:tcW w:w="795" w:type="pct"/>
                  <w:shd w:val="clear" w:color="auto" w:fill="auto"/>
                  <w:vAlign w:val="center"/>
                </w:tcPr>
                <w:p w14:paraId="2E261AB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7.3</w:t>
                  </w:r>
                </w:p>
              </w:tc>
              <w:tc>
                <w:tcPr>
                  <w:tcW w:w="834" w:type="pct"/>
                  <w:shd w:val="clear" w:color="auto" w:fill="auto"/>
                  <w:vAlign w:val="center"/>
                </w:tcPr>
                <w:p w14:paraId="7FD7350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7.1</w:t>
                  </w:r>
                </w:p>
              </w:tc>
              <w:tc>
                <w:tcPr>
                  <w:tcW w:w="1574" w:type="pct"/>
                  <w:shd w:val="clear" w:color="auto" w:fill="auto"/>
                  <w:vAlign w:val="center"/>
                </w:tcPr>
                <w:p w14:paraId="7BBC65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无量纲</w:t>
                  </w:r>
                </w:p>
              </w:tc>
            </w:tr>
            <w:tr w14:paraId="52C3DD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373CCECE">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悬浮物</w:t>
                  </w:r>
                </w:p>
              </w:tc>
              <w:tc>
                <w:tcPr>
                  <w:tcW w:w="708" w:type="pct"/>
                  <w:shd w:val="clear" w:color="auto" w:fill="auto"/>
                  <w:vAlign w:val="center"/>
                </w:tcPr>
                <w:p w14:paraId="5AD5F20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9</w:t>
                  </w:r>
                </w:p>
              </w:tc>
              <w:tc>
                <w:tcPr>
                  <w:tcW w:w="795" w:type="pct"/>
                  <w:shd w:val="clear" w:color="auto" w:fill="auto"/>
                  <w:vAlign w:val="center"/>
                </w:tcPr>
                <w:p w14:paraId="7902565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8</w:t>
                  </w:r>
                </w:p>
              </w:tc>
              <w:tc>
                <w:tcPr>
                  <w:tcW w:w="834" w:type="pct"/>
                  <w:shd w:val="clear" w:color="auto" w:fill="auto"/>
                  <w:vAlign w:val="center"/>
                </w:tcPr>
                <w:p w14:paraId="1E44FCF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6</w:t>
                  </w:r>
                </w:p>
              </w:tc>
              <w:tc>
                <w:tcPr>
                  <w:tcW w:w="1574" w:type="pct"/>
                  <w:shd w:val="clear" w:color="auto" w:fill="auto"/>
                  <w:vAlign w:val="center"/>
                </w:tcPr>
                <w:p w14:paraId="42FCEE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EFD8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6A20B002">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高锰酸盐指数</w:t>
                  </w:r>
                </w:p>
              </w:tc>
              <w:tc>
                <w:tcPr>
                  <w:tcW w:w="708" w:type="pct"/>
                  <w:shd w:val="clear" w:color="auto" w:fill="auto"/>
                  <w:vAlign w:val="center"/>
                </w:tcPr>
                <w:p w14:paraId="4156013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5.5</w:t>
                  </w:r>
                </w:p>
              </w:tc>
              <w:tc>
                <w:tcPr>
                  <w:tcW w:w="795" w:type="pct"/>
                  <w:shd w:val="clear" w:color="auto" w:fill="auto"/>
                  <w:vAlign w:val="center"/>
                </w:tcPr>
                <w:p w14:paraId="71B084F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5.4</w:t>
                  </w:r>
                </w:p>
              </w:tc>
              <w:tc>
                <w:tcPr>
                  <w:tcW w:w="834" w:type="pct"/>
                  <w:shd w:val="clear" w:color="auto" w:fill="auto"/>
                  <w:vAlign w:val="center"/>
                </w:tcPr>
                <w:p w14:paraId="7598310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5.2</w:t>
                  </w:r>
                </w:p>
              </w:tc>
              <w:tc>
                <w:tcPr>
                  <w:tcW w:w="1574" w:type="pct"/>
                  <w:shd w:val="clear" w:color="auto" w:fill="auto"/>
                  <w:vAlign w:val="center"/>
                </w:tcPr>
                <w:p w14:paraId="37F0B5B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A61EF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2576F91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化学需氧量</w:t>
                  </w:r>
                </w:p>
              </w:tc>
              <w:tc>
                <w:tcPr>
                  <w:tcW w:w="708" w:type="pct"/>
                  <w:shd w:val="clear" w:color="auto" w:fill="auto"/>
                  <w:vAlign w:val="center"/>
                </w:tcPr>
                <w:p w14:paraId="27393B3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18</w:t>
                  </w:r>
                </w:p>
              </w:tc>
              <w:tc>
                <w:tcPr>
                  <w:tcW w:w="795" w:type="pct"/>
                  <w:shd w:val="clear" w:color="auto" w:fill="auto"/>
                  <w:vAlign w:val="center"/>
                </w:tcPr>
                <w:p w14:paraId="1CF94DE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16</w:t>
                  </w:r>
                </w:p>
              </w:tc>
              <w:tc>
                <w:tcPr>
                  <w:tcW w:w="834" w:type="pct"/>
                  <w:shd w:val="clear" w:color="auto" w:fill="auto"/>
                  <w:vAlign w:val="center"/>
                </w:tcPr>
                <w:p w14:paraId="34B7C2F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15</w:t>
                  </w:r>
                </w:p>
              </w:tc>
              <w:tc>
                <w:tcPr>
                  <w:tcW w:w="1574" w:type="pct"/>
                  <w:shd w:val="clear" w:color="auto" w:fill="auto"/>
                  <w:vAlign w:val="center"/>
                </w:tcPr>
                <w:p w14:paraId="415A427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EA81E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2D95834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生化需氧量</w:t>
                  </w:r>
                </w:p>
              </w:tc>
              <w:tc>
                <w:tcPr>
                  <w:tcW w:w="708" w:type="pct"/>
                  <w:shd w:val="clear" w:color="auto" w:fill="auto"/>
                  <w:vAlign w:val="center"/>
                </w:tcPr>
                <w:p w14:paraId="7BB4662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3.6</w:t>
                  </w:r>
                </w:p>
              </w:tc>
              <w:tc>
                <w:tcPr>
                  <w:tcW w:w="795" w:type="pct"/>
                  <w:shd w:val="clear" w:color="auto" w:fill="auto"/>
                  <w:vAlign w:val="center"/>
                </w:tcPr>
                <w:p w14:paraId="2921BC8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3.3</w:t>
                  </w:r>
                </w:p>
              </w:tc>
              <w:tc>
                <w:tcPr>
                  <w:tcW w:w="834" w:type="pct"/>
                  <w:shd w:val="clear" w:color="auto" w:fill="auto"/>
                  <w:vAlign w:val="center"/>
                </w:tcPr>
                <w:p w14:paraId="2ABAEE1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3.1</w:t>
                  </w:r>
                </w:p>
              </w:tc>
              <w:tc>
                <w:tcPr>
                  <w:tcW w:w="1574" w:type="pct"/>
                  <w:shd w:val="clear" w:color="auto" w:fill="auto"/>
                  <w:vAlign w:val="center"/>
                </w:tcPr>
                <w:p w14:paraId="05A9D9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36585C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3EB1E8B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氨氮</w:t>
                  </w:r>
                </w:p>
              </w:tc>
              <w:tc>
                <w:tcPr>
                  <w:tcW w:w="708" w:type="pct"/>
                  <w:shd w:val="clear" w:color="auto" w:fill="auto"/>
                  <w:vAlign w:val="center"/>
                </w:tcPr>
                <w:p w14:paraId="5FCDD2D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0.446</w:t>
                  </w:r>
                </w:p>
              </w:tc>
              <w:tc>
                <w:tcPr>
                  <w:tcW w:w="795" w:type="pct"/>
                  <w:shd w:val="clear" w:color="auto" w:fill="auto"/>
                  <w:vAlign w:val="center"/>
                </w:tcPr>
                <w:p w14:paraId="5C95B52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0.432</w:t>
                  </w:r>
                </w:p>
              </w:tc>
              <w:tc>
                <w:tcPr>
                  <w:tcW w:w="834" w:type="pct"/>
                  <w:shd w:val="clear" w:color="auto" w:fill="auto"/>
                  <w:vAlign w:val="center"/>
                </w:tcPr>
                <w:p w14:paraId="6EA3AEF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0.419</w:t>
                  </w:r>
                </w:p>
              </w:tc>
              <w:tc>
                <w:tcPr>
                  <w:tcW w:w="1574" w:type="pct"/>
                  <w:shd w:val="clear" w:color="auto" w:fill="auto"/>
                  <w:vAlign w:val="center"/>
                </w:tcPr>
                <w:p w14:paraId="79A4F5B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1C3A8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4B9B192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总磷</w:t>
                  </w:r>
                </w:p>
              </w:tc>
              <w:tc>
                <w:tcPr>
                  <w:tcW w:w="708" w:type="pct"/>
                  <w:shd w:val="clear" w:color="auto" w:fill="auto"/>
                  <w:vAlign w:val="center"/>
                </w:tcPr>
                <w:p w14:paraId="4139279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0.09</w:t>
                  </w:r>
                </w:p>
              </w:tc>
              <w:tc>
                <w:tcPr>
                  <w:tcW w:w="795" w:type="pct"/>
                  <w:shd w:val="clear" w:color="auto" w:fill="auto"/>
                  <w:vAlign w:val="center"/>
                </w:tcPr>
                <w:p w14:paraId="120BD49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0.08</w:t>
                  </w:r>
                </w:p>
              </w:tc>
              <w:tc>
                <w:tcPr>
                  <w:tcW w:w="834" w:type="pct"/>
                  <w:shd w:val="clear" w:color="auto" w:fill="auto"/>
                  <w:vAlign w:val="center"/>
                </w:tcPr>
                <w:p w14:paraId="4728444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0.07</w:t>
                  </w:r>
                </w:p>
              </w:tc>
              <w:tc>
                <w:tcPr>
                  <w:tcW w:w="1574" w:type="pct"/>
                  <w:shd w:val="clear" w:color="auto" w:fill="auto"/>
                  <w:vAlign w:val="center"/>
                </w:tcPr>
                <w:p w14:paraId="2B83AA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232D3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7CE0BCC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总氮</w:t>
                  </w:r>
                </w:p>
              </w:tc>
              <w:tc>
                <w:tcPr>
                  <w:tcW w:w="708" w:type="pct"/>
                  <w:shd w:val="clear" w:color="auto" w:fill="auto"/>
                  <w:vAlign w:val="center"/>
                </w:tcPr>
                <w:p w14:paraId="3503B66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1.82</w:t>
                  </w:r>
                </w:p>
              </w:tc>
              <w:tc>
                <w:tcPr>
                  <w:tcW w:w="795" w:type="pct"/>
                  <w:shd w:val="clear" w:color="auto" w:fill="auto"/>
                  <w:vAlign w:val="center"/>
                </w:tcPr>
                <w:p w14:paraId="5F1160D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1.74</w:t>
                  </w:r>
                </w:p>
              </w:tc>
              <w:tc>
                <w:tcPr>
                  <w:tcW w:w="834" w:type="pct"/>
                  <w:shd w:val="clear" w:color="auto" w:fill="auto"/>
                  <w:vAlign w:val="center"/>
                </w:tcPr>
                <w:p w14:paraId="64ABFE0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1.66</w:t>
                  </w:r>
                </w:p>
              </w:tc>
              <w:tc>
                <w:tcPr>
                  <w:tcW w:w="1574" w:type="pct"/>
                  <w:shd w:val="clear" w:color="auto" w:fill="auto"/>
                  <w:vAlign w:val="center"/>
                </w:tcPr>
                <w:p w14:paraId="666E82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44E2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5FDC66B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石油类</w:t>
                  </w:r>
                </w:p>
              </w:tc>
              <w:tc>
                <w:tcPr>
                  <w:tcW w:w="708" w:type="pct"/>
                  <w:tcBorders>
                    <w:left w:val="single" w:color="auto" w:sz="4" w:space="0"/>
                    <w:bottom w:val="single" w:color="auto" w:sz="4" w:space="0"/>
                    <w:right w:val="single" w:color="auto" w:sz="4" w:space="0"/>
                  </w:tcBorders>
                  <w:shd w:val="clear" w:color="auto" w:fill="auto"/>
                  <w:vAlign w:val="center"/>
                </w:tcPr>
                <w:p w14:paraId="6F5E319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795" w:type="pct"/>
                  <w:tcBorders>
                    <w:left w:val="single" w:color="auto" w:sz="4" w:space="0"/>
                    <w:bottom w:val="single" w:color="auto" w:sz="4" w:space="0"/>
                    <w:right w:val="single" w:color="auto" w:sz="4" w:space="0"/>
                  </w:tcBorders>
                  <w:shd w:val="clear" w:color="auto" w:fill="auto"/>
                  <w:vAlign w:val="center"/>
                </w:tcPr>
                <w:p w14:paraId="37EB026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834" w:type="pct"/>
                  <w:tcBorders>
                    <w:left w:val="single" w:color="auto" w:sz="4" w:space="0"/>
                    <w:bottom w:val="single" w:color="auto" w:sz="4" w:space="0"/>
                    <w:right w:val="single" w:color="auto" w:sz="4" w:space="0"/>
                  </w:tcBorders>
                  <w:shd w:val="clear" w:color="auto" w:fill="auto"/>
                  <w:vAlign w:val="center"/>
                </w:tcPr>
                <w:p w14:paraId="2CC438F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1574" w:type="pct"/>
                  <w:tcBorders>
                    <w:left w:val="single" w:color="auto" w:sz="4" w:space="0"/>
                    <w:bottom w:val="single" w:color="auto" w:sz="4" w:space="0"/>
                  </w:tcBorders>
                  <w:shd w:val="clear" w:color="auto" w:fill="auto"/>
                  <w:vAlign w:val="center"/>
                </w:tcPr>
                <w:p w14:paraId="0D4AEC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E7D480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3EAAC2F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叶绿素a</w:t>
                  </w:r>
                </w:p>
              </w:tc>
              <w:tc>
                <w:tcPr>
                  <w:tcW w:w="708" w:type="pct"/>
                  <w:tcBorders>
                    <w:left w:val="single" w:color="auto" w:sz="4" w:space="0"/>
                    <w:bottom w:val="single" w:color="auto" w:sz="4" w:space="0"/>
                    <w:right w:val="single" w:color="auto" w:sz="4" w:space="0"/>
                  </w:tcBorders>
                  <w:shd w:val="clear" w:color="auto" w:fill="auto"/>
                  <w:vAlign w:val="center"/>
                </w:tcPr>
                <w:p w14:paraId="3408732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795" w:type="pct"/>
                  <w:tcBorders>
                    <w:left w:val="single" w:color="auto" w:sz="4" w:space="0"/>
                    <w:bottom w:val="single" w:color="auto" w:sz="4" w:space="0"/>
                    <w:right w:val="single" w:color="auto" w:sz="4" w:space="0"/>
                  </w:tcBorders>
                  <w:shd w:val="clear" w:color="auto" w:fill="auto"/>
                  <w:vAlign w:val="center"/>
                </w:tcPr>
                <w:p w14:paraId="056024F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834" w:type="pct"/>
                  <w:tcBorders>
                    <w:left w:val="single" w:color="auto" w:sz="4" w:space="0"/>
                    <w:bottom w:val="single" w:color="auto" w:sz="4" w:space="0"/>
                    <w:right w:val="single" w:color="auto" w:sz="4" w:space="0"/>
                  </w:tcBorders>
                  <w:shd w:val="clear" w:color="auto" w:fill="auto"/>
                  <w:vAlign w:val="center"/>
                </w:tcPr>
                <w:p w14:paraId="729257F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1574" w:type="pct"/>
                  <w:tcBorders>
                    <w:left w:val="single" w:color="auto" w:sz="4" w:space="0"/>
                    <w:bottom w:val="single" w:color="auto" w:sz="4" w:space="0"/>
                  </w:tcBorders>
                  <w:shd w:val="clear" w:color="auto" w:fill="auto"/>
                  <w:vAlign w:val="center"/>
                </w:tcPr>
                <w:p w14:paraId="5D3824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10FD2B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52F7397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铜</w:t>
                  </w:r>
                </w:p>
              </w:tc>
              <w:tc>
                <w:tcPr>
                  <w:tcW w:w="708" w:type="pct"/>
                  <w:tcBorders>
                    <w:left w:val="single" w:color="auto" w:sz="4" w:space="0"/>
                    <w:bottom w:val="single" w:color="auto" w:sz="4" w:space="0"/>
                    <w:right w:val="single" w:color="auto" w:sz="4" w:space="0"/>
                  </w:tcBorders>
                  <w:shd w:val="clear" w:color="auto" w:fill="auto"/>
                  <w:vAlign w:val="center"/>
                </w:tcPr>
                <w:p w14:paraId="4137056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95" w:type="pct"/>
                  <w:tcBorders>
                    <w:left w:val="single" w:color="auto" w:sz="4" w:space="0"/>
                    <w:bottom w:val="single" w:color="auto" w:sz="4" w:space="0"/>
                    <w:right w:val="single" w:color="auto" w:sz="4" w:space="0"/>
                  </w:tcBorders>
                  <w:shd w:val="clear" w:color="auto" w:fill="auto"/>
                  <w:vAlign w:val="center"/>
                </w:tcPr>
                <w:p w14:paraId="2487B38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834" w:type="pct"/>
                  <w:tcBorders>
                    <w:left w:val="single" w:color="auto" w:sz="4" w:space="0"/>
                    <w:bottom w:val="single" w:color="auto" w:sz="4" w:space="0"/>
                    <w:right w:val="single" w:color="auto" w:sz="4" w:space="0"/>
                  </w:tcBorders>
                  <w:shd w:val="clear" w:color="auto" w:fill="auto"/>
                  <w:vAlign w:val="center"/>
                </w:tcPr>
                <w:p w14:paraId="4DFBD1B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1574" w:type="pct"/>
                  <w:tcBorders>
                    <w:left w:val="single" w:color="auto" w:sz="4" w:space="0"/>
                    <w:bottom w:val="single" w:color="auto" w:sz="4" w:space="0"/>
                  </w:tcBorders>
                  <w:shd w:val="clear" w:color="auto" w:fill="auto"/>
                  <w:vAlign w:val="center"/>
                </w:tcPr>
                <w:p w14:paraId="4ADAECD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A61DA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057825D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锌</w:t>
                  </w:r>
                </w:p>
              </w:tc>
              <w:tc>
                <w:tcPr>
                  <w:tcW w:w="708" w:type="pct"/>
                  <w:tcBorders>
                    <w:left w:val="single" w:color="auto" w:sz="4" w:space="0"/>
                    <w:bottom w:val="single" w:color="auto" w:sz="4" w:space="0"/>
                    <w:right w:val="single" w:color="auto" w:sz="4" w:space="0"/>
                  </w:tcBorders>
                  <w:shd w:val="clear" w:color="auto" w:fill="auto"/>
                  <w:vAlign w:val="center"/>
                </w:tcPr>
                <w:p w14:paraId="3AF1A91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95" w:type="pct"/>
                  <w:tcBorders>
                    <w:left w:val="single" w:color="auto" w:sz="4" w:space="0"/>
                    <w:bottom w:val="single" w:color="auto" w:sz="4" w:space="0"/>
                    <w:right w:val="single" w:color="auto" w:sz="4" w:space="0"/>
                  </w:tcBorders>
                  <w:shd w:val="clear" w:color="auto" w:fill="auto"/>
                  <w:vAlign w:val="center"/>
                </w:tcPr>
                <w:p w14:paraId="5DB4386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834" w:type="pct"/>
                  <w:tcBorders>
                    <w:left w:val="single" w:color="auto" w:sz="4" w:space="0"/>
                    <w:bottom w:val="single" w:color="auto" w:sz="4" w:space="0"/>
                    <w:right w:val="single" w:color="auto" w:sz="4" w:space="0"/>
                  </w:tcBorders>
                  <w:shd w:val="clear" w:color="auto" w:fill="auto"/>
                  <w:vAlign w:val="center"/>
                </w:tcPr>
                <w:p w14:paraId="6EAE479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1574" w:type="pct"/>
                  <w:tcBorders>
                    <w:left w:val="single" w:color="auto" w:sz="4" w:space="0"/>
                    <w:bottom w:val="single" w:color="auto" w:sz="4" w:space="0"/>
                  </w:tcBorders>
                  <w:shd w:val="clear" w:color="auto" w:fill="auto"/>
                  <w:vAlign w:val="center"/>
                </w:tcPr>
                <w:p w14:paraId="5E5C21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196F49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161AA55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氟化物</w:t>
                  </w:r>
                </w:p>
              </w:tc>
              <w:tc>
                <w:tcPr>
                  <w:tcW w:w="708" w:type="pct"/>
                  <w:tcBorders>
                    <w:left w:val="single" w:color="auto" w:sz="4" w:space="0"/>
                    <w:bottom w:val="single" w:color="auto" w:sz="4" w:space="0"/>
                    <w:right w:val="single" w:color="auto" w:sz="4" w:space="0"/>
                  </w:tcBorders>
                  <w:shd w:val="clear" w:color="auto" w:fill="auto"/>
                  <w:vAlign w:val="center"/>
                </w:tcPr>
                <w:p w14:paraId="4CC4ECC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 xml:space="preserve">0.39 </w:t>
                  </w:r>
                </w:p>
              </w:tc>
              <w:tc>
                <w:tcPr>
                  <w:tcW w:w="795" w:type="pct"/>
                  <w:tcBorders>
                    <w:left w:val="single" w:color="auto" w:sz="4" w:space="0"/>
                    <w:bottom w:val="single" w:color="auto" w:sz="4" w:space="0"/>
                    <w:right w:val="single" w:color="auto" w:sz="4" w:space="0"/>
                  </w:tcBorders>
                  <w:shd w:val="clear" w:color="auto" w:fill="auto"/>
                  <w:vAlign w:val="center"/>
                </w:tcPr>
                <w:p w14:paraId="6DA0B8B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0.35</w:t>
                  </w:r>
                </w:p>
              </w:tc>
              <w:tc>
                <w:tcPr>
                  <w:tcW w:w="834" w:type="pct"/>
                  <w:tcBorders>
                    <w:left w:val="single" w:color="auto" w:sz="4" w:space="0"/>
                    <w:bottom w:val="single" w:color="auto" w:sz="4" w:space="0"/>
                    <w:right w:val="single" w:color="auto" w:sz="4" w:space="0"/>
                  </w:tcBorders>
                  <w:shd w:val="clear" w:color="auto" w:fill="auto"/>
                  <w:vAlign w:val="center"/>
                </w:tcPr>
                <w:p w14:paraId="1C64EF0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0.34</w:t>
                  </w:r>
                </w:p>
              </w:tc>
              <w:tc>
                <w:tcPr>
                  <w:tcW w:w="1574" w:type="pct"/>
                  <w:tcBorders>
                    <w:left w:val="single" w:color="auto" w:sz="4" w:space="0"/>
                    <w:bottom w:val="single" w:color="auto" w:sz="4" w:space="0"/>
                  </w:tcBorders>
                  <w:shd w:val="clear" w:color="auto" w:fill="auto"/>
                  <w:vAlign w:val="center"/>
                </w:tcPr>
                <w:p w14:paraId="5B251BE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89C0C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0192654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硒</w:t>
                  </w:r>
                </w:p>
              </w:tc>
              <w:tc>
                <w:tcPr>
                  <w:tcW w:w="708" w:type="pct"/>
                  <w:tcBorders>
                    <w:left w:val="single" w:color="auto" w:sz="4" w:space="0"/>
                    <w:bottom w:val="single" w:color="auto" w:sz="4" w:space="0"/>
                    <w:right w:val="single" w:color="auto" w:sz="4" w:space="0"/>
                  </w:tcBorders>
                  <w:shd w:val="clear" w:color="auto" w:fill="auto"/>
                  <w:vAlign w:val="center"/>
                </w:tcPr>
                <w:p w14:paraId="64F3D59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795" w:type="pct"/>
                  <w:tcBorders>
                    <w:left w:val="single" w:color="auto" w:sz="4" w:space="0"/>
                    <w:bottom w:val="single" w:color="auto" w:sz="4" w:space="0"/>
                    <w:right w:val="single" w:color="auto" w:sz="4" w:space="0"/>
                  </w:tcBorders>
                  <w:shd w:val="clear" w:color="auto" w:fill="auto"/>
                  <w:vAlign w:val="center"/>
                </w:tcPr>
                <w:p w14:paraId="4C2471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834" w:type="pct"/>
                  <w:tcBorders>
                    <w:left w:val="single" w:color="auto" w:sz="4" w:space="0"/>
                    <w:bottom w:val="single" w:color="auto" w:sz="4" w:space="0"/>
                    <w:right w:val="single" w:color="auto" w:sz="4" w:space="0"/>
                  </w:tcBorders>
                  <w:shd w:val="clear" w:color="auto" w:fill="auto"/>
                  <w:vAlign w:val="center"/>
                </w:tcPr>
                <w:p w14:paraId="0C881A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1574" w:type="pct"/>
                  <w:tcBorders>
                    <w:left w:val="single" w:color="auto" w:sz="4" w:space="0"/>
                    <w:bottom w:val="single" w:color="auto" w:sz="4" w:space="0"/>
                  </w:tcBorders>
                  <w:shd w:val="clear" w:color="auto" w:fill="auto"/>
                  <w:vAlign w:val="center"/>
                </w:tcPr>
                <w:p w14:paraId="3665E4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1DF8E6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0D9A7E8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砷</w:t>
                  </w:r>
                </w:p>
              </w:tc>
              <w:tc>
                <w:tcPr>
                  <w:tcW w:w="708" w:type="pct"/>
                  <w:tcBorders>
                    <w:left w:val="single" w:color="auto" w:sz="4" w:space="0"/>
                    <w:bottom w:val="single" w:color="auto" w:sz="4" w:space="0"/>
                    <w:right w:val="single" w:color="auto" w:sz="4" w:space="0"/>
                  </w:tcBorders>
                  <w:shd w:val="clear" w:color="auto" w:fill="auto"/>
                  <w:vAlign w:val="center"/>
                </w:tcPr>
                <w:p w14:paraId="635C7886">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0.0003L</w:t>
                  </w:r>
                </w:p>
              </w:tc>
              <w:tc>
                <w:tcPr>
                  <w:tcW w:w="795" w:type="pct"/>
                  <w:tcBorders>
                    <w:left w:val="single" w:color="auto" w:sz="4" w:space="0"/>
                    <w:bottom w:val="single" w:color="auto" w:sz="4" w:space="0"/>
                    <w:right w:val="single" w:color="auto" w:sz="4" w:space="0"/>
                  </w:tcBorders>
                  <w:shd w:val="clear" w:color="auto" w:fill="auto"/>
                  <w:vAlign w:val="center"/>
                </w:tcPr>
                <w:p w14:paraId="22854C1F">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0.0003L</w:t>
                  </w:r>
                </w:p>
              </w:tc>
              <w:tc>
                <w:tcPr>
                  <w:tcW w:w="834" w:type="pct"/>
                  <w:tcBorders>
                    <w:left w:val="single" w:color="auto" w:sz="4" w:space="0"/>
                    <w:bottom w:val="single" w:color="auto" w:sz="4" w:space="0"/>
                    <w:right w:val="single" w:color="auto" w:sz="4" w:space="0"/>
                  </w:tcBorders>
                  <w:shd w:val="clear" w:color="auto" w:fill="auto"/>
                  <w:vAlign w:val="center"/>
                </w:tcPr>
                <w:p w14:paraId="7CA0D84E">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0.0003L</w:t>
                  </w:r>
                </w:p>
              </w:tc>
              <w:tc>
                <w:tcPr>
                  <w:tcW w:w="1574" w:type="pct"/>
                  <w:tcBorders>
                    <w:left w:val="single" w:color="auto" w:sz="4" w:space="0"/>
                    <w:bottom w:val="single" w:color="auto" w:sz="4" w:space="0"/>
                  </w:tcBorders>
                  <w:shd w:val="clear" w:color="auto" w:fill="auto"/>
                  <w:vAlign w:val="center"/>
                </w:tcPr>
                <w:p w14:paraId="7091F8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F5F2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7E6EE41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汞</w:t>
                  </w:r>
                </w:p>
              </w:tc>
              <w:tc>
                <w:tcPr>
                  <w:tcW w:w="708" w:type="pct"/>
                  <w:tcBorders>
                    <w:left w:val="single" w:color="auto" w:sz="4" w:space="0"/>
                    <w:bottom w:val="single" w:color="auto" w:sz="4" w:space="0"/>
                    <w:right w:val="single" w:color="auto" w:sz="4" w:space="0"/>
                  </w:tcBorders>
                  <w:shd w:val="clear" w:color="auto" w:fill="auto"/>
                  <w:vAlign w:val="center"/>
                </w:tcPr>
                <w:p w14:paraId="5797237F">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0.00004L</w:t>
                  </w:r>
                </w:p>
              </w:tc>
              <w:tc>
                <w:tcPr>
                  <w:tcW w:w="795" w:type="pct"/>
                  <w:tcBorders>
                    <w:left w:val="single" w:color="auto" w:sz="4" w:space="0"/>
                    <w:bottom w:val="single" w:color="auto" w:sz="4" w:space="0"/>
                    <w:right w:val="single" w:color="auto" w:sz="4" w:space="0"/>
                  </w:tcBorders>
                  <w:shd w:val="clear" w:color="auto" w:fill="auto"/>
                  <w:vAlign w:val="center"/>
                </w:tcPr>
                <w:p w14:paraId="26C507E1">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0.00004L</w:t>
                  </w:r>
                </w:p>
              </w:tc>
              <w:tc>
                <w:tcPr>
                  <w:tcW w:w="834" w:type="pct"/>
                  <w:tcBorders>
                    <w:left w:val="single" w:color="auto" w:sz="4" w:space="0"/>
                    <w:bottom w:val="single" w:color="auto" w:sz="4" w:space="0"/>
                    <w:right w:val="single" w:color="auto" w:sz="4" w:space="0"/>
                  </w:tcBorders>
                  <w:shd w:val="clear" w:color="auto" w:fill="auto"/>
                  <w:vAlign w:val="center"/>
                </w:tcPr>
                <w:p w14:paraId="66A26207">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0.00004L</w:t>
                  </w:r>
                </w:p>
              </w:tc>
              <w:tc>
                <w:tcPr>
                  <w:tcW w:w="1574" w:type="pct"/>
                  <w:tcBorders>
                    <w:left w:val="single" w:color="auto" w:sz="4" w:space="0"/>
                    <w:bottom w:val="single" w:color="auto" w:sz="4" w:space="0"/>
                  </w:tcBorders>
                  <w:shd w:val="clear" w:color="auto" w:fill="auto"/>
                  <w:vAlign w:val="center"/>
                </w:tcPr>
                <w:p w14:paraId="535FC8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0711D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5839417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镉</w:t>
                  </w:r>
                </w:p>
              </w:tc>
              <w:tc>
                <w:tcPr>
                  <w:tcW w:w="708" w:type="pct"/>
                  <w:tcBorders>
                    <w:left w:val="single" w:color="auto" w:sz="4" w:space="0"/>
                    <w:bottom w:val="single" w:color="auto" w:sz="4" w:space="0"/>
                    <w:right w:val="single" w:color="auto" w:sz="4" w:space="0"/>
                  </w:tcBorders>
                  <w:shd w:val="clear" w:color="auto" w:fill="auto"/>
                  <w:vAlign w:val="center"/>
                </w:tcPr>
                <w:p w14:paraId="63212928">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0.001L</w:t>
                  </w:r>
                </w:p>
              </w:tc>
              <w:tc>
                <w:tcPr>
                  <w:tcW w:w="795" w:type="pct"/>
                  <w:tcBorders>
                    <w:left w:val="single" w:color="auto" w:sz="4" w:space="0"/>
                    <w:bottom w:val="single" w:color="auto" w:sz="4" w:space="0"/>
                    <w:right w:val="single" w:color="auto" w:sz="4" w:space="0"/>
                  </w:tcBorders>
                  <w:shd w:val="clear" w:color="auto" w:fill="auto"/>
                  <w:vAlign w:val="center"/>
                </w:tcPr>
                <w:p w14:paraId="0E0C5851">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0.001L</w:t>
                  </w:r>
                </w:p>
              </w:tc>
              <w:tc>
                <w:tcPr>
                  <w:tcW w:w="834" w:type="pct"/>
                  <w:tcBorders>
                    <w:left w:val="single" w:color="auto" w:sz="4" w:space="0"/>
                    <w:bottom w:val="single" w:color="auto" w:sz="4" w:space="0"/>
                    <w:right w:val="single" w:color="auto" w:sz="4" w:space="0"/>
                  </w:tcBorders>
                  <w:shd w:val="clear" w:color="auto" w:fill="auto"/>
                  <w:vAlign w:val="center"/>
                </w:tcPr>
                <w:p w14:paraId="3B1E938A">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0.001L</w:t>
                  </w:r>
                </w:p>
              </w:tc>
              <w:tc>
                <w:tcPr>
                  <w:tcW w:w="1574" w:type="pct"/>
                  <w:tcBorders>
                    <w:left w:val="single" w:color="auto" w:sz="4" w:space="0"/>
                    <w:bottom w:val="single" w:color="auto" w:sz="4" w:space="0"/>
                  </w:tcBorders>
                  <w:shd w:val="clear" w:color="auto" w:fill="auto"/>
                  <w:vAlign w:val="center"/>
                </w:tcPr>
                <w:p w14:paraId="68645B3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CE84D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7C75F25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六价铬</w:t>
                  </w:r>
                </w:p>
              </w:tc>
              <w:tc>
                <w:tcPr>
                  <w:tcW w:w="708" w:type="pct"/>
                  <w:tcBorders>
                    <w:left w:val="single" w:color="auto" w:sz="4" w:space="0"/>
                    <w:bottom w:val="single" w:color="auto" w:sz="4" w:space="0"/>
                    <w:right w:val="single" w:color="auto" w:sz="4" w:space="0"/>
                  </w:tcBorders>
                  <w:shd w:val="clear" w:color="auto" w:fill="auto"/>
                  <w:vAlign w:val="center"/>
                </w:tcPr>
                <w:p w14:paraId="09015D1C">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0.004L</w:t>
                  </w:r>
                </w:p>
              </w:tc>
              <w:tc>
                <w:tcPr>
                  <w:tcW w:w="795" w:type="pct"/>
                  <w:tcBorders>
                    <w:left w:val="single" w:color="auto" w:sz="4" w:space="0"/>
                    <w:bottom w:val="single" w:color="auto" w:sz="4" w:space="0"/>
                    <w:right w:val="single" w:color="auto" w:sz="4" w:space="0"/>
                  </w:tcBorders>
                  <w:shd w:val="clear" w:color="auto" w:fill="auto"/>
                  <w:vAlign w:val="center"/>
                </w:tcPr>
                <w:p w14:paraId="133F44CA">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0.004L</w:t>
                  </w:r>
                </w:p>
              </w:tc>
              <w:tc>
                <w:tcPr>
                  <w:tcW w:w="834" w:type="pct"/>
                  <w:tcBorders>
                    <w:left w:val="single" w:color="auto" w:sz="4" w:space="0"/>
                    <w:bottom w:val="single" w:color="auto" w:sz="4" w:space="0"/>
                    <w:right w:val="single" w:color="auto" w:sz="4" w:space="0"/>
                  </w:tcBorders>
                  <w:shd w:val="clear" w:color="auto" w:fill="auto"/>
                  <w:vAlign w:val="center"/>
                </w:tcPr>
                <w:p w14:paraId="16F1647A">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0.004L</w:t>
                  </w:r>
                </w:p>
              </w:tc>
              <w:tc>
                <w:tcPr>
                  <w:tcW w:w="1574" w:type="pct"/>
                  <w:tcBorders>
                    <w:left w:val="single" w:color="auto" w:sz="4" w:space="0"/>
                    <w:bottom w:val="single" w:color="auto" w:sz="4" w:space="0"/>
                  </w:tcBorders>
                  <w:shd w:val="clear" w:color="auto" w:fill="auto"/>
                  <w:vAlign w:val="center"/>
                </w:tcPr>
                <w:p w14:paraId="07ECF5E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C45E8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3C19F73D">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氰化物</w:t>
                  </w:r>
                </w:p>
              </w:tc>
              <w:tc>
                <w:tcPr>
                  <w:tcW w:w="708" w:type="pct"/>
                  <w:tcBorders>
                    <w:left w:val="single" w:color="auto" w:sz="4" w:space="0"/>
                    <w:bottom w:val="single" w:color="auto" w:sz="4" w:space="0"/>
                    <w:right w:val="single" w:color="auto" w:sz="4" w:space="0"/>
                  </w:tcBorders>
                  <w:shd w:val="clear" w:color="auto" w:fill="auto"/>
                  <w:vAlign w:val="center"/>
                </w:tcPr>
                <w:p w14:paraId="31C009FD">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0.004L</w:t>
                  </w:r>
                </w:p>
              </w:tc>
              <w:tc>
                <w:tcPr>
                  <w:tcW w:w="795" w:type="pct"/>
                  <w:tcBorders>
                    <w:left w:val="single" w:color="auto" w:sz="4" w:space="0"/>
                    <w:bottom w:val="single" w:color="auto" w:sz="4" w:space="0"/>
                    <w:right w:val="single" w:color="auto" w:sz="4" w:space="0"/>
                  </w:tcBorders>
                  <w:shd w:val="clear" w:color="auto" w:fill="auto"/>
                  <w:vAlign w:val="center"/>
                </w:tcPr>
                <w:p w14:paraId="4728C580">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0.004L</w:t>
                  </w:r>
                </w:p>
              </w:tc>
              <w:tc>
                <w:tcPr>
                  <w:tcW w:w="834" w:type="pct"/>
                  <w:tcBorders>
                    <w:left w:val="single" w:color="auto" w:sz="4" w:space="0"/>
                    <w:bottom w:val="single" w:color="auto" w:sz="4" w:space="0"/>
                    <w:right w:val="single" w:color="auto" w:sz="4" w:space="0"/>
                  </w:tcBorders>
                  <w:shd w:val="clear" w:color="auto" w:fill="auto"/>
                  <w:vAlign w:val="center"/>
                </w:tcPr>
                <w:p w14:paraId="66AE1EDB">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0.004L</w:t>
                  </w:r>
                </w:p>
              </w:tc>
              <w:tc>
                <w:tcPr>
                  <w:tcW w:w="1574" w:type="pct"/>
                  <w:tcBorders>
                    <w:left w:val="single" w:color="auto" w:sz="4" w:space="0"/>
                    <w:bottom w:val="single" w:color="auto" w:sz="4" w:space="0"/>
                  </w:tcBorders>
                  <w:shd w:val="clear" w:color="auto" w:fill="auto"/>
                  <w:vAlign w:val="center"/>
                </w:tcPr>
                <w:p w14:paraId="629C3B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D5CBC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49C54CED">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挥发酚</w:t>
                  </w:r>
                </w:p>
              </w:tc>
              <w:tc>
                <w:tcPr>
                  <w:tcW w:w="708" w:type="pct"/>
                  <w:tcBorders>
                    <w:left w:val="single" w:color="auto" w:sz="4" w:space="0"/>
                    <w:bottom w:val="single" w:color="auto" w:sz="4" w:space="0"/>
                    <w:right w:val="single" w:color="auto" w:sz="4" w:space="0"/>
                  </w:tcBorders>
                  <w:shd w:val="clear" w:color="auto" w:fill="auto"/>
                  <w:vAlign w:val="center"/>
                </w:tcPr>
                <w:p w14:paraId="6A7A45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0.0003L</w:t>
                  </w:r>
                </w:p>
              </w:tc>
              <w:tc>
                <w:tcPr>
                  <w:tcW w:w="795" w:type="pct"/>
                  <w:tcBorders>
                    <w:left w:val="single" w:color="auto" w:sz="4" w:space="0"/>
                    <w:bottom w:val="single" w:color="auto" w:sz="4" w:space="0"/>
                    <w:right w:val="single" w:color="auto" w:sz="4" w:space="0"/>
                  </w:tcBorders>
                  <w:shd w:val="clear" w:color="auto" w:fill="auto"/>
                  <w:vAlign w:val="center"/>
                </w:tcPr>
                <w:p w14:paraId="7A4DBF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0.0003L</w:t>
                  </w:r>
                </w:p>
              </w:tc>
              <w:tc>
                <w:tcPr>
                  <w:tcW w:w="834" w:type="pct"/>
                  <w:tcBorders>
                    <w:left w:val="single" w:color="auto" w:sz="4" w:space="0"/>
                    <w:bottom w:val="single" w:color="auto" w:sz="4" w:space="0"/>
                    <w:right w:val="single" w:color="auto" w:sz="4" w:space="0"/>
                  </w:tcBorders>
                  <w:shd w:val="clear" w:color="auto" w:fill="auto"/>
                  <w:vAlign w:val="center"/>
                </w:tcPr>
                <w:p w14:paraId="1BDA76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0.0003L</w:t>
                  </w:r>
                </w:p>
              </w:tc>
              <w:tc>
                <w:tcPr>
                  <w:tcW w:w="1574" w:type="pct"/>
                  <w:tcBorders>
                    <w:left w:val="single" w:color="auto" w:sz="4" w:space="0"/>
                    <w:bottom w:val="single" w:color="auto" w:sz="4" w:space="0"/>
                  </w:tcBorders>
                  <w:shd w:val="clear" w:color="auto" w:fill="auto"/>
                  <w:vAlign w:val="center"/>
                </w:tcPr>
                <w:p w14:paraId="7651D44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3C7EC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0AEF677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阴离子表</w:t>
                  </w:r>
                </w:p>
                <w:p w14:paraId="673D181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面活性剂</w:t>
                  </w:r>
                </w:p>
              </w:tc>
              <w:tc>
                <w:tcPr>
                  <w:tcW w:w="708" w:type="pct"/>
                  <w:tcBorders>
                    <w:left w:val="single" w:color="auto" w:sz="4" w:space="0"/>
                    <w:bottom w:val="single" w:color="auto" w:sz="4" w:space="0"/>
                    <w:right w:val="single" w:color="auto" w:sz="4" w:space="0"/>
                  </w:tcBorders>
                  <w:shd w:val="clear" w:color="auto" w:fill="auto"/>
                  <w:vAlign w:val="center"/>
                </w:tcPr>
                <w:p w14:paraId="296EA8F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795" w:type="pct"/>
                  <w:tcBorders>
                    <w:left w:val="single" w:color="auto" w:sz="4" w:space="0"/>
                    <w:bottom w:val="single" w:color="auto" w:sz="4" w:space="0"/>
                    <w:right w:val="single" w:color="auto" w:sz="4" w:space="0"/>
                  </w:tcBorders>
                  <w:shd w:val="clear" w:color="auto" w:fill="auto"/>
                  <w:vAlign w:val="center"/>
                </w:tcPr>
                <w:p w14:paraId="47186D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834" w:type="pct"/>
                  <w:tcBorders>
                    <w:left w:val="single" w:color="auto" w:sz="4" w:space="0"/>
                    <w:bottom w:val="single" w:color="auto" w:sz="4" w:space="0"/>
                    <w:right w:val="single" w:color="auto" w:sz="4" w:space="0"/>
                  </w:tcBorders>
                  <w:shd w:val="clear" w:color="auto" w:fill="auto"/>
                  <w:vAlign w:val="center"/>
                </w:tcPr>
                <w:p w14:paraId="36A4AC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1574" w:type="pct"/>
                  <w:tcBorders>
                    <w:left w:val="single" w:color="auto" w:sz="4" w:space="0"/>
                    <w:bottom w:val="single" w:color="auto" w:sz="4" w:space="0"/>
                  </w:tcBorders>
                  <w:shd w:val="clear" w:color="auto" w:fill="auto"/>
                  <w:vAlign w:val="center"/>
                </w:tcPr>
                <w:p w14:paraId="59CEEF8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69F90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7C488D5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硫化物</w:t>
                  </w:r>
                </w:p>
              </w:tc>
              <w:tc>
                <w:tcPr>
                  <w:tcW w:w="708" w:type="pct"/>
                  <w:tcBorders>
                    <w:left w:val="single" w:color="auto" w:sz="4" w:space="0"/>
                    <w:bottom w:val="single" w:color="auto" w:sz="4" w:space="0"/>
                    <w:right w:val="single" w:color="auto" w:sz="4" w:space="0"/>
                  </w:tcBorders>
                  <w:shd w:val="clear" w:color="auto" w:fill="auto"/>
                  <w:vAlign w:val="center"/>
                </w:tcPr>
                <w:p w14:paraId="36A114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795" w:type="pct"/>
                  <w:tcBorders>
                    <w:left w:val="single" w:color="auto" w:sz="4" w:space="0"/>
                    <w:bottom w:val="single" w:color="auto" w:sz="4" w:space="0"/>
                    <w:right w:val="single" w:color="auto" w:sz="4" w:space="0"/>
                  </w:tcBorders>
                  <w:shd w:val="clear" w:color="auto" w:fill="auto"/>
                  <w:vAlign w:val="center"/>
                </w:tcPr>
                <w:p w14:paraId="143E7D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834" w:type="pct"/>
                  <w:tcBorders>
                    <w:left w:val="single" w:color="auto" w:sz="4" w:space="0"/>
                    <w:bottom w:val="single" w:color="auto" w:sz="4" w:space="0"/>
                    <w:right w:val="single" w:color="auto" w:sz="4" w:space="0"/>
                  </w:tcBorders>
                  <w:shd w:val="clear" w:color="auto" w:fill="auto"/>
                  <w:vAlign w:val="center"/>
                </w:tcPr>
                <w:p w14:paraId="6FEA5B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1574" w:type="pct"/>
                  <w:tcBorders>
                    <w:left w:val="single" w:color="auto" w:sz="4" w:space="0"/>
                    <w:bottom w:val="single" w:color="auto" w:sz="4" w:space="0"/>
                  </w:tcBorders>
                  <w:shd w:val="clear" w:color="auto" w:fill="auto"/>
                  <w:vAlign w:val="center"/>
                </w:tcPr>
                <w:p w14:paraId="05803E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55318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7228A25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粪大肠菌群</w:t>
                  </w:r>
                </w:p>
              </w:tc>
              <w:tc>
                <w:tcPr>
                  <w:tcW w:w="708" w:type="pct"/>
                  <w:tcBorders>
                    <w:left w:val="single" w:color="auto" w:sz="4" w:space="0"/>
                    <w:bottom w:val="single" w:color="auto" w:sz="4" w:space="0"/>
                    <w:right w:val="single" w:color="auto" w:sz="4" w:space="0"/>
                  </w:tcBorders>
                  <w:shd w:val="clear" w:color="auto" w:fill="auto"/>
                  <w:vAlign w:val="center"/>
                </w:tcPr>
                <w:p w14:paraId="17027A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3.8</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795" w:type="pct"/>
                  <w:tcBorders>
                    <w:left w:val="single" w:color="auto" w:sz="4" w:space="0"/>
                    <w:bottom w:val="single" w:color="auto" w:sz="4" w:space="0"/>
                    <w:right w:val="single" w:color="auto" w:sz="4" w:space="0"/>
                  </w:tcBorders>
                  <w:shd w:val="clear" w:color="auto" w:fill="auto"/>
                  <w:vAlign w:val="center"/>
                </w:tcPr>
                <w:p w14:paraId="6D9908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3.2</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834" w:type="pct"/>
                  <w:tcBorders>
                    <w:left w:val="single" w:color="auto" w:sz="4" w:space="0"/>
                    <w:bottom w:val="single" w:color="auto" w:sz="4" w:space="0"/>
                    <w:right w:val="single" w:color="auto" w:sz="4" w:space="0"/>
                  </w:tcBorders>
                  <w:shd w:val="clear" w:color="auto" w:fill="auto"/>
                  <w:vAlign w:val="center"/>
                </w:tcPr>
                <w:p w14:paraId="5114C0C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2.9</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1574" w:type="pct"/>
                  <w:tcBorders>
                    <w:left w:val="single" w:color="auto" w:sz="4" w:space="0"/>
                    <w:bottom w:val="single" w:color="auto" w:sz="4" w:space="0"/>
                  </w:tcBorders>
                  <w:shd w:val="clear" w:color="auto" w:fill="auto"/>
                  <w:vAlign w:val="center"/>
                </w:tcPr>
                <w:p w14:paraId="41E0412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spacing w:val="-11"/>
                      <w:kern w:val="0"/>
                      <w:sz w:val="21"/>
                      <w:szCs w:val="21"/>
                      <w:highlight w:val="none"/>
                      <w:u w:val="none"/>
                      <w:lang w:val="en-US" w:eastAsia="zh-CN" w:bidi="ar"/>
                      <w14:textFill>
                        <w14:solidFill>
                          <w14:schemeClr w14:val="tx1"/>
                        </w14:solidFill>
                      </w14:textFill>
                    </w:rPr>
                    <w:t>MPN</w:t>
                  </w: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/L</w:t>
                  </w:r>
                </w:p>
              </w:tc>
            </w:tr>
            <w:tr w14:paraId="11C67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vMerge w:val="restart"/>
                  <w:vAlign w:val="center"/>
                </w:tcPr>
                <w:p w14:paraId="443F838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检测项目</w:t>
                  </w:r>
                </w:p>
              </w:tc>
              <w:tc>
                <w:tcPr>
                  <w:tcW w:w="2338" w:type="pct"/>
                  <w:gridSpan w:val="3"/>
                  <w:vAlign w:val="center"/>
                </w:tcPr>
                <w:p w14:paraId="5015446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样品编号及点位</w:t>
                  </w:r>
                </w:p>
              </w:tc>
              <w:tc>
                <w:tcPr>
                  <w:tcW w:w="1574" w:type="pct"/>
                  <w:vMerge w:val="restart"/>
                  <w:vAlign w:val="center"/>
                </w:tcPr>
                <w:p w14:paraId="1BCDBA7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单位</w:t>
                  </w:r>
                </w:p>
              </w:tc>
            </w:tr>
            <w:tr w14:paraId="37B17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3" w:hRule="atLeast"/>
              </w:trPr>
              <w:tc>
                <w:tcPr>
                  <w:tcW w:w="1087" w:type="pct"/>
                  <w:vMerge w:val="continue"/>
                  <w:vAlign w:val="center"/>
                </w:tcPr>
                <w:p w14:paraId="6AC27B2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2338" w:type="pct"/>
                  <w:gridSpan w:val="3"/>
                  <w:vAlign w:val="center"/>
                </w:tcPr>
                <w:p w14:paraId="242849E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水库下游1000m处2#</w:t>
                  </w:r>
                </w:p>
              </w:tc>
              <w:tc>
                <w:tcPr>
                  <w:tcW w:w="1574" w:type="pct"/>
                  <w:vMerge w:val="continue"/>
                  <w:vAlign w:val="center"/>
                </w:tcPr>
                <w:p w14:paraId="176BA42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p>
              </w:tc>
            </w:tr>
            <w:tr w14:paraId="416B71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26" w:hRule="atLeast"/>
              </w:trPr>
              <w:tc>
                <w:tcPr>
                  <w:tcW w:w="1087" w:type="pct"/>
                  <w:vMerge w:val="continue"/>
                  <w:vAlign w:val="center"/>
                </w:tcPr>
                <w:p w14:paraId="79E5A00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p>
              </w:tc>
              <w:tc>
                <w:tcPr>
                  <w:tcW w:w="708" w:type="pct"/>
                  <w:shd w:val="clear" w:color="auto" w:fill="auto"/>
                  <w:vAlign w:val="center"/>
                </w:tcPr>
                <w:p w14:paraId="5B5325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15</w:t>
                  </w:r>
                </w:p>
              </w:tc>
              <w:tc>
                <w:tcPr>
                  <w:tcW w:w="795" w:type="pct"/>
                  <w:shd w:val="clear" w:color="auto" w:fill="auto"/>
                  <w:vAlign w:val="center"/>
                </w:tcPr>
                <w:p w14:paraId="0543C56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16</w:t>
                  </w:r>
                </w:p>
              </w:tc>
              <w:tc>
                <w:tcPr>
                  <w:tcW w:w="834" w:type="pct"/>
                  <w:shd w:val="clear" w:color="auto" w:fill="auto"/>
                  <w:vAlign w:val="center"/>
                </w:tcPr>
                <w:p w14:paraId="3824B9C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17</w:t>
                  </w:r>
                </w:p>
              </w:tc>
              <w:tc>
                <w:tcPr>
                  <w:tcW w:w="1574" w:type="pct"/>
                  <w:vMerge w:val="continue"/>
                  <w:vAlign w:val="center"/>
                </w:tcPr>
                <w:p w14:paraId="6FFE9CC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p>
              </w:tc>
            </w:tr>
            <w:tr w14:paraId="61669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16" w:hRule="atLeast"/>
              </w:trPr>
              <w:tc>
                <w:tcPr>
                  <w:tcW w:w="1087" w:type="pct"/>
                  <w:shd w:val="clear" w:color="auto" w:fill="auto"/>
                  <w:vAlign w:val="center"/>
                </w:tcPr>
                <w:p w14:paraId="13B3A50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透明度</w:t>
                  </w:r>
                </w:p>
              </w:tc>
              <w:tc>
                <w:tcPr>
                  <w:tcW w:w="708" w:type="pct"/>
                  <w:shd w:val="clear" w:color="auto" w:fill="auto"/>
                  <w:vAlign w:val="center"/>
                </w:tcPr>
                <w:p w14:paraId="4EEB73B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85</w:t>
                  </w:r>
                </w:p>
              </w:tc>
              <w:tc>
                <w:tcPr>
                  <w:tcW w:w="795" w:type="pct"/>
                  <w:shd w:val="clear" w:color="auto" w:fill="auto"/>
                  <w:vAlign w:val="center"/>
                </w:tcPr>
                <w:p w14:paraId="462C086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82</w:t>
                  </w:r>
                </w:p>
              </w:tc>
              <w:tc>
                <w:tcPr>
                  <w:tcW w:w="834" w:type="pct"/>
                  <w:shd w:val="clear" w:color="auto" w:fill="auto"/>
                  <w:vAlign w:val="center"/>
                </w:tcPr>
                <w:p w14:paraId="667E9EA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8</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w:t>
                  </w:r>
                </w:p>
              </w:tc>
              <w:tc>
                <w:tcPr>
                  <w:tcW w:w="1574" w:type="pct"/>
                  <w:shd w:val="clear" w:color="auto" w:fill="auto"/>
                  <w:vAlign w:val="center"/>
                </w:tcPr>
                <w:p w14:paraId="39B993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spacing w:val="-11"/>
                      <w:kern w:val="0"/>
                      <w:sz w:val="21"/>
                      <w:szCs w:val="21"/>
                      <w:u w:val="none"/>
                      <w:lang w:val="en-US" w:eastAsia="zh-CN" w:bidi="ar"/>
                      <w14:textFill>
                        <w14:solidFill>
                          <w14:schemeClr w14:val="tx1"/>
                        </w14:solidFill>
                      </w14:textFill>
                    </w:rPr>
                    <w:t>cm</w:t>
                  </w:r>
                </w:p>
              </w:tc>
            </w:tr>
            <w:tr w14:paraId="5F5612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11FE2C8F">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pH</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值</w:t>
                  </w:r>
                </w:p>
              </w:tc>
              <w:tc>
                <w:tcPr>
                  <w:tcW w:w="708" w:type="pct"/>
                  <w:shd w:val="clear" w:color="auto" w:fill="auto"/>
                  <w:vAlign w:val="center"/>
                </w:tcPr>
                <w:p w14:paraId="051FEB8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7.2</w:t>
                  </w:r>
                </w:p>
              </w:tc>
              <w:tc>
                <w:tcPr>
                  <w:tcW w:w="795" w:type="pct"/>
                  <w:shd w:val="clear" w:color="auto" w:fill="auto"/>
                  <w:vAlign w:val="center"/>
                </w:tcPr>
                <w:p w14:paraId="3F1B268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7.0</w:t>
                  </w:r>
                </w:p>
              </w:tc>
              <w:tc>
                <w:tcPr>
                  <w:tcW w:w="834" w:type="pct"/>
                  <w:shd w:val="clear" w:color="auto" w:fill="auto"/>
                  <w:vAlign w:val="center"/>
                </w:tcPr>
                <w:p w14:paraId="2A04540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7.3</w:t>
                  </w:r>
                </w:p>
              </w:tc>
              <w:tc>
                <w:tcPr>
                  <w:tcW w:w="1574" w:type="pct"/>
                  <w:shd w:val="clear" w:color="auto" w:fill="auto"/>
                  <w:vAlign w:val="center"/>
                </w:tcPr>
                <w:p w14:paraId="0B4A58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无量纲</w:t>
                  </w:r>
                </w:p>
              </w:tc>
            </w:tr>
            <w:tr w14:paraId="2F6277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4AB0AC1E">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悬浮物</w:t>
                  </w:r>
                </w:p>
              </w:tc>
              <w:tc>
                <w:tcPr>
                  <w:tcW w:w="708" w:type="pct"/>
                  <w:shd w:val="clear" w:color="auto" w:fill="auto"/>
                  <w:vAlign w:val="center"/>
                </w:tcPr>
                <w:p w14:paraId="080194E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w:t>
                  </w:r>
                </w:p>
              </w:tc>
              <w:tc>
                <w:tcPr>
                  <w:tcW w:w="795" w:type="pct"/>
                  <w:shd w:val="clear" w:color="auto" w:fill="auto"/>
                  <w:vAlign w:val="center"/>
                </w:tcPr>
                <w:p w14:paraId="3CD1C7C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6</w:t>
                  </w:r>
                </w:p>
              </w:tc>
              <w:tc>
                <w:tcPr>
                  <w:tcW w:w="834" w:type="pct"/>
                  <w:shd w:val="clear" w:color="auto" w:fill="auto"/>
                  <w:vAlign w:val="center"/>
                </w:tcPr>
                <w:p w14:paraId="7EA8CC1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w:t>
                  </w:r>
                </w:p>
              </w:tc>
              <w:tc>
                <w:tcPr>
                  <w:tcW w:w="1574" w:type="pct"/>
                  <w:shd w:val="clear" w:color="auto" w:fill="auto"/>
                  <w:vAlign w:val="center"/>
                </w:tcPr>
                <w:p w14:paraId="4299D7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6181C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3876B53A">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高锰酸盐指数</w:t>
                  </w:r>
                </w:p>
              </w:tc>
              <w:tc>
                <w:tcPr>
                  <w:tcW w:w="708" w:type="pct"/>
                  <w:shd w:val="clear" w:color="auto" w:fill="auto"/>
                  <w:vAlign w:val="center"/>
                </w:tcPr>
                <w:p w14:paraId="38C732A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5.4</w:t>
                  </w:r>
                </w:p>
              </w:tc>
              <w:tc>
                <w:tcPr>
                  <w:tcW w:w="795" w:type="pct"/>
                  <w:shd w:val="clear" w:color="auto" w:fill="auto"/>
                  <w:vAlign w:val="center"/>
                </w:tcPr>
                <w:p w14:paraId="6BD6DDA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5.1</w:t>
                  </w:r>
                </w:p>
              </w:tc>
              <w:tc>
                <w:tcPr>
                  <w:tcW w:w="834" w:type="pct"/>
                  <w:shd w:val="clear" w:color="auto" w:fill="auto"/>
                  <w:vAlign w:val="center"/>
                </w:tcPr>
                <w:p w14:paraId="3B61A91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5.0</w:t>
                  </w:r>
                </w:p>
              </w:tc>
              <w:tc>
                <w:tcPr>
                  <w:tcW w:w="1574" w:type="pct"/>
                  <w:shd w:val="clear" w:color="auto" w:fill="auto"/>
                  <w:vAlign w:val="center"/>
                </w:tcPr>
                <w:p w14:paraId="3210B55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675D7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6888B40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化学需氧量</w:t>
                  </w:r>
                </w:p>
              </w:tc>
              <w:tc>
                <w:tcPr>
                  <w:tcW w:w="708" w:type="pct"/>
                  <w:shd w:val="clear" w:color="auto" w:fill="auto"/>
                  <w:vAlign w:val="center"/>
                </w:tcPr>
                <w:p w14:paraId="0C7E57E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16</w:t>
                  </w:r>
                </w:p>
              </w:tc>
              <w:tc>
                <w:tcPr>
                  <w:tcW w:w="795" w:type="pct"/>
                  <w:shd w:val="clear" w:color="auto" w:fill="auto"/>
                  <w:vAlign w:val="center"/>
                </w:tcPr>
                <w:p w14:paraId="1146FBB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14</w:t>
                  </w:r>
                </w:p>
              </w:tc>
              <w:tc>
                <w:tcPr>
                  <w:tcW w:w="834" w:type="pct"/>
                  <w:shd w:val="clear" w:color="auto" w:fill="auto"/>
                  <w:vAlign w:val="center"/>
                </w:tcPr>
                <w:p w14:paraId="1F8455A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13</w:t>
                  </w:r>
                </w:p>
              </w:tc>
              <w:tc>
                <w:tcPr>
                  <w:tcW w:w="1574" w:type="pct"/>
                  <w:shd w:val="clear" w:color="auto" w:fill="auto"/>
                  <w:vAlign w:val="center"/>
                </w:tcPr>
                <w:p w14:paraId="5B3B402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E5171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5D0BDED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生化需氧量</w:t>
                  </w:r>
                </w:p>
              </w:tc>
              <w:tc>
                <w:tcPr>
                  <w:tcW w:w="708" w:type="pct"/>
                  <w:shd w:val="clear" w:color="auto" w:fill="auto"/>
                  <w:vAlign w:val="center"/>
                </w:tcPr>
                <w:p w14:paraId="5189AD7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3.4</w:t>
                  </w:r>
                </w:p>
              </w:tc>
              <w:tc>
                <w:tcPr>
                  <w:tcW w:w="795" w:type="pct"/>
                  <w:shd w:val="clear" w:color="auto" w:fill="auto"/>
                  <w:vAlign w:val="center"/>
                </w:tcPr>
                <w:p w14:paraId="522F70B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2.9</w:t>
                  </w:r>
                </w:p>
              </w:tc>
              <w:tc>
                <w:tcPr>
                  <w:tcW w:w="834" w:type="pct"/>
                  <w:shd w:val="clear" w:color="auto" w:fill="auto"/>
                  <w:vAlign w:val="center"/>
                </w:tcPr>
                <w:p w14:paraId="18AF921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2.8</w:t>
                  </w:r>
                </w:p>
              </w:tc>
              <w:tc>
                <w:tcPr>
                  <w:tcW w:w="1574" w:type="pct"/>
                  <w:shd w:val="clear" w:color="auto" w:fill="auto"/>
                  <w:vAlign w:val="center"/>
                </w:tcPr>
                <w:p w14:paraId="1603FFF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13C56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623D218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氨氮</w:t>
                  </w:r>
                </w:p>
              </w:tc>
              <w:tc>
                <w:tcPr>
                  <w:tcW w:w="708" w:type="pct"/>
                  <w:shd w:val="clear" w:color="auto" w:fill="auto"/>
                  <w:vAlign w:val="center"/>
                </w:tcPr>
                <w:p w14:paraId="5990FF5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0.504</w:t>
                  </w:r>
                </w:p>
              </w:tc>
              <w:tc>
                <w:tcPr>
                  <w:tcW w:w="795" w:type="pct"/>
                  <w:shd w:val="clear" w:color="auto" w:fill="auto"/>
                  <w:vAlign w:val="center"/>
                </w:tcPr>
                <w:p w14:paraId="769EB4F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0.495</w:t>
                  </w:r>
                </w:p>
              </w:tc>
              <w:tc>
                <w:tcPr>
                  <w:tcW w:w="834" w:type="pct"/>
                  <w:shd w:val="clear" w:color="auto" w:fill="auto"/>
                  <w:vAlign w:val="center"/>
                </w:tcPr>
                <w:p w14:paraId="52AEBF6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0.473</w:t>
                  </w:r>
                </w:p>
              </w:tc>
              <w:tc>
                <w:tcPr>
                  <w:tcW w:w="1574" w:type="pct"/>
                  <w:shd w:val="clear" w:color="auto" w:fill="auto"/>
                  <w:vAlign w:val="center"/>
                </w:tcPr>
                <w:p w14:paraId="50082AE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3CA23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5C2BE55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总磷</w:t>
                  </w:r>
                </w:p>
              </w:tc>
              <w:tc>
                <w:tcPr>
                  <w:tcW w:w="708" w:type="pct"/>
                  <w:shd w:val="clear" w:color="auto" w:fill="auto"/>
                  <w:vAlign w:val="center"/>
                </w:tcPr>
                <w:p w14:paraId="1D37A38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 xml:space="preserve">0.10 </w:t>
                  </w:r>
                </w:p>
              </w:tc>
              <w:tc>
                <w:tcPr>
                  <w:tcW w:w="795" w:type="pct"/>
                  <w:shd w:val="clear" w:color="auto" w:fill="auto"/>
                  <w:vAlign w:val="center"/>
                </w:tcPr>
                <w:p w14:paraId="7174899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0.07</w:t>
                  </w:r>
                </w:p>
              </w:tc>
              <w:tc>
                <w:tcPr>
                  <w:tcW w:w="834" w:type="pct"/>
                  <w:shd w:val="clear" w:color="auto" w:fill="auto"/>
                  <w:vAlign w:val="center"/>
                </w:tcPr>
                <w:p w14:paraId="14888E6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w:t>
                  </w:r>
                </w:p>
              </w:tc>
              <w:tc>
                <w:tcPr>
                  <w:tcW w:w="1574" w:type="pct"/>
                  <w:shd w:val="clear" w:color="auto" w:fill="auto"/>
                  <w:vAlign w:val="center"/>
                </w:tcPr>
                <w:p w14:paraId="526D87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99EB7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1FB47DD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总氮</w:t>
                  </w:r>
                </w:p>
              </w:tc>
              <w:tc>
                <w:tcPr>
                  <w:tcW w:w="708" w:type="pct"/>
                  <w:shd w:val="clear" w:color="auto" w:fill="auto"/>
                  <w:vAlign w:val="center"/>
                </w:tcPr>
                <w:p w14:paraId="308E38F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1.54</w:t>
                  </w:r>
                </w:p>
              </w:tc>
              <w:tc>
                <w:tcPr>
                  <w:tcW w:w="795" w:type="pct"/>
                  <w:shd w:val="clear" w:color="auto" w:fill="auto"/>
                  <w:vAlign w:val="center"/>
                </w:tcPr>
                <w:p w14:paraId="1DB70FF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1.38</w:t>
                  </w:r>
                </w:p>
              </w:tc>
              <w:tc>
                <w:tcPr>
                  <w:tcW w:w="834" w:type="pct"/>
                  <w:shd w:val="clear" w:color="auto" w:fill="auto"/>
                  <w:vAlign w:val="center"/>
                </w:tcPr>
                <w:p w14:paraId="16D1097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1.29</w:t>
                  </w:r>
                </w:p>
              </w:tc>
              <w:tc>
                <w:tcPr>
                  <w:tcW w:w="1574" w:type="pct"/>
                  <w:shd w:val="clear" w:color="auto" w:fill="auto"/>
                  <w:vAlign w:val="center"/>
                </w:tcPr>
                <w:p w14:paraId="70494B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3EDEF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01F8675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石油类</w:t>
                  </w:r>
                </w:p>
              </w:tc>
              <w:tc>
                <w:tcPr>
                  <w:tcW w:w="708" w:type="pct"/>
                  <w:shd w:val="clear" w:color="auto" w:fill="auto"/>
                  <w:vAlign w:val="center"/>
                </w:tcPr>
                <w:p w14:paraId="6480199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795" w:type="pct"/>
                  <w:shd w:val="clear" w:color="auto" w:fill="auto"/>
                  <w:vAlign w:val="center"/>
                </w:tcPr>
                <w:p w14:paraId="63B402C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834" w:type="pct"/>
                  <w:shd w:val="clear" w:color="auto" w:fill="auto"/>
                  <w:vAlign w:val="center"/>
                </w:tcPr>
                <w:p w14:paraId="2A51694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1574" w:type="pct"/>
                  <w:shd w:val="clear" w:color="auto" w:fill="auto"/>
                  <w:vAlign w:val="center"/>
                </w:tcPr>
                <w:p w14:paraId="13AEF38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42A15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75B9678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叶绿素a</w:t>
                  </w:r>
                </w:p>
              </w:tc>
              <w:tc>
                <w:tcPr>
                  <w:tcW w:w="708" w:type="pct"/>
                  <w:shd w:val="clear" w:color="auto" w:fill="auto"/>
                  <w:vAlign w:val="center"/>
                </w:tcPr>
                <w:p w14:paraId="1E27AE2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795" w:type="pct"/>
                  <w:shd w:val="clear" w:color="auto" w:fill="auto"/>
                  <w:vAlign w:val="center"/>
                </w:tcPr>
                <w:p w14:paraId="50C4411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834" w:type="pct"/>
                  <w:shd w:val="clear" w:color="auto" w:fill="auto"/>
                  <w:vAlign w:val="center"/>
                </w:tcPr>
                <w:p w14:paraId="34230E3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1574" w:type="pct"/>
                  <w:shd w:val="clear" w:color="auto" w:fill="auto"/>
                  <w:vAlign w:val="center"/>
                </w:tcPr>
                <w:p w14:paraId="0117B30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378CC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54A6E04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铜</w:t>
                  </w:r>
                </w:p>
              </w:tc>
              <w:tc>
                <w:tcPr>
                  <w:tcW w:w="708" w:type="pct"/>
                  <w:shd w:val="clear" w:color="auto" w:fill="auto"/>
                  <w:vAlign w:val="center"/>
                </w:tcPr>
                <w:p w14:paraId="58C29FD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95" w:type="pct"/>
                  <w:shd w:val="clear" w:color="auto" w:fill="auto"/>
                  <w:vAlign w:val="center"/>
                </w:tcPr>
                <w:p w14:paraId="3A124BB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834" w:type="pct"/>
                  <w:shd w:val="clear" w:color="auto" w:fill="auto"/>
                  <w:vAlign w:val="center"/>
                </w:tcPr>
                <w:p w14:paraId="39D3A36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1574" w:type="pct"/>
                  <w:shd w:val="clear" w:color="auto" w:fill="auto"/>
                  <w:vAlign w:val="center"/>
                </w:tcPr>
                <w:p w14:paraId="29F224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34B7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6B44BC9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锌</w:t>
                  </w:r>
                </w:p>
              </w:tc>
              <w:tc>
                <w:tcPr>
                  <w:tcW w:w="708" w:type="pct"/>
                  <w:shd w:val="clear" w:color="auto" w:fill="auto"/>
                  <w:vAlign w:val="center"/>
                </w:tcPr>
                <w:p w14:paraId="43F4882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95" w:type="pct"/>
                  <w:shd w:val="clear" w:color="auto" w:fill="auto"/>
                  <w:vAlign w:val="center"/>
                </w:tcPr>
                <w:p w14:paraId="17D231D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834" w:type="pct"/>
                  <w:shd w:val="clear" w:color="auto" w:fill="auto"/>
                  <w:vAlign w:val="center"/>
                </w:tcPr>
                <w:p w14:paraId="0270F4A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1574" w:type="pct"/>
                  <w:shd w:val="clear" w:color="auto" w:fill="auto"/>
                  <w:vAlign w:val="center"/>
                </w:tcPr>
                <w:p w14:paraId="14D8DA6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370A30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5E68C45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氟化物</w:t>
                  </w:r>
                </w:p>
              </w:tc>
              <w:tc>
                <w:tcPr>
                  <w:tcW w:w="708" w:type="pct"/>
                  <w:shd w:val="clear" w:color="auto" w:fill="auto"/>
                  <w:vAlign w:val="center"/>
                </w:tcPr>
                <w:p w14:paraId="5D51A01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0.38</w:t>
                  </w:r>
                </w:p>
              </w:tc>
              <w:tc>
                <w:tcPr>
                  <w:tcW w:w="795" w:type="pct"/>
                  <w:shd w:val="clear" w:color="auto" w:fill="auto"/>
                  <w:vAlign w:val="center"/>
                </w:tcPr>
                <w:p w14:paraId="1DAEACB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0.37</w:t>
                  </w:r>
                </w:p>
              </w:tc>
              <w:tc>
                <w:tcPr>
                  <w:tcW w:w="834" w:type="pct"/>
                  <w:shd w:val="clear" w:color="auto" w:fill="auto"/>
                  <w:vAlign w:val="center"/>
                </w:tcPr>
                <w:p w14:paraId="69F5304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0.33</w:t>
                  </w:r>
                </w:p>
              </w:tc>
              <w:tc>
                <w:tcPr>
                  <w:tcW w:w="1574" w:type="pct"/>
                  <w:shd w:val="clear" w:color="auto" w:fill="auto"/>
                  <w:vAlign w:val="center"/>
                </w:tcPr>
                <w:p w14:paraId="04EF77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1CE8C8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34F0D20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硒</w:t>
                  </w:r>
                </w:p>
              </w:tc>
              <w:tc>
                <w:tcPr>
                  <w:tcW w:w="708" w:type="pct"/>
                  <w:shd w:val="clear" w:color="auto" w:fill="auto"/>
                  <w:vAlign w:val="center"/>
                </w:tcPr>
                <w:p w14:paraId="641078B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795" w:type="pct"/>
                  <w:shd w:val="clear" w:color="auto" w:fill="auto"/>
                  <w:vAlign w:val="center"/>
                </w:tcPr>
                <w:p w14:paraId="21BBC1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834" w:type="pct"/>
                  <w:shd w:val="clear" w:color="auto" w:fill="auto"/>
                  <w:vAlign w:val="center"/>
                </w:tcPr>
                <w:p w14:paraId="794B16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1574" w:type="pct"/>
                  <w:shd w:val="clear" w:color="auto" w:fill="auto"/>
                  <w:vAlign w:val="center"/>
                </w:tcPr>
                <w:p w14:paraId="1E0B13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922BA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79F7519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砷</w:t>
                  </w:r>
                </w:p>
              </w:tc>
              <w:tc>
                <w:tcPr>
                  <w:tcW w:w="708" w:type="pct"/>
                  <w:shd w:val="clear" w:color="auto" w:fill="auto"/>
                  <w:vAlign w:val="center"/>
                </w:tcPr>
                <w:p w14:paraId="67A905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0.0003L</w:t>
                  </w:r>
                </w:p>
              </w:tc>
              <w:tc>
                <w:tcPr>
                  <w:tcW w:w="795" w:type="pct"/>
                  <w:shd w:val="clear" w:color="auto" w:fill="auto"/>
                  <w:vAlign w:val="center"/>
                </w:tcPr>
                <w:p w14:paraId="1C10335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0.0003L</w:t>
                  </w:r>
                </w:p>
              </w:tc>
              <w:tc>
                <w:tcPr>
                  <w:tcW w:w="834" w:type="pct"/>
                  <w:shd w:val="clear" w:color="auto" w:fill="auto"/>
                  <w:vAlign w:val="center"/>
                </w:tcPr>
                <w:p w14:paraId="0FA721F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0.0003L</w:t>
                  </w:r>
                </w:p>
              </w:tc>
              <w:tc>
                <w:tcPr>
                  <w:tcW w:w="1574" w:type="pct"/>
                  <w:shd w:val="clear" w:color="auto" w:fill="auto"/>
                  <w:vAlign w:val="center"/>
                </w:tcPr>
                <w:p w14:paraId="78E526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C6915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4E47ABB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汞</w:t>
                  </w:r>
                </w:p>
              </w:tc>
              <w:tc>
                <w:tcPr>
                  <w:tcW w:w="708" w:type="pct"/>
                  <w:shd w:val="clear" w:color="auto" w:fill="auto"/>
                  <w:vAlign w:val="center"/>
                </w:tcPr>
                <w:p w14:paraId="0D7228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0.00004L</w:t>
                  </w:r>
                </w:p>
              </w:tc>
              <w:tc>
                <w:tcPr>
                  <w:tcW w:w="795" w:type="pct"/>
                  <w:shd w:val="clear" w:color="auto" w:fill="auto"/>
                  <w:vAlign w:val="center"/>
                </w:tcPr>
                <w:p w14:paraId="44767D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0.00004L</w:t>
                  </w:r>
                </w:p>
              </w:tc>
              <w:tc>
                <w:tcPr>
                  <w:tcW w:w="834" w:type="pct"/>
                  <w:shd w:val="clear" w:color="auto" w:fill="auto"/>
                  <w:vAlign w:val="center"/>
                </w:tcPr>
                <w:p w14:paraId="76E197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0.00004L</w:t>
                  </w:r>
                </w:p>
              </w:tc>
              <w:tc>
                <w:tcPr>
                  <w:tcW w:w="1574" w:type="pct"/>
                  <w:shd w:val="clear" w:color="auto" w:fill="auto"/>
                  <w:vAlign w:val="center"/>
                </w:tcPr>
                <w:p w14:paraId="3D1B6E2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327B84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3747D1D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镉</w:t>
                  </w:r>
                </w:p>
              </w:tc>
              <w:tc>
                <w:tcPr>
                  <w:tcW w:w="708" w:type="pct"/>
                  <w:shd w:val="clear" w:color="auto" w:fill="auto"/>
                  <w:vAlign w:val="center"/>
                </w:tcPr>
                <w:p w14:paraId="43BB87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0.001L</w:t>
                  </w:r>
                </w:p>
              </w:tc>
              <w:tc>
                <w:tcPr>
                  <w:tcW w:w="795" w:type="pct"/>
                  <w:shd w:val="clear" w:color="auto" w:fill="auto"/>
                  <w:vAlign w:val="center"/>
                </w:tcPr>
                <w:p w14:paraId="255AA2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0.001L</w:t>
                  </w:r>
                </w:p>
              </w:tc>
              <w:tc>
                <w:tcPr>
                  <w:tcW w:w="834" w:type="pct"/>
                  <w:shd w:val="clear" w:color="auto" w:fill="auto"/>
                  <w:vAlign w:val="center"/>
                </w:tcPr>
                <w:p w14:paraId="5ABA03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0.001L</w:t>
                  </w:r>
                </w:p>
              </w:tc>
              <w:tc>
                <w:tcPr>
                  <w:tcW w:w="1574" w:type="pct"/>
                  <w:shd w:val="clear" w:color="auto" w:fill="auto"/>
                  <w:vAlign w:val="center"/>
                </w:tcPr>
                <w:p w14:paraId="374EFC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179944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3760BC7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六价铬</w:t>
                  </w:r>
                </w:p>
              </w:tc>
              <w:tc>
                <w:tcPr>
                  <w:tcW w:w="708" w:type="pct"/>
                  <w:shd w:val="clear" w:color="auto" w:fill="auto"/>
                  <w:vAlign w:val="center"/>
                </w:tcPr>
                <w:p w14:paraId="4736EC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0.004L</w:t>
                  </w:r>
                </w:p>
              </w:tc>
              <w:tc>
                <w:tcPr>
                  <w:tcW w:w="795" w:type="pct"/>
                  <w:shd w:val="clear" w:color="auto" w:fill="auto"/>
                  <w:vAlign w:val="center"/>
                </w:tcPr>
                <w:p w14:paraId="506A62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0.004L</w:t>
                  </w:r>
                </w:p>
              </w:tc>
              <w:tc>
                <w:tcPr>
                  <w:tcW w:w="834" w:type="pct"/>
                  <w:shd w:val="clear" w:color="auto" w:fill="auto"/>
                  <w:vAlign w:val="center"/>
                </w:tcPr>
                <w:p w14:paraId="1EA782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0.004L</w:t>
                  </w:r>
                </w:p>
              </w:tc>
              <w:tc>
                <w:tcPr>
                  <w:tcW w:w="1574" w:type="pct"/>
                  <w:shd w:val="clear" w:color="auto" w:fill="auto"/>
                  <w:vAlign w:val="center"/>
                </w:tcPr>
                <w:p w14:paraId="5333C4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334E9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7E4113F7">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氰化物</w:t>
                  </w:r>
                </w:p>
              </w:tc>
              <w:tc>
                <w:tcPr>
                  <w:tcW w:w="708" w:type="pct"/>
                  <w:shd w:val="clear" w:color="auto" w:fill="auto"/>
                  <w:vAlign w:val="center"/>
                </w:tcPr>
                <w:p w14:paraId="1D6D81A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0.004L</w:t>
                  </w:r>
                </w:p>
              </w:tc>
              <w:tc>
                <w:tcPr>
                  <w:tcW w:w="795" w:type="pct"/>
                  <w:shd w:val="clear" w:color="auto" w:fill="auto"/>
                  <w:vAlign w:val="center"/>
                </w:tcPr>
                <w:p w14:paraId="32AE77E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0.004L</w:t>
                  </w:r>
                </w:p>
              </w:tc>
              <w:tc>
                <w:tcPr>
                  <w:tcW w:w="834" w:type="pct"/>
                  <w:shd w:val="clear" w:color="auto" w:fill="auto"/>
                  <w:vAlign w:val="center"/>
                </w:tcPr>
                <w:p w14:paraId="07CEA6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0.004L</w:t>
                  </w:r>
                </w:p>
              </w:tc>
              <w:tc>
                <w:tcPr>
                  <w:tcW w:w="1574" w:type="pct"/>
                  <w:shd w:val="clear" w:color="auto" w:fill="auto"/>
                  <w:vAlign w:val="center"/>
                </w:tcPr>
                <w:p w14:paraId="410933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18007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08289649">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挥发酚</w:t>
                  </w:r>
                </w:p>
              </w:tc>
              <w:tc>
                <w:tcPr>
                  <w:tcW w:w="708" w:type="pct"/>
                  <w:shd w:val="clear" w:color="auto" w:fill="auto"/>
                  <w:vAlign w:val="center"/>
                </w:tcPr>
                <w:p w14:paraId="7EBAD7B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0.0003L</w:t>
                  </w:r>
                </w:p>
              </w:tc>
              <w:tc>
                <w:tcPr>
                  <w:tcW w:w="795" w:type="pct"/>
                  <w:shd w:val="clear" w:color="auto" w:fill="auto"/>
                  <w:vAlign w:val="center"/>
                </w:tcPr>
                <w:p w14:paraId="2B2F93C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0.0003L</w:t>
                  </w:r>
                </w:p>
              </w:tc>
              <w:tc>
                <w:tcPr>
                  <w:tcW w:w="834" w:type="pct"/>
                  <w:shd w:val="clear" w:color="auto" w:fill="auto"/>
                  <w:vAlign w:val="center"/>
                </w:tcPr>
                <w:p w14:paraId="2057DBA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0.0003L</w:t>
                  </w:r>
                </w:p>
              </w:tc>
              <w:tc>
                <w:tcPr>
                  <w:tcW w:w="1574" w:type="pct"/>
                  <w:shd w:val="clear" w:color="auto" w:fill="auto"/>
                  <w:vAlign w:val="center"/>
                </w:tcPr>
                <w:p w14:paraId="6E8F275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71B5C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0867BDB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阴离子表</w:t>
                  </w:r>
                </w:p>
                <w:p w14:paraId="38A4DAA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面活性剂</w:t>
                  </w:r>
                </w:p>
              </w:tc>
              <w:tc>
                <w:tcPr>
                  <w:tcW w:w="708" w:type="pct"/>
                  <w:shd w:val="clear" w:color="auto" w:fill="auto"/>
                  <w:vAlign w:val="center"/>
                </w:tcPr>
                <w:p w14:paraId="4148BD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795" w:type="pct"/>
                  <w:shd w:val="clear" w:color="auto" w:fill="auto"/>
                  <w:vAlign w:val="center"/>
                </w:tcPr>
                <w:p w14:paraId="2B5909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834" w:type="pct"/>
                  <w:shd w:val="clear" w:color="auto" w:fill="auto"/>
                  <w:vAlign w:val="center"/>
                </w:tcPr>
                <w:p w14:paraId="642019A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1574" w:type="pct"/>
                  <w:shd w:val="clear" w:color="auto" w:fill="auto"/>
                  <w:vAlign w:val="center"/>
                </w:tcPr>
                <w:p w14:paraId="687187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6D2B1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shd w:val="clear" w:color="auto" w:fill="auto"/>
                  <w:vAlign w:val="center"/>
                </w:tcPr>
                <w:p w14:paraId="6EE3E18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硫化物</w:t>
                  </w:r>
                </w:p>
              </w:tc>
              <w:tc>
                <w:tcPr>
                  <w:tcW w:w="708" w:type="pct"/>
                  <w:shd w:val="clear" w:color="auto" w:fill="auto"/>
                  <w:vAlign w:val="center"/>
                </w:tcPr>
                <w:p w14:paraId="0E58194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795" w:type="pct"/>
                  <w:shd w:val="clear" w:color="auto" w:fill="auto"/>
                  <w:vAlign w:val="center"/>
                </w:tcPr>
                <w:p w14:paraId="2A9078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834" w:type="pct"/>
                  <w:shd w:val="clear" w:color="auto" w:fill="auto"/>
                  <w:vAlign w:val="center"/>
                </w:tcPr>
                <w:p w14:paraId="42C6DF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1574" w:type="pct"/>
                  <w:shd w:val="clear" w:color="auto" w:fill="auto"/>
                  <w:vAlign w:val="center"/>
                </w:tcPr>
                <w:p w14:paraId="2DA727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8EDA3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97" w:hRule="atLeast"/>
              </w:trPr>
              <w:tc>
                <w:tcPr>
                  <w:tcW w:w="1087" w:type="pct"/>
                  <w:tcBorders>
                    <w:bottom w:val="single" w:color="auto" w:sz="4" w:space="0"/>
                    <w:right w:val="single" w:color="auto" w:sz="4" w:space="0"/>
                  </w:tcBorders>
                  <w:shd w:val="clear" w:color="auto" w:fill="auto"/>
                  <w:vAlign w:val="center"/>
                </w:tcPr>
                <w:p w14:paraId="492BE8C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粪大肠菌群</w:t>
                  </w:r>
                </w:p>
              </w:tc>
              <w:tc>
                <w:tcPr>
                  <w:tcW w:w="708" w:type="pct"/>
                  <w:tcBorders>
                    <w:left w:val="single" w:color="auto" w:sz="4" w:space="0"/>
                    <w:bottom w:val="single" w:color="auto" w:sz="4" w:space="0"/>
                    <w:right w:val="single" w:color="auto" w:sz="4" w:space="0"/>
                  </w:tcBorders>
                  <w:shd w:val="clear" w:color="auto" w:fill="auto"/>
                  <w:vAlign w:val="center"/>
                </w:tcPr>
                <w:p w14:paraId="13EEA5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3.1</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795" w:type="pct"/>
                  <w:tcBorders>
                    <w:left w:val="single" w:color="auto" w:sz="4" w:space="0"/>
                    <w:bottom w:val="single" w:color="auto" w:sz="4" w:space="0"/>
                    <w:right w:val="single" w:color="auto" w:sz="4" w:space="0"/>
                  </w:tcBorders>
                  <w:shd w:val="clear" w:color="auto" w:fill="auto"/>
                  <w:vAlign w:val="center"/>
                </w:tcPr>
                <w:p w14:paraId="3691F2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2.8</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834" w:type="pct"/>
                  <w:tcBorders>
                    <w:left w:val="single" w:color="auto" w:sz="4" w:space="0"/>
                    <w:bottom w:val="single" w:color="auto" w:sz="4" w:space="0"/>
                    <w:right w:val="single" w:color="auto" w:sz="4" w:space="0"/>
                  </w:tcBorders>
                  <w:shd w:val="clear" w:color="auto" w:fill="auto"/>
                  <w:vAlign w:val="center"/>
                </w:tcPr>
                <w:p w14:paraId="5F68925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2.6</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1574" w:type="pct"/>
                  <w:tcBorders>
                    <w:left w:val="single" w:color="auto" w:sz="4" w:space="0"/>
                    <w:bottom w:val="single" w:color="auto" w:sz="4" w:space="0"/>
                  </w:tcBorders>
                  <w:shd w:val="clear" w:color="auto" w:fill="auto"/>
                  <w:vAlign w:val="center"/>
                </w:tcPr>
                <w:p w14:paraId="7EBE0B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spacing w:val="-11"/>
                      <w:kern w:val="0"/>
                      <w:sz w:val="21"/>
                      <w:szCs w:val="21"/>
                      <w:highlight w:val="none"/>
                      <w:u w:val="none"/>
                      <w:lang w:val="en-US" w:eastAsia="zh-CN" w:bidi="ar"/>
                      <w14:textFill>
                        <w14:solidFill>
                          <w14:schemeClr w14:val="tx1"/>
                        </w14:solidFill>
                      </w14:textFill>
                    </w:rPr>
                    <w:t>MPN</w:t>
                  </w: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/L</w:t>
                  </w:r>
                </w:p>
              </w:tc>
            </w:tr>
          </w:tbl>
          <w:p w14:paraId="3A546506">
            <w:pPr>
              <w:spacing w:line="360" w:lineRule="auto"/>
              <w:jc w:val="left"/>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kern w:val="44"/>
                <w:sz w:val="21"/>
                <w:szCs w:val="21"/>
                <w:highlight w:val="none"/>
                <w:lang w:val="en-US" w:eastAsia="zh-CN" w:bidi="ar-SA"/>
                <w14:textFill>
                  <w14:solidFill>
                    <w14:schemeClr w14:val="tx1"/>
                  </w14:solidFill>
                </w14:textFill>
              </w:rPr>
              <w:t>注：L代表低于检出限浓度。</w:t>
            </w:r>
          </w:p>
        </w:tc>
      </w:tr>
      <w:tr w14:paraId="4A6486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96" w:hRule="atLeast"/>
          <w:jc w:val="center"/>
        </w:trPr>
        <w:tc>
          <w:tcPr>
            <w:tcW w:w="947" w:type="dxa"/>
            <w:vAlign w:val="center"/>
          </w:tcPr>
          <w:p w14:paraId="7BD72F84">
            <w:pPr>
              <w:adjustRightInd w:val="0"/>
              <w:snapToGrid w:val="0"/>
              <w:jc w:val="cente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pPr>
            <w:r>
              <w:rPr>
                <w:rFonts w:hint="default" w:ascii="Times New Roman" w:hAnsi="Times New Roman" w:cs="Times New Roman" w:eastAsiaTheme="minorEastAsia"/>
                <w:bCs/>
                <w:color w:val="000000" w:themeColor="text1"/>
                <w:sz w:val="24"/>
                <w:szCs w:val="24"/>
                <w:highlight w:val="none"/>
                <w14:textFill>
                  <w14:solidFill>
                    <w14:schemeClr w14:val="tx1"/>
                  </w14:solidFill>
                </w14:textFill>
              </w:rPr>
              <w:t>与项目有关的原有环境污染和生态破坏问题</w:t>
            </w:r>
          </w:p>
        </w:tc>
        <w:tc>
          <w:tcPr>
            <w:tcW w:w="8210" w:type="dxa"/>
            <w:vAlign w:val="center"/>
          </w:tcPr>
          <w:p w14:paraId="36841D75">
            <w:pPr>
              <w:spacing w:line="360" w:lineRule="auto"/>
              <w:ind w:firstLine="480" w:firstLineChars="20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1、水库基本情况回顾和</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原有工程环保手续履行情况</w:t>
            </w:r>
          </w:p>
          <w:p w14:paraId="1E4DA589">
            <w:pPr>
              <w:spacing w:line="360" w:lineRule="auto"/>
              <w:ind w:firstLine="480" w:firstLineChars="200"/>
              <w:rPr>
                <w:rFonts w:hint="eastAsia" w:ascii="Times New Roman" w:hAnsi="Times New Roman" w:eastAsia="宋体" w:cs="Times New Roman"/>
                <w:color w:val="000000" w:themeColor="text1"/>
                <w:sz w:val="24"/>
                <w:szCs w:val="32"/>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水库现有建筑物包括坝体</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和</w:t>
            </w:r>
            <w:r>
              <w:rPr>
                <w:rFonts w:hint="eastAsia" w:ascii="Times New Roman" w:hAnsi="Times New Roman" w:eastAsia="宋体" w:cs="Times New Roman"/>
                <w:color w:val="000000" w:themeColor="text1"/>
                <w:sz w:val="24"/>
                <w:szCs w:val="24"/>
                <w:highlight w:val="none"/>
                <w14:textFill>
                  <w14:solidFill>
                    <w14:schemeClr w14:val="tx1"/>
                  </w14:solidFill>
                </w14:textFill>
              </w:rPr>
              <w:t>灌溉泄洪洞</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水库工程等级为Ⅴ等，</w:t>
            </w:r>
            <w:r>
              <w:rPr>
                <w:rFonts w:hint="eastAsia" w:ascii="Times New Roman" w:hAnsi="Times New Roman" w:cs="Times New Roman"/>
                <w:color w:val="000000" w:themeColor="text1"/>
                <w:sz w:val="24"/>
                <w:szCs w:val="24"/>
                <w:highlight w:val="none"/>
                <w:lang w:eastAsia="zh-CN"/>
                <w14:textFill>
                  <w14:solidFill>
                    <w14:schemeClr w14:val="tx1"/>
                  </w14:solidFill>
                </w14:textFill>
              </w:rPr>
              <w:t>青山水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主体工程建设时由于环评法未实施，未办理环评手续</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23C7CFEC">
            <w:pPr>
              <w:spacing w:line="360" w:lineRule="auto"/>
              <w:ind w:firstLine="480" w:firstLineChars="200"/>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水库是一座以灌溉为主，兼顾防洪、养殖等综合利用的小（</w:t>
            </w:r>
            <w:r>
              <w:rPr>
                <w:rFonts w:hint="eastAsia" w:cs="Times New Roman"/>
                <w:color w:val="000000" w:themeColor="text1"/>
                <w:sz w:val="24"/>
                <w:szCs w:val="24"/>
                <w:highlight w:val="none"/>
                <w:lang w:val="en-US" w:eastAsia="zh-CN"/>
                <w14:textFill>
                  <w14:solidFill>
                    <w14:schemeClr w14:val="tx1"/>
                  </w14:solidFill>
                </w14:textFill>
              </w:rPr>
              <w:t>I</w:t>
            </w:r>
            <w:r>
              <w:rPr>
                <w:rFonts w:ascii="Times New Roman" w:hAnsi="Times New Roman" w:cs="Times New Roman"/>
                <w:color w:val="000000" w:themeColor="text1"/>
                <w:sz w:val="24"/>
                <w:szCs w:val="24"/>
                <w:highlight w:val="none"/>
                <w14:textFill>
                  <w14:solidFill>
                    <w14:schemeClr w14:val="tx1"/>
                  </w14:solidFill>
                </w14:textFill>
              </w:rPr>
              <w:t>）型水库</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现状正常蓄水位177.50m</w:t>
            </w:r>
            <w:r>
              <w:rPr>
                <w:rFonts w:ascii="Times New Roman" w:hAnsi="Times New Roman" w:cs="Times New Roman"/>
                <w:color w:val="000000" w:themeColor="text1"/>
                <w:sz w:val="24"/>
                <w:szCs w:val="24"/>
                <w:highlight w:val="none"/>
                <w14:textFill>
                  <w14:solidFill>
                    <w14:schemeClr w14:val="tx1"/>
                  </w14:solidFill>
                </w14:textFill>
              </w:rPr>
              <w:t>。</w:t>
            </w:r>
          </w:p>
          <w:p w14:paraId="0B994F26">
            <w:pPr>
              <w:pStyle w:val="21"/>
              <w:ind w:left="0" w:leftChars="0" w:firstLine="480" w:firstLineChars="200"/>
              <w:rPr>
                <w:rFonts w:hint="default"/>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kern w:val="52"/>
                <w:sz w:val="24"/>
                <w:szCs w:val="24"/>
                <w:highlight w:val="none"/>
                <w:lang w:val="en-US" w:eastAsia="zh-CN" w:bidi="ar-SA"/>
                <w14:textFill>
                  <w14:solidFill>
                    <w14:schemeClr w14:val="tx1"/>
                  </w14:solidFill>
                </w14:textFill>
              </w:rPr>
              <w:t>工程现状</w:t>
            </w:r>
            <w:r>
              <w:rPr>
                <w:rFonts w:hint="eastAsia" w:ascii="Times New Roman" w:hAnsi="Times New Roman" w:eastAsia="宋体" w:cs="Times New Roman"/>
                <w:color w:val="000000" w:themeColor="text1"/>
                <w:kern w:val="52"/>
                <w:sz w:val="24"/>
                <w:szCs w:val="24"/>
                <w:highlight w:val="none"/>
                <w:lang w:val="en-US" w:eastAsia="zh-CN" w:bidi="ar-SA"/>
                <w14:textFill>
                  <w14:solidFill>
                    <w14:schemeClr w14:val="tx1"/>
                  </w14:solidFill>
                </w14:textFill>
              </w:rPr>
              <w:t>及主要问题</w:t>
            </w:r>
          </w:p>
          <w:p w14:paraId="1E116C91">
            <w:pPr>
              <w:spacing w:line="360" w:lineRule="auto"/>
              <w:ind w:firstLine="480" w:firstLineChars="20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土坝为</w:t>
            </w:r>
            <w:r>
              <w:rPr>
                <w:rFonts w:hint="eastAsia" w:cs="Times New Roman"/>
                <w:color w:val="000000" w:themeColor="text1"/>
                <w:sz w:val="24"/>
                <w:highlight w:val="none"/>
                <w:lang w:eastAsia="zh-CN"/>
                <w14:textFill>
                  <w14:solidFill>
                    <w14:schemeClr w14:val="tx1"/>
                  </w14:solidFill>
                </w14:textFill>
              </w:rPr>
              <w:t>黏性</w:t>
            </w:r>
            <w:r>
              <w:rPr>
                <w:rFonts w:hint="eastAsia" w:ascii="Times New Roman" w:hAnsi="Times New Roman" w:eastAsia="宋体" w:cs="Times New Roman"/>
                <w:color w:val="000000" w:themeColor="text1"/>
                <w:sz w:val="24"/>
                <w:highlight w:val="none"/>
                <w14:textFill>
                  <w14:solidFill>
                    <w14:schemeClr w14:val="tx1"/>
                  </w14:solidFill>
                </w14:textFill>
              </w:rPr>
              <w:t>土均质坝，实际坝顶高程</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180.55-181.44m，现状</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大坝上游坝坡输水洞旁存在一处塌陷，大坝桩号0+390-0+420下游坝坡坝体滑坡</w:t>
            </w:r>
            <w:r>
              <w:rPr>
                <w:rFonts w:hint="eastAsia" w:eastAsia="宋体" w:cs="Times New Roman"/>
                <w:color w:val="000000" w:themeColor="text1"/>
                <w:sz w:val="24"/>
                <w:szCs w:val="32"/>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溢洪道溢流堰体剥蚀、局部钢筋裸露；消力池左侧边墙倒塌，右侧边墙断裂</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输水洞启闭螺杆弯曲变形，闸门及启闭机等金属结构局部变形、锈蚀</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w:t>
            </w:r>
          </w:p>
          <w:p w14:paraId="4C071C5A">
            <w:pPr>
              <w:spacing w:line="360" w:lineRule="auto"/>
              <w:ind w:firstLine="480" w:firstLineChars="200"/>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水库管理站管理设施简陋，无厕所、食堂、锅炉等相关</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基础设施</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，本项目不建设厕所、食堂、锅炉等相关</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基础设施</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，不涉及以新带老相关内容。</w:t>
            </w:r>
          </w:p>
          <w:p w14:paraId="54D9D570">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目前水库周边生态环境良好，无生态破坏现象。根据环境质量数据，地表水环境质量现状良好，无水质污染现象。不存在与项目有关的原有环境污染和生态破坏问题</w:t>
            </w:r>
            <w:r>
              <w:rPr>
                <w:rFonts w:hint="eastAsia" w:cs="Times New Roman"/>
                <w:color w:val="000000" w:themeColor="text1"/>
                <w:sz w:val="24"/>
                <w:highlight w:val="none"/>
                <w:lang w:val="en-US" w:eastAsia="zh-CN"/>
                <w14:textFill>
                  <w14:solidFill>
                    <w14:schemeClr w14:val="tx1"/>
                  </w14:solidFill>
                </w14:textFill>
              </w:rPr>
              <w:t>。</w:t>
            </w:r>
          </w:p>
          <w:p w14:paraId="14884AF1">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根据专项本项目不涉及温排水，根据现状调查库区</w:t>
            </w:r>
            <w:r>
              <w:rPr>
                <w:rFonts w:hint="eastAsia" w:cs="Times New Roman"/>
                <w:color w:val="000000" w:themeColor="text1"/>
                <w:sz w:val="24"/>
                <w:highlight w:val="none"/>
                <w:lang w:eastAsia="zh-CN"/>
                <w14:textFill>
                  <w14:solidFill>
                    <w14:schemeClr w14:val="tx1"/>
                  </w14:solidFill>
                </w14:textFill>
              </w:rPr>
              <w:t>不存在富营养化情况，且无富营养化趋势。</w:t>
            </w:r>
          </w:p>
          <w:p w14:paraId="739B0899">
            <w:pPr>
              <w:spacing w:line="360" w:lineRule="auto"/>
              <w:ind w:firstLine="480" w:firstLineChars="200"/>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3、整改措施及方案</w:t>
            </w:r>
          </w:p>
          <w:p w14:paraId="2290BE57">
            <w:pPr>
              <w:spacing w:line="360" w:lineRule="auto"/>
              <w:ind w:firstLine="480" w:firstLineChars="200"/>
              <w:rPr>
                <w:rFonts w:hint="eastAsia" w:ascii="Times New Roman" w:hAnsi="Times New Roman" w:eastAsia="宋体" w:cs="Times New Roman"/>
                <w:color w:val="000000" w:themeColor="text1"/>
                <w:sz w:val="24"/>
                <w:szCs w:val="32"/>
                <w:highlight w:val="none"/>
                <w:lang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本工程对坍塌部位、</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溢洪道溢流堰体剥蚀</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溢洪道溢流堰体剥蚀</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以及</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闸门及启闭机等金属结构局部变形、锈蚀</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一并进行整改</w:t>
            </w:r>
            <w:r>
              <w:rPr>
                <w:rFonts w:hint="eastAsia" w:cs="Times New Roman" w:eastAsiaTheme="minorEastAsia"/>
                <w:color w:val="000000" w:themeColor="text1"/>
                <w:sz w:val="24"/>
                <w:szCs w:val="24"/>
                <w:highlight w:val="none"/>
                <w:lang w:val="en-US" w:eastAsia="zh-CN"/>
                <w14:textFill>
                  <w14:solidFill>
                    <w14:schemeClr w14:val="tx1"/>
                  </w14:solidFill>
                </w14:textFill>
              </w:rPr>
              <w:t>，</w:t>
            </w:r>
            <w:r>
              <w:rPr>
                <w:rFonts w:ascii="Arial" w:hAnsi="Arial" w:eastAsia="Arial" w:cs="Arial"/>
                <w:i w:val="0"/>
                <w:iCs w:val="0"/>
                <w:caps w:val="0"/>
                <w:color w:val="000000" w:themeColor="text1"/>
                <w:spacing w:val="0"/>
                <w:sz w:val="24"/>
                <w:szCs w:val="24"/>
                <w:shd w:val="clear" w:fill="FFFFFF"/>
                <w14:textFill>
                  <w14:solidFill>
                    <w14:schemeClr w14:val="tx1"/>
                  </w14:solidFill>
                </w14:textFill>
              </w:rPr>
              <w:t>将减淤调度纳入水库长期运行</w:t>
            </w:r>
            <w:r>
              <w:rPr>
                <w:rFonts w:hint="eastAsia" w:ascii="Arial" w:hAnsi="Arial" w:eastAsia="宋体" w:cs="Arial"/>
                <w:i w:val="0"/>
                <w:iCs w:val="0"/>
                <w:caps w:val="0"/>
                <w:color w:val="000000" w:themeColor="text1"/>
                <w:spacing w:val="0"/>
                <w:sz w:val="24"/>
                <w:szCs w:val="24"/>
                <w:shd w:val="clear" w:fill="FFFFFF"/>
                <w:lang w:eastAsia="zh-CN"/>
                <w14:textFill>
                  <w14:solidFill>
                    <w14:schemeClr w14:val="tx1"/>
                  </w14:solidFill>
                </w14:textFill>
              </w:rPr>
              <w:t>规划。</w:t>
            </w:r>
          </w:p>
          <w:p w14:paraId="65706EF9">
            <w:pPr>
              <w:spacing w:line="360" w:lineRule="auto"/>
              <w:ind w:firstLine="480" w:firstLineChars="200"/>
              <w:rPr>
                <w:rFonts w:hint="default" w:ascii="Times New Roman" w:hAnsi="Times New Roman" w:eastAsia="宋体" w:cs="Times New Roman"/>
                <w:color w:val="000000" w:themeColor="text1"/>
                <w:sz w:val="24"/>
                <w:szCs w:val="32"/>
                <w:highlight w:val="none"/>
                <w:lang w:eastAsia="zh-CN"/>
                <w14:textFill>
                  <w14:solidFill>
                    <w14:schemeClr w14:val="tx1"/>
                  </w14:solidFill>
                </w14:textFill>
              </w:rPr>
            </w:pPr>
          </w:p>
        </w:tc>
      </w:tr>
      <w:tr w14:paraId="4A44EE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vAlign w:val="center"/>
          </w:tcPr>
          <w:p w14:paraId="0FA1D8A9">
            <w:pPr>
              <w:adjustRightInd w:val="0"/>
              <w:snapToGrid w:val="0"/>
              <w:jc w:val="center"/>
              <w:rPr>
                <w:rFonts w:hint="default" w:ascii="Times New Roman" w:hAnsi="Times New Roman" w:cs="Times New Roman" w:eastAsiaTheme="minorEastAsia"/>
                <w:bCs/>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szCs w:val="24"/>
                <w:highlight w:val="none"/>
                <w14:textFill>
                  <w14:solidFill>
                    <w14:schemeClr w14:val="tx1"/>
                  </w14:solidFill>
                </w14:textFill>
              </w:rPr>
              <w:t>生态环境保护目标</w:t>
            </w:r>
          </w:p>
        </w:tc>
        <w:tc>
          <w:tcPr>
            <w:tcW w:w="8210" w:type="dxa"/>
          </w:tcPr>
          <w:p w14:paraId="16A9524E">
            <w:pPr>
              <w:spacing w:before="120" w:beforeLines="50" w:line="360" w:lineRule="auto"/>
              <w:ind w:left="420"/>
              <w:rPr>
                <w:rFonts w:hint="default" w:ascii="Times New Roman" w:hAnsi="Times New Roman" w:cs="Times New Roman" w:eastAsiaTheme="minorEastAsia"/>
                <w:b/>
                <w:color w:val="000000" w:themeColor="text1"/>
                <w:sz w:val="24"/>
                <w:highlight w:val="none"/>
                <w14:textFill>
                  <w14:solidFill>
                    <w14:schemeClr w14:val="tx1"/>
                  </w14:solidFill>
                </w14:textFill>
              </w:rPr>
            </w:pPr>
            <w:r>
              <w:rPr>
                <w:rFonts w:hint="default" w:ascii="Times New Roman" w:hAnsi="Times New Roman" w:cs="Times New Roman" w:eastAsiaTheme="minorEastAsia"/>
                <w:b/>
                <w:color w:val="000000" w:themeColor="text1"/>
                <w:sz w:val="24"/>
                <w:highlight w:val="none"/>
                <w14:textFill>
                  <w14:solidFill>
                    <w14:schemeClr w14:val="tx1"/>
                  </w14:solidFill>
                </w14:textFill>
              </w:rPr>
              <w:t>环境保护目标</w:t>
            </w:r>
          </w:p>
          <w:p w14:paraId="2819956E">
            <w:pPr>
              <w:spacing w:line="360" w:lineRule="auto"/>
              <w:ind w:firstLine="480" w:firstLineChars="200"/>
              <w:jc w:val="left"/>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经排查，工程建设及影响范围不涉及环境敏感区，本项目主要环境保护目标为工程沿线两侧</w:t>
            </w:r>
            <w:r>
              <w:rPr>
                <w:rFonts w:hint="eastAsia"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 w:val="24"/>
                <w:highlight w:val="none"/>
                <w14:textFill>
                  <w14:solidFill>
                    <w14:schemeClr w14:val="tx1"/>
                  </w14:solidFill>
                </w14:textFill>
              </w:rPr>
              <w:t>水库水环境、生态环境等。根据工程特点及工程所在地环境现状确定本工程的环境保护目标。主要保护目标见表</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3-</w:t>
            </w:r>
            <w:r>
              <w:rPr>
                <w:rFonts w:hint="eastAsia" w:cs="Times New Roman" w:eastAsiaTheme="minorEastAsia"/>
                <w:color w:val="000000" w:themeColor="text1"/>
                <w:sz w:val="24"/>
                <w:highlight w:val="none"/>
                <w:lang w:val="en-US" w:eastAsia="zh-CN"/>
                <w14:textFill>
                  <w14:solidFill>
                    <w14:schemeClr w14:val="tx1"/>
                  </w14:solidFill>
                </w14:textFill>
              </w:rPr>
              <w:t>4</w:t>
            </w:r>
            <w:r>
              <w:rPr>
                <w:rFonts w:hint="default" w:ascii="Times New Roman" w:hAnsi="Times New Roman" w:cs="Times New Roman" w:eastAsiaTheme="minorEastAsia"/>
                <w:color w:val="000000" w:themeColor="text1"/>
                <w:sz w:val="24"/>
                <w:highlight w:val="none"/>
                <w14:textFill>
                  <w14:solidFill>
                    <w14:schemeClr w14:val="tx1"/>
                  </w14:solidFill>
                </w14:textFill>
              </w:rPr>
              <w:t>。</w:t>
            </w:r>
          </w:p>
          <w:p w14:paraId="4E44A2C2">
            <w:pPr>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sz w:val="24"/>
                <w:szCs w:val="32"/>
                <w:highlight w:val="none"/>
                <w14:textFill>
                  <w14:solidFill>
                    <w14:schemeClr w14:val="tx1"/>
                  </w14:solidFill>
                </w14:textFill>
              </w:rPr>
              <w:t>表</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3-</w:t>
            </w:r>
            <w:r>
              <w:rPr>
                <w:rFonts w:hint="eastAsia" w:cs="Times New Roman"/>
                <w:b/>
                <w:bCs/>
                <w:color w:val="000000" w:themeColor="text1"/>
                <w:sz w:val="24"/>
                <w:szCs w:val="32"/>
                <w:highlight w:val="none"/>
                <w:lang w:val="en-US" w:eastAsia="zh-CN"/>
                <w14:textFill>
                  <w14:solidFill>
                    <w14:schemeClr w14:val="tx1"/>
                  </w14:solidFill>
                </w14:textFill>
              </w:rPr>
              <w:t>4</w:t>
            </w:r>
            <w:r>
              <w:rPr>
                <w:rFonts w:hint="default" w:ascii="Times New Roman" w:hAnsi="Times New Roman" w:cs="Times New Roman"/>
                <w:b/>
                <w:bCs/>
                <w:color w:val="000000" w:themeColor="text1"/>
                <w:sz w:val="24"/>
                <w:szCs w:val="32"/>
                <w:highlight w:val="none"/>
                <w14:textFill>
                  <w14:solidFill>
                    <w14:schemeClr w14:val="tx1"/>
                  </w14:solidFill>
                </w14:textFill>
              </w:rPr>
              <w:t>工程环境保护目标一览表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82"/>
              <w:gridCol w:w="705"/>
              <w:gridCol w:w="1419"/>
              <w:gridCol w:w="1360"/>
              <w:gridCol w:w="1779"/>
              <w:gridCol w:w="2100"/>
            </w:tblGrid>
            <w:tr w14:paraId="7D50BF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82" w:type="dxa"/>
                  <w:noWrap w:val="0"/>
                  <w:vAlign w:val="center"/>
                </w:tcPr>
                <w:p w14:paraId="14640A1E">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序号</w:t>
                  </w:r>
                </w:p>
              </w:tc>
              <w:tc>
                <w:tcPr>
                  <w:tcW w:w="705" w:type="dxa"/>
                  <w:noWrap w:val="0"/>
                  <w:vAlign w:val="center"/>
                </w:tcPr>
                <w:p w14:paraId="3F366F1F">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环境因子</w:t>
                  </w:r>
                </w:p>
              </w:tc>
              <w:tc>
                <w:tcPr>
                  <w:tcW w:w="1419" w:type="dxa"/>
                  <w:noWrap w:val="0"/>
                  <w:vAlign w:val="center"/>
                </w:tcPr>
                <w:p w14:paraId="127F8006">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敏感点名称</w:t>
                  </w:r>
                </w:p>
              </w:tc>
              <w:tc>
                <w:tcPr>
                  <w:tcW w:w="1360" w:type="dxa"/>
                  <w:noWrap w:val="0"/>
                  <w:vAlign w:val="center"/>
                </w:tcPr>
                <w:p w14:paraId="5BE60F5F">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保护内容</w:t>
                  </w:r>
                </w:p>
              </w:tc>
              <w:tc>
                <w:tcPr>
                  <w:tcW w:w="1779" w:type="dxa"/>
                  <w:noWrap w:val="0"/>
                  <w:vAlign w:val="center"/>
                </w:tcPr>
                <w:p w14:paraId="3CF2815A">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与工程的位置及距离</w:t>
                  </w:r>
                </w:p>
              </w:tc>
              <w:tc>
                <w:tcPr>
                  <w:tcW w:w="2100" w:type="dxa"/>
                  <w:noWrap w:val="0"/>
                  <w:vAlign w:val="center"/>
                </w:tcPr>
                <w:p w14:paraId="305D3B35">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保护目标</w:t>
                  </w:r>
                </w:p>
              </w:tc>
            </w:tr>
            <w:tr w14:paraId="705CB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82" w:type="dxa"/>
                  <w:vMerge w:val="restart"/>
                  <w:noWrap w:val="0"/>
                  <w:vAlign w:val="center"/>
                </w:tcPr>
                <w:p w14:paraId="1D37DC1B">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1</w:t>
                  </w:r>
                </w:p>
              </w:tc>
              <w:tc>
                <w:tcPr>
                  <w:tcW w:w="705" w:type="dxa"/>
                  <w:vMerge w:val="restart"/>
                  <w:noWrap w:val="0"/>
                  <w:vAlign w:val="center"/>
                </w:tcPr>
                <w:p w14:paraId="5C5990BE">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地表水环境</w:t>
                  </w:r>
                </w:p>
              </w:tc>
              <w:tc>
                <w:tcPr>
                  <w:tcW w:w="1419" w:type="dxa"/>
                  <w:shd w:val="clear" w:color="auto" w:fill="auto"/>
                  <w:noWrap w:val="0"/>
                  <w:vAlign w:val="center"/>
                </w:tcPr>
                <w:p w14:paraId="3CFC0477">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青山水库下游1km内锅盔河</w:t>
                  </w:r>
                </w:p>
              </w:tc>
              <w:tc>
                <w:tcPr>
                  <w:tcW w:w="1360" w:type="dxa"/>
                  <w:shd w:val="clear" w:color="auto" w:fill="auto"/>
                  <w:noWrap w:val="0"/>
                  <w:vAlign w:val="center"/>
                </w:tcPr>
                <w:p w14:paraId="2E1D02C7">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水质</w:t>
                  </w:r>
                  <w:r>
                    <w:rPr>
                      <w:rFonts w:hint="eastAsia" w:ascii="Times New Roman" w:hAnsi="Times New Roman" w:cs="Times New Roman"/>
                      <w:color w:val="000000" w:themeColor="text1"/>
                      <w:sz w:val="21"/>
                      <w:szCs w:val="21"/>
                      <w:highlight w:val="none"/>
                      <w:lang w:eastAsia="zh-CN"/>
                      <w14:textFill>
                        <w14:solidFill>
                          <w14:schemeClr w14:val="tx1"/>
                        </w14:solidFill>
                      </w14:textFill>
                    </w:rPr>
                    <w:t>、水文情势</w:t>
                  </w:r>
                </w:p>
              </w:tc>
              <w:tc>
                <w:tcPr>
                  <w:tcW w:w="1779" w:type="dxa"/>
                  <w:shd w:val="clear" w:color="auto" w:fill="auto"/>
                  <w:noWrap w:val="0"/>
                  <w:vAlign w:val="center"/>
                </w:tcPr>
                <w:p w14:paraId="5F61DA09">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在其中或近邻</w:t>
                  </w:r>
                </w:p>
              </w:tc>
              <w:tc>
                <w:tcPr>
                  <w:tcW w:w="2100" w:type="dxa"/>
                  <w:vMerge w:val="restart"/>
                  <w:noWrap w:val="0"/>
                  <w:vAlign w:val="center"/>
                </w:tcPr>
                <w:p w14:paraId="7663C776">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《地表水环境质量》（GB3838-2002）中Ⅲ类</w:t>
                  </w:r>
                </w:p>
              </w:tc>
            </w:tr>
            <w:tr w14:paraId="1BF07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82" w:type="dxa"/>
                  <w:vMerge w:val="continue"/>
                  <w:noWrap w:val="0"/>
                  <w:vAlign w:val="center"/>
                </w:tcPr>
                <w:p w14:paraId="33CCFF75">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c>
                <w:tcPr>
                  <w:tcW w:w="705" w:type="dxa"/>
                  <w:vMerge w:val="continue"/>
                  <w:noWrap w:val="0"/>
                  <w:vAlign w:val="center"/>
                </w:tcPr>
                <w:p w14:paraId="6F787A1B">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419" w:type="dxa"/>
                  <w:shd w:val="clear" w:color="auto" w:fill="auto"/>
                  <w:noWrap w:val="0"/>
                  <w:vAlign w:val="center"/>
                </w:tcPr>
                <w:p w14:paraId="1DF67BE6">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青山水库</w:t>
                  </w:r>
                </w:p>
              </w:tc>
              <w:tc>
                <w:tcPr>
                  <w:tcW w:w="1360" w:type="dxa"/>
                  <w:shd w:val="clear" w:color="auto" w:fill="auto"/>
                  <w:noWrap w:val="0"/>
                  <w:vAlign w:val="center"/>
                </w:tcPr>
                <w:p w14:paraId="4C6A709D">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水质</w:t>
                  </w:r>
                  <w:r>
                    <w:rPr>
                      <w:rFonts w:hint="eastAsia" w:ascii="Times New Roman" w:hAnsi="Times New Roman" w:cs="Times New Roman"/>
                      <w:color w:val="000000" w:themeColor="text1"/>
                      <w:sz w:val="21"/>
                      <w:szCs w:val="21"/>
                      <w:highlight w:val="none"/>
                      <w:lang w:eastAsia="zh-CN"/>
                      <w14:textFill>
                        <w14:solidFill>
                          <w14:schemeClr w14:val="tx1"/>
                        </w14:solidFill>
                      </w14:textFill>
                    </w:rPr>
                    <w:t>、水文情势</w:t>
                  </w:r>
                </w:p>
              </w:tc>
              <w:tc>
                <w:tcPr>
                  <w:tcW w:w="1779" w:type="dxa"/>
                  <w:shd w:val="clear" w:color="auto" w:fill="auto"/>
                  <w:noWrap w:val="0"/>
                  <w:vAlign w:val="center"/>
                </w:tcPr>
                <w:p w14:paraId="2FE50ADB">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下游</w:t>
                  </w:r>
                </w:p>
              </w:tc>
              <w:tc>
                <w:tcPr>
                  <w:tcW w:w="2100" w:type="dxa"/>
                  <w:vMerge w:val="continue"/>
                  <w:noWrap w:val="0"/>
                  <w:vAlign w:val="center"/>
                </w:tcPr>
                <w:p w14:paraId="16668586">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r w14:paraId="76E21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482" w:type="dxa"/>
                  <w:noWrap w:val="0"/>
                  <w:vAlign w:val="center"/>
                </w:tcPr>
                <w:p w14:paraId="351C2D09">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2</w:t>
                  </w:r>
                </w:p>
              </w:tc>
              <w:tc>
                <w:tcPr>
                  <w:tcW w:w="705" w:type="dxa"/>
                  <w:noWrap w:val="0"/>
                  <w:vAlign w:val="center"/>
                </w:tcPr>
                <w:p w14:paraId="5A9C9C74">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生态环境</w:t>
                  </w:r>
                </w:p>
              </w:tc>
              <w:tc>
                <w:tcPr>
                  <w:tcW w:w="1419" w:type="dxa"/>
                  <w:noWrap w:val="0"/>
                  <w:vAlign w:val="center"/>
                </w:tcPr>
                <w:p w14:paraId="2335EED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陆生动植物、水生生物、鱼类资源</w:t>
                  </w:r>
                </w:p>
              </w:tc>
              <w:tc>
                <w:tcPr>
                  <w:tcW w:w="1360" w:type="dxa"/>
                  <w:noWrap w:val="0"/>
                  <w:vAlign w:val="center"/>
                </w:tcPr>
                <w:p w14:paraId="7B7C378D">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保护陆生生态和水生生态的完整性</w:t>
                  </w:r>
                </w:p>
              </w:tc>
              <w:tc>
                <w:tcPr>
                  <w:tcW w:w="1779" w:type="dxa"/>
                  <w:noWrap w:val="0"/>
                  <w:vAlign w:val="center"/>
                </w:tcPr>
                <w:p w14:paraId="0260C73A">
                  <w:pPr>
                    <w:adjustRightInd w:val="0"/>
                    <w:snapToGrid w:val="0"/>
                    <w:spacing w:line="240" w:lineRule="auto"/>
                    <w:jc w:val="center"/>
                    <w:rPr>
                      <w:rFonts w:hint="default" w:ascii="Times New Roman" w:hAnsi="Times New Roman" w:cs="Times New Roman" w:eastAsiaTheme="minorEastAsia"/>
                      <w:color w:val="000000" w:themeColor="text1"/>
                      <w:sz w:val="2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施工影响</w:t>
                  </w:r>
                  <w:r>
                    <w:rPr>
                      <w:rFonts w:hint="default" w:ascii="Times New Roman" w:hAnsi="Times New Roman" w:cs="Times New Roman" w:eastAsiaTheme="minorEastAsia"/>
                      <w:color w:val="000000" w:themeColor="text1"/>
                      <w:sz w:val="21"/>
                      <w:szCs w:val="21"/>
                      <w:highlight w:val="none"/>
                      <w:lang w:eastAsia="zh-CN"/>
                      <w14:textFill>
                        <w14:solidFill>
                          <w14:schemeClr w14:val="tx1"/>
                        </w14:solidFill>
                      </w14:textFill>
                    </w:rPr>
                    <w:t>区域</w:t>
                  </w:r>
                </w:p>
              </w:tc>
              <w:tc>
                <w:tcPr>
                  <w:tcW w:w="2100" w:type="dxa"/>
                  <w:noWrap w:val="0"/>
                  <w:vAlign w:val="center"/>
                </w:tcPr>
                <w:p w14:paraId="6E805E61">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保护物种多样性、生境，维持生态系统的完整性与稳定性</w:t>
                  </w:r>
                </w:p>
              </w:tc>
            </w:tr>
          </w:tbl>
          <w:p w14:paraId="56038080">
            <w:pPr>
              <w:spacing w:line="360" w:lineRule="auto"/>
              <w:jc w:val="center"/>
              <w:rPr>
                <w:rFonts w:hint="default" w:ascii="Times New Roman" w:hAnsi="Times New Roman" w:cs="Times New Roman"/>
                <w:color w:val="000000" w:themeColor="text1"/>
                <w:highlight w:val="none"/>
                <w14:textFill>
                  <w14:solidFill>
                    <w14:schemeClr w14:val="tx1"/>
                  </w14:solidFill>
                </w14:textFill>
              </w:rPr>
            </w:pPr>
          </w:p>
          <w:p w14:paraId="7D1EC135">
            <w:pPr>
              <w:pStyle w:val="20"/>
              <w:spacing w:before="0" w:after="0" w:line="260" w:lineRule="auto"/>
              <w:ind w:firstLine="0" w:firstLineChars="0"/>
              <w:rPr>
                <w:rFonts w:hint="default" w:ascii="Times New Roman" w:hAnsi="Times New Roman" w:cs="Times New Roman"/>
                <w:color w:val="000000" w:themeColor="text1"/>
                <w:highlight w:val="none"/>
                <w14:textFill>
                  <w14:solidFill>
                    <w14:schemeClr w14:val="tx1"/>
                  </w14:solidFill>
                </w14:textFill>
              </w:rPr>
            </w:pPr>
          </w:p>
        </w:tc>
      </w:tr>
      <w:tr w14:paraId="7F4E90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7" w:type="dxa"/>
            <w:vAlign w:val="center"/>
          </w:tcPr>
          <w:p w14:paraId="338CBDA7">
            <w:pPr>
              <w:adjustRightInd w:val="0"/>
              <w:snapToGrid w:val="0"/>
              <w:jc w:val="center"/>
              <w:rPr>
                <w:rFonts w:hint="default" w:ascii="Times New Roman" w:hAnsi="Times New Roman" w:cs="Times New Roman" w:eastAsiaTheme="minorEastAsia"/>
                <w:color w:val="000000" w:themeColor="text1"/>
                <w:kern w:val="0"/>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14:textFill>
                  <w14:solidFill>
                    <w14:schemeClr w14:val="tx1"/>
                  </w14:solidFill>
                </w14:textFill>
              </w:rPr>
              <w:t>评价</w:t>
            </w:r>
          </w:p>
          <w:p w14:paraId="2B9A9E29">
            <w:pPr>
              <w:adjustRightInd w:val="0"/>
              <w:snapToGrid w:val="0"/>
              <w:jc w:val="center"/>
              <w:rPr>
                <w:rFonts w:hint="default" w:ascii="Times New Roman" w:hAnsi="Times New Roman" w:cs="Times New Roman" w:eastAsiaTheme="minorEastAsia"/>
                <w:color w:val="000000" w:themeColor="text1"/>
                <w:kern w:val="0"/>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0"/>
                <w:szCs w:val="21"/>
                <w:highlight w:val="none"/>
                <w14:textFill>
                  <w14:solidFill>
                    <w14:schemeClr w14:val="tx1"/>
                  </w14:solidFill>
                </w14:textFill>
              </w:rPr>
              <w:t>标准</w:t>
            </w:r>
          </w:p>
        </w:tc>
        <w:tc>
          <w:tcPr>
            <w:tcW w:w="8210" w:type="dxa"/>
            <w:vAlign w:val="center"/>
          </w:tcPr>
          <w:p w14:paraId="5781710E">
            <w:pPr>
              <w:spacing w:before="120" w:beforeLines="50" w:line="360" w:lineRule="auto"/>
              <w:ind w:firstLine="482" w:firstLineChars="200"/>
              <w:rPr>
                <w:rFonts w:hint="default" w:ascii="Times New Roman" w:hAnsi="Times New Roman" w:cs="Times New Roman" w:eastAsiaTheme="minorEastAsia"/>
                <w:b/>
                <w:bCs/>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评价标准</w:t>
            </w:r>
          </w:p>
          <w:p w14:paraId="02DAECE5">
            <w:pPr>
              <w:spacing w:line="360" w:lineRule="auto"/>
              <w:ind w:firstLine="482"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eastAsiaTheme="minorEastAsia"/>
                <w:b/>
                <w:bCs/>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t>环境质量标准</w:t>
            </w:r>
          </w:p>
          <w:p w14:paraId="5C94AE78">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1）地表水</w:t>
            </w:r>
          </w:p>
          <w:p w14:paraId="12364DFB">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项目区</w:t>
            </w:r>
            <w:r>
              <w:rPr>
                <w:rFonts w:hint="eastAsia" w:cs="Times New Roman" w:eastAsiaTheme="minorEastAsia"/>
                <w:color w:val="000000" w:themeColor="text1"/>
                <w:sz w:val="24"/>
                <w:highlight w:val="none"/>
                <w:lang w:eastAsia="zh-CN"/>
                <w14:textFill>
                  <w14:solidFill>
                    <w14:schemeClr w14:val="tx1"/>
                  </w14:solidFill>
                </w14:textFill>
              </w:rPr>
              <w:t>及水库下游</w:t>
            </w:r>
            <w:r>
              <w:rPr>
                <w:rFonts w:hint="default" w:ascii="Times New Roman" w:hAnsi="Times New Roman" w:cs="Times New Roman" w:eastAsiaTheme="minorEastAsia"/>
                <w:color w:val="000000" w:themeColor="text1"/>
                <w:sz w:val="24"/>
                <w:highlight w:val="none"/>
                <w14:textFill>
                  <w14:solidFill>
                    <w14:schemeClr w14:val="tx1"/>
                  </w14:solidFill>
                </w14:textFill>
              </w:rPr>
              <w:t>执行《地表水环境质量标准》（GB3838-2002）中的Ⅲ类标准。</w:t>
            </w:r>
          </w:p>
          <w:p w14:paraId="36AD23B1">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2）大气环境</w:t>
            </w:r>
          </w:p>
          <w:p w14:paraId="41951ED2">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敏感目标执行</w:t>
            </w:r>
            <w:r>
              <w:rPr>
                <w:rFonts w:hint="default" w:ascii="Times New Roman" w:hAnsi="Times New Roman" w:cs="Times New Roman" w:eastAsiaTheme="minorEastAsia"/>
                <w:color w:val="000000" w:themeColor="text1"/>
                <w:sz w:val="24"/>
                <w:highlight w:val="none"/>
                <w14:textFill>
                  <w14:solidFill>
                    <w14:schemeClr w14:val="tx1"/>
                  </w14:solidFill>
                </w14:textFill>
              </w:rPr>
              <w:t>根据《环境空气质量标准》（GB3095-2012），区域环境空气执行二级浓度限值。</w:t>
            </w:r>
          </w:p>
          <w:p w14:paraId="1CC22E1F">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3）声环境</w:t>
            </w:r>
          </w:p>
          <w:p w14:paraId="032DBBC3">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bookmarkStart w:id="15" w:name="_Hlk36714510"/>
            <w:r>
              <w:rPr>
                <w:rFonts w:hint="default" w:ascii="Times New Roman" w:hAnsi="Times New Roman" w:cs="Times New Roman" w:eastAsiaTheme="minorEastAsia"/>
                <w:color w:val="000000" w:themeColor="text1"/>
                <w:sz w:val="24"/>
                <w:highlight w:val="none"/>
                <w14:textFill>
                  <w14:solidFill>
                    <w14:schemeClr w14:val="tx1"/>
                  </w14:solidFill>
                </w14:textFill>
              </w:rPr>
              <w:t>根据《声环境质量标准》（GB3096-2008），工程所在区域位于农村区域，声环境功能区为1类。</w:t>
            </w:r>
          </w:p>
          <w:bookmarkEnd w:id="15"/>
          <w:p w14:paraId="5EDA69F7">
            <w:pPr>
              <w:spacing w:line="360" w:lineRule="auto"/>
              <w:ind w:firstLine="482" w:firstLineChars="200"/>
              <w:rPr>
                <w:rFonts w:hint="default" w:ascii="Times New Roman" w:hAnsi="Times New Roman" w:cs="Times New Roman" w:eastAsiaTheme="minorEastAsia"/>
                <w:b/>
                <w:bCs/>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eastAsiaTheme="minorEastAsia"/>
                <w:b/>
                <w:bCs/>
                <w:color w:val="000000" w:themeColor="text1"/>
                <w:sz w:val="24"/>
                <w:highlight w:val="none"/>
                <w:lang w:eastAsia="zh-CN"/>
                <w14:textFill>
                  <w14:solidFill>
                    <w14:schemeClr w14:val="tx1"/>
                  </w14:solidFill>
                </w14:textFill>
              </w:rPr>
              <w:t>）</w:t>
            </w:r>
            <w:r>
              <w:rPr>
                <w:rFonts w:hint="eastAsia" w:cs="Times New Roman" w:eastAsiaTheme="minorEastAsia"/>
                <w:b/>
                <w:bCs/>
                <w:color w:val="000000" w:themeColor="text1"/>
                <w:sz w:val="24"/>
                <w:highlight w:val="none"/>
                <w:lang w:eastAsia="zh-CN"/>
                <w14:textFill>
                  <w14:solidFill>
                    <w14:schemeClr w14:val="tx1"/>
                  </w14:solidFill>
                </w14:textFill>
              </w:rPr>
              <w:t>施工期</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污染物排放标准</w:t>
            </w:r>
          </w:p>
          <w:p w14:paraId="526EE3BC">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1）废气</w:t>
            </w:r>
          </w:p>
          <w:p w14:paraId="6632FCFF">
            <w:pPr>
              <w:spacing w:line="360" w:lineRule="auto"/>
              <w:ind w:firstLine="480" w:firstLineChars="200"/>
              <w:rPr>
                <w:rFonts w:hint="default" w:ascii="Times New Roman" w:hAnsi="Times New Roman" w:cs="Times New Roman" w:eastAsiaTheme="minorEastAsia"/>
                <w:b/>
                <w:bCs/>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施工期的颗粒物执行《大气污染物综合排放标准》（GB16297-1996）表2无组织排放监控浓度限值。</w:t>
            </w:r>
          </w:p>
          <w:p w14:paraId="22DBDA4A">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2）废水</w:t>
            </w:r>
          </w:p>
          <w:p w14:paraId="67C166ED">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施工期废水回收利用，不外排。</w:t>
            </w:r>
          </w:p>
          <w:p w14:paraId="2D2A265F">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3）噪声</w:t>
            </w:r>
          </w:p>
          <w:p w14:paraId="64B42C4A">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施工期噪声执行《建筑施工场界环境噪声排放标准》（GB12523-2011）。</w:t>
            </w:r>
          </w:p>
          <w:p w14:paraId="013A729C">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4）固体废物</w:t>
            </w:r>
          </w:p>
          <w:p w14:paraId="73366FA6">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《一般工业固体废物贮存和填埋污染控制标准》（GB1599-2020）。</w:t>
            </w:r>
          </w:p>
        </w:tc>
      </w:tr>
      <w:tr w14:paraId="1C2C9E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8" w:hRule="atLeast"/>
          <w:jc w:val="center"/>
        </w:trPr>
        <w:tc>
          <w:tcPr>
            <w:tcW w:w="947" w:type="dxa"/>
            <w:vAlign w:val="center"/>
          </w:tcPr>
          <w:p w14:paraId="63705F3B">
            <w:pPr>
              <w:adjustRightInd w:val="0"/>
              <w:snapToGrid w:val="0"/>
              <w:jc w:val="center"/>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其他</w:t>
            </w:r>
          </w:p>
        </w:tc>
        <w:tc>
          <w:tcPr>
            <w:tcW w:w="8210" w:type="dxa"/>
            <w:vAlign w:val="center"/>
          </w:tcPr>
          <w:p w14:paraId="797930AB">
            <w:pPr>
              <w:spacing w:before="120" w:beforeLines="50"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本项目为非工业生产型项目，无需申请总量。</w:t>
            </w:r>
          </w:p>
        </w:tc>
      </w:tr>
    </w:tbl>
    <w:p w14:paraId="1E6E0E30">
      <w:pPr>
        <w:pStyle w:val="19"/>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16" w:name="_Toc9176"/>
    </w:p>
    <w:p w14:paraId="08DC7096">
      <w:pPr>
        <w:pStyle w:val="19"/>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17" w:name="_Toc4342"/>
      <w:bookmarkStart w:id="18" w:name="_Toc12393"/>
      <w:bookmarkStart w:id="19" w:name="_Toc32396"/>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四、生态环境影响分析</w:t>
      </w:r>
      <w:bookmarkEnd w:id="16"/>
      <w:bookmarkEnd w:id="17"/>
      <w:bookmarkEnd w:id="18"/>
      <w:bookmarkEnd w:id="19"/>
    </w:p>
    <w:tbl>
      <w:tblPr>
        <w:tblStyle w:val="22"/>
        <w:tblW w:w="924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8363"/>
      </w:tblGrid>
      <w:tr w14:paraId="00EBAF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9" w:type="dxa"/>
            <w:tcMar>
              <w:left w:w="28" w:type="dxa"/>
              <w:right w:w="28" w:type="dxa"/>
            </w:tcMar>
            <w:vAlign w:val="center"/>
          </w:tcPr>
          <w:p w14:paraId="794E1235">
            <w:pPr>
              <w:pStyle w:val="19"/>
              <w:adjustRightInd w:val="0"/>
              <w:snapToGrid w:val="0"/>
              <w:spacing w:before="0" w:beforeAutospacing="0" w:after="0" w:afterAutospacing="0"/>
              <w:jc w:val="center"/>
              <w:rPr>
                <w:rFonts w:hint="default" w:ascii="Times New Roman" w:hAnsi="Times New Roman" w:cs="Times New Roman" w:eastAsiaTheme="minorEastAsia"/>
                <w:bCs/>
                <w:color w:val="000000" w:themeColor="text1"/>
                <w:kern w:val="2"/>
                <w:sz w:val="21"/>
                <w:szCs w:val="21"/>
                <w:highlight w:val="none"/>
                <w14:textFill>
                  <w14:solidFill>
                    <w14:schemeClr w14:val="tx1"/>
                  </w14:solidFill>
                </w14:textFill>
              </w:rPr>
            </w:pPr>
            <w:bookmarkStart w:id="20" w:name="_Toc11885"/>
            <w:bookmarkStart w:id="21" w:name="_Hlk49796138"/>
            <w:r>
              <w:rPr>
                <w:rFonts w:hint="default" w:ascii="Times New Roman" w:hAnsi="Times New Roman" w:cs="Times New Roman" w:eastAsiaTheme="minorEastAsia"/>
                <w:bCs/>
                <w:color w:val="000000" w:themeColor="text1"/>
                <w:spacing w:val="10"/>
                <w:kern w:val="2"/>
                <w:sz w:val="21"/>
                <w:szCs w:val="21"/>
                <w:highlight w:val="none"/>
                <w14:textFill>
                  <w14:solidFill>
                    <w14:schemeClr w14:val="tx1"/>
                  </w14:solidFill>
                </w14:textFill>
              </w:rPr>
              <w:t>施工期生态环境影响分析</w:t>
            </w:r>
            <w:bookmarkEnd w:id="20"/>
            <w:bookmarkEnd w:id="21"/>
          </w:p>
        </w:tc>
        <w:tc>
          <w:tcPr>
            <w:tcW w:w="8363" w:type="dxa"/>
          </w:tcPr>
          <w:p w14:paraId="053AAA58">
            <w:pPr>
              <w:spacing w:line="360" w:lineRule="auto"/>
              <w:ind w:firstLine="482" w:firstLineChars="200"/>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pPr>
            <w:bookmarkStart w:id="22" w:name="OLE_LINK10"/>
            <w:bookmarkStart w:id="23" w:name="OLE_LINK9"/>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1、生态环境影响分析</w:t>
            </w:r>
          </w:p>
          <w:p w14:paraId="5D3496AE">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t>（1）</w:t>
            </w:r>
            <w:r>
              <w:rPr>
                <w:rFonts w:hint="default" w:ascii="Times New Roman" w:hAnsi="Times New Roman" w:cs="Times New Roman"/>
                <w:bCs/>
                <w:color w:val="000000" w:themeColor="text1"/>
                <w:sz w:val="24"/>
                <w:highlight w:val="none"/>
                <w14:textFill>
                  <w14:solidFill>
                    <w14:schemeClr w14:val="tx1"/>
                  </w14:solidFill>
                </w14:textFill>
              </w:rPr>
              <w:t>工程占地的影响</w:t>
            </w:r>
          </w:p>
          <w:p w14:paraId="6949A1E8">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t>本项目不新增占地，</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水库现有占地情况为1.23hm</w:t>
            </w:r>
            <w:r>
              <w:rPr>
                <w:rFonts w:hint="default" w:ascii="Times New Roman" w:hAnsi="Times New Roman" w:cs="Times New Roman" w:eastAsiaTheme="minorEastAsia"/>
                <w:color w:val="000000" w:themeColor="text1"/>
                <w:sz w:val="24"/>
                <w:highlight w:val="none"/>
                <w:vertAlign w:val="superscript"/>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。因此本项目未改变永久占地类型，本工程土地利用资源不变，对于整个区域的土地资源影响较小。</w:t>
            </w:r>
          </w:p>
          <w:p w14:paraId="5E1C8797">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本工程施工占地为临时占地，占地面积为</w:t>
            </w:r>
            <w:r>
              <w:rPr>
                <w:rFonts w:hint="default" w:ascii="Times New Roman" w:hAnsi="Times New Roman" w:cs="Times New Roman"/>
                <w:color w:val="000000" w:themeColor="text1"/>
                <w:sz w:val="24"/>
                <w:highlight w:val="none"/>
                <w:lang w:val="en-US" w:eastAsia="zh-CN"/>
                <w14:textFill>
                  <w14:solidFill>
                    <w14:schemeClr w14:val="tx1"/>
                  </w14:solidFill>
                </w14:textFill>
              </w:rPr>
              <w:t>0.10h</w:t>
            </w:r>
            <w:r>
              <w:rPr>
                <w:rFonts w:hint="default" w:ascii="Times New Roman" w:hAnsi="Times New Roman" w:cs="Times New Roman"/>
                <w:color w:val="000000" w:themeColor="text1"/>
                <w:sz w:val="24"/>
                <w:highlight w:val="none"/>
                <w14:textFill>
                  <w14:solidFill>
                    <w14:schemeClr w14:val="tx1"/>
                  </w14:solidFill>
                </w14:textFill>
              </w:rPr>
              <w:t>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lang w:eastAsia="zh-CN"/>
                <w14:textFill>
                  <w14:solidFill>
                    <w14:schemeClr w14:val="tx1"/>
                  </w14:solidFill>
                </w14:textFill>
              </w:rPr>
              <w:t>占地为</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位于大坝东侧的水库管理站内，</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占地性质为</w:t>
            </w:r>
            <w:r>
              <w:rPr>
                <w:rFonts w:hint="eastAsia" w:cs="Times New Roman" w:eastAsiaTheme="minorEastAsia"/>
                <w:color w:val="000000" w:themeColor="text1"/>
                <w:sz w:val="24"/>
                <w:szCs w:val="24"/>
                <w:highlight w:val="none"/>
                <w:lang w:eastAsia="zh-CN"/>
                <w14:textFill>
                  <w14:solidFill>
                    <w14:schemeClr w14:val="tx1"/>
                  </w14:solidFill>
                </w14:textFill>
              </w:rPr>
              <w:t>公共管理与公共服务用地</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其中</w:t>
            </w:r>
            <w:r>
              <w:rPr>
                <w:rFonts w:hint="default" w:ascii="Times New Roman" w:hAnsi="Times New Roman" w:cs="Times New Roman"/>
                <w:color w:val="000000" w:themeColor="text1"/>
                <w:sz w:val="24"/>
                <w:highlight w:val="none"/>
                <w:lang w:val="en-US" w:eastAsia="zh-CN"/>
                <w14:textFill>
                  <w14:solidFill>
                    <w14:schemeClr w14:val="tx1"/>
                  </w14:solidFill>
                </w14:textFill>
              </w:rPr>
              <w:t>施工仓库0.05h</w:t>
            </w:r>
            <w:r>
              <w:rPr>
                <w:rFonts w:hint="default" w:ascii="Times New Roman" w:hAnsi="Times New Roman" w:cs="Times New Roman"/>
                <w:color w:val="000000" w:themeColor="text1"/>
                <w:sz w:val="24"/>
                <w:highlight w:val="none"/>
                <w14:textFill>
                  <w14:solidFill>
                    <w14:schemeClr w14:val="tx1"/>
                  </w14:solidFill>
                </w14:textFill>
              </w:rPr>
              <w:t>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lang w:eastAsia="zh-CN"/>
                <w14:textFill>
                  <w14:solidFill>
                    <w14:schemeClr w14:val="tx1"/>
                  </w14:solidFill>
                </w14:textFill>
              </w:rPr>
              <w:t>车辆停放区</w:t>
            </w:r>
            <w:r>
              <w:rPr>
                <w:rFonts w:hint="default" w:ascii="Times New Roman" w:hAnsi="Times New Roman" w:cs="Times New Roman"/>
                <w:color w:val="000000" w:themeColor="text1"/>
                <w:sz w:val="24"/>
                <w:highlight w:val="none"/>
                <w:lang w:val="en-US" w:eastAsia="zh-CN"/>
                <w14:textFill>
                  <w14:solidFill>
                    <w14:schemeClr w14:val="tx1"/>
                  </w14:solidFill>
                </w14:textFill>
              </w:rPr>
              <w:t>0.03h</w:t>
            </w:r>
            <w:r>
              <w:rPr>
                <w:rFonts w:hint="default" w:ascii="Times New Roman" w:hAnsi="Times New Roman" w:cs="Times New Roman"/>
                <w:color w:val="000000" w:themeColor="text1"/>
                <w:sz w:val="24"/>
                <w:highlight w:val="none"/>
                <w14:textFill>
                  <w14:solidFill>
                    <w14:schemeClr w14:val="tx1"/>
                  </w14:solidFill>
                </w14:textFill>
              </w:rPr>
              <w:t>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lang w:eastAsia="zh-CN"/>
                <w14:textFill>
                  <w14:solidFill>
                    <w14:schemeClr w14:val="tx1"/>
                  </w14:solidFill>
                </w14:textFill>
              </w:rPr>
              <w:t>办公生活区</w:t>
            </w:r>
            <w:r>
              <w:rPr>
                <w:rFonts w:hint="default" w:ascii="Times New Roman" w:hAnsi="Times New Roman" w:cs="Times New Roman"/>
                <w:color w:val="000000" w:themeColor="text1"/>
                <w:sz w:val="24"/>
                <w:highlight w:val="none"/>
                <w:lang w:val="en-US" w:eastAsia="zh-CN"/>
                <w14:textFill>
                  <w14:solidFill>
                    <w14:schemeClr w14:val="tx1"/>
                  </w14:solidFill>
                </w14:textFill>
              </w:rPr>
              <w:t>0.02h</w:t>
            </w:r>
            <w:r>
              <w:rPr>
                <w:rFonts w:hint="default" w:ascii="Times New Roman" w:hAnsi="Times New Roman" w:cs="Times New Roman"/>
                <w:color w:val="000000" w:themeColor="text1"/>
                <w:sz w:val="24"/>
                <w:highlight w:val="none"/>
                <w14:textFill>
                  <w14:solidFill>
                    <w14:schemeClr w14:val="tx1"/>
                  </w14:solidFill>
                </w14:textFill>
              </w:rPr>
              <w:t>m</w:t>
            </w:r>
            <w:r>
              <w:rPr>
                <w:rFonts w:hint="default" w:ascii="Times New Roman" w:hAnsi="Times New Roman" w:cs="Times New Roman"/>
                <w:color w:val="000000" w:themeColor="text1"/>
                <w:sz w:val="24"/>
                <w:highlight w:val="none"/>
                <w:vertAlign w:val="superscript"/>
                <w14:textFill>
                  <w14:solidFill>
                    <w14:schemeClr w14:val="tx1"/>
                  </w14:solidFill>
                </w14:textFill>
              </w:rPr>
              <w:t>2</w:t>
            </w:r>
            <w:r>
              <w:rPr>
                <w:rFonts w:hint="default" w:ascii="Times New Roman" w:hAnsi="Times New Roman" w:cs="Times New Roman"/>
                <w:color w:val="000000" w:themeColor="text1"/>
                <w:sz w:val="24"/>
                <w:highlight w:val="none"/>
                <w:lang w:val="en-US"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工程临时占地对整个区域的土地资源影响较小，且其影响是暂时的，临时占地仅在施工期改变土地类型，施工结束后通过采取平整</w:t>
            </w:r>
            <w:r>
              <w:rPr>
                <w:rFonts w:hint="default" w:ascii="Times New Roman" w:hAnsi="Times New Roman" w:cs="Times New Roman"/>
                <w:bCs/>
                <w:color w:val="000000" w:themeColor="text1"/>
                <w:sz w:val="24"/>
                <w:highlight w:val="none"/>
                <w:lang w:eastAsia="zh-CN"/>
                <w14:textFill>
                  <w14:solidFill>
                    <w14:schemeClr w14:val="tx1"/>
                  </w14:solidFill>
                </w14:textFill>
              </w:rPr>
              <w:t>等措施恢复原有</w:t>
            </w:r>
            <w:r>
              <w:rPr>
                <w:rFonts w:hint="eastAsia" w:cs="Times New Roman"/>
                <w:color w:val="000000" w:themeColor="text1"/>
                <w:kern w:val="0"/>
                <w:sz w:val="24"/>
                <w:lang w:val="en-US" w:eastAsia="zh-CN"/>
                <w14:textFill>
                  <w14:solidFill>
                    <w14:schemeClr w14:val="tx1"/>
                  </w14:solidFill>
                </w14:textFill>
              </w:rPr>
              <w:t>公共管理与公共服务用地</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的用地性质。</w:t>
            </w:r>
            <w:r>
              <w:rPr>
                <w:rFonts w:hint="eastAsia" w:cs="Times New Roman"/>
                <w:color w:val="000000" w:themeColor="text1"/>
                <w:kern w:val="0"/>
                <w:sz w:val="24"/>
                <w:lang w:val="en-US" w:eastAsia="zh-CN"/>
                <w14:textFill>
                  <w14:solidFill>
                    <w14:schemeClr w14:val="tx1"/>
                  </w14:solidFill>
                </w14:textFill>
              </w:rPr>
              <w:t>本项目水库坝长较短，产生挖填方量较小，可实现土方平衡。</w:t>
            </w:r>
          </w:p>
          <w:p w14:paraId="2E66EDBE">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t>（2）</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对生物多样性的影响</w:t>
            </w:r>
          </w:p>
          <w:p w14:paraId="369A96C9">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工程建设期可能会影响农田中的花鼠、</w:t>
            </w:r>
            <w:r>
              <w:rPr>
                <w:rFonts w:hint="default" w:ascii="Times New Roman" w:hAnsi="Times New Roman" w:eastAsia="宋体" w:cs="Times New Roman"/>
                <w:color w:val="000000" w:themeColor="text1"/>
                <w:sz w:val="24"/>
                <w:highlight w:val="none"/>
                <w14:textFill>
                  <w14:solidFill>
                    <w14:schemeClr w14:val="tx1"/>
                  </w14:solidFill>
                </w14:textFill>
              </w:rPr>
              <w:t>普通田鼠</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等啮齿类动物的生存、在林地附近的</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乌鸦喜鹊、家燕、麻雀、杜鹃、雀鹰、啄木鸟等</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鸟类动物导致施工影响区域内的野生动物迁移到其他区域，野生动物数量在一定时期内有所变化。但施工对生物物种多样性的影响较小且是暂时的，施工结束后，施工区域基本恢复为原有地类，临时占地中野生动物会逐渐补充空缺的生态位，所以工程施工对评价范围内物种多样性基本无影响。</w:t>
            </w:r>
          </w:p>
          <w:p w14:paraId="39CE0EAA">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t>（3）</w:t>
            </w:r>
            <w:r>
              <w:rPr>
                <w:rFonts w:hint="default" w:ascii="Times New Roman" w:hAnsi="Times New Roman" w:cs="Times New Roman"/>
                <w:b w:val="0"/>
                <w:color w:val="000000" w:themeColor="text1"/>
                <w:sz w:val="24"/>
                <w:szCs w:val="24"/>
                <w:highlight w:val="none"/>
                <w:lang w:val="en-US" w:eastAsia="zh-CN"/>
                <w14:textFill>
                  <w14:solidFill>
                    <w14:schemeClr w14:val="tx1"/>
                  </w14:solidFill>
                </w14:textFill>
              </w:rPr>
              <w:t>对陆生生态的影响</w:t>
            </w:r>
          </w:p>
          <w:p w14:paraId="5F00B0D9">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b w:val="0"/>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 w:val="0"/>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val="0"/>
                <w:color w:val="000000" w:themeColor="text1"/>
                <w:sz w:val="24"/>
                <w:szCs w:val="24"/>
                <w:highlight w:val="none"/>
                <w14:textFill>
                  <w14:solidFill>
                    <w14:schemeClr w14:val="tx1"/>
                  </w14:solidFill>
                </w14:textFill>
              </w:rPr>
              <w:t>对植被的影响分析</w:t>
            </w:r>
          </w:p>
          <w:p w14:paraId="2D843202">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工程评价区土地利用类型以</w:t>
            </w:r>
            <w:r>
              <w:rPr>
                <w:rFonts w:hint="default" w:ascii="Times New Roman" w:hAnsi="Times New Roman" w:cs="Times New Roman"/>
                <w:color w:val="000000" w:themeColor="text1"/>
                <w:sz w:val="24"/>
                <w:highlight w:val="none"/>
                <w:lang w:val="en-US" w:eastAsia="zh-CN"/>
                <w14:textFill>
                  <w14:solidFill>
                    <w14:schemeClr w14:val="tx1"/>
                  </w14:solidFill>
                </w14:textFill>
              </w:rPr>
              <w:t>耕地</w:t>
            </w:r>
            <w:r>
              <w:rPr>
                <w:rFonts w:hint="default" w:ascii="Times New Roman" w:hAnsi="Times New Roman" w:cs="Times New Roman"/>
                <w:color w:val="000000" w:themeColor="text1"/>
                <w:sz w:val="24"/>
                <w:highlight w:val="none"/>
                <w14:textFill>
                  <w14:solidFill>
                    <w14:schemeClr w14:val="tx1"/>
                  </w14:solidFill>
                </w14:textFill>
              </w:rPr>
              <w:t>为主</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包括少量林地和水面等</w:t>
            </w:r>
            <w:r>
              <w:rPr>
                <w:rFonts w:hint="default" w:ascii="Times New Roman" w:hAnsi="Times New Roman" w:cs="Times New Roman"/>
                <w:color w:val="000000" w:themeColor="text1"/>
                <w:sz w:val="24"/>
                <w:highlight w:val="none"/>
                <w14:textFill>
                  <w14:solidFill>
                    <w14:schemeClr w14:val="tx1"/>
                  </w14:solidFill>
                </w14:textFill>
              </w:rPr>
              <w:t>。从受影响的植物群系地理分布来看，以</w:t>
            </w:r>
            <w:r>
              <w:rPr>
                <w:rFonts w:hint="default" w:ascii="Times New Roman" w:hAnsi="Times New Roman" w:cs="Times New Roman"/>
                <w:color w:val="000000" w:themeColor="text1"/>
                <w:sz w:val="24"/>
                <w:highlight w:val="none"/>
                <w:lang w:val="en-US" w:eastAsia="zh-CN"/>
                <w14:textFill>
                  <w14:solidFill>
                    <w14:schemeClr w14:val="tx1"/>
                  </w14:solidFill>
                </w14:textFill>
              </w:rPr>
              <w:t>农田栽培植被为主，农田植被中以水田（水稻）为主，其次为旱地，以种植玉米和大豆为主；森林植被</w:t>
            </w:r>
            <w:r>
              <w:rPr>
                <w:rFonts w:hint="default" w:ascii="Times New Roman" w:hAnsi="Times New Roman" w:cs="Times New Roman"/>
                <w:color w:val="000000" w:themeColor="text1"/>
                <w:sz w:val="24"/>
                <w:highlight w:val="none"/>
                <w14:textFill>
                  <w14:solidFill>
                    <w14:schemeClr w14:val="tx1"/>
                  </w14:solidFill>
                </w14:textFill>
              </w:rPr>
              <w:t>以红松、落叶松为建群种的针叶林，以山杨、白桦、蒙古栎林等为建群种的阔叶林。施工期对植物的影响主要是占地、施工活动等</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占地主要有对植被生境的占用、占压、碾压等破坏性影响。</w:t>
            </w:r>
            <w:r>
              <w:rPr>
                <w:rFonts w:hint="default" w:ascii="Times New Roman" w:hAnsi="Times New Roman" w:cs="Times New Roman"/>
                <w:color w:val="000000" w:themeColor="text1"/>
                <w:sz w:val="24"/>
                <w:highlight w:val="none"/>
                <w:lang w:val="en-US" w:eastAsia="zh-CN"/>
                <w14:textFill>
                  <w14:solidFill>
                    <w14:schemeClr w14:val="tx1"/>
                  </w14:solidFill>
                </w14:textFill>
              </w:rPr>
              <w:t>工程建设</w:t>
            </w:r>
            <w:r>
              <w:rPr>
                <w:rFonts w:hint="default" w:ascii="Times New Roman" w:hAnsi="Times New Roman" w:cs="Times New Roman"/>
                <w:color w:val="000000" w:themeColor="text1"/>
                <w:kern w:val="0"/>
                <w:sz w:val="24"/>
                <w:highlight w:val="none"/>
                <w14:textFill>
                  <w14:solidFill>
                    <w14:schemeClr w14:val="tx1"/>
                  </w14:solidFill>
                </w14:textFill>
              </w:rPr>
              <w:t>对植物区系、植被类型及经济资源植物的直接影响不大，未破坏该地区陆生植物生态系统的完整性，不至于引起任何种类和植被类型的消失灭绝。</w:t>
            </w:r>
            <w:r>
              <w:rPr>
                <w:rFonts w:hint="default" w:ascii="Times New Roman" w:hAnsi="Times New Roman" w:cs="Times New Roman"/>
                <w:color w:val="000000" w:themeColor="text1"/>
                <w:sz w:val="24"/>
                <w:highlight w:val="none"/>
                <w14:textFill>
                  <w14:solidFill>
                    <w14:schemeClr w14:val="tx1"/>
                  </w14:solidFill>
                </w14:textFill>
              </w:rPr>
              <w:t>因此，工程实施不会导致该区域植物种类的减少以及物种多样性的降低。</w:t>
            </w:r>
          </w:p>
          <w:p w14:paraId="408325A3">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2）对动物的影响分析</w:t>
            </w:r>
          </w:p>
          <w:p w14:paraId="12A06DDE">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工程评价区</w:t>
            </w:r>
            <w:r>
              <w:rPr>
                <w:rFonts w:hint="default" w:ascii="Times New Roman" w:hAnsi="Times New Roman" w:cs="Times New Roman"/>
                <w:color w:val="000000" w:themeColor="text1"/>
                <w:sz w:val="24"/>
                <w:highlight w:val="none"/>
                <w14:textFill>
                  <w14:solidFill>
                    <w14:schemeClr w14:val="tx1"/>
                  </w14:solidFill>
                </w14:textFill>
              </w:rPr>
              <w:t>位于我国的东北部，生态环境保存良好，野生动物资源丰富，保护动物种类较多。工程的修建，对陆生野生动物的影响主要表现在以下几个方面，工程施工开挖、填埋、交通运输、施工机械、建筑材料使用等产生的粉尘和噪声降低了施工区环境质量，对野生动物安静的生活产生扰动，迫使它们迁离；工程机械的运行及施工人员的活动，均会对野生动物造成惊扰，使其远离施工点；外来施工人员的野生动物的保护意识参差不齐，在管理不到位的情况下，施工期间，有发生违法盗猎野生动物的风险。</w:t>
            </w:r>
          </w:p>
          <w:p w14:paraId="472EF51E">
            <w:pPr>
              <w:spacing w:line="360" w:lineRule="auto"/>
              <w:ind w:firstLine="480" w:firstLineChars="200"/>
              <w:rPr>
                <w:rFonts w:hint="default" w:ascii="Times New Roman" w:hAnsi="Times New Roman"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但上述影响大多可以减缓或消除</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施工区域面积有限，不会对施工区域的野生动物造成难以规避的破坏性影响，且施工区周边分布有大面积的森林植被与山谷、溪流，对野生动物具有足够的承载力，受到施工扰动的野生动物，会规避危险而移居它处，施工本身不会对野生动物造成直接伤害，且待施工结束部分原驻野生动物还可以重返</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施工期间可能发生的诸如盗猎等对野生动物的人为扰动，通过加强施工管理及人为活动控制，影响可以减缓到可接受的水平。</w:t>
            </w:r>
          </w:p>
          <w:p w14:paraId="546DAD4E">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对两栖类的影响</w:t>
            </w:r>
          </w:p>
          <w:p w14:paraId="53C9D5F8">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工程占地、土方开挖及施工人员活动等将对两栖类动物产生直接影响，尤其是生活在施工范围内的两栖类动物，影响对象主要包括</w:t>
            </w:r>
            <w:r>
              <w:rPr>
                <w:rFonts w:hint="default" w:ascii="Times New Roman" w:hAnsi="Times New Roman" w:eastAsia="宋体" w:cs="Times New Roman"/>
                <w:color w:val="000000" w:themeColor="text1"/>
                <w:sz w:val="24"/>
                <w:highlight w:val="none"/>
                <w14:textFill>
                  <w14:solidFill>
                    <w14:schemeClr w14:val="tx1"/>
                  </w14:solidFill>
                </w14:textFill>
              </w:rPr>
              <w:t>蟾蜍</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与</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蛙</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类</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由于两栖类动物对工程施工活动具有一定的主动回避能力，且项目占地较小，施工期较短，因此工程施工的影响主要是短暂和小范围的，不会对其种群数量构成威胁。频繁的施工交通作业，增加了两栖爬行类动物被碾压的几率，但工程所在区域还存在大片相似生境，该影响有限，施工活动结束后，两栖类动物的生存环境将会逐步得到恢复。</w:t>
            </w:r>
          </w:p>
          <w:p w14:paraId="2437E454">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对爬行类的影响</w:t>
            </w:r>
          </w:p>
          <w:p w14:paraId="78AA92CF">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工程占地、土方开挖及施工人员活动等将对爬行类动物产生影响，影响对象多为灌丛石隙型和林栖傍水型种类，施工期其部分生境会被占用，个体也会被噪声驱赶，在工程评价区受影响以外的区域寻找相似生境。水库工程评价区周围相似生境丰富，因此，生境破坏及噪声驱赶对其影响较小。</w:t>
            </w:r>
          </w:p>
          <w:p w14:paraId="07D5C66F">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对鸟类的影响</w:t>
            </w:r>
          </w:p>
          <w:p w14:paraId="4228E0F2">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据现场调查，项目建设地周围活动着多种鸟类，但主要为常见的几种鸟类，如麻雀、家燕等。工程施工对鸟类的影响主要表现为施工人员活动和施工机械噪声会对鸟类造成惊吓，在繁殖季节，噪声可影响鸟类的孵化率，重者可造成鸟类弃巢，但工程占地面积相对于评价区总面积较小，且周围相似生境较多，施工过程中的噪声在施工结束后停止，因此，占地及噪声对鸟类的影响也较小。</w:t>
            </w:r>
          </w:p>
          <w:p w14:paraId="169E34CF">
            <w:pPr>
              <w:spacing w:line="360" w:lineRule="auto"/>
              <w:ind w:firstLine="480" w:firstLineChars="200"/>
              <w:rPr>
                <w:rFonts w:hint="default" w:ascii="Times New Roman" w:hAnsi="Times New Roman"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bCs/>
                <w:color w:val="000000" w:themeColor="text1"/>
                <w:sz w:val="24"/>
                <w:highlight w:val="none"/>
                <w14:textFill>
                  <w14:solidFill>
                    <w14:schemeClr w14:val="tx1"/>
                  </w14:solidFill>
                </w14:textFill>
              </w:rPr>
              <w:t>对水生生态的影响</w:t>
            </w:r>
          </w:p>
          <w:p w14:paraId="4D8A1998">
            <w:pPr>
              <w:spacing w:line="360" w:lineRule="auto"/>
              <w:ind w:firstLine="480" w:firstLineChars="200"/>
              <w:rPr>
                <w:rFonts w:hint="default" w:ascii="Times New Roman" w:hAnsi="Times New Roman"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施工过程中，可能会导致近岸水体短期内悬浮物含量的轻微增加，从而对近岸水体中水生生物产生不利影响，但这些不利影响范围都局限于近岸水体，影响时段仅为施工期。施工用材为就近所取，不会引入外来物种和造成生态危害。</w:t>
            </w:r>
            <w:r>
              <w:rPr>
                <w:rFonts w:hint="default" w:ascii="Times New Roman" w:hAnsi="Times New Roman" w:cs="Times New Roman"/>
                <w:color w:val="000000" w:themeColor="text1"/>
                <w:sz w:val="24"/>
                <w:highlight w:val="none"/>
                <w:lang w:val="en-US" w:eastAsia="zh-CN"/>
                <w14:textFill>
                  <w14:solidFill>
                    <w14:schemeClr w14:val="tx1"/>
                  </w14:solidFill>
                </w14:textFill>
              </w:rPr>
              <w:t>因工程涉水施工对水生生态影响较小。</w:t>
            </w:r>
          </w:p>
          <w:p w14:paraId="678D989F">
            <w:pPr>
              <w:spacing w:line="360" w:lineRule="auto"/>
              <w:ind w:firstLine="482"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施工期水环境影响分析</w:t>
            </w:r>
          </w:p>
          <w:bookmarkEnd w:id="22"/>
          <w:bookmarkEnd w:id="23"/>
          <w:p w14:paraId="57CA416B">
            <w:pPr>
              <w:keepNext w:val="0"/>
              <w:keepLines w:val="0"/>
              <w:pageBreakBefore w:val="0"/>
              <w:widowControl w:val="0"/>
              <w:kinsoku/>
              <w:wordWrap/>
              <w:overflowPunct/>
              <w:topLinePunct w:val="0"/>
              <w:autoSpaceDE/>
              <w:autoSpaceDN/>
              <w:bidi w:val="0"/>
              <w:adjustRightInd/>
              <w:snapToGrid/>
              <w:spacing w:line="360" w:lineRule="auto"/>
              <w:ind w:left="0" w:firstLine="477" w:firstLineChars="199"/>
              <w:textAlignment w:val="auto"/>
              <w:rPr>
                <w:rFonts w:hint="default" w:ascii="Times New Roman" w:hAnsi="Times New Roman" w:cs="Times New Roman" w:eastAsiaTheme="minorEastAsia"/>
                <w:snapToGrid w:val="0"/>
                <w:color w:val="000000" w:themeColor="text1"/>
                <w:spacing w:val="0"/>
                <w:position w:val="0"/>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工程</w:t>
            </w:r>
            <w:r>
              <w:rPr>
                <w:rFonts w:hint="default" w:ascii="Times New Roman" w:hAnsi="Times New Roman" w:cs="Times New Roman"/>
                <w:color w:val="000000" w:themeColor="text1"/>
                <w:sz w:val="24"/>
                <w:highlight w:val="none"/>
                <w14:textFill>
                  <w14:solidFill>
                    <w14:schemeClr w14:val="tx1"/>
                  </w14:solidFill>
                </w14:textFill>
              </w:rPr>
              <w:t>施工过程中水污染源主要包括砼搅拌系统冲洗废水、</w:t>
            </w:r>
            <w:r>
              <w:rPr>
                <w:rFonts w:hint="default" w:ascii="Times New Roman" w:hAnsi="Times New Roman" w:cs="Times New Roman"/>
                <w:color w:val="000000" w:themeColor="text1"/>
                <w:sz w:val="24"/>
                <w:highlight w:val="none"/>
                <w:lang w:val="en-US" w:eastAsia="zh-CN"/>
                <w14:textFill>
                  <w14:solidFill>
                    <w14:schemeClr w14:val="tx1"/>
                  </w14:solidFill>
                </w14:textFill>
              </w:rPr>
              <w:t>砂石骨料冲洗废水</w:t>
            </w:r>
            <w:r>
              <w:rPr>
                <w:rFonts w:hint="default" w:ascii="Times New Roman" w:hAnsi="Times New Roman" w:cs="Times New Roman"/>
                <w:color w:val="000000" w:themeColor="text1"/>
                <w:sz w:val="24"/>
                <w:highlight w:val="none"/>
                <w14:textFill>
                  <w14:solidFill>
                    <w14:schemeClr w14:val="tx1"/>
                  </w14:solidFill>
                </w14:textFill>
              </w:rPr>
              <w:t>及施工人员生活污水等。</w:t>
            </w:r>
          </w:p>
          <w:p w14:paraId="0C026720">
            <w:pPr>
              <w:spacing w:line="360" w:lineRule="auto"/>
              <w:ind w:firstLine="480" w:firstLineChars="200"/>
              <w:rPr>
                <w:rFonts w:hint="default" w:ascii="Times New Roman" w:hAnsi="Times New Roman" w:cs="Times New Roman" w:eastAsiaTheme="minorEastAsia"/>
                <w:b w:val="0"/>
                <w:bCs w:val="0"/>
                <w:color w:val="000000" w:themeColor="text1"/>
                <w:sz w:val="24"/>
                <w:highlight w:val="none"/>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具体产污情况，详见地表水专项。</w:t>
            </w:r>
          </w:p>
          <w:p w14:paraId="2C8590A9">
            <w:pPr>
              <w:spacing w:line="360" w:lineRule="auto"/>
              <w:ind w:firstLine="482" w:firstLineChars="200"/>
              <w:rPr>
                <w:rFonts w:hint="default" w:ascii="Times New Roman" w:hAnsi="Times New Roman" w:cs="Times New Roman" w:eastAsiaTheme="minorEastAsia"/>
                <w:b/>
                <w:bCs/>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3、</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大气环境影响分析</w:t>
            </w:r>
          </w:p>
          <w:p w14:paraId="0691B176">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lang w:bidi="zh-CN"/>
                <w14:textFill>
                  <w14:solidFill>
                    <w14:schemeClr w14:val="tx1"/>
                  </w14:solidFill>
                </w14:textFill>
              </w:rPr>
              <w:t>本项目施工期的主要环境空气污染物是施工扬尘、粉尘和车辆尾气。</w:t>
            </w:r>
          </w:p>
          <w:p w14:paraId="48A5F91F">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1）</w:t>
            </w:r>
            <w:r>
              <w:rPr>
                <w:rFonts w:hint="default" w:ascii="Times New Roman" w:hAnsi="Times New Roman" w:cs="Times New Roman"/>
                <w:color w:val="000000" w:themeColor="text1"/>
                <w:sz w:val="24"/>
                <w:szCs w:val="24"/>
                <w:highlight w:val="none"/>
                <w:lang w:val="zh-CN" w:bidi="zh-CN"/>
                <w14:textFill>
                  <w14:solidFill>
                    <w14:schemeClr w14:val="tx1"/>
                  </w14:solidFill>
                </w14:textFill>
              </w:rPr>
              <w:t>施工扬尘、</w:t>
            </w:r>
            <w:r>
              <w:rPr>
                <w:rFonts w:hint="default" w:ascii="Times New Roman" w:hAnsi="Times New Roman" w:cs="Times New Roman"/>
                <w:color w:val="000000" w:themeColor="text1"/>
                <w:sz w:val="24"/>
                <w:szCs w:val="24"/>
                <w:highlight w:val="none"/>
                <w:lang w:val="en-US" w:bidi="zh-CN"/>
                <w14:textFill>
                  <w14:solidFill>
                    <w14:schemeClr w14:val="tx1"/>
                  </w14:solidFill>
                </w14:textFill>
              </w:rPr>
              <w:t>粉尘</w:t>
            </w:r>
            <w:r>
              <w:rPr>
                <w:rFonts w:hint="default" w:ascii="Times New Roman" w:hAnsi="Times New Roman" w:cs="Times New Roman"/>
                <w:color w:val="000000" w:themeColor="text1"/>
                <w:sz w:val="24"/>
                <w:szCs w:val="24"/>
                <w:highlight w:val="none"/>
                <w:lang w:val="zh-CN" w:bidi="zh-CN"/>
                <w14:textFill>
                  <w14:solidFill>
                    <w14:schemeClr w14:val="tx1"/>
                  </w14:solidFill>
                </w14:textFill>
              </w:rPr>
              <w:t>影响分析</w:t>
            </w:r>
          </w:p>
          <w:p w14:paraId="61F60034">
            <w:pPr>
              <w:adjustRightInd w:val="0"/>
              <w:snapToGrid w:val="0"/>
              <w:spacing w:line="360" w:lineRule="auto"/>
              <w:ind w:firstLine="480" w:firstLineChars="200"/>
              <w:rPr>
                <w:rFonts w:hint="default" w:ascii="Times New Roman" w:hAnsi="Times New Roman" w:cs="Times New Roman"/>
                <w:color w:val="000000" w:themeColor="text1"/>
                <w:sz w:val="24"/>
                <w:highlight w:val="none"/>
                <w:lang w:val="zh-CN"/>
                <w14:textFill>
                  <w14:solidFill>
                    <w14:schemeClr w14:val="tx1"/>
                  </w14:solidFill>
                </w14:textFill>
              </w:rPr>
            </w:pPr>
            <w:r>
              <w:rPr>
                <w:rFonts w:hint="default" w:ascii="Times New Roman" w:hAnsi="Times New Roman" w:cs="Times New Roman"/>
                <w:color w:val="000000" w:themeColor="text1"/>
                <w:sz w:val="24"/>
                <w:highlight w:val="none"/>
                <w:lang w:val="zh-CN"/>
                <w14:textFill>
                  <w14:solidFill>
                    <w14:schemeClr w14:val="tx1"/>
                  </w14:solidFill>
                </w14:textFill>
              </w:rPr>
              <w:t>施工期对大气环境最主要的影响因素是扬尘。干燥地表开挖和钻孔产生的灰尘，一部分悬浮于空中，另一部分随风飘落到附近地面；开挖的土方堆积过程中，在风力较大时，会产生扬尘；而装卸和运输过程中，会造成部分灰尘扬起和洒落；雨水冲刷夹带的泥土散布路面。晒干后因车辆的移动或刮风再次扬尘；开挖、回填过程中也会引起大量粉尘飞扬；建筑材料的装卸、运输、堆砌过程中也有洒落和飞扬。</w:t>
            </w:r>
          </w:p>
          <w:p w14:paraId="623D2AC1">
            <w:pPr>
              <w:autoSpaceDE w:val="0"/>
              <w:autoSpaceDN w:val="0"/>
              <w:spacing w:line="360" w:lineRule="auto"/>
              <w:ind w:firstLine="480" w:firstLineChars="200"/>
              <w:rPr>
                <w:rFonts w:hint="default" w:ascii="Times New Roman" w:hAnsi="Times New Roman" w:cs="Times New Roman"/>
                <w:color w:val="000000" w:themeColor="text1"/>
                <w:sz w:val="24"/>
                <w:highlight w:val="none"/>
                <w:lang w:val="zh-CN" w:bidi="zh-CN"/>
                <w14:textFill>
                  <w14:solidFill>
                    <w14:schemeClr w14:val="tx1"/>
                  </w14:solidFill>
                </w14:textFill>
              </w:rPr>
            </w:pPr>
            <w:r>
              <w:rPr>
                <w:rFonts w:hint="default" w:ascii="Times New Roman" w:hAnsi="Times New Roman" w:cs="Times New Roman"/>
                <w:color w:val="000000" w:themeColor="text1"/>
                <w:sz w:val="24"/>
                <w:highlight w:val="none"/>
                <w:lang w:val="zh-CN" w:bidi="zh-CN"/>
                <w14:textFill>
                  <w14:solidFill>
                    <w14:schemeClr w14:val="tx1"/>
                  </w14:solidFill>
                </w14:textFill>
              </w:rPr>
              <w:t>施工车辆运输扬尘会对途经的居民点造成一定的影响，施工过程中应加强施工管理，途经村庄附近的地方设置限速标志，防止车速过快产生扬尘污染环境。做好运输车辆的密封和车辆保洁，减少因砂、土的外泄造成的扬尘污染。凡运送土石方等道路材料的运货车，都应用蓬布或塑料布覆盖，避免一路扬尘。</w:t>
            </w:r>
          </w:p>
          <w:p w14:paraId="6D5641DB">
            <w:pPr>
              <w:autoSpaceDE w:val="0"/>
              <w:autoSpaceDN w:val="0"/>
              <w:spacing w:line="360" w:lineRule="auto"/>
              <w:ind w:firstLine="480" w:firstLineChars="200"/>
              <w:rPr>
                <w:rFonts w:hint="default" w:ascii="Times New Roman" w:hAnsi="Times New Roman" w:cs="Times New Roman"/>
                <w:color w:val="000000" w:themeColor="text1"/>
                <w:sz w:val="24"/>
                <w:highlight w:val="none"/>
                <w:lang w:val="zh-CN" w:bidi="zh-CN"/>
                <w14:textFill>
                  <w14:solidFill>
                    <w14:schemeClr w14:val="tx1"/>
                  </w14:solidFill>
                </w14:textFill>
              </w:rPr>
            </w:pPr>
            <w:r>
              <w:rPr>
                <w:rFonts w:hint="default" w:ascii="Times New Roman" w:hAnsi="Times New Roman" w:cs="Times New Roman"/>
                <w:color w:val="000000" w:themeColor="text1"/>
                <w:sz w:val="24"/>
                <w:highlight w:val="none"/>
                <w:lang w:val="zh-CN" w:bidi="zh-CN"/>
                <w14:textFill>
                  <w14:solidFill>
                    <w14:schemeClr w14:val="tx1"/>
                  </w14:solidFill>
                </w14:textFill>
              </w:rPr>
              <w:t>由于运输车辆往来，在运输土方、砂石料、水泥等建筑材料以及弃土、废料等废弃物运输过程因密闭不好而引起粉尘泄漏均会对环境产生不利影响。运输车辆扬尘的产生量及扬尘污染程度与车辆的运输方式、路面状况、天气条件等因素关系密切。</w:t>
            </w:r>
            <w:r>
              <w:rPr>
                <w:rFonts w:hint="default" w:ascii="Times New Roman" w:hAnsi="Times New Roman" w:cs="Times New Roman"/>
                <w:color w:val="000000" w:themeColor="text1"/>
                <w:sz w:val="24"/>
                <w:highlight w:val="none"/>
                <w:lang w:bidi="zh-CN"/>
                <w14:textFill>
                  <w14:solidFill>
                    <w14:schemeClr w14:val="tx1"/>
                  </w14:solidFill>
                </w14:textFill>
              </w:rPr>
              <w:t>施工过程中产生的扬尘和废气，属无组织排放，且施工场地非常开阔，易扩散，因此对环境空气不会产生大的影响，影响是暂时的，工程结束后，这种影响将消失。</w:t>
            </w:r>
            <w:r>
              <w:rPr>
                <w:rFonts w:hint="default" w:ascii="Times New Roman" w:hAnsi="Times New Roman" w:cs="Times New Roman"/>
                <w:color w:val="000000" w:themeColor="text1"/>
                <w:sz w:val="24"/>
                <w:highlight w:val="none"/>
                <w:lang w:val="zh-CN" w:bidi="zh-CN"/>
                <w14:textFill>
                  <w14:solidFill>
                    <w14:schemeClr w14:val="tx1"/>
                  </w14:solidFill>
                </w14:textFill>
              </w:rPr>
              <w:t>采取路面洒水降尘、保证路面清洁干净等措施后，运输扬尘的去除率可达80%~90%，对周边环境影响较小。</w:t>
            </w:r>
          </w:p>
          <w:p w14:paraId="304E8F55">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eastAsia="zh-CN"/>
                <w14:textFill>
                  <w14:solidFill>
                    <w14:schemeClr w14:val="tx1"/>
                  </w14:solidFill>
                </w14:textFill>
              </w:rPr>
              <w:t>本工程设置</w:t>
            </w:r>
            <w:r>
              <w:rPr>
                <w:rFonts w:hint="default" w:ascii="Times New Roman" w:hAnsi="Times New Roman" w:cs="Times New Roman"/>
                <w:color w:val="000000" w:themeColor="text1"/>
                <w:sz w:val="24"/>
                <w:highlight w:val="none"/>
                <w:lang w:val="en-US" w:eastAsia="zh-CN"/>
                <w14:textFill>
                  <w14:solidFill>
                    <w14:schemeClr w14:val="tx1"/>
                  </w14:solidFill>
                </w14:textFill>
              </w:rPr>
              <w:t>0.8m³的</w:t>
            </w:r>
            <w:r>
              <w:rPr>
                <w:rFonts w:hint="default" w:ascii="Times New Roman" w:hAnsi="Times New Roman" w:cs="Times New Roman"/>
                <w:color w:val="000000" w:themeColor="text1"/>
                <w:sz w:val="24"/>
                <w:highlight w:val="none"/>
                <w14:textFill>
                  <w14:solidFill>
                    <w14:schemeClr w14:val="tx1"/>
                  </w14:solidFill>
                </w14:textFill>
              </w:rPr>
              <w:t>混凝土拌合</w:t>
            </w:r>
            <w:r>
              <w:rPr>
                <w:rFonts w:hint="default" w:ascii="Times New Roman" w:hAnsi="Times New Roman" w:cs="Times New Roman"/>
                <w:color w:val="000000" w:themeColor="text1"/>
                <w:sz w:val="24"/>
                <w:highlight w:val="none"/>
                <w:lang w:eastAsia="zh-CN"/>
                <w14:textFill>
                  <w14:solidFill>
                    <w14:schemeClr w14:val="tx1"/>
                  </w14:solidFill>
                </w14:textFill>
              </w:rPr>
              <w:t>机</w:t>
            </w:r>
            <w:r>
              <w:rPr>
                <w:rFonts w:hint="default" w:ascii="Times New Roman" w:hAnsi="Times New Roman" w:cs="Times New Roman"/>
                <w:color w:val="000000" w:themeColor="text1"/>
                <w:sz w:val="24"/>
                <w:highlight w:val="none"/>
                <w:lang w:val="en-US" w:eastAsia="zh-CN"/>
                <w14:textFill>
                  <w14:solidFill>
                    <w14:schemeClr w14:val="tx1"/>
                  </w14:solidFill>
                </w14:textFill>
              </w:rPr>
              <w:t>施工过程中会</w:t>
            </w:r>
            <w:r>
              <w:rPr>
                <w:rFonts w:hint="default" w:ascii="Times New Roman" w:hAnsi="Times New Roman" w:cs="Times New Roman"/>
                <w:color w:val="000000" w:themeColor="text1"/>
                <w:sz w:val="24"/>
                <w:highlight w:val="none"/>
                <w14:textFill>
                  <w14:solidFill>
                    <w14:schemeClr w14:val="tx1"/>
                  </w14:solidFill>
                </w14:textFill>
              </w:rPr>
              <w:t>产生</w:t>
            </w:r>
            <w:r>
              <w:rPr>
                <w:rFonts w:hint="default" w:ascii="Times New Roman" w:hAnsi="Times New Roman" w:cs="Times New Roman"/>
                <w:color w:val="000000" w:themeColor="text1"/>
                <w:sz w:val="24"/>
                <w:highlight w:val="none"/>
                <w:lang w:val="en-US" w:eastAsia="zh-CN"/>
                <w14:textFill>
                  <w14:solidFill>
                    <w14:schemeClr w14:val="tx1"/>
                  </w14:solidFill>
                </w14:textFill>
              </w:rPr>
              <w:t>一定</w:t>
            </w:r>
            <w:r>
              <w:rPr>
                <w:rFonts w:hint="default" w:ascii="Times New Roman" w:hAnsi="Times New Roman" w:cs="Times New Roman"/>
                <w:color w:val="000000" w:themeColor="text1"/>
                <w:sz w:val="24"/>
                <w:highlight w:val="none"/>
                <w14:textFill>
                  <w14:solidFill>
                    <w14:schemeClr w14:val="tx1"/>
                  </w14:solidFill>
                </w14:textFill>
              </w:rPr>
              <w:t>的粉尘，应</w:t>
            </w:r>
            <w:r>
              <w:rPr>
                <w:rFonts w:hint="default" w:ascii="Times New Roman" w:hAnsi="Times New Roman" w:cs="Times New Roman"/>
                <w:color w:val="000000" w:themeColor="text1"/>
                <w:sz w:val="24"/>
                <w:highlight w:val="none"/>
                <w:lang w:val="en-US" w:eastAsia="zh-CN"/>
                <w14:textFill>
                  <w14:solidFill>
                    <w14:schemeClr w14:val="tx1"/>
                  </w14:solidFill>
                </w14:textFill>
              </w:rPr>
              <w:t>设置</w:t>
            </w:r>
            <w:r>
              <w:rPr>
                <w:rFonts w:hint="default" w:ascii="Times New Roman" w:hAnsi="Times New Roman" w:cs="Times New Roman"/>
                <w:color w:val="000000" w:themeColor="text1"/>
                <w:sz w:val="24"/>
                <w:highlight w:val="none"/>
                <w14:textFill>
                  <w14:solidFill>
                    <w14:schemeClr w14:val="tx1"/>
                  </w14:solidFill>
                </w14:textFill>
              </w:rPr>
              <w:t>粉尘收集系统，同时加工区采取洒水降尘措施，抑制扬尘、粉尘产生，减免对环境</w:t>
            </w:r>
            <w:r>
              <w:rPr>
                <w:rFonts w:hint="default" w:ascii="Times New Roman" w:hAnsi="Times New Roman" w:cs="Times New Roman"/>
                <w:color w:val="000000" w:themeColor="text1"/>
                <w:sz w:val="24"/>
                <w:highlight w:val="none"/>
                <w:lang w:val="en-US" w:eastAsia="zh-CN"/>
                <w14:textFill>
                  <w14:solidFill>
                    <w14:schemeClr w14:val="tx1"/>
                  </w14:solidFill>
                </w14:textFill>
              </w:rPr>
              <w:t>空气</w:t>
            </w:r>
            <w:r>
              <w:rPr>
                <w:rFonts w:hint="default" w:ascii="Times New Roman" w:hAnsi="Times New Roman" w:cs="Times New Roman"/>
                <w:color w:val="000000" w:themeColor="text1"/>
                <w:sz w:val="24"/>
                <w:highlight w:val="none"/>
                <w14:textFill>
                  <w14:solidFill>
                    <w14:schemeClr w14:val="tx1"/>
                  </w14:solidFill>
                </w14:textFill>
              </w:rPr>
              <w:t>的不利影响。</w:t>
            </w:r>
          </w:p>
          <w:p w14:paraId="283BE3D6">
            <w:pPr>
              <w:autoSpaceDE w:val="0"/>
              <w:autoSpaceDN w:val="0"/>
              <w:spacing w:line="360" w:lineRule="auto"/>
              <w:ind w:firstLine="480" w:firstLineChars="200"/>
              <w:rPr>
                <w:rFonts w:hint="default" w:ascii="Times New Roman" w:hAnsi="Times New Roman" w:eastAsia="宋体" w:cs="Times New Roman"/>
                <w:color w:val="000000" w:themeColor="text1"/>
                <w:sz w:val="24"/>
                <w:highlight w:val="none"/>
                <w:lang w:val="zh-CN" w:bidi="zh-CN"/>
                <w14:textFill>
                  <w14:solidFill>
                    <w14:schemeClr w14:val="tx1"/>
                  </w14:solidFill>
                </w14:textFill>
              </w:rPr>
            </w:pPr>
            <w:r>
              <w:rPr>
                <w:rFonts w:hint="default" w:ascii="Times New Roman" w:hAnsi="Times New Roman" w:eastAsia="宋体" w:cs="Times New Roman"/>
                <w:color w:val="000000" w:themeColor="text1"/>
                <w:sz w:val="24"/>
                <w:highlight w:val="none"/>
                <w:lang w:val="zh-CN" w:bidi="zh-CN"/>
                <w14:textFill>
                  <w14:solidFill>
                    <w14:schemeClr w14:val="tx1"/>
                  </w14:solidFill>
                </w14:textFill>
              </w:rPr>
              <w:t>围挡对减少市政施工扬尘对环境的污染有明显作用，在相同条件下，可使被污染地区的TSP浓度</w:t>
            </w:r>
            <w:r>
              <w:rPr>
                <w:rFonts w:hint="eastAsia" w:ascii="Times New Roman" w:hAnsi="Times New Roman" w:eastAsia="宋体" w:cs="Times New Roman"/>
                <w:color w:val="000000" w:themeColor="text1"/>
                <w:sz w:val="24"/>
                <w:highlight w:val="none"/>
                <w:lang w:val="zh-CN" w:bidi="zh-CN"/>
                <w14:textFill>
                  <w14:solidFill>
                    <w14:schemeClr w14:val="tx1"/>
                  </w14:solidFill>
                </w14:textFill>
              </w:rPr>
              <w:t>明显降低。</w:t>
            </w:r>
            <w:r>
              <w:rPr>
                <w:rFonts w:hint="default" w:ascii="Times New Roman" w:hAnsi="Times New Roman" w:eastAsia="宋体" w:cs="Times New Roman"/>
                <w:color w:val="000000" w:themeColor="text1"/>
                <w:sz w:val="24"/>
                <w:highlight w:val="none"/>
                <w:lang w:val="zh-CN" w:bidi="zh-CN"/>
                <w14:textFill>
                  <w14:solidFill>
                    <w14:schemeClr w14:val="tx1"/>
                  </w14:solidFill>
                </w14:textFill>
              </w:rPr>
              <w:t>在有遮挡情况下，在下风向50m处颗粒物浓度完全能满足《大气污染物综合排放标准》表2中无组织排放监控浓度限值</w:t>
            </w:r>
            <w:r>
              <w:rPr>
                <w:rFonts w:hint="eastAsia" w:ascii="Times New Roman" w:hAnsi="Times New Roman" w:eastAsia="宋体" w:cs="Times New Roman"/>
                <w:color w:val="000000" w:themeColor="text1"/>
                <w:sz w:val="24"/>
                <w:highlight w:val="none"/>
                <w:lang w:val="zh-CN" w:eastAsia="zh-CN" w:bidi="zh-CN"/>
                <w14:textFill>
                  <w14:solidFill>
                    <w14:schemeClr w14:val="tx1"/>
                  </w14:solidFill>
                </w14:textFill>
              </w:rPr>
              <w:t>（</w:t>
            </w:r>
            <w:r>
              <w:rPr>
                <w:rFonts w:hint="default" w:ascii="Times New Roman" w:hAnsi="Times New Roman" w:eastAsia="宋体" w:cs="Times New Roman"/>
                <w:color w:val="000000" w:themeColor="text1"/>
                <w:sz w:val="24"/>
                <w:highlight w:val="none"/>
                <w:lang w:val="zh-CN" w:bidi="zh-CN"/>
                <w14:textFill>
                  <w14:solidFill>
                    <w14:schemeClr w14:val="tx1"/>
                  </w14:solidFill>
                </w14:textFill>
              </w:rPr>
              <w:t>1.0mg/m</w:t>
            </w:r>
            <w:r>
              <w:rPr>
                <w:rFonts w:hint="default" w:ascii="Times New Roman" w:hAnsi="Times New Roman" w:eastAsia="宋体" w:cs="Times New Roman"/>
                <w:color w:val="000000" w:themeColor="text1"/>
                <w:sz w:val="24"/>
                <w:highlight w:val="none"/>
                <w:vertAlign w:val="superscript"/>
                <w:lang w:val="zh-CN" w:bidi="zh-CN"/>
                <w14:textFill>
                  <w14:solidFill>
                    <w14:schemeClr w14:val="tx1"/>
                  </w14:solidFill>
                </w14:textFill>
              </w:rPr>
              <w:t>3</w:t>
            </w:r>
            <w:r>
              <w:rPr>
                <w:rFonts w:hint="eastAsia" w:ascii="Times New Roman" w:hAnsi="Times New Roman" w:eastAsia="宋体" w:cs="Times New Roman"/>
                <w:color w:val="000000" w:themeColor="text1"/>
                <w:sz w:val="24"/>
                <w:highlight w:val="none"/>
                <w:lang w:val="zh-CN" w:eastAsia="zh-CN" w:bidi="zh-CN"/>
                <w14:textFill>
                  <w14:solidFill>
                    <w14:schemeClr w14:val="tx1"/>
                  </w14:solidFill>
                </w14:textFill>
              </w:rPr>
              <w:t>）</w:t>
            </w:r>
            <w:r>
              <w:rPr>
                <w:rFonts w:hint="default" w:ascii="Times New Roman" w:hAnsi="Times New Roman" w:eastAsia="宋体" w:cs="Times New Roman"/>
                <w:color w:val="000000" w:themeColor="text1"/>
                <w:sz w:val="24"/>
                <w:highlight w:val="none"/>
                <w:lang w:val="zh-CN" w:bidi="zh-CN"/>
                <w14:textFill>
                  <w14:solidFill>
                    <w14:schemeClr w14:val="tx1"/>
                  </w14:solidFill>
                </w14:textFill>
              </w:rPr>
              <w:t>，在200m处基本达到上风向对照点相同浓度。</w:t>
            </w:r>
          </w:p>
          <w:p w14:paraId="47645E37">
            <w:pPr>
              <w:autoSpaceDE w:val="0"/>
              <w:autoSpaceDN w:val="0"/>
              <w:spacing w:line="360" w:lineRule="auto"/>
              <w:ind w:firstLine="480" w:firstLineChars="200"/>
              <w:rPr>
                <w:rFonts w:hint="default" w:ascii="Times New Roman" w:hAnsi="Times New Roman" w:eastAsia="宋体" w:cs="Times New Roman"/>
                <w:color w:val="000000" w:themeColor="text1"/>
                <w:sz w:val="24"/>
                <w:highlight w:val="none"/>
                <w:lang w:val="en-US" w:eastAsia="zh-CN" w:bidi="zh-CN"/>
                <w14:textFill>
                  <w14:solidFill>
                    <w14:schemeClr w14:val="tx1"/>
                  </w14:solidFill>
                </w14:textFill>
              </w:rPr>
            </w:pPr>
            <w:r>
              <w:rPr>
                <w:rFonts w:hint="default" w:ascii="Times New Roman" w:hAnsi="Times New Roman" w:eastAsia="宋体" w:cs="Times New Roman"/>
                <w:color w:val="000000" w:themeColor="text1"/>
                <w:sz w:val="24"/>
                <w:highlight w:val="none"/>
                <w:lang w:val="zh-CN" w:bidi="zh-CN"/>
                <w14:textFill>
                  <w14:solidFill>
                    <w14:schemeClr w14:val="tx1"/>
                  </w14:solidFill>
                </w14:textFill>
              </w:rPr>
              <w:t>根据以上类比分析，施工扬尘对施工下风向20m范围有较大的影响，若天气干燥、风速较大时可能对周边居住区等产生不利影响。建议优化施工方法，减少扬尘。一般情况下，施工期间对车辆行驶路面实施洒水降尘，每天洒水4~5次，可使扬尘量减少70%左右，可见每天洒水降尘，可有效控制施工扬尘，将TSP污染距离缩小在20~50m范围。现状</w:t>
            </w:r>
            <w:r>
              <w:rPr>
                <w:rFonts w:hint="default" w:ascii="Times New Roman" w:hAnsi="Times New Roman" w:eastAsia="宋体" w:cs="Times New Roman"/>
                <w:color w:val="000000" w:themeColor="text1"/>
                <w:sz w:val="24"/>
                <w:highlight w:val="none"/>
                <w:lang w:val="en-US" w:eastAsia="zh-CN" w:bidi="zh-CN"/>
                <w14:textFill>
                  <w14:solidFill>
                    <w14:schemeClr w14:val="tx1"/>
                  </w14:solidFill>
                </w14:textFill>
              </w:rPr>
              <w:t>水库周边</w:t>
            </w:r>
            <w:r>
              <w:rPr>
                <w:rFonts w:hint="default" w:ascii="Times New Roman" w:hAnsi="Times New Roman" w:eastAsia="宋体" w:cs="Times New Roman"/>
                <w:color w:val="000000" w:themeColor="text1"/>
                <w:sz w:val="24"/>
                <w:highlight w:val="none"/>
                <w:lang w:val="zh-CN" w:bidi="zh-CN"/>
                <w14:textFill>
                  <w14:solidFill>
                    <w14:schemeClr w14:val="tx1"/>
                  </w14:solidFill>
                </w14:textFill>
              </w:rPr>
              <w:t>200m内</w:t>
            </w:r>
            <w:r>
              <w:rPr>
                <w:rFonts w:hint="eastAsia" w:ascii="Times New Roman" w:hAnsi="Times New Roman" w:eastAsia="宋体" w:cs="Times New Roman"/>
                <w:color w:val="000000" w:themeColor="text1"/>
                <w:sz w:val="24"/>
                <w:highlight w:val="none"/>
                <w:lang w:val="en-US" w:eastAsia="zh-CN" w:bidi="zh-CN"/>
                <w14:textFill>
                  <w14:solidFill>
                    <w14:schemeClr w14:val="tx1"/>
                  </w14:solidFill>
                </w14:textFill>
              </w:rPr>
              <w:t>无</w:t>
            </w:r>
            <w:r>
              <w:rPr>
                <w:rFonts w:hint="default" w:ascii="Times New Roman" w:hAnsi="Times New Roman" w:eastAsia="宋体" w:cs="Times New Roman"/>
                <w:color w:val="000000" w:themeColor="text1"/>
                <w:sz w:val="24"/>
                <w:highlight w:val="none"/>
                <w:lang w:val="zh-CN" w:bidi="zh-CN"/>
                <w14:textFill>
                  <w14:solidFill>
                    <w14:schemeClr w14:val="tx1"/>
                  </w14:solidFill>
                </w14:textFill>
              </w:rPr>
              <w:t>居民，</w:t>
            </w:r>
            <w:r>
              <w:rPr>
                <w:rFonts w:hint="eastAsia" w:ascii="Times New Roman" w:hAnsi="Times New Roman" w:eastAsia="宋体" w:cs="Times New Roman"/>
                <w:color w:val="000000" w:themeColor="text1"/>
                <w:sz w:val="24"/>
                <w:highlight w:val="none"/>
                <w:lang w:val="en-US" w:eastAsia="zh-CN" w:bidi="zh-CN"/>
                <w14:textFill>
                  <w14:solidFill>
                    <w14:schemeClr w14:val="tx1"/>
                  </w14:solidFill>
                </w14:textFill>
              </w:rPr>
              <w:t>但</w:t>
            </w:r>
            <w:r>
              <w:rPr>
                <w:rFonts w:hint="default" w:ascii="Times New Roman" w:hAnsi="Times New Roman" w:eastAsia="宋体" w:cs="Times New Roman"/>
                <w:color w:val="000000" w:themeColor="text1"/>
                <w:sz w:val="24"/>
                <w:highlight w:val="none"/>
                <w:lang w:val="zh-CN" w:bidi="zh-CN"/>
                <w14:textFill>
                  <w14:solidFill>
                    <w14:schemeClr w14:val="tx1"/>
                  </w14:solidFill>
                </w14:textFill>
              </w:rPr>
              <w:t>为控制扬尘污染，施工过程中应采取围挡、洒水、限制车速等措施，加强施工管理，禁止大风天气施工。采取上述措施后，扬尘影响和污染程度会显著减轻。</w:t>
            </w:r>
          </w:p>
          <w:p w14:paraId="6242EE8E">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）施工机械、车辆燃油废气</w:t>
            </w:r>
          </w:p>
          <w:p w14:paraId="669B6C03">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施工废气主要包括各种机械（如装载机、自卸汽车、挖土机等）排放的尾气、运输车辆产生的尾气。施工机械设备及运输设备车辆排放废气的主要污染物有NO</w:t>
            </w:r>
            <w:r>
              <w:rPr>
                <w:rFonts w:hint="default" w:ascii="Times New Roman" w:hAnsi="Times New Roman" w:cs="Times New Roman"/>
                <w:color w:val="000000" w:themeColor="text1"/>
                <w:sz w:val="24"/>
                <w:highlight w:val="none"/>
                <w:vertAlign w:val="subscript"/>
                <w14:textFill>
                  <w14:solidFill>
                    <w14:schemeClr w14:val="tx1"/>
                  </w14:solidFill>
                </w14:textFill>
              </w:rPr>
              <w:t>X</w:t>
            </w:r>
            <w:r>
              <w:rPr>
                <w:rFonts w:hint="default" w:ascii="Times New Roman" w:hAnsi="Times New Roman" w:cs="Times New Roman"/>
                <w:color w:val="000000" w:themeColor="text1"/>
                <w:sz w:val="24"/>
                <w:highlight w:val="none"/>
                <w14:textFill>
                  <w14:solidFill>
                    <w14:schemeClr w14:val="tx1"/>
                  </w14:solidFill>
                </w14:textFill>
              </w:rPr>
              <w:t>、HC、CO。本项目施工期间加强对施工车辆的检修和维护，禁止使用超期服役和尾气超标的车辆；使用耗油低，排气小的施工车辆，选用优质燃油，减少了机械和车辆的有害废气排放。这些污染物排放量较小，对区域环境影响很小。</w:t>
            </w:r>
          </w:p>
          <w:p w14:paraId="221B54D2">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本项目施工期间加强对施工车辆的检修和维护，禁止使用超期服役和尾气超标的车辆；使用耗油低，排气小的施工车辆，选用优质燃油，减少了机械和车辆的有害废气排放。</w:t>
            </w:r>
          </w:p>
          <w:p w14:paraId="0769F4E3">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施工场地废气经采取上述措施后，对外环境产生的影响相对较小，这些影响是暂时，会随着施工的结束而消失。</w:t>
            </w:r>
          </w:p>
          <w:p w14:paraId="49F9B86F">
            <w:pPr>
              <w:spacing w:line="360" w:lineRule="auto"/>
              <w:ind w:firstLine="482"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4、</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环境噪声影响分析</w:t>
            </w:r>
          </w:p>
          <w:p w14:paraId="6EA61793">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施工期噪声主要来源于施工机械噪声和运输车辆噪声。在施工过程中，由于各种施工机械设备的运转和各类车辆的运行，不可避免地将产生噪声污染。工程施工设备中包括固定噪声源和移动噪声源，具有高噪声、无规则等特点，均为露天工作，排放的噪声直接辐射到周围的环境中，其传播距离比较远，在传播的过程中噪声随距离的增加而衰减。</w:t>
            </w:r>
          </w:p>
          <w:p w14:paraId="490BAC3D">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预测模型选用《环境影响评价技术导则声环境》（HJ2.4-2021）中的推荐模式进行预测。预测情形仅考虑距离衰减（Adiv），不考虑大气吸收（Aatm）、地面效应（Agr）、屏障屏蔽（Abar）及其他多方面效应（Amisc）引起的衰减。预测公式如下：</w:t>
            </w:r>
          </w:p>
          <w:p w14:paraId="0814CBC2">
            <w:pPr>
              <w:spacing w:line="360" w:lineRule="auto"/>
              <w:ind w:firstLine="480"/>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object>
                <v:shape id="_x0000_i1025" o:spt="75" type="#_x0000_t75" style="height:18.25pt;width:132.75pt;" o:ole="t" filled="f" o:preferrelative="t" stroked="f" coordsize="21600,21600">
                  <v:path/>
                  <v:fill on="f" focussize="0,0"/>
                  <v:stroke on="f"/>
                  <v:imagedata r:id="rId29" o:title=""/>
                  <o:lock v:ext="edit" aspectratio="t"/>
                  <w10:wrap type="none"/>
                  <w10:anchorlock/>
                </v:shape>
                <o:OLEObject Type="Embed" ProgID="Equation.DSMT4" ShapeID="_x0000_i1025" DrawAspect="Content" ObjectID="_1468075725" r:id="rId28">
                  <o:LockedField>false</o:LockedField>
                </o:OLEObject>
              </w:object>
            </w:r>
          </w:p>
          <w:p w14:paraId="471A1C5E">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式中：Lr—点声源在预测点产生的倍频带声压级；</w:t>
            </w:r>
          </w:p>
          <w:p w14:paraId="4C059E47">
            <w:pPr>
              <w:spacing w:line="360" w:lineRule="auto"/>
              <w:ind w:firstLine="1200" w:firstLineChars="5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L</w:t>
            </w:r>
            <w:r>
              <w:rPr>
                <w:rFonts w:hint="default" w:ascii="Times New Roman" w:hAnsi="Times New Roman" w:cs="Times New Roman"/>
                <w:color w:val="000000" w:themeColor="text1"/>
                <w:sz w:val="24"/>
                <w:highlight w:val="none"/>
                <w14:textFill>
                  <w14:solidFill>
                    <w14:schemeClr w14:val="tx1"/>
                  </w14:solidFill>
                </w14:textFill>
              </w:rPr>
              <w:softHyphen/>
            </w:r>
            <w:r>
              <w:rPr>
                <w:rFonts w:hint="default" w:ascii="Times New Roman" w:hAnsi="Times New Roman" w:cs="Times New Roman"/>
                <w:color w:val="000000" w:themeColor="text1"/>
                <w:sz w:val="24"/>
                <w:highlight w:val="none"/>
                <w14:textFill>
                  <w14:solidFill>
                    <w14:schemeClr w14:val="tx1"/>
                  </w14:solidFill>
                </w14:textFill>
              </w:rPr>
              <w:softHyphen/>
            </w:r>
            <w:r>
              <w:rPr>
                <w:rFonts w:hint="default" w:ascii="Times New Roman" w:hAnsi="Times New Roman" w:cs="Times New Roman"/>
                <w:color w:val="000000" w:themeColor="text1"/>
                <w:sz w:val="24"/>
                <w:highlight w:val="none"/>
                <w14:textFill>
                  <w14:solidFill>
                    <w14:schemeClr w14:val="tx1"/>
                  </w14:solidFill>
                </w14:textFill>
              </w:rPr>
              <w:t>r0— 参考位置r0处的倍频带声压级；</w:t>
            </w:r>
          </w:p>
          <w:p w14:paraId="00C4C85E">
            <w:pPr>
              <w:spacing w:line="360" w:lineRule="auto"/>
              <w:ind w:firstLine="1200" w:firstLineChars="5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r—预测点距声源的距离，m；</w:t>
            </w:r>
          </w:p>
          <w:p w14:paraId="7D0E1AE5">
            <w:pPr>
              <w:spacing w:line="360" w:lineRule="auto"/>
              <w:ind w:firstLine="1200" w:firstLineChars="5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r0—参考位置距声源的距离，m。</w:t>
            </w:r>
          </w:p>
          <w:p w14:paraId="7F48C6A8">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项目施工期主要施工设备噪声衰减预测结果见表4-</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w:t>
            </w:r>
          </w:p>
          <w:p w14:paraId="1063F1E2">
            <w:pPr>
              <w:spacing w:line="360" w:lineRule="auto"/>
              <w:ind w:firstLine="482"/>
              <w:jc w:val="center"/>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表4-</w:t>
            </w:r>
            <w:r>
              <w:rPr>
                <w:rFonts w:hint="default" w:ascii="Times New Roman" w:hAnsi="Times New Roman" w:cs="Times New Roman"/>
                <w:b/>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z w:val="24"/>
                <w:highlight w:val="none"/>
                <w14:textFill>
                  <w14:solidFill>
                    <w14:schemeClr w14:val="tx1"/>
                  </w14:solidFill>
                </w14:textFill>
              </w:rPr>
              <w:t xml:space="preserve"> 施工期环境噪声预测结果</w:t>
            </w:r>
          </w:p>
          <w:tbl>
            <w:tblPr>
              <w:tblStyle w:val="22"/>
              <w:tblW w:w="7811" w:type="dxa"/>
              <w:jc w:val="center"/>
              <w:tblLayout w:type="fixed"/>
              <w:tblCellMar>
                <w:top w:w="0" w:type="dxa"/>
                <w:left w:w="0" w:type="dxa"/>
                <w:bottom w:w="0" w:type="dxa"/>
                <w:right w:w="0" w:type="dxa"/>
              </w:tblCellMar>
            </w:tblPr>
            <w:tblGrid>
              <w:gridCol w:w="813"/>
              <w:gridCol w:w="625"/>
              <w:gridCol w:w="571"/>
              <w:gridCol w:w="639"/>
              <w:gridCol w:w="639"/>
              <w:gridCol w:w="639"/>
              <w:gridCol w:w="639"/>
              <w:gridCol w:w="649"/>
              <w:gridCol w:w="650"/>
              <w:gridCol w:w="649"/>
              <w:gridCol w:w="649"/>
              <w:gridCol w:w="649"/>
            </w:tblGrid>
            <w:tr w14:paraId="03D73E9D">
              <w:tblPrEx>
                <w:tblCellMar>
                  <w:top w:w="0" w:type="dxa"/>
                  <w:left w:w="0" w:type="dxa"/>
                  <w:bottom w:w="0" w:type="dxa"/>
                  <w:right w:w="0" w:type="dxa"/>
                </w:tblCellMar>
              </w:tblPrEx>
              <w:trPr>
                <w:trHeight w:val="283" w:hRule="atLeast"/>
                <w:jc w:val="center"/>
              </w:trPr>
              <w:tc>
                <w:tcPr>
                  <w:tcW w:w="813"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686A077">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声源</w:t>
                  </w:r>
                </w:p>
              </w:tc>
              <w:tc>
                <w:tcPr>
                  <w:tcW w:w="625" w:type="dxa"/>
                  <w:vMerge w:val="restart"/>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D1202C9">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Style w:val="44"/>
                      <w:rFonts w:hint="default" w:ascii="Times New Roman" w:hAnsi="Times New Roman" w:cs="Times New Roman"/>
                      <w:color w:val="000000" w:themeColor="text1"/>
                      <w:sz w:val="18"/>
                      <w:szCs w:val="18"/>
                      <w:highlight w:val="none"/>
                      <w:vertAlign w:val="baseline"/>
                      <w:lang w:bidi="ar"/>
                      <w14:textFill>
                        <w14:solidFill>
                          <w14:schemeClr w14:val="tx1"/>
                        </w14:solidFill>
                      </w14:textFill>
                    </w:rPr>
                    <w:t>测点声源距离（</w:t>
                  </w:r>
                  <w:r>
                    <w:rPr>
                      <w:rStyle w:val="45"/>
                      <w:rFonts w:hint="default" w:ascii="Times New Roman" w:hAnsi="Times New Roman" w:cs="Times New Roman"/>
                      <w:color w:val="000000" w:themeColor="text1"/>
                      <w:sz w:val="18"/>
                      <w:szCs w:val="18"/>
                      <w:highlight w:val="none"/>
                      <w:lang w:bidi="ar"/>
                      <w14:textFill>
                        <w14:solidFill>
                          <w14:schemeClr w14:val="tx1"/>
                        </w14:solidFill>
                      </w14:textFill>
                    </w:rPr>
                    <w:t>m</w:t>
                  </w:r>
                  <w:r>
                    <w:rPr>
                      <w:rStyle w:val="44"/>
                      <w:rFonts w:hint="default" w:ascii="Times New Roman" w:hAnsi="Times New Roman" w:cs="Times New Roman"/>
                      <w:color w:val="000000" w:themeColor="text1"/>
                      <w:sz w:val="18"/>
                      <w:szCs w:val="18"/>
                      <w:highlight w:val="none"/>
                      <w:vertAlign w:val="baseline"/>
                      <w:lang w:bidi="ar"/>
                      <w14:textFill>
                        <w14:solidFill>
                          <w14:schemeClr w14:val="tx1"/>
                        </w14:solidFill>
                      </w14:textFill>
                    </w:rPr>
                    <w:t>）</w:t>
                  </w:r>
                </w:p>
              </w:tc>
              <w:tc>
                <w:tcPr>
                  <w:tcW w:w="57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638D40C">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源强</w:t>
                  </w:r>
                </w:p>
              </w:tc>
              <w:tc>
                <w:tcPr>
                  <w:tcW w:w="5802" w:type="dxa"/>
                  <w:gridSpan w:val="9"/>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B055FF9">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预测距离（m）</w:t>
                  </w:r>
                </w:p>
              </w:tc>
            </w:tr>
            <w:tr w14:paraId="75CEEF45">
              <w:tblPrEx>
                <w:tblCellMar>
                  <w:top w:w="0" w:type="dxa"/>
                  <w:left w:w="0" w:type="dxa"/>
                  <w:bottom w:w="0" w:type="dxa"/>
                  <w:right w:w="0" w:type="dxa"/>
                </w:tblCellMar>
              </w:tblPrEx>
              <w:trPr>
                <w:trHeight w:val="283" w:hRule="atLeast"/>
                <w:jc w:val="center"/>
              </w:trPr>
              <w:tc>
                <w:tcPr>
                  <w:tcW w:w="813"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772C686">
                  <w:pPr>
                    <w:adjustRightInd w:val="0"/>
                    <w:snapToGrid w:val="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625" w:type="dxa"/>
                  <w:vMerge w:val="continue"/>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83721E6">
                  <w:pPr>
                    <w:adjustRightInd w:val="0"/>
                    <w:snapToGrid w:val="0"/>
                    <w:jc w:val="center"/>
                    <w:rPr>
                      <w:rFonts w:hint="default" w:ascii="Times New Roman" w:hAnsi="Times New Roman" w:cs="Times New Roman"/>
                      <w:color w:val="000000" w:themeColor="text1"/>
                      <w:sz w:val="18"/>
                      <w:szCs w:val="18"/>
                      <w:highlight w:val="none"/>
                      <w14:textFill>
                        <w14:solidFill>
                          <w14:schemeClr w14:val="tx1"/>
                        </w14:solidFill>
                      </w14:textFill>
                    </w:rPr>
                  </w:pPr>
                </w:p>
              </w:tc>
              <w:tc>
                <w:tcPr>
                  <w:tcW w:w="57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2BCECE5">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dB</w:t>
                  </w:r>
                  <w:r>
                    <w:rPr>
                      <w:rStyle w:val="46"/>
                      <w:rFonts w:hint="default" w:ascii="Times New Roman" w:hAnsi="Times New Roman" w:cs="Times New Roman"/>
                      <w:color w:val="000000" w:themeColor="text1"/>
                      <w:sz w:val="18"/>
                      <w:szCs w:val="18"/>
                      <w:highlight w:val="none"/>
                      <w:lang w:bidi="ar"/>
                      <w14:textFill>
                        <w14:solidFill>
                          <w14:schemeClr w14:val="tx1"/>
                        </w14:solidFill>
                      </w14:textFill>
                    </w:rPr>
                    <w:t>（</w:t>
                  </w:r>
                  <w:r>
                    <w:rPr>
                      <w:rFonts w:hint="default" w:ascii="Times New Roman" w:hAnsi="Times New Roman" w:cs="Times New Roman"/>
                      <w:color w:val="000000" w:themeColor="text1"/>
                      <w:kern w:val="0"/>
                      <w:sz w:val="18"/>
                      <w:szCs w:val="18"/>
                      <w:highlight w:val="none"/>
                      <w:lang w:bidi="ar"/>
                      <w14:textFill>
                        <w14:solidFill>
                          <w14:schemeClr w14:val="tx1"/>
                        </w14:solidFill>
                      </w14:textFill>
                    </w:rPr>
                    <w:t>A</w:t>
                  </w:r>
                  <w:r>
                    <w:rPr>
                      <w:rStyle w:val="46"/>
                      <w:rFonts w:hint="default" w:ascii="Times New Roman" w:hAnsi="Times New Roman" w:cs="Times New Roman"/>
                      <w:color w:val="000000" w:themeColor="text1"/>
                      <w:sz w:val="18"/>
                      <w:szCs w:val="18"/>
                      <w:highlight w:val="none"/>
                      <w:lang w:bidi="ar"/>
                      <w14:textFill>
                        <w14:solidFill>
                          <w14:schemeClr w14:val="tx1"/>
                        </w14:solidFill>
                      </w14:textFill>
                    </w:rPr>
                    <w:t>）</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59112EE">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10</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3FE7E40">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20</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CBA132F">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30</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00C122E">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50</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B9E4F90">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100</w:t>
                  </w:r>
                </w:p>
              </w:tc>
              <w:tc>
                <w:tcPr>
                  <w:tcW w:w="6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497CA3E">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150</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AD39842">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200</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FB3CD2D">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280</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1FC0289">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300</w:t>
                  </w:r>
                </w:p>
              </w:tc>
            </w:tr>
            <w:tr w14:paraId="1C7A1BE2">
              <w:tblPrEx>
                <w:tblCellMar>
                  <w:top w:w="0" w:type="dxa"/>
                  <w:left w:w="0" w:type="dxa"/>
                  <w:bottom w:w="0" w:type="dxa"/>
                  <w:right w:w="0" w:type="dxa"/>
                </w:tblCellMar>
              </w:tblPrEx>
              <w:trPr>
                <w:trHeight w:val="283" w:hRule="atLeast"/>
                <w:jc w:val="center"/>
              </w:trPr>
              <w:tc>
                <w:tcPr>
                  <w:tcW w:w="81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3689EC1">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推土机</w:t>
                  </w:r>
                </w:p>
              </w:tc>
              <w:tc>
                <w:tcPr>
                  <w:tcW w:w="62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F5A4D77">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5</w:t>
                  </w:r>
                </w:p>
              </w:tc>
              <w:tc>
                <w:tcPr>
                  <w:tcW w:w="57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BE1AFA">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86</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BB6249B">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80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776CAC4">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74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2B51943">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70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1B997B9">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66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6167785">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60 </w:t>
                  </w:r>
                </w:p>
              </w:tc>
              <w:tc>
                <w:tcPr>
                  <w:tcW w:w="6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76737E8">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56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9450705">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54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F7DA3C">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51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4B273B0">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50 </w:t>
                  </w:r>
                </w:p>
              </w:tc>
            </w:tr>
            <w:tr w14:paraId="6F367EED">
              <w:tblPrEx>
                <w:tblCellMar>
                  <w:top w:w="0" w:type="dxa"/>
                  <w:left w:w="0" w:type="dxa"/>
                  <w:bottom w:w="0" w:type="dxa"/>
                  <w:right w:w="0" w:type="dxa"/>
                </w:tblCellMar>
              </w:tblPrEx>
              <w:trPr>
                <w:trHeight w:val="283" w:hRule="atLeast"/>
                <w:jc w:val="center"/>
              </w:trPr>
              <w:tc>
                <w:tcPr>
                  <w:tcW w:w="81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8234159">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平土机</w:t>
                  </w:r>
                </w:p>
              </w:tc>
              <w:tc>
                <w:tcPr>
                  <w:tcW w:w="62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9A7D938">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5</w:t>
                  </w:r>
                </w:p>
              </w:tc>
              <w:tc>
                <w:tcPr>
                  <w:tcW w:w="57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92DAA2F">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80</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658F865">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74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F09F3E7">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68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07FFC42">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64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49A04F9">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60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BC5D47F">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54 </w:t>
                  </w:r>
                </w:p>
              </w:tc>
              <w:tc>
                <w:tcPr>
                  <w:tcW w:w="6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37920EC">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50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78E0F70">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48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9589A8D">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45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8C5434D">
                  <w:pPr>
                    <w:widowControl/>
                    <w:adjustRightInd w:val="0"/>
                    <w:snapToGrid w:val="0"/>
                    <w:jc w:val="center"/>
                    <w:textAlignment w:val="center"/>
                    <w:rPr>
                      <w:rFonts w:hint="default" w:ascii="Times New Roman" w:hAnsi="Times New Roman" w:cs="Times New Roman"/>
                      <w:color w:val="000000" w:themeColor="text1"/>
                      <w:kern w:val="0"/>
                      <w:sz w:val="18"/>
                      <w:szCs w:val="18"/>
                      <w:highlight w:val="none"/>
                      <w:lang w:bidi="ar"/>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44 </w:t>
                  </w:r>
                </w:p>
              </w:tc>
            </w:tr>
            <w:tr w14:paraId="0AC3848A">
              <w:tblPrEx>
                <w:tblCellMar>
                  <w:top w:w="0" w:type="dxa"/>
                  <w:left w:w="0" w:type="dxa"/>
                  <w:bottom w:w="0" w:type="dxa"/>
                  <w:right w:w="0" w:type="dxa"/>
                </w:tblCellMar>
              </w:tblPrEx>
              <w:trPr>
                <w:trHeight w:val="283" w:hRule="atLeast"/>
                <w:jc w:val="center"/>
              </w:trPr>
              <w:tc>
                <w:tcPr>
                  <w:tcW w:w="81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784288E">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装载机</w:t>
                  </w:r>
                </w:p>
              </w:tc>
              <w:tc>
                <w:tcPr>
                  <w:tcW w:w="62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590821E">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5</w:t>
                  </w:r>
                </w:p>
              </w:tc>
              <w:tc>
                <w:tcPr>
                  <w:tcW w:w="57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F506AA3">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90</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DBECF71">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84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EC77D57">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78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A661B7B">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74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D3F77ED">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70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BDB4FBA">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64 </w:t>
                  </w:r>
                </w:p>
              </w:tc>
              <w:tc>
                <w:tcPr>
                  <w:tcW w:w="6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7006EC9">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60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C29ECC1">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58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ADB2919">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55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2CA7E09">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54 </w:t>
                  </w:r>
                </w:p>
              </w:tc>
            </w:tr>
            <w:tr w14:paraId="2128A917">
              <w:tblPrEx>
                <w:tblCellMar>
                  <w:top w:w="0" w:type="dxa"/>
                  <w:left w:w="0" w:type="dxa"/>
                  <w:bottom w:w="0" w:type="dxa"/>
                  <w:right w:w="0" w:type="dxa"/>
                </w:tblCellMar>
              </w:tblPrEx>
              <w:trPr>
                <w:trHeight w:val="283" w:hRule="atLeast"/>
                <w:jc w:val="center"/>
              </w:trPr>
              <w:tc>
                <w:tcPr>
                  <w:tcW w:w="81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57B3BBC">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挖掘机</w:t>
                  </w:r>
                </w:p>
              </w:tc>
              <w:tc>
                <w:tcPr>
                  <w:tcW w:w="62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88EA87D">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5</w:t>
                  </w:r>
                </w:p>
              </w:tc>
              <w:tc>
                <w:tcPr>
                  <w:tcW w:w="57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4B93282">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85</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7B9B59B">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79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4EF2525">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73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DC257E8">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69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94F35C7">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65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891AF7">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59 </w:t>
                  </w:r>
                </w:p>
              </w:tc>
              <w:tc>
                <w:tcPr>
                  <w:tcW w:w="6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46D0D5B">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55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D62DC3F">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53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0803BDC">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50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4162201">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49 </w:t>
                  </w:r>
                </w:p>
              </w:tc>
            </w:tr>
            <w:tr w14:paraId="49E4928D">
              <w:tblPrEx>
                <w:tblCellMar>
                  <w:top w:w="0" w:type="dxa"/>
                  <w:left w:w="0" w:type="dxa"/>
                  <w:bottom w:w="0" w:type="dxa"/>
                  <w:right w:w="0" w:type="dxa"/>
                </w:tblCellMar>
              </w:tblPrEx>
              <w:trPr>
                <w:trHeight w:val="283" w:hRule="atLeast"/>
                <w:jc w:val="center"/>
              </w:trPr>
              <w:tc>
                <w:tcPr>
                  <w:tcW w:w="81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C0E7FB8">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混凝土搅拌机</w:t>
                  </w:r>
                </w:p>
              </w:tc>
              <w:tc>
                <w:tcPr>
                  <w:tcW w:w="62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37A5BE9">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5</w:t>
                  </w:r>
                </w:p>
              </w:tc>
              <w:tc>
                <w:tcPr>
                  <w:tcW w:w="57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A0E5537">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85</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0EE659E">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79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1C0A402D">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73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14D960B">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69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48CF60D">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65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418DBB7">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59 </w:t>
                  </w:r>
                </w:p>
              </w:tc>
              <w:tc>
                <w:tcPr>
                  <w:tcW w:w="6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6A3F411">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55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AF1EAF0">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53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C9ECDCB">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50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50F4A65">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49 </w:t>
                  </w:r>
                </w:p>
              </w:tc>
            </w:tr>
            <w:tr w14:paraId="03A6FD88">
              <w:tblPrEx>
                <w:tblCellMar>
                  <w:top w:w="0" w:type="dxa"/>
                  <w:left w:w="0" w:type="dxa"/>
                  <w:bottom w:w="0" w:type="dxa"/>
                  <w:right w:w="0" w:type="dxa"/>
                </w:tblCellMar>
              </w:tblPrEx>
              <w:trPr>
                <w:trHeight w:val="283" w:hRule="atLeast"/>
                <w:jc w:val="center"/>
              </w:trPr>
              <w:tc>
                <w:tcPr>
                  <w:tcW w:w="813"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51D15BD">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自卸式翻斗车</w:t>
                  </w:r>
                </w:p>
              </w:tc>
              <w:tc>
                <w:tcPr>
                  <w:tcW w:w="625"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561A18D3">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5</w:t>
                  </w:r>
                </w:p>
              </w:tc>
              <w:tc>
                <w:tcPr>
                  <w:tcW w:w="571"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0ADB4BB">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sz w:val="18"/>
                      <w:szCs w:val="18"/>
                      <w:highlight w:val="none"/>
                      <w14:textFill>
                        <w14:solidFill>
                          <w14:schemeClr w14:val="tx1"/>
                        </w14:solidFill>
                      </w14:textFill>
                    </w:rPr>
                    <w:t>74</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ABBF1E8">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68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4230FD08">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62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3B9EFEA4">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58 </w:t>
                  </w:r>
                </w:p>
              </w:tc>
              <w:tc>
                <w:tcPr>
                  <w:tcW w:w="63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713E6A6D">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54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0DF73E33">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48 </w:t>
                  </w:r>
                </w:p>
              </w:tc>
              <w:tc>
                <w:tcPr>
                  <w:tcW w:w="650"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1502BB9">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44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D3F5213">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42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27E9D00B">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39 </w:t>
                  </w:r>
                </w:p>
              </w:tc>
              <w:tc>
                <w:tcPr>
                  <w:tcW w:w="649"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center"/>
                </w:tcPr>
                <w:p w14:paraId="623AED43">
                  <w:pPr>
                    <w:widowControl/>
                    <w:adjustRightInd w:val="0"/>
                    <w:snapToGrid w:val="0"/>
                    <w:jc w:val="center"/>
                    <w:textAlignment w:val="center"/>
                    <w:rPr>
                      <w:rFonts w:hint="default" w:ascii="Times New Roman" w:hAnsi="Times New Roman" w:cs="Times New Roman"/>
                      <w:color w:val="000000" w:themeColor="text1"/>
                      <w:sz w:val="18"/>
                      <w:szCs w:val="18"/>
                      <w:highlight w:val="none"/>
                      <w14:textFill>
                        <w14:solidFill>
                          <w14:schemeClr w14:val="tx1"/>
                        </w14:solidFill>
                      </w14:textFill>
                    </w:rPr>
                  </w:pPr>
                  <w:r>
                    <w:rPr>
                      <w:rFonts w:hint="default" w:ascii="Times New Roman" w:hAnsi="Times New Roman" w:cs="Times New Roman"/>
                      <w:color w:val="000000" w:themeColor="text1"/>
                      <w:kern w:val="0"/>
                      <w:sz w:val="18"/>
                      <w:szCs w:val="18"/>
                      <w:highlight w:val="none"/>
                      <w:lang w:bidi="ar"/>
                      <w14:textFill>
                        <w14:solidFill>
                          <w14:schemeClr w14:val="tx1"/>
                        </w14:solidFill>
                      </w14:textFill>
                    </w:rPr>
                    <w:t xml:space="preserve">38 </w:t>
                  </w:r>
                </w:p>
              </w:tc>
            </w:tr>
          </w:tbl>
          <w:p w14:paraId="75E3F38F">
            <w:pPr>
              <w:spacing w:line="360" w:lineRule="auto"/>
              <w:ind w:firstLine="480" w:firstLineChars="200"/>
              <w:rPr>
                <w:rFonts w:hint="eastAsia"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根据表4-</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 xml:space="preserve"> 预测结果</w:t>
            </w:r>
            <w:r>
              <w:rPr>
                <w:rFonts w:hint="default" w:ascii="Times New Roman" w:hAnsi="Times New Roman" w:cs="Times New Roman"/>
                <w:color w:val="000000" w:themeColor="text1"/>
                <w:sz w:val="24"/>
                <w:highlight w:val="none"/>
                <w:lang w:val="en-US" w:eastAsia="zh-CN"/>
                <w14:textFill>
                  <w14:solidFill>
                    <w14:schemeClr w14:val="tx1"/>
                  </w14:solidFill>
                </w14:textFill>
              </w:rPr>
              <w:t>可以看出，</w:t>
            </w:r>
            <w:r>
              <w:rPr>
                <w:rFonts w:hint="default" w:ascii="Times New Roman" w:hAnsi="Times New Roman" w:eastAsia="宋体" w:cs="Times New Roman"/>
                <w:color w:val="000000" w:themeColor="text1"/>
                <w:sz w:val="24"/>
                <w:highlight w:val="none"/>
                <w14:textFill>
                  <w14:solidFill>
                    <w14:schemeClr w14:val="tx1"/>
                  </w14:solidFill>
                </w14:textFill>
              </w:rPr>
              <w:t>各单台设备在50m处产生的声级值均满足施工噪声昼间的限值标准；夜间施工设备噪声达标距离在280m外，280m范围内</w:t>
            </w:r>
            <w:r>
              <w:rPr>
                <w:rFonts w:hint="default" w:ascii="Times New Roman" w:hAnsi="Times New Roman" w:cs="Times New Roman"/>
                <w:color w:val="000000" w:themeColor="text1"/>
                <w:sz w:val="24"/>
                <w:highlight w:val="none"/>
                <w:lang w:eastAsia="zh-CN"/>
                <w14:textFill>
                  <w14:solidFill>
                    <w14:schemeClr w14:val="tx1"/>
                  </w14:solidFill>
                </w14:textFill>
              </w:rPr>
              <w:t>无</w:t>
            </w:r>
            <w:r>
              <w:rPr>
                <w:rFonts w:hint="default" w:ascii="Times New Roman" w:hAnsi="Times New Roman" w:eastAsia="宋体" w:cs="Times New Roman"/>
                <w:color w:val="000000" w:themeColor="text1"/>
                <w:sz w:val="24"/>
                <w:highlight w:val="none"/>
                <w14:textFill>
                  <w14:solidFill>
                    <w14:schemeClr w14:val="tx1"/>
                  </w14:solidFill>
                </w14:textFill>
              </w:rPr>
              <w:t>村屯分布</w:t>
            </w:r>
            <w:r>
              <w:rPr>
                <w:rFonts w:hint="eastAsia" w:cs="Times New Roman"/>
                <w:color w:val="000000" w:themeColor="text1"/>
                <w:sz w:val="24"/>
                <w:highlight w:val="none"/>
                <w:lang w:eastAsia="zh-CN"/>
                <w14:textFill>
                  <w14:solidFill>
                    <w14:schemeClr w14:val="tx1"/>
                  </w14:solidFill>
                </w14:textFill>
              </w:rPr>
              <w:t>。</w:t>
            </w:r>
          </w:p>
          <w:p w14:paraId="378C8B18">
            <w:pPr>
              <w:spacing w:line="360" w:lineRule="auto"/>
              <w:ind w:firstLine="480" w:firstLineChars="200"/>
              <w:rPr>
                <w:rFonts w:hint="eastAsia"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szCs w:val="32"/>
                <w14:textFill>
                  <w14:solidFill>
                    <w14:schemeClr w14:val="tx1"/>
                  </w14:solidFill>
                </w14:textFill>
              </w:rPr>
              <w:t>在实际施工过程中施工机械一般为间歇性使用，例如挖掘机仅在前期土石方开挖时使用，因此不会出现以上所有施工机械持续性的运行而造成强烈的噪声影响的情况。施工过程中，施工单位必须选择符合国家有关标准的施工机械及运输车辆，尽量选用低噪音、低振动的各类施工机械设备，注意维修养护及正确使用，使之保持较好工作状态和低声级水平；对排放高强度噪音的施工机械设备应设置隔声或消音装置，同时要加强各种机械设备的维修和保养，保持机械润滑，做好机械设备使用前的检修，使设备性能处于良好状态。</w:t>
            </w:r>
            <w:r>
              <w:rPr>
                <w:rFonts w:hint="default" w:ascii="Times New Roman" w:hAnsi="Times New Roman" w:cs="Times New Roman"/>
                <w:color w:val="000000" w:themeColor="text1"/>
                <w:sz w:val="24"/>
                <w:szCs w:val="32"/>
                <w:highlight w:val="none"/>
                <w14:textFill>
                  <w14:solidFill>
                    <w14:schemeClr w14:val="tx1"/>
                  </w14:solidFill>
                </w14:textFill>
              </w:rPr>
              <w:t>加强施工现场的交通管理，施工运输应优化安排施工车流量，运输车辆在行经村屯时，应严格执行限速行驶，时速应小于20km/h，并禁止鸣笛</w:t>
            </w:r>
            <w:r>
              <w:rPr>
                <w:rFonts w:hint="default" w:ascii="Times New Roman" w:hAnsi="Times New Roman" w:cs="Times New Roman"/>
                <w:color w:val="000000" w:themeColor="text1"/>
                <w:sz w:val="24"/>
                <w:szCs w:val="32"/>
                <w:highlight w:val="none"/>
                <w:lang w:eastAsia="zh-CN"/>
                <w14:textFill>
                  <w14:solidFill>
                    <w14:schemeClr w14:val="tx1"/>
                  </w14:solidFill>
                </w14:textFill>
              </w:rPr>
              <w:t>。</w:t>
            </w:r>
            <w:r>
              <w:rPr>
                <w:rFonts w:hint="default" w:ascii="Times New Roman" w:hAnsi="Times New Roman" w:cs="Times New Roman"/>
                <w:color w:val="000000" w:themeColor="text1"/>
                <w:sz w:val="24"/>
                <w:szCs w:val="32"/>
                <w14:textFill>
                  <w14:solidFill>
                    <w14:schemeClr w14:val="tx1"/>
                  </w14:solidFill>
                </w14:textFill>
              </w:rPr>
              <w:t>随着工程竣工，施工噪声的影响将不再存在，施工噪声对环境的不利影响是暂时的、短期的行为。</w:t>
            </w:r>
          </w:p>
          <w:p w14:paraId="3EC68A0C">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因此，</w:t>
            </w:r>
            <w:r>
              <w:rPr>
                <w:rFonts w:hint="default" w:ascii="Times New Roman" w:hAnsi="Times New Roman" w:cs="Times New Roman"/>
                <w:color w:val="000000" w:themeColor="text1"/>
                <w:sz w:val="24"/>
                <w:highlight w:val="none"/>
                <w:lang w:eastAsia="zh-CN"/>
                <w14:textFill>
                  <w14:solidFill>
                    <w14:schemeClr w14:val="tx1"/>
                  </w14:solidFill>
                </w14:textFill>
              </w:rPr>
              <w:t>对外环境影响较小</w:t>
            </w:r>
            <w:r>
              <w:rPr>
                <w:rFonts w:hint="default" w:ascii="Times New Roman" w:hAnsi="Times New Roman" w:eastAsia="宋体" w:cs="Times New Roman"/>
                <w:color w:val="000000" w:themeColor="text1"/>
                <w:sz w:val="24"/>
                <w:highlight w:val="none"/>
                <w14:textFill>
                  <w14:solidFill>
                    <w14:schemeClr w14:val="tx1"/>
                  </w14:solidFill>
                </w14:textFill>
              </w:rPr>
              <w:t>。</w:t>
            </w:r>
          </w:p>
          <w:p w14:paraId="1AD953B7">
            <w:pPr>
              <w:spacing w:line="360" w:lineRule="auto"/>
              <w:ind w:firstLine="482" w:firstLineChars="200"/>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5、</w:t>
            </w:r>
            <w:r>
              <w:rPr>
                <w:rFonts w:hint="default" w:ascii="Times New Roman" w:hAnsi="Times New Roman" w:cs="Times New Roman"/>
                <w:b/>
                <w:bCs/>
                <w:color w:val="000000" w:themeColor="text1"/>
                <w:sz w:val="24"/>
                <w:highlight w:val="none"/>
                <w14:textFill>
                  <w14:solidFill>
                    <w14:schemeClr w14:val="tx1"/>
                  </w14:solidFill>
                </w14:textFill>
              </w:rPr>
              <w:t>固体废物对环境的影响</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分析</w:t>
            </w:r>
          </w:p>
          <w:p w14:paraId="55FDC45D">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本工程高峰期施工人数</w:t>
            </w:r>
            <w:r>
              <w:rPr>
                <w:rFonts w:hint="default" w:ascii="Times New Roman" w:hAnsi="Times New Roman" w:cs="Times New Roman"/>
                <w:bCs/>
                <w:color w:val="000000" w:themeColor="text1"/>
                <w:sz w:val="24"/>
                <w:highlight w:val="none"/>
                <w:lang w:val="en-US" w:eastAsia="zh-CN"/>
                <w14:textFill>
                  <w14:solidFill>
                    <w14:schemeClr w14:val="tx1"/>
                  </w14:solidFill>
                </w14:textFill>
              </w:rPr>
              <w:t>60</w:t>
            </w:r>
            <w:r>
              <w:rPr>
                <w:rFonts w:hint="default" w:ascii="Times New Roman" w:hAnsi="Times New Roman" w:cs="Times New Roman"/>
                <w:bCs/>
                <w:color w:val="000000" w:themeColor="text1"/>
                <w:sz w:val="24"/>
                <w:highlight w:val="none"/>
                <w14:textFill>
                  <w14:solidFill>
                    <w14:schemeClr w14:val="tx1"/>
                  </w14:solidFill>
                </w14:textFill>
              </w:rPr>
              <w:t>人，施工人员按每人每天排放</w:t>
            </w:r>
            <w:r>
              <w:rPr>
                <w:rFonts w:hint="default" w:ascii="Times New Roman" w:hAnsi="Times New Roman" w:cs="Times New Roman"/>
                <w:bCs/>
                <w:color w:val="000000" w:themeColor="text1"/>
                <w:sz w:val="24"/>
                <w:highlight w:val="none"/>
                <w:lang w:val="en-US" w:eastAsia="zh-CN"/>
                <w14:textFill>
                  <w14:solidFill>
                    <w14:schemeClr w14:val="tx1"/>
                  </w14:solidFill>
                </w14:textFill>
              </w:rPr>
              <w:t>0.5</w:t>
            </w:r>
            <w:r>
              <w:rPr>
                <w:rFonts w:hint="default" w:ascii="Times New Roman" w:hAnsi="Times New Roman" w:cs="Times New Roman"/>
                <w:bCs/>
                <w:color w:val="000000" w:themeColor="text1"/>
                <w:sz w:val="24"/>
                <w:highlight w:val="none"/>
                <w14:textFill>
                  <w14:solidFill>
                    <w14:schemeClr w14:val="tx1"/>
                  </w14:solidFill>
                </w14:textFill>
              </w:rPr>
              <w:t>kg垃圾计算，则高峰期产生生活垃圾约为</w:t>
            </w:r>
            <w:r>
              <w:rPr>
                <w:rFonts w:hint="default" w:ascii="Times New Roman" w:hAnsi="Times New Roman" w:cs="Times New Roman"/>
                <w:bCs/>
                <w:color w:val="000000" w:themeColor="text1"/>
                <w:sz w:val="24"/>
                <w:highlight w:val="none"/>
                <w:lang w:val="en-US" w:eastAsia="zh-CN"/>
                <w14:textFill>
                  <w14:solidFill>
                    <w14:schemeClr w14:val="tx1"/>
                  </w14:solidFill>
                </w14:textFill>
              </w:rPr>
              <w:t>30</w:t>
            </w:r>
            <w:r>
              <w:rPr>
                <w:rFonts w:hint="default" w:ascii="Times New Roman" w:hAnsi="Times New Roman" w:cs="Times New Roman"/>
                <w:bCs/>
                <w:color w:val="000000" w:themeColor="text1"/>
                <w:sz w:val="24"/>
                <w:highlight w:val="none"/>
                <w14:textFill>
                  <w14:solidFill>
                    <w14:schemeClr w14:val="tx1"/>
                  </w14:solidFill>
                </w14:textFill>
              </w:rPr>
              <w:t>kg/d。施工人员产生的生活垃圾若随意堆放，不仅影响施工区环境景观，而且影响施工区环境卫生，夏秋季节易造成蚊、蝇孳生或鼠类繁殖，导致疾病流行，进而威胁施工人员身体健康。一旦垃圾中的污染物进入河流，将造成近岸水体悬浮物、浊度增加，有机污染物浓度增加，导致局部水域水质变差。生活垃圾采用垃圾箱收集，定期运往附近垃圾填埋场处理。</w:t>
            </w:r>
          </w:p>
          <w:p w14:paraId="54385384">
            <w:pPr>
              <w:spacing w:line="360" w:lineRule="auto"/>
              <w:ind w:firstLine="480" w:firstLineChars="200"/>
              <w:rPr>
                <w:rFonts w:hint="default"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工程动用土方总量为</w:t>
            </w:r>
            <w:r>
              <w:rPr>
                <w:rFonts w:hint="eastAsia" w:cs="Times New Roman"/>
                <w:caps w:val="0"/>
                <w:color w:val="000000" w:themeColor="text1"/>
                <w:sz w:val="24"/>
                <w:szCs w:val="32"/>
                <w:highlight w:val="none"/>
                <w:lang w:val="en-US" w:eastAsia="zh-CN"/>
                <w14:textFill>
                  <w14:solidFill>
                    <w14:schemeClr w14:val="tx1"/>
                  </w14:solidFill>
                </w14:textFill>
              </w:rPr>
              <w:t>4.20</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，其中挖方1.70万m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，填方1.70万m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w:t>
            </w:r>
            <w:r>
              <w:rPr>
                <w:rFonts w:hint="eastAsia" w:cs="Times New Roman"/>
                <w:caps w:val="0"/>
                <w:color w:val="000000" w:themeColor="text1"/>
                <w:sz w:val="24"/>
                <w:szCs w:val="32"/>
                <w:highlight w:val="none"/>
                <w:lang w:val="en-US" w:eastAsia="zh-CN"/>
                <w14:textFill>
                  <w14:solidFill>
                    <w14:schemeClr w14:val="tx1"/>
                  </w14:solidFill>
                </w14:textFill>
              </w:rPr>
              <w:t>石方填方量为0.8</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eastAsia" w:cs="Times New Roman"/>
                <w:caps w:val="0"/>
                <w:color w:val="000000" w:themeColor="text1"/>
                <w:sz w:val="24"/>
                <w:szCs w:val="32"/>
                <w:highlight w:val="none"/>
                <w:lang w:val="en-US" w:eastAsia="zh-CN"/>
                <w14:textFill>
                  <w14:solidFill>
                    <w14:schemeClr w14:val="tx1"/>
                  </w14:solidFill>
                </w14:textFill>
              </w:rPr>
              <w:t>，</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无弃土</w:t>
            </w:r>
            <w:r>
              <w:rPr>
                <w:rFonts w:hint="eastAsia" w:cs="Times New Roman"/>
                <w:caps w:val="0"/>
                <w:color w:val="000000" w:themeColor="text1"/>
                <w:sz w:val="24"/>
                <w:szCs w:val="32"/>
                <w:highlight w:val="none"/>
                <w:lang w:val="en-US" w:eastAsia="zh-CN"/>
                <w14:textFill>
                  <w14:solidFill>
                    <w14:schemeClr w14:val="tx1"/>
                  </w14:solidFill>
                </w14:textFill>
              </w:rPr>
              <w:t>，本项目石方来源于密山市建材市场</w:t>
            </w:r>
            <w:r>
              <w:rPr>
                <w:rFonts w:hint="default" w:ascii="Times New Roman" w:hAnsi="Times New Roman" w:cs="Times New Roman"/>
                <w:color w:val="000000" w:themeColor="text1"/>
                <w:sz w:val="24"/>
                <w:szCs w:val="24"/>
                <w:highlight w:val="none"/>
                <w14:textFill>
                  <w14:solidFill>
                    <w14:schemeClr w14:val="tx1"/>
                  </w14:solidFill>
                </w14:textFill>
              </w:rPr>
              <w:t>，</w:t>
            </w:r>
            <w:r>
              <w:rPr>
                <w:rFonts w:hint="default" w:ascii="Times New Roman" w:hAnsi="Times New Roman" w:cs="Times New Roman"/>
                <w:color w:val="000000" w:themeColor="text1"/>
                <w:sz w:val="24"/>
                <w:szCs w:val="24"/>
                <w:highlight w:val="none"/>
                <w:lang w:eastAsia="zh-CN"/>
                <w14:textFill>
                  <w14:solidFill>
                    <w14:schemeClr w14:val="tx1"/>
                  </w14:solidFill>
                </w14:textFill>
              </w:rPr>
              <w:t>本项目挖填方量主要为坝顶以及背水侧的挖填方，</w:t>
            </w:r>
            <w:r>
              <w:rPr>
                <w:rFonts w:hint="default" w:ascii="Times New Roman" w:hAnsi="Times New Roman" w:cs="Times New Roman"/>
                <w:color w:val="000000" w:themeColor="text1"/>
                <w:sz w:val="24"/>
                <w:szCs w:val="24"/>
                <w:highlight w:val="none"/>
                <w14:textFill>
                  <w14:solidFill>
                    <w14:schemeClr w14:val="tx1"/>
                  </w14:solidFill>
                </w14:textFill>
              </w:rPr>
              <w:t>溢洪道</w:t>
            </w:r>
            <w:r>
              <w:rPr>
                <w:rFonts w:hint="default" w:ascii="Times New Roman" w:hAnsi="Times New Roman" w:cs="Times New Roman"/>
                <w:color w:val="000000" w:themeColor="text1"/>
                <w:sz w:val="24"/>
                <w:szCs w:val="24"/>
                <w:highlight w:val="none"/>
                <w:lang w:eastAsia="zh-CN"/>
                <w14:textFill>
                  <w14:solidFill>
                    <w14:schemeClr w14:val="tx1"/>
                  </w14:solidFill>
                </w14:textFill>
              </w:rPr>
              <w:t>与</w:t>
            </w:r>
            <w:r>
              <w:rPr>
                <w:rFonts w:hint="default" w:ascii="Times New Roman" w:hAnsi="Times New Roman" w:cs="Times New Roman"/>
                <w:color w:val="000000" w:themeColor="text1"/>
                <w:sz w:val="24"/>
                <w:szCs w:val="24"/>
                <w:highlight w:val="none"/>
                <w14:textFill>
                  <w14:solidFill>
                    <w14:schemeClr w14:val="tx1"/>
                  </w14:solidFill>
                </w14:textFill>
              </w:rPr>
              <w:t>输水洞</w:t>
            </w:r>
            <w:r>
              <w:rPr>
                <w:rFonts w:hint="default" w:ascii="Times New Roman" w:hAnsi="Times New Roman" w:cs="Times New Roman"/>
                <w:color w:val="000000" w:themeColor="text1"/>
                <w:sz w:val="24"/>
                <w:szCs w:val="24"/>
                <w:highlight w:val="none"/>
                <w:lang w:eastAsia="zh-CN"/>
                <w14:textFill>
                  <w14:solidFill>
                    <w14:schemeClr w14:val="tx1"/>
                  </w14:solidFill>
                </w14:textFill>
              </w:rPr>
              <w:t>利用现有加固不进行开挖，本项目无弃方量，</w:t>
            </w:r>
            <w:r>
              <w:rPr>
                <w:rFonts w:hint="default" w:ascii="Times New Roman" w:hAnsi="Times New Roman" w:cs="Times New Roman"/>
                <w:color w:val="000000" w:themeColor="text1"/>
                <w:sz w:val="24"/>
                <w:szCs w:val="24"/>
                <w:highlight w:val="none"/>
                <w14:textFill>
                  <w14:solidFill>
                    <w14:schemeClr w14:val="tx1"/>
                  </w14:solidFill>
                </w14:textFill>
              </w:rPr>
              <w:t>工程无永久弃渣堆存，不设置弃渣场</w:t>
            </w:r>
            <w:r>
              <w:rPr>
                <w:rFonts w:hint="default" w:ascii="Times New Roman" w:hAnsi="Times New Roman" w:cs="Times New Roman"/>
                <w:color w:val="000000" w:themeColor="text1"/>
                <w:sz w:val="24"/>
                <w:szCs w:val="24"/>
                <w:highlight w:val="none"/>
                <w:lang w:eastAsia="zh-CN"/>
                <w14:textFill>
                  <w14:solidFill>
                    <w14:schemeClr w14:val="tx1"/>
                  </w14:solidFill>
                </w14:textFill>
              </w:rPr>
              <w:t>。</w:t>
            </w:r>
          </w:p>
          <w:p w14:paraId="6419A014">
            <w:pPr>
              <w:adjustRightInd w:val="0"/>
              <w:snapToGrid w:val="0"/>
              <w:spacing w:line="360" w:lineRule="auto"/>
              <w:ind w:firstLine="480" w:firstLineChars="200"/>
              <w:rPr>
                <w:rFonts w:hint="default" w:ascii="Times New Roman" w:hAnsi="Times New Roman" w:cs="Times New Roman"/>
                <w:bCs/>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cs="Times New Roman"/>
                <w:bCs/>
                <w:color w:val="000000" w:themeColor="text1"/>
                <w:sz w:val="24"/>
                <w:highlight w:val="none"/>
                <w14:textFill>
                  <w14:solidFill>
                    <w14:schemeClr w14:val="tx1"/>
                  </w14:solidFill>
                </w14:textFill>
              </w:rPr>
              <w:t>风险影响评价</w:t>
            </w:r>
          </w:p>
          <w:p w14:paraId="227C5D7B">
            <w:pPr>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bCs/>
                <w:color w:val="000000" w:themeColor="text1"/>
                <w:sz w:val="24"/>
                <w:highlight w:val="none"/>
                <w14:textFill>
                  <w14:solidFill>
                    <w14:schemeClr w14:val="tx1"/>
                  </w14:solidFill>
                </w14:textFill>
              </w:rPr>
              <w:t>工程在施工期间的汽、柴油全部外购，购买燃油较为方便，施工机械</w:t>
            </w:r>
            <w:r>
              <w:rPr>
                <w:rFonts w:hint="default" w:ascii="Times New Roman" w:hAnsi="Times New Roman" w:cs="Times New Roman"/>
                <w:bCs/>
                <w:color w:val="000000" w:themeColor="text1"/>
                <w:sz w:val="24"/>
                <w:highlight w:val="none"/>
                <w:lang w:val="en-US" w:eastAsia="zh-CN"/>
                <w14:textFill>
                  <w14:solidFill>
                    <w14:schemeClr w14:val="tx1"/>
                  </w14:solidFill>
                </w14:textFill>
              </w:rPr>
              <w:t>及</w:t>
            </w:r>
            <w:r>
              <w:rPr>
                <w:rFonts w:hint="default" w:ascii="Times New Roman" w:hAnsi="Times New Roman" w:cs="Times New Roman"/>
                <w:bCs/>
                <w:color w:val="000000" w:themeColor="text1"/>
                <w:sz w:val="24"/>
                <w:highlight w:val="none"/>
                <w14:textFill>
                  <w14:solidFill>
                    <w14:schemeClr w14:val="tx1"/>
                  </w14:solidFill>
                </w14:textFill>
              </w:rPr>
              <w:t>发动机需要的燃油根据需要购买，随用随买，不设置燃料油储存设施，因此，本工程无风险源。</w:t>
            </w:r>
          </w:p>
          <w:p w14:paraId="415C9AB8">
            <w:pPr>
              <w:spacing w:line="360" w:lineRule="auto"/>
              <w:ind w:firstLine="480" w:firstLineChars="200"/>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p>
          <w:p w14:paraId="5F8DD507">
            <w:pPr>
              <w:spacing w:line="360" w:lineRule="auto"/>
              <w:ind w:firstLine="482" w:firstLineChars="200"/>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pPr>
          </w:p>
        </w:tc>
      </w:tr>
      <w:tr w14:paraId="1D05EE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8" w:hRule="atLeast"/>
          <w:jc w:val="center"/>
        </w:trPr>
        <w:tc>
          <w:tcPr>
            <w:tcW w:w="879" w:type="dxa"/>
            <w:tcMar>
              <w:left w:w="28" w:type="dxa"/>
              <w:right w:w="28" w:type="dxa"/>
            </w:tcMar>
            <w:vAlign w:val="center"/>
          </w:tcPr>
          <w:p w14:paraId="7E28BD55">
            <w:pPr>
              <w:pStyle w:val="19"/>
              <w:adjustRightInd w:val="0"/>
              <w:snapToGrid w:val="0"/>
              <w:spacing w:before="0" w:beforeAutospacing="0" w:after="0" w:afterAutospacing="0"/>
              <w:jc w:val="center"/>
              <w:rPr>
                <w:rFonts w:hint="default" w:ascii="Times New Roman" w:hAnsi="Times New Roman" w:cs="Times New Roman" w:eastAsiaTheme="minorEastAsia"/>
                <w:bCs/>
                <w:color w:val="000000" w:themeColor="text1"/>
                <w:kern w:val="2"/>
                <w:sz w:val="21"/>
                <w:szCs w:val="21"/>
                <w:highlight w:val="none"/>
                <w14:textFill>
                  <w14:solidFill>
                    <w14:schemeClr w14:val="tx1"/>
                  </w14:solidFill>
                </w14:textFill>
              </w:rPr>
            </w:pPr>
            <w:bookmarkStart w:id="24" w:name="_Toc10236"/>
            <w:r>
              <w:rPr>
                <w:rFonts w:hint="default" w:ascii="Times New Roman" w:hAnsi="Times New Roman" w:cs="Times New Roman" w:eastAsiaTheme="minorEastAsia"/>
                <w:bCs/>
                <w:color w:val="000000" w:themeColor="text1"/>
                <w:spacing w:val="10"/>
                <w:kern w:val="2"/>
                <w:sz w:val="24"/>
                <w:szCs w:val="24"/>
                <w:highlight w:val="none"/>
                <w14:textFill>
                  <w14:solidFill>
                    <w14:schemeClr w14:val="tx1"/>
                  </w14:solidFill>
                </w14:textFill>
              </w:rPr>
              <w:t>运营期生态环境影响分析</w:t>
            </w:r>
            <w:bookmarkEnd w:id="24"/>
          </w:p>
        </w:tc>
        <w:tc>
          <w:tcPr>
            <w:tcW w:w="8363" w:type="dxa"/>
          </w:tcPr>
          <w:p w14:paraId="0231AE45">
            <w:pPr>
              <w:spacing w:line="360" w:lineRule="auto"/>
              <w:ind w:firstLine="482" w:firstLineChars="200"/>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spacing w:val="10"/>
                <w:sz w:val="24"/>
                <w:highlight w:val="none"/>
                <w14:textFill>
                  <w14:solidFill>
                    <w14:schemeClr w14:val="tx1"/>
                  </w14:solidFill>
                </w14:textFill>
              </w:rPr>
              <w:t>对地表水环境的影响</w:t>
            </w:r>
          </w:p>
          <w:p w14:paraId="5286A241">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b w:val="0"/>
                <w:bCs w:val="0"/>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eastAsiaTheme="minorEastAsia"/>
                <w:b w:val="0"/>
                <w:bCs w:val="0"/>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水文情势影响</w:t>
            </w:r>
          </w:p>
          <w:p w14:paraId="59F674DF">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本次除险加固工程实施后，水库的正常蓄水位、汛限水位均没有发生变化，工程任务均未发生变化，不会对坝址上下游水文情势产生影响。</w:t>
            </w:r>
          </w:p>
          <w:p w14:paraId="728409F7">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（2）地表水水质</w:t>
            </w:r>
          </w:p>
          <w:p w14:paraId="335B1217">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水库除险加固实施后，水库运行本身不产生水污染物。</w:t>
            </w:r>
          </w:p>
          <w:p w14:paraId="43A51EE8">
            <w:pPr>
              <w:spacing w:line="360" w:lineRule="auto"/>
              <w:ind w:firstLine="482" w:firstLineChars="200"/>
              <w:rPr>
                <w:rFonts w:hint="default" w:ascii="Times New Roman" w:hAnsi="Times New Roman" w:cs="Times New Roman" w:eastAsiaTheme="minorEastAsia"/>
                <w:b/>
                <w:bCs/>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地下水环境影响分析</w:t>
            </w:r>
          </w:p>
          <w:p w14:paraId="5B12BD0B">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本次除险加固后，</w:t>
            </w: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库正常蓄水位和死水位不变，除险加固后可有效减少水库的水量渗漏损失，逐渐形成未渗漏时的地下水动态平衡，工程区地下水的补给来源主要为大气降水，即水库除险加固后不会引起区域地下水流场或地下水水位变化。</w:t>
            </w:r>
          </w:p>
          <w:p w14:paraId="1305B80B">
            <w:pPr>
              <w:spacing w:line="360" w:lineRule="auto"/>
              <w:ind w:firstLine="482" w:firstLineChars="200"/>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3、对生态环境的影响</w:t>
            </w:r>
          </w:p>
          <w:p w14:paraId="36FD130F">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本工程是生态影响类项目。工程完工后，临时占地清理后进行全面整地并恢复原地类的生态功能，经过生态恢复整治，临时占地对陆生生态环境影响不大。本工程完工后不改变水库的原功能，不改变库区正常蓄水位，实际运行时，河道内水位、流速较工程实施前基本没有变化，水生生境基本维持原状。因此本工程运行对评价范围内及上下游水生生态环境不会造成影响。</w:t>
            </w:r>
          </w:p>
          <w:p w14:paraId="003130E4">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p>
          <w:p w14:paraId="36A16177">
            <w:pPr>
              <w:spacing w:line="360" w:lineRule="auto"/>
              <w:ind w:firstLine="420" w:firstLineChars="200"/>
              <w:rPr>
                <w:rFonts w:hint="default" w:ascii="Times New Roman" w:hAnsi="Times New Roman" w:cs="Times New Roman" w:eastAsiaTheme="minorEastAsia"/>
                <w:bCs/>
                <w:color w:val="000000" w:themeColor="text1"/>
                <w:szCs w:val="21"/>
                <w:highlight w:val="none"/>
                <w:lang w:eastAsia="zh-CN"/>
                <w14:textFill>
                  <w14:solidFill>
                    <w14:schemeClr w14:val="tx1"/>
                  </w14:solidFill>
                </w14:textFill>
              </w:rPr>
            </w:pPr>
          </w:p>
        </w:tc>
      </w:tr>
      <w:tr w14:paraId="2DD677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9" w:type="dxa"/>
            <w:vAlign w:val="center"/>
          </w:tcPr>
          <w:p w14:paraId="6BE9D121">
            <w:pPr>
              <w:pStyle w:val="19"/>
              <w:adjustRightInd w:val="0"/>
              <w:snapToGrid w:val="0"/>
              <w:spacing w:before="0" w:beforeAutospacing="0" w:after="0" w:afterAutospacing="0"/>
              <w:jc w:val="center"/>
              <w:rPr>
                <w:rFonts w:hint="default" w:ascii="Times New Roman" w:hAnsi="Times New Roman" w:cs="Times New Roman" w:eastAsiaTheme="minorEastAsia"/>
                <w:bCs/>
                <w:color w:val="000000" w:themeColor="text1"/>
                <w:kern w:val="2"/>
                <w:sz w:val="21"/>
                <w:szCs w:val="21"/>
                <w:highlight w:val="none"/>
                <w14:textFill>
                  <w14:solidFill>
                    <w14:schemeClr w14:val="tx1"/>
                  </w14:solidFill>
                </w14:textFill>
              </w:rPr>
            </w:pPr>
            <w:bookmarkStart w:id="25" w:name="_Toc20762"/>
            <w:r>
              <w:rPr>
                <w:rFonts w:hint="default" w:ascii="Times New Roman" w:hAnsi="Times New Roman" w:cs="Times New Roman" w:eastAsiaTheme="minorEastAsia"/>
                <w:bCs/>
                <w:color w:val="000000" w:themeColor="text1"/>
                <w:kern w:val="2"/>
                <w:sz w:val="21"/>
                <w:szCs w:val="21"/>
                <w:highlight w:val="none"/>
                <w14:textFill>
                  <w14:solidFill>
                    <w14:schemeClr w14:val="tx1"/>
                  </w14:solidFill>
                </w14:textFill>
              </w:rPr>
              <w:t>选址选线环境合理性分析</w:t>
            </w:r>
            <w:bookmarkEnd w:id="25"/>
          </w:p>
        </w:tc>
        <w:tc>
          <w:tcPr>
            <w:tcW w:w="8363" w:type="dxa"/>
          </w:tcPr>
          <w:p w14:paraId="0D3B5391">
            <w:pPr>
              <w:adjustRightInd w:val="0"/>
              <w:snapToGrid w:val="0"/>
              <w:spacing w:line="360" w:lineRule="auto"/>
              <w:ind w:firstLine="482"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项目选址、选线合理性分析</w:t>
            </w:r>
          </w:p>
          <w:p w14:paraId="3C6C9BFE">
            <w:pPr>
              <w:adjustRightInd w:val="0"/>
              <w:snapToGrid w:val="0"/>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水库工程不涉及环境敏感区。经环境影响分析与评价，在采取相关污染防治措施的前提下，本项目对周边环境质量影响很小，</w:t>
            </w:r>
            <w:r>
              <w:rPr>
                <w:rFonts w:hint="default" w:ascii="Times New Roman" w:hAnsi="Times New Roman" w:cs="Times New Roman" w:eastAsiaTheme="minorEastAsia"/>
                <w:color w:val="000000" w:themeColor="text1"/>
                <w:sz w:val="24"/>
                <w:highlight w:val="none"/>
                <w14:textFill>
                  <w14:solidFill>
                    <w14:schemeClr w14:val="tx1"/>
                  </w14:solidFill>
                </w14:textFill>
              </w:rPr>
              <w:t>工程设计方案和工程布局是合理的。</w:t>
            </w:r>
          </w:p>
          <w:p w14:paraId="550FA98B">
            <w:pPr>
              <w:adjustRightInd w:val="0"/>
              <w:snapToGrid w:val="0"/>
              <w:spacing w:line="360" w:lineRule="auto"/>
              <w:ind w:firstLine="482" w:firstLineChars="200"/>
              <w:rPr>
                <w:rFonts w:hint="default" w:ascii="Times New Roman" w:hAnsi="Times New Roman" w:cs="Times New Roman" w:eastAsiaTheme="minorEastAsia"/>
                <w:b/>
                <w:bCs/>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2、</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施工布置的合理性分析</w:t>
            </w:r>
          </w:p>
          <w:p w14:paraId="0DFA6E94">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（1）施工生产生活区布置环境合理性分析</w:t>
            </w:r>
          </w:p>
          <w:p w14:paraId="6D206FE2">
            <w:pPr>
              <w:adjustRightInd w:val="0"/>
              <w:snapToGrid w:val="0"/>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施工生产生活区占用地类为</w:t>
            </w:r>
            <w:r>
              <w:rPr>
                <w:rFonts w:hint="eastAsia" w:cs="Times New Roman"/>
                <w:color w:val="000000" w:themeColor="text1"/>
                <w:kern w:val="0"/>
                <w:sz w:val="24"/>
                <w:lang w:val="en-US" w:eastAsia="zh-CN"/>
                <w14:textFill>
                  <w14:solidFill>
                    <w14:schemeClr w14:val="tx1"/>
                  </w14:solidFill>
                </w14:textFill>
              </w:rPr>
              <w:t>公共管理与公共服务用地</w:t>
            </w:r>
            <w:r>
              <w:rPr>
                <w:rFonts w:hint="default" w:ascii="Times New Roman" w:hAnsi="Times New Roman" w:eastAsia="宋体" w:cs="Times New Roman"/>
                <w:color w:val="000000" w:themeColor="text1"/>
                <w:kern w:val="0"/>
                <w:sz w:val="24"/>
                <w:lang w:val="en-US" w:eastAsia="zh-CN"/>
                <w14:textFill>
                  <w14:solidFill>
                    <w14:schemeClr w14:val="tx1"/>
                  </w14:solidFill>
                </w14:textFill>
              </w:rPr>
              <w:t>，现状为</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水库管理站</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。施工结束临建拆除，主体设计对占用</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管理站</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区域采取</w:t>
            </w: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恢复</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措施，施工生产设施集中布置，有利于各施工污染环节统一集中处理，保证处理效果，避免对水体的污染。施工结束后，通过全面整地、进行植被恢复，基本不会造成植被资源损失。因此施工生产生活区</w:t>
            </w: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选址</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是合理可行的。</w:t>
            </w:r>
          </w:p>
        </w:tc>
      </w:tr>
    </w:tbl>
    <w:p w14:paraId="37843449">
      <w:pPr>
        <w:pStyle w:val="19"/>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26" w:name="_Toc12113"/>
    </w:p>
    <w:p w14:paraId="4F228625">
      <w:pPr>
        <w:pStyle w:val="19"/>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27" w:name="_Toc17214"/>
      <w:bookmarkStart w:id="28" w:name="_Toc29204"/>
      <w:bookmarkStart w:id="29" w:name="_Toc4869"/>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五、主要生态环境保护措施</w:t>
      </w:r>
      <w:bookmarkEnd w:id="26"/>
      <w:bookmarkEnd w:id="27"/>
      <w:bookmarkEnd w:id="28"/>
      <w:bookmarkEnd w:id="29"/>
    </w:p>
    <w:tbl>
      <w:tblPr>
        <w:tblStyle w:val="22"/>
        <w:tblW w:w="921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53"/>
        <w:gridCol w:w="8457"/>
      </w:tblGrid>
      <w:tr w14:paraId="76D016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753" w:type="dxa"/>
            <w:tcMar>
              <w:left w:w="28" w:type="dxa"/>
              <w:right w:w="28" w:type="dxa"/>
            </w:tcMar>
            <w:vAlign w:val="center"/>
          </w:tcPr>
          <w:p w14:paraId="15D65911">
            <w:pPr>
              <w:adjustRightInd w:val="0"/>
              <w:snapToGrid w:val="0"/>
              <w:jc w:val="center"/>
              <w:rPr>
                <w:rFonts w:hint="default" w:ascii="Times New Roman" w:hAnsi="Times New Roman" w:cs="Times New Roman" w:eastAsiaTheme="minorEastAsia"/>
                <w:bCs/>
                <w:color w:val="000000" w:themeColor="text1"/>
                <w:szCs w:val="21"/>
                <w:highlight w:val="none"/>
                <w14:textFill>
                  <w14:solidFill>
                    <w14:schemeClr w14:val="tx1"/>
                  </w14:solidFill>
                </w14:textFill>
              </w:rPr>
            </w:pPr>
            <w:r>
              <w:rPr>
                <w:rFonts w:hint="default" w:ascii="Times New Roman" w:hAnsi="Times New Roman" w:cs="Times New Roman" w:eastAsiaTheme="minorEastAsia"/>
                <w:bCs/>
                <w:color w:val="000000" w:themeColor="text1"/>
                <w:spacing w:val="10"/>
                <w:sz w:val="24"/>
                <w:szCs w:val="24"/>
                <w:highlight w:val="none"/>
                <w14:textFill>
                  <w14:solidFill>
                    <w14:schemeClr w14:val="tx1"/>
                  </w14:solidFill>
                </w14:textFill>
              </w:rPr>
              <w:t>施工期生态环境保护措施</w:t>
            </w:r>
          </w:p>
        </w:tc>
        <w:tc>
          <w:tcPr>
            <w:tcW w:w="8457" w:type="dxa"/>
          </w:tcPr>
          <w:p w14:paraId="7772D47D">
            <w:pPr>
              <w:spacing w:line="360" w:lineRule="auto"/>
              <w:ind w:firstLine="522" w:firstLineChars="200"/>
              <w:rPr>
                <w:rFonts w:hint="default" w:ascii="Times New Roman" w:hAnsi="Times New Roman" w:cs="Times New Roman" w:eastAsiaTheme="minorEastAsia"/>
                <w:b/>
                <w:bCs w:val="0"/>
                <w:color w:val="000000" w:themeColor="text1"/>
                <w:kern w:val="0"/>
                <w:sz w:val="24"/>
                <w:highlight w:val="none"/>
                <w:lang w:eastAsia="zh-CN"/>
                <w14:textFill>
                  <w14:solidFill>
                    <w14:schemeClr w14:val="tx1"/>
                  </w14:solidFill>
                </w14:textFill>
              </w:rPr>
            </w:pPr>
            <w:r>
              <w:rPr>
                <w:rFonts w:hint="default" w:ascii="Times New Roman" w:hAnsi="Times New Roman" w:cs="Times New Roman"/>
                <w:b/>
                <w:bCs w:val="0"/>
                <w:color w:val="000000" w:themeColor="text1"/>
                <w:spacing w:val="10"/>
                <w:sz w:val="24"/>
                <w:highlight w:val="none"/>
                <w:lang w:val="en-US" w:eastAsia="zh-CN"/>
                <w14:textFill>
                  <w14:solidFill>
                    <w14:schemeClr w14:val="tx1"/>
                  </w14:solidFill>
                </w14:textFill>
              </w:rPr>
              <w:t>1、</w:t>
            </w:r>
            <w:r>
              <w:rPr>
                <w:rFonts w:hint="default" w:ascii="Times New Roman" w:hAnsi="Times New Roman" w:cs="Times New Roman"/>
                <w:b/>
                <w:bCs w:val="0"/>
                <w:color w:val="000000" w:themeColor="text1"/>
                <w:spacing w:val="10"/>
                <w:sz w:val="24"/>
                <w:highlight w:val="none"/>
                <w14:textFill>
                  <w14:solidFill>
                    <w14:schemeClr w14:val="tx1"/>
                  </w14:solidFill>
                </w14:textFill>
              </w:rPr>
              <w:t>生态保护措施</w:t>
            </w:r>
          </w:p>
          <w:p w14:paraId="79532709">
            <w:pPr>
              <w:pStyle w:val="6"/>
              <w:spacing w:before="0" w:after="0" w:line="360" w:lineRule="auto"/>
              <w:ind w:firstLine="480" w:firstLineChars="200"/>
              <w:rPr>
                <w:rFonts w:hint="default" w:ascii="Times New Roman" w:hAnsi="Times New Roman" w:cs="Times New Roman"/>
                <w:b w:val="0"/>
                <w:color w:val="000000" w:themeColor="text1"/>
                <w:sz w:val="24"/>
                <w:szCs w:val="24"/>
                <w:highlight w:val="none"/>
                <w14:textFill>
                  <w14:solidFill>
                    <w14:schemeClr w14:val="tx1"/>
                  </w14:solidFill>
                </w14:textFill>
              </w:rPr>
            </w:pPr>
            <w:r>
              <w:rPr>
                <w:rFonts w:hint="default" w:ascii="Times New Roman" w:hAnsi="Times New Roman" w:cs="Times New Roman"/>
                <w:b w:val="0"/>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val="0"/>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b w:val="0"/>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val="0"/>
                <w:color w:val="000000" w:themeColor="text1"/>
                <w:sz w:val="24"/>
                <w:szCs w:val="24"/>
                <w:highlight w:val="none"/>
                <w14:textFill>
                  <w14:solidFill>
                    <w14:schemeClr w14:val="tx1"/>
                  </w14:solidFill>
                </w14:textFill>
              </w:rPr>
              <w:t>预防措施</w:t>
            </w:r>
          </w:p>
          <w:p w14:paraId="6ACE46C7">
            <w:pPr>
              <w:spacing w:line="360" w:lineRule="auto"/>
              <w:ind w:firstLine="480" w:firstLineChars="200"/>
              <w:rPr>
                <w:rFonts w:hint="default" w:ascii="Times New Roman" w:hAnsi="Times New Roman" w:cs="Times New Roman" w:eastAsiaTheme="minorEastAsia"/>
                <w:b/>
                <w:bCs/>
                <w:color w:val="000000" w:themeColor="text1"/>
                <w:kern w:val="0"/>
                <w:sz w:val="24"/>
                <w:highlight w:val="none"/>
                <w:lang w:eastAsia="zh-CN"/>
                <w14:textFill>
                  <w14:solidFill>
                    <w14:schemeClr w14:val="tx1"/>
                  </w14:solidFill>
                </w14:textFill>
              </w:rPr>
            </w:pPr>
            <w:r>
              <w:rPr>
                <w:rFonts w:hint="default" w:ascii="Times New Roman" w:hAnsi="Times New Roman" w:cs="Times New Roman"/>
                <w:b w:val="0"/>
                <w:color w:val="000000" w:themeColor="text1"/>
                <w:sz w:val="24"/>
                <w:szCs w:val="24"/>
                <w:highlight w:val="none"/>
                <w14:textFill>
                  <w14:solidFill>
                    <w14:schemeClr w14:val="tx1"/>
                  </w14:solidFill>
                </w14:textFill>
              </w:rPr>
              <w:t>根据工程布置，合理优化施工区布置，尽可能减少临时占地，减少对生态环境破坏。</w:t>
            </w:r>
          </w:p>
          <w:p w14:paraId="0825E241">
            <w:pPr>
              <w:pStyle w:val="6"/>
              <w:spacing w:before="0" w:after="0" w:line="360" w:lineRule="auto"/>
              <w:ind w:firstLine="480" w:firstLineChars="200"/>
              <w:rPr>
                <w:rFonts w:hint="default" w:ascii="Times New Roman" w:hAnsi="Times New Roman" w:cs="Times New Roman"/>
                <w:b w:val="0"/>
                <w:color w:val="000000" w:themeColor="text1"/>
                <w:sz w:val="24"/>
                <w:szCs w:val="24"/>
                <w:highlight w:val="none"/>
                <w14:textFill>
                  <w14:solidFill>
                    <w14:schemeClr w14:val="tx1"/>
                  </w14:solidFill>
                </w14:textFill>
              </w:rPr>
            </w:pPr>
            <w:r>
              <w:rPr>
                <w:rFonts w:hint="default" w:ascii="Times New Roman" w:hAnsi="Times New Roman" w:cs="Times New Roman"/>
                <w:b w:val="0"/>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val="0"/>
                <w:color w:val="000000" w:themeColor="text1"/>
                <w:sz w:val="24"/>
                <w:szCs w:val="24"/>
                <w:highlight w:val="none"/>
                <w:lang w:val="en-US" w:eastAsia="zh-CN"/>
                <w14:textFill>
                  <w14:solidFill>
                    <w14:schemeClr w14:val="tx1"/>
                  </w14:solidFill>
                </w14:textFill>
              </w:rPr>
              <w:t>2</w:t>
            </w:r>
            <w:r>
              <w:rPr>
                <w:rFonts w:hint="default" w:ascii="Times New Roman" w:hAnsi="Times New Roman" w:cs="Times New Roman"/>
                <w:b w:val="0"/>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val="0"/>
                <w:color w:val="000000" w:themeColor="text1"/>
                <w:sz w:val="24"/>
                <w:szCs w:val="24"/>
                <w:highlight w:val="none"/>
                <w14:textFill>
                  <w14:solidFill>
                    <w14:schemeClr w14:val="tx1"/>
                  </w14:solidFill>
                </w14:textFill>
              </w:rPr>
              <w:t>管理措施</w:t>
            </w:r>
          </w:p>
          <w:p w14:paraId="7B4D90B4">
            <w:pPr>
              <w:spacing w:line="360" w:lineRule="auto"/>
              <w:ind w:firstLine="480" w:firstLineChars="200"/>
              <w:rPr>
                <w:rFonts w:hint="default" w:ascii="Times New Roman" w:hAnsi="Times New Roman" w:eastAsia="宋体" w:cs="Times New Roman"/>
                <w:b/>
                <w:bCs/>
                <w:color w:val="000000" w:themeColor="text1"/>
                <w:kern w:val="0"/>
                <w:sz w:val="24"/>
                <w:highlight w:val="none"/>
                <w:lang w:eastAsia="zh-CN"/>
                <w14:textFill>
                  <w14:solidFill>
                    <w14:schemeClr w14:val="tx1"/>
                  </w14:solidFill>
                </w14:textFill>
              </w:rPr>
            </w:pPr>
            <w:r>
              <w:rPr>
                <w:rFonts w:hint="default" w:ascii="Times New Roman" w:hAnsi="Times New Roman" w:cs="Times New Roman"/>
                <w:b w:val="0"/>
                <w:color w:val="000000" w:themeColor="text1"/>
                <w:sz w:val="24"/>
                <w:szCs w:val="24"/>
                <w:highlight w:val="none"/>
                <w14:textFill>
                  <w14:solidFill>
                    <w14:schemeClr w14:val="tx1"/>
                  </w14:solidFill>
                </w14:textFill>
              </w:rPr>
              <w:t>施工期管理以建设单位为主，联合水务局、生态环境局等相关机构对工程进行施工期管理。生态影响管理人员</w:t>
            </w:r>
            <w:r>
              <w:rPr>
                <w:rFonts w:hint="default" w:ascii="Times New Roman" w:hAnsi="Times New Roman" w:cs="Times New Roman"/>
                <w:b w:val="0"/>
                <w:color w:val="000000" w:themeColor="text1"/>
                <w:sz w:val="24"/>
                <w:szCs w:val="24"/>
                <w:highlight w:val="none"/>
                <w:lang w:eastAsia="zh-CN"/>
                <w14:textFill>
                  <w14:solidFill>
                    <w14:schemeClr w14:val="tx1"/>
                  </w14:solidFill>
                </w14:textFill>
              </w:rPr>
              <w:t>，</w:t>
            </w:r>
            <w:r>
              <w:rPr>
                <w:rFonts w:hint="default" w:ascii="Times New Roman" w:hAnsi="Times New Roman" w:cs="Times New Roman"/>
                <w:b w:val="0"/>
                <w:color w:val="000000" w:themeColor="text1"/>
                <w:sz w:val="24"/>
                <w:szCs w:val="24"/>
                <w:highlight w:val="none"/>
                <w14:textFill>
                  <w14:solidFill>
                    <w14:schemeClr w14:val="tx1"/>
                  </w14:solidFill>
                </w14:textFill>
              </w:rPr>
              <w:t>纳入项目的环境管理机构，并落实生态管理人员的职能，建立高效、务实的环境保护管理体系。</w:t>
            </w:r>
          </w:p>
          <w:p w14:paraId="5BBC8227">
            <w:pPr>
              <w:spacing w:line="360" w:lineRule="auto"/>
              <w:ind w:firstLine="480" w:firstLineChars="200"/>
              <w:rPr>
                <w:rFonts w:hint="default" w:ascii="Times New Roman" w:hAnsi="Times New Roman" w:eastAsia="宋体" w:cs="Times New Roman"/>
                <w:b w:val="0"/>
                <w:color w:val="000000" w:themeColor="text1"/>
                <w:sz w:val="24"/>
                <w:szCs w:val="24"/>
                <w:highlight w:val="none"/>
                <w:lang w:eastAsia="zh-CN"/>
                <w14:textFill>
                  <w14:solidFill>
                    <w14:schemeClr w14:val="tx1"/>
                  </w14:solidFill>
                </w14:textFill>
              </w:rPr>
            </w:pPr>
            <w:r>
              <w:rPr>
                <w:rFonts w:hint="default" w:ascii="Times New Roman" w:hAnsi="Times New Roman" w:cs="Times New Roman"/>
                <w:b w:val="0"/>
                <w:color w:val="000000" w:themeColor="text1"/>
                <w:sz w:val="24"/>
                <w:szCs w:val="24"/>
                <w:highlight w:val="none"/>
                <w14:textFill>
                  <w14:solidFill>
                    <w14:schemeClr w14:val="tx1"/>
                  </w14:solidFill>
                </w14:textFill>
              </w:rPr>
              <w:t>加强施工期环境保护监理工作，严格落实有关动、植物保护的法律、法规、条例，并加强对施工人员的培训和教育，保护动植物资源，将环境保护条款纳入环保监理合同中。</w:t>
            </w:r>
          </w:p>
          <w:p w14:paraId="16B15603">
            <w:pPr>
              <w:spacing w:line="360" w:lineRule="auto"/>
              <w:ind w:firstLine="480" w:firstLineChars="200"/>
              <w:rPr>
                <w:rFonts w:hint="default" w:ascii="Times New Roman" w:hAnsi="Times New Roman" w:cs="Times New Roman"/>
                <w:b w:val="0"/>
                <w:color w:val="000000" w:themeColor="text1"/>
                <w:sz w:val="24"/>
                <w:szCs w:val="24"/>
                <w:highlight w:val="none"/>
                <w:lang w:eastAsia="zh-CN"/>
                <w14:textFill>
                  <w14:solidFill>
                    <w14:schemeClr w14:val="tx1"/>
                  </w14:solidFill>
                </w14:textFill>
              </w:rPr>
            </w:pPr>
            <w:r>
              <w:rPr>
                <w:rFonts w:hint="default" w:ascii="Times New Roman" w:hAnsi="Times New Roman" w:cs="Times New Roman"/>
                <w:b w:val="0"/>
                <w:color w:val="000000" w:themeColor="text1"/>
                <w:sz w:val="24"/>
                <w:szCs w:val="24"/>
                <w:highlight w:val="none"/>
                <w:lang w:val="en-US" w:eastAsia="zh-CN"/>
                <w14:textFill>
                  <w14:solidFill>
                    <w14:schemeClr w14:val="tx1"/>
                  </w14:solidFill>
                </w14:textFill>
              </w:rPr>
              <w:t>（</w:t>
            </w:r>
            <w:r>
              <w:rPr>
                <w:rFonts w:hint="eastAsia" w:cs="Times New Roman"/>
                <w:b w:val="0"/>
                <w:color w:val="000000" w:themeColor="text1"/>
                <w:sz w:val="24"/>
                <w:szCs w:val="24"/>
                <w:highlight w:val="none"/>
                <w:lang w:val="en-US" w:eastAsia="zh-CN"/>
                <w14:textFill>
                  <w14:solidFill>
                    <w14:schemeClr w14:val="tx1"/>
                  </w14:solidFill>
                </w14:textFill>
              </w:rPr>
              <w:t>3</w:t>
            </w:r>
            <w:r>
              <w:rPr>
                <w:rFonts w:hint="default" w:ascii="Times New Roman" w:hAnsi="Times New Roman" w:cs="Times New Roman"/>
                <w:b w:val="0"/>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b w:val="0"/>
                <w:color w:val="000000" w:themeColor="text1"/>
                <w:sz w:val="24"/>
                <w:szCs w:val="24"/>
                <w:highlight w:val="none"/>
                <w14:textFill>
                  <w14:solidFill>
                    <w14:schemeClr w14:val="tx1"/>
                  </w14:solidFill>
                </w14:textFill>
              </w:rPr>
              <w:t>陆生动物保护</w:t>
            </w:r>
          </w:p>
          <w:p w14:paraId="7C24E125">
            <w:pPr>
              <w:spacing w:line="360" w:lineRule="auto"/>
              <w:ind w:firstLine="480" w:firstLineChars="200"/>
              <w:rPr>
                <w:rFonts w:hint="default" w:ascii="Times New Roman" w:hAnsi="Times New Roman" w:cs="Times New Roman"/>
                <w:b w:val="0"/>
                <w:bCs w:val="0"/>
                <w:color w:val="000000" w:themeColor="text1"/>
                <w:sz w:val="24"/>
                <w:szCs w:val="24"/>
                <w:highlight w:val="none"/>
                <w:lang w:eastAsia="zh-CN"/>
                <w14:textFill>
                  <w14:solidFill>
                    <w14:schemeClr w14:val="tx1"/>
                  </w14:solidFill>
                </w14:textFill>
              </w:rPr>
            </w:pPr>
            <w:r>
              <w:rPr>
                <w:rFonts w:hint="default" w:ascii="Times New Roman" w:hAnsi="Times New Roman" w:cs="Times New Roman"/>
                <w:b w:val="0"/>
                <w:color w:val="000000" w:themeColor="text1"/>
                <w:sz w:val="24"/>
                <w:szCs w:val="24"/>
                <w:highlight w:val="none"/>
                <w14:textFill>
                  <w14:solidFill>
                    <w14:schemeClr w14:val="tx1"/>
                  </w14:solidFill>
                </w14:textFill>
              </w:rPr>
              <w:t>提高施工人员的保护意识，使其必须遵守《中华人民共和国野生动物保护法》，严禁在施工区及其</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周围捕猎野生动物。工程实施过程中严格遵守本报告中所列关于声、空气等各环境影响因素的控制标准。施工前做好施工规划，合理安排施工时间，尽量避免在野生动物繁殖时期大规模施工，减少施工噪声对动物的惊扰，同时对高噪声的施工机械采取防噪、降噪措施，尽量屏蔽以减少噪声对动物的干扰；施工工程的</w:t>
            </w:r>
            <w:r>
              <w:rPr>
                <w:rFonts w:hint="default"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废弃</w:t>
            </w:r>
            <w:r>
              <w:rPr>
                <w:rFonts w:hint="default" w:ascii="Times New Roman" w:hAnsi="Times New Roman" w:eastAsia="宋体" w:cs="Times New Roman"/>
                <w:b w:val="0"/>
                <w:bCs w:val="0"/>
                <w:color w:val="000000" w:themeColor="text1"/>
                <w:sz w:val="24"/>
                <w:szCs w:val="24"/>
                <w:highlight w:val="none"/>
                <w14:textFill>
                  <w14:solidFill>
                    <w14:schemeClr w14:val="tx1"/>
                  </w14:solidFill>
                </w14:textFill>
              </w:rPr>
              <w:t>物、污水等容易对周围环境造成污染，在施工期间要做好环境保护工作，不能乱排乱放，固体垃圾，要定时统一收集处理，以免对周围环境造成污染，破坏动物栖息地。</w:t>
            </w:r>
          </w:p>
          <w:p w14:paraId="161F147E">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1）避让措施</w:t>
            </w:r>
          </w:p>
          <w:p w14:paraId="5C8474E7">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在工程规划选址时，听取环境保护专业的建议，主动避让生态环境敏感目标。</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本工程不新增施工便道，不设置取弃土场，仅在管理站房设置一处施工生产区，用于临时存放施工机械设备</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，可减少对生态环境敏感区的影响。</w:t>
            </w:r>
          </w:p>
          <w:p w14:paraId="51C3A7CC">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color w:val="000000" w:themeColor="text1"/>
                <w:sz w:val="24"/>
                <w:szCs w:val="24"/>
                <w:lang w:val="en-US" w:eastAsia="zh-CN"/>
                <w14:textFill>
                  <w14:solidFill>
                    <w14:schemeClr w14:val="tx1"/>
                  </w14:solidFill>
                </w14:textFill>
              </w:rPr>
              <w:t>2）植被保护措施</w:t>
            </w:r>
          </w:p>
          <w:p w14:paraId="7D78D0F9">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lang w:val="zh-CN" w:eastAsia="zh-CN"/>
                <w14:textFill>
                  <w14:solidFill>
                    <w14:schemeClr w14:val="tx1"/>
                  </w14:solidFill>
                </w14:textFill>
              </w:rPr>
              <w:t>本工程设置1处施工场地，属于永久占地范围内，不增加临时占地，工程施工场地主要为施工机械堆放用地等。施工场地占地现状为空地，无地表植被覆盖</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不会对植被和植物产生影响</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。施工过程中，为防止水土流失，不随意开挖，减少地表</w:t>
            </w:r>
            <w:r>
              <w:rPr>
                <w:rFonts w:hint="default" w:ascii="Times New Roman" w:hAnsi="Times New Roman" w:eastAsia="宋体" w:cs="Times New Roman"/>
                <w:color w:val="000000" w:themeColor="text1"/>
                <w:sz w:val="24"/>
                <w:szCs w:val="24"/>
                <w14:textFill>
                  <w14:solidFill>
                    <w14:schemeClr w14:val="tx1"/>
                  </w14:solidFill>
                </w14:textFill>
              </w:rPr>
              <w:t>扰动，对临时占地区域，采取临时拦挡，排水措施，减少冲刷。</w:t>
            </w:r>
          </w:p>
          <w:p w14:paraId="3795FB08">
            <w:pPr>
              <w:spacing w:line="360" w:lineRule="auto"/>
              <w:ind w:firstLine="480" w:firstLineChars="20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3）动物保护措施</w:t>
            </w:r>
          </w:p>
          <w:p w14:paraId="30CDF541">
            <w:pPr>
              <w:spacing w:line="360" w:lineRule="auto"/>
              <w:ind w:firstLine="480" w:firstLineChars="200"/>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加强对施工人员的教育和管理，增强施工人员对鸟类的保护意识，严禁猎捕鸟类等动物。尽量减少施工对鸟类栖息地的破坏。严格控制施工范围，保护好小型兽类的栖息地。对工程废物和施工人员的生活垃圾进行彻底清理，尽量避免生活垃圾为鼠类等疫源性兽类提供生活环境。在施工边界竖立防火、禁猎警示牌，禁止施工人员乱砍乱伐、随意开挖，预防和杜绝森林火灾发生</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p>
          <w:p w14:paraId="7A8583FB">
            <w:pPr>
              <w:spacing w:line="360" w:lineRule="auto"/>
              <w:ind w:firstLine="480" w:firstLineChars="200"/>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4）减缓措施</w:t>
            </w:r>
          </w:p>
          <w:p w14:paraId="3E305C4A">
            <w:pPr>
              <w:spacing w:line="360" w:lineRule="auto"/>
              <w:ind w:firstLine="480" w:firstLineChars="200"/>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在工程施工中，合理安排施工进度及作业范围</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优化施工方案，加快施工进程，缩短周期，减少影响的时间</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土方作业应避开暴雨期，不在雨天进行土方作业，防止雨水携带泥土入河，减轻水土流失</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施工过程中，严格按照设计文件确定范围征占土地，尽可能少占地，应尽量保护施工区域的植被，施工必须在施工场地进行，不得破坏施工场地以外的植被，不得随意侵占周围土地</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p>
          <w:p w14:paraId="3987DFF5">
            <w:pPr>
              <w:spacing w:line="360" w:lineRule="auto"/>
              <w:ind w:firstLine="480" w:firstLineChars="200"/>
              <w:rPr>
                <w:rFonts w:hint="default" w:ascii="Times New Roman" w:hAnsi="Times New Roman" w:cs="Times New Roman"/>
                <w:b w:val="0"/>
                <w:bCs w:val="0"/>
                <w:color w:val="000000" w:themeColor="text1"/>
                <w:sz w:val="24"/>
                <w:szCs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同时，对施工人员进行生态保护宣传教育，提高施工人员的生态环境保护意识，遵守《中华人民共和国土地管理法》、《中华人民共和国野生动物保护法》等。施工期应避免施工人员对动物栖息生境破坏，这些区域应加强对施工人员的管理，限制其活动范围，禁止施工人员进入野生动物栖息及活动场所，禁止施工人员大声喧哗，禁止惊吓和捕杀野生动物，建设工程完成后做好生态恢复措施，促进施工区植被尽快恢复到或接近于施工前状态，以降低</w:t>
            </w:r>
            <w:r>
              <w:rPr>
                <w:rFonts w:hint="default" w:ascii="Times New Roman" w:hAnsi="Times New Roman" w:cs="Times New Roman"/>
                <w:color w:val="000000" w:themeColor="text1"/>
                <w:sz w:val="24"/>
                <w:highlight w:val="none"/>
                <w:lang w:val="en-US" w:eastAsia="zh-CN"/>
                <w14:textFill>
                  <w14:solidFill>
                    <w14:schemeClr w14:val="tx1"/>
                  </w14:solidFill>
                </w14:textFill>
              </w:rPr>
              <w:t>工程建设</w:t>
            </w:r>
            <w:r>
              <w:rPr>
                <w:rFonts w:hint="default" w:ascii="Times New Roman" w:hAnsi="Times New Roman" w:cs="Times New Roman"/>
                <w:color w:val="000000" w:themeColor="text1"/>
                <w:sz w:val="24"/>
                <w:highlight w:val="none"/>
                <w14:textFill>
                  <w14:solidFill>
                    <w14:schemeClr w14:val="tx1"/>
                  </w14:solidFill>
                </w14:textFill>
              </w:rPr>
              <w:t>对野生动物移</w:t>
            </w:r>
            <w:r>
              <w:rPr>
                <w:rFonts w:hint="default" w:ascii="Times New Roman" w:hAnsi="Times New Roman" w:cs="Times New Roman"/>
                <w:color w:val="000000" w:themeColor="text1"/>
                <w:sz w:val="24"/>
                <w:highlight w:val="none"/>
                <w:lang w:val="en-US" w:eastAsia="zh-CN"/>
                <w14:textFill>
                  <w14:solidFill>
                    <w14:schemeClr w14:val="tx1"/>
                  </w14:solidFill>
                </w14:textFill>
              </w:rPr>
              <w:t>造成的影响</w:t>
            </w:r>
            <w:r>
              <w:rPr>
                <w:rFonts w:hint="default" w:ascii="Times New Roman" w:hAnsi="Times New Roman" w:cs="Times New Roman"/>
                <w:color w:val="000000" w:themeColor="text1"/>
                <w:sz w:val="24"/>
                <w:highlight w:val="none"/>
                <w14:textFill>
                  <w14:solidFill>
                    <w14:schemeClr w14:val="tx1"/>
                  </w14:solidFill>
                </w14:textFill>
              </w:rPr>
              <w:t>。</w:t>
            </w:r>
          </w:p>
          <w:p w14:paraId="430528AC">
            <w:pPr>
              <w:spacing w:line="360" w:lineRule="auto"/>
              <w:ind w:firstLine="522" w:firstLineChars="200"/>
              <w:rPr>
                <w:rFonts w:hint="default" w:ascii="Times New Roman" w:hAnsi="Times New Roman" w:cs="Times New Roman" w:eastAsiaTheme="minorEastAsia"/>
                <w:b/>
                <w:bCs w:val="0"/>
                <w:color w:val="000000" w:themeColor="text1"/>
                <w:kern w:val="0"/>
                <w:sz w:val="24"/>
                <w:highlight w:val="none"/>
                <w:lang w:eastAsia="zh-CN"/>
                <w14:textFill>
                  <w14:solidFill>
                    <w14:schemeClr w14:val="tx1"/>
                  </w14:solidFill>
                </w14:textFill>
              </w:rPr>
            </w:pPr>
            <w:r>
              <w:rPr>
                <w:rFonts w:hint="default" w:ascii="Times New Roman" w:hAnsi="Times New Roman" w:cs="Times New Roman"/>
                <w:b/>
                <w:bCs w:val="0"/>
                <w:color w:val="000000" w:themeColor="text1"/>
                <w:spacing w:val="10"/>
                <w:sz w:val="24"/>
                <w:highlight w:val="none"/>
                <w:lang w:val="en-US" w:eastAsia="zh-CN"/>
                <w14:textFill>
                  <w14:solidFill>
                    <w14:schemeClr w14:val="tx1"/>
                  </w14:solidFill>
                </w14:textFill>
              </w:rPr>
              <w:t>2、</w:t>
            </w:r>
            <w:r>
              <w:rPr>
                <w:rFonts w:hint="default" w:ascii="Times New Roman" w:hAnsi="Times New Roman" w:cs="Times New Roman"/>
                <w:b/>
                <w:bCs w:val="0"/>
                <w:color w:val="000000" w:themeColor="text1"/>
                <w:spacing w:val="10"/>
                <w:sz w:val="24"/>
                <w:highlight w:val="none"/>
                <w14:textFill>
                  <w14:solidFill>
                    <w14:schemeClr w14:val="tx1"/>
                  </w14:solidFill>
                </w14:textFill>
              </w:rPr>
              <w:t>水环境保护措施</w:t>
            </w:r>
          </w:p>
          <w:p w14:paraId="32787E3B">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生活污水</w:t>
            </w:r>
          </w:p>
          <w:p w14:paraId="0B3F6912">
            <w:pPr>
              <w:spacing w:line="360" w:lineRule="auto"/>
              <w:ind w:firstLine="480" w:firstLineChars="200"/>
              <w:rPr>
                <w:rFonts w:hint="default" w:ascii="Times New Roman" w:hAnsi="Times New Roman" w:cs="Times New Roman" w:eastAsiaTheme="minorEastAsia"/>
                <w:b w:val="0"/>
                <w:bCs w:val="0"/>
                <w:color w:val="000000" w:themeColor="text1"/>
                <w:kern w:val="0"/>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施工高峰期人数</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60</w:t>
            </w:r>
            <w:r>
              <w:rPr>
                <w:rFonts w:hint="default" w:ascii="Times New Roman" w:hAnsi="Times New Roman" w:cs="Times New Roman" w:eastAsiaTheme="minorEastAsia"/>
                <w:color w:val="000000" w:themeColor="text1"/>
                <w:sz w:val="24"/>
                <w:highlight w:val="none"/>
                <w14:textFill>
                  <w14:solidFill>
                    <w14:schemeClr w14:val="tx1"/>
                  </w14:solidFill>
                </w14:textFill>
              </w:rPr>
              <w:t>人，拟在生产生活区</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依托管理站内现有防渗旱厕</w:t>
            </w:r>
            <w:r>
              <w:rPr>
                <w:rFonts w:hint="default" w:ascii="Times New Roman" w:hAnsi="Times New Roman" w:cs="Times New Roman" w:eastAsiaTheme="minorEastAsia"/>
                <w:color w:val="000000" w:themeColor="text1"/>
                <w:sz w:val="24"/>
                <w:highlight w:val="none"/>
                <w14:textFill>
                  <w14:solidFill>
                    <w14:schemeClr w14:val="tx1"/>
                  </w14:solidFill>
                </w14:textFill>
              </w:rPr>
              <w:t>。集中收集施工人员产生的生活污水，定期清掏、外运，严禁将生活污水外排和随意泼洒。施工人数较少。施工人员日常生活过程中产生的生活污水排放到</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防渗旱厕</w:t>
            </w: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旱厕</w:t>
            </w:r>
            <w:r>
              <w:rPr>
                <w:rFonts w:hint="default" w:ascii="Times New Roman" w:hAnsi="Times New Roman" w:cs="Times New Roman" w:eastAsiaTheme="minorEastAsia"/>
                <w:color w:val="000000" w:themeColor="text1"/>
                <w:sz w:val="24"/>
                <w:highlight w:val="none"/>
                <w14:textFill>
                  <w14:solidFill>
                    <w14:schemeClr w14:val="tx1"/>
                  </w14:solidFill>
                </w14:textFill>
              </w:rPr>
              <w:t>定期消毒，</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定期清掏外运</w:t>
            </w:r>
            <w:r>
              <w:rPr>
                <w:rFonts w:hint="default" w:ascii="Times New Roman" w:hAnsi="Times New Roman" w:cs="Times New Roman" w:eastAsiaTheme="minorEastAsia"/>
                <w:color w:val="000000" w:themeColor="text1"/>
                <w:sz w:val="24"/>
                <w:highlight w:val="none"/>
                <w14:textFill>
                  <w14:solidFill>
                    <w14:schemeClr w14:val="tx1"/>
                  </w14:solidFill>
                </w14:textFill>
              </w:rPr>
              <w:t>。</w:t>
            </w:r>
          </w:p>
          <w:p w14:paraId="0EF4FEE8">
            <w:pPr>
              <w:spacing w:line="360" w:lineRule="auto"/>
              <w:ind w:firstLine="480" w:firstLineChars="200"/>
              <w:rPr>
                <w:rFonts w:hint="default" w:ascii="Times New Roman" w:hAnsi="Times New Roman" w:cs="Times New Roman" w:eastAsiaTheme="minorEastAsia"/>
                <w:b w:val="0"/>
                <w:bCs w:val="0"/>
                <w:color w:val="000000" w:themeColor="text1"/>
                <w:kern w:val="0"/>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lang w:eastAsia="zh-CN"/>
                <w14:textFill>
                  <w14:solidFill>
                    <w14:schemeClr w14:val="tx1"/>
                  </w14:solidFill>
                </w14:textFill>
              </w:rPr>
              <w:t>生产</w:t>
            </w:r>
            <w:r>
              <w:rPr>
                <w:rFonts w:hint="default" w:ascii="Times New Roman" w:hAnsi="Times New Roman" w:cs="Times New Roman"/>
                <w:color w:val="000000" w:themeColor="text1"/>
                <w:sz w:val="24"/>
                <w:highlight w:val="none"/>
                <w14:textFill>
                  <w14:solidFill>
                    <w14:schemeClr w14:val="tx1"/>
                  </w14:solidFill>
                </w14:textFill>
              </w:rPr>
              <w:t>废水处理措施</w:t>
            </w:r>
          </w:p>
          <w:p w14:paraId="1A7D8797">
            <w:pPr>
              <w:spacing w:line="360" w:lineRule="auto"/>
              <w:ind w:firstLine="480" w:firstLineChars="200"/>
              <w:rPr>
                <w:rFonts w:hint="default" w:ascii="Times New Roman" w:hAnsi="Times New Roman" w:cs="Times New Roman" w:eastAsiaTheme="minorEastAsia"/>
                <w:b w:val="0"/>
                <w:bCs w:val="0"/>
                <w:color w:val="000000" w:themeColor="text1"/>
                <w:kern w:val="0"/>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本工程布置</w:t>
            </w:r>
            <w:r>
              <w:rPr>
                <w:rFonts w:hint="default" w:ascii="Times New Roman" w:hAnsi="Times New Roman" w:cs="Times New Roman"/>
                <w:color w:val="000000" w:themeColor="text1"/>
                <w:sz w:val="24"/>
                <w:highlight w:val="none"/>
                <w:lang w:val="en-US" w:eastAsia="zh-CN"/>
                <w14:textFill>
                  <w14:solidFill>
                    <w14:schemeClr w14:val="tx1"/>
                  </w14:solidFill>
                </w14:textFill>
              </w:rPr>
              <w:t>1</w:t>
            </w:r>
            <w:r>
              <w:rPr>
                <w:rFonts w:hint="default" w:ascii="Times New Roman" w:hAnsi="Times New Roman" w:cs="Times New Roman"/>
                <w:color w:val="000000" w:themeColor="text1"/>
                <w:sz w:val="24"/>
                <w:highlight w:val="none"/>
                <w14:textFill>
                  <w14:solidFill>
                    <w14:schemeClr w14:val="tx1"/>
                  </w14:solidFill>
                </w14:textFill>
              </w:rPr>
              <w:t>套混凝土拌和系统，在混凝土拌合系统附近布置。</w:t>
            </w:r>
            <w:r>
              <w:rPr>
                <w:rFonts w:hint="default" w:ascii="Times New Roman" w:hAnsi="Times New Roman" w:cs="Times New Roman"/>
                <w:color w:val="000000" w:themeColor="text1"/>
                <w:sz w:val="24"/>
                <w:highlight w:val="none"/>
                <w:lang w:eastAsia="zh-CN"/>
                <w14:textFill>
                  <w14:solidFill>
                    <w14:schemeClr w14:val="tx1"/>
                  </w14:solidFill>
                </w14:textFill>
              </w:rPr>
              <w:t>产生</w:t>
            </w:r>
            <w:r>
              <w:rPr>
                <w:rFonts w:hint="default" w:ascii="Times New Roman" w:hAnsi="Times New Roman" w:cs="Times New Roman"/>
                <w:color w:val="000000" w:themeColor="text1"/>
                <w:sz w:val="24"/>
                <w:highlight w:val="none"/>
                <w14:textFill>
                  <w14:solidFill>
                    <w14:schemeClr w14:val="tx1"/>
                  </w14:solidFill>
                </w14:textFill>
              </w:rPr>
              <w:t>废水通过沉淀池</w:t>
            </w:r>
            <w:r>
              <w:rPr>
                <w:rFonts w:hint="default" w:ascii="Times New Roman" w:hAnsi="Times New Roman" w:cs="Times New Roman"/>
                <w:color w:val="000000" w:themeColor="text1"/>
                <w:sz w:val="24"/>
                <w:szCs w:val="32"/>
                <w:highlight w:val="none"/>
                <w14:textFill>
                  <w14:solidFill>
                    <w14:schemeClr w14:val="tx1"/>
                  </w14:solidFill>
                </w14:textFill>
              </w:rPr>
              <w:t>尺寸为2.0m（长）×2.0m（宽）×</w:t>
            </w:r>
            <w:r>
              <w:rPr>
                <w:rFonts w:hint="eastAsia" w:cs="Times New Roman"/>
                <w:color w:val="000000" w:themeColor="text1"/>
                <w:sz w:val="24"/>
                <w:szCs w:val="32"/>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32"/>
                <w:highlight w:val="none"/>
                <w14:textFill>
                  <w14:solidFill>
                    <w14:schemeClr w14:val="tx1"/>
                  </w14:solidFill>
                </w14:textFill>
              </w:rPr>
              <w:t>.5m（高）</w:t>
            </w:r>
            <w:r>
              <w:rPr>
                <w:rFonts w:hint="default" w:ascii="Times New Roman" w:hAnsi="Times New Roman" w:cs="Times New Roman"/>
                <w:color w:val="000000" w:themeColor="text1"/>
                <w:sz w:val="24"/>
                <w:highlight w:val="none"/>
                <w14:textFill>
                  <w14:solidFill>
                    <w14:schemeClr w14:val="tx1"/>
                  </w14:solidFill>
                </w14:textFill>
              </w:rPr>
              <w:t>处理后全部循环利用，严禁向外环境排放。</w:t>
            </w:r>
          </w:p>
          <w:p w14:paraId="557A2A74">
            <w:pPr>
              <w:spacing w:line="360" w:lineRule="auto"/>
              <w:ind w:firstLine="482" w:firstLineChars="200"/>
              <w:rPr>
                <w:rFonts w:hint="default" w:ascii="Times New Roman" w:hAnsi="Times New Roman" w:cs="Times New Roman" w:eastAsiaTheme="minorEastAsia"/>
                <w:b/>
                <w:bCs/>
                <w:color w:val="000000" w:themeColor="text1"/>
                <w:sz w:val="24"/>
                <w:highlight w:val="none"/>
                <w14:textFill>
                  <w14:solidFill>
                    <w14:schemeClr w14:val="tx1"/>
                  </w14:solidFill>
                </w14:textFill>
              </w:rPr>
            </w:pPr>
            <w:bookmarkStart w:id="30" w:name="_Toc15884323"/>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3、</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大气环境保护措施</w:t>
            </w:r>
          </w:p>
          <w:bookmarkEnd w:id="30"/>
          <w:p w14:paraId="5BAC72DB">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施工作业区防尘措施</w:t>
            </w:r>
          </w:p>
          <w:p w14:paraId="1ADFE6C1">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本次影响大气环境的主要为土方工程，包括土的开挖、运输和填筑等施工过程中，应洒水使作业面保持一定的湿度；对施工场地内松散、干涸的</w:t>
            </w: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土方</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也应辅以洒水压尘，尽量缩短起尘操作时间。遇到四级及四级以上大风天气，应停止土方作业，同时作业处覆以防尘网。洒水对小范围施工裸土自然扬尘有明显的抑制效果，工程施工单位应租用洒水车，根据天气情况对产尘作业面进行洒水。</w:t>
            </w:r>
          </w:p>
          <w:p w14:paraId="65B3FEB3">
            <w:pPr>
              <w:spacing w:line="360" w:lineRule="auto"/>
              <w:ind w:firstLine="480" w:firstLineChars="200"/>
              <w:rPr>
                <w:rFonts w:hint="default" w:ascii="Times New Roman" w:hAnsi="Times New Roman" w:cs="Times New Roman" w:eastAsiaTheme="minorEastAsia"/>
                <w:color w:val="000000" w:themeColor="text1"/>
                <w:kern w:val="0"/>
                <w:sz w:val="32"/>
                <w:szCs w:val="32"/>
                <w:highlight w:val="none"/>
                <w14:textFill>
                  <w14:solidFill>
                    <w14:schemeClr w14:val="tx1"/>
                  </w14:solidFill>
                </w14:textFill>
              </w:rPr>
            </w:pPr>
            <w:r>
              <w:rPr>
                <w:rFonts w:hint="default" w:ascii="Times New Roman" w:hAnsi="Times New Roman" w:cs="Times New Roman"/>
                <w:color w:val="000000" w:themeColor="text1"/>
                <w:sz w:val="24"/>
                <w:szCs w:val="32"/>
                <w14:textFill>
                  <w14:solidFill>
                    <w14:schemeClr w14:val="tx1"/>
                  </w14:solidFill>
                </w14:textFill>
              </w:rPr>
              <w:t>施工现场建筑材料实行集中、分类堆放。尽量减少物料搬运环节，搬运时轻举轻放，防止包装袋破裂；沙、渣土、水泥等易产生扬尘的物料，必须采取覆盖等防尘措施，不得露天堆放；施工工地围挡外禁止堆放施工材料、建筑垃圾和工程渣土；</w:t>
            </w:r>
          </w:p>
          <w:p w14:paraId="585782C2">
            <w:pPr>
              <w:spacing w:line="360" w:lineRule="auto"/>
              <w:ind w:firstLine="480" w:firstLineChars="200"/>
              <w:rPr>
                <w:rFonts w:hint="default" w:ascii="Times New Roman" w:hAnsi="Times New Roman" w:cs="Times New Roman" w:eastAsiaTheme="minorEastAsia"/>
                <w:color w:val="000000" w:themeColor="text1"/>
                <w:kern w:val="0"/>
                <w:sz w:val="32"/>
                <w:szCs w:val="32"/>
                <w:highlight w:val="none"/>
                <w14:textFill>
                  <w14:solidFill>
                    <w14:schemeClr w14:val="tx1"/>
                  </w14:solidFill>
                </w14:textFill>
              </w:rPr>
            </w:pPr>
            <w:r>
              <w:rPr>
                <w:rFonts w:hint="default" w:ascii="Times New Roman" w:hAnsi="Times New Roman" w:cs="Times New Roman"/>
                <w:color w:val="000000" w:themeColor="text1"/>
                <w:sz w:val="24"/>
                <w:szCs w:val="32"/>
                <w14:textFill>
                  <w14:solidFill>
                    <w14:schemeClr w14:val="tx1"/>
                  </w14:solidFill>
                </w14:textFill>
              </w:rPr>
              <w:t>拆除作业实行湿法作业，缩短起尘操作时间，气象预报风速达到5级以上时，应当停止拆除作业。拆除后建筑垃圾应当及时清运，不能及时清运的，应当采取有效覆盖措施。拆除工程完成后，不能立即施工的，对拆除后的裸露地面应采取覆盖、洒水等措施防止扬尘。</w:t>
            </w:r>
          </w:p>
          <w:p w14:paraId="63EC60AF">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（2）运输道路防尘措施</w:t>
            </w:r>
          </w:p>
          <w:p w14:paraId="03813C6A">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土料和水泥运输过程中应注意防止空气污染。在晴朗多风天气装载土料时，应当加湿或者用帆布覆盖。选用符合国家有关卫生标准的施工机械和运输车辆，并且安装排气净化器，使用符合标准的油料或清洁能源，使其排放的废气能够达到国家标准。</w:t>
            </w:r>
            <w:r>
              <w:rPr>
                <w:rFonts w:hint="default" w:ascii="Times New Roman" w:hAnsi="Times New Roman" w:eastAsia="宋体" w:cs="Times New Roman"/>
                <w:color w:val="000000" w:themeColor="text1"/>
                <w:sz w:val="24"/>
                <w:szCs w:val="32"/>
                <w14:textFill>
                  <w14:solidFill>
                    <w14:schemeClr w14:val="tx1"/>
                  </w14:solidFill>
                </w14:textFill>
              </w:rPr>
              <w:t>经上述治理后，施工期产生的扬尘满足《大气污染物综合排放标准》（GB16297-1996）表2中无组织排放监控浓度限值。</w:t>
            </w:r>
          </w:p>
          <w:p w14:paraId="3E89F7C2">
            <w:pPr>
              <w:spacing w:line="360" w:lineRule="auto"/>
              <w:ind w:firstLine="482"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4、</w:t>
            </w:r>
            <w:r>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t>声环境保护措施</w:t>
            </w:r>
          </w:p>
          <w:p w14:paraId="5DD12C13">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（1）施工噪声控制</w:t>
            </w:r>
          </w:p>
          <w:p w14:paraId="76CB33A5">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施工单位必须选用符合国家有关标准的施工机具，尽量选择低噪声设备和工艺，降低源强；加强设备的维护和保养，保持机械润滑，减少运行噪声；振动大的机械设备使用减振机座降低噪声；工程供风站的空压机配备消声器；在各施工工区周围进行绿化，可适当降低噪声传播。</w:t>
            </w:r>
          </w:p>
          <w:p w14:paraId="1254CC68">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（2）交通噪声控制</w:t>
            </w:r>
          </w:p>
          <w:p w14:paraId="693127DE">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工程实际运行中，应尽量避免在夜间进行施工运输作业；加强道路的养护和车辆的维护保养，严禁车辆超载行驶，降低噪声源，以确保不因工程管理不当造成的噪声扰民现象发生。施工道路选线距离两侧居民区的最小距离应大于180m，禁止夜间运输、控制车流量、降低车速，车辆经过村镇时减速慢行，禁止鸣笛。</w:t>
            </w:r>
            <w:r>
              <w:rPr>
                <w:rFonts w:hint="default" w:ascii="Times New Roman" w:hAnsi="Times New Roman" w:cs="Times New Roman"/>
                <w:color w:val="000000" w:themeColor="text1"/>
                <w:sz w:val="24"/>
                <w:szCs w:val="22"/>
                <w14:textFill>
                  <w14:solidFill>
                    <w14:schemeClr w14:val="tx1"/>
                  </w14:solidFill>
                </w14:textFill>
              </w:rPr>
              <w:t>厂界噪声值满足《建筑施工场界环境噪声排放标准》中相应标准限值。</w:t>
            </w:r>
          </w:p>
          <w:p w14:paraId="23A76950">
            <w:pPr>
              <w:spacing w:line="360" w:lineRule="auto"/>
              <w:ind w:firstLine="482"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5、</w:t>
            </w:r>
            <w:r>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t>固体废物处置措施</w:t>
            </w:r>
          </w:p>
          <w:p w14:paraId="2D2B7FAB">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（1）工程弃渣处置措施</w:t>
            </w:r>
          </w:p>
          <w:p w14:paraId="154896D6">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工程动用土方总量为</w:t>
            </w:r>
            <w:r>
              <w:rPr>
                <w:rFonts w:hint="eastAsia" w:cs="Times New Roman"/>
                <w:caps w:val="0"/>
                <w:color w:val="000000" w:themeColor="text1"/>
                <w:sz w:val="24"/>
                <w:szCs w:val="32"/>
                <w:highlight w:val="none"/>
                <w:lang w:val="en-US" w:eastAsia="zh-CN"/>
                <w14:textFill>
                  <w14:solidFill>
                    <w14:schemeClr w14:val="tx1"/>
                  </w14:solidFill>
                </w14:textFill>
              </w:rPr>
              <w:t>4.20</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，其中挖方1.70万m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，填方1.70万m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w:t>
            </w:r>
            <w:r>
              <w:rPr>
                <w:rFonts w:hint="eastAsia" w:cs="Times New Roman"/>
                <w:caps w:val="0"/>
                <w:color w:val="000000" w:themeColor="text1"/>
                <w:sz w:val="24"/>
                <w:szCs w:val="32"/>
                <w:highlight w:val="none"/>
                <w:lang w:val="en-US" w:eastAsia="zh-CN"/>
                <w14:textFill>
                  <w14:solidFill>
                    <w14:schemeClr w14:val="tx1"/>
                  </w14:solidFill>
                </w14:textFill>
              </w:rPr>
              <w:t>石方填方量为0.8</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万m</w:t>
            </w:r>
            <w:r>
              <w:rPr>
                <w:rFonts w:hint="default" w:ascii="Times New Roman" w:hAnsi="Times New Roman" w:cs="Times New Roman"/>
                <w:caps w:val="0"/>
                <w:color w:val="000000" w:themeColor="text1"/>
                <w:sz w:val="24"/>
                <w:szCs w:val="32"/>
                <w:highlight w:val="none"/>
                <w:vertAlign w:val="superscript"/>
                <w:lang w:val="en-US" w:eastAsia="zh-CN"/>
                <w14:textFill>
                  <w14:solidFill>
                    <w14:schemeClr w14:val="tx1"/>
                  </w14:solidFill>
                </w14:textFill>
              </w:rPr>
              <w:t>3</w:t>
            </w:r>
            <w:r>
              <w:rPr>
                <w:rFonts w:hint="eastAsia" w:cs="Times New Roman"/>
                <w:caps w:val="0"/>
                <w:color w:val="000000" w:themeColor="text1"/>
                <w:sz w:val="24"/>
                <w:szCs w:val="32"/>
                <w:highlight w:val="none"/>
                <w:lang w:val="en-US" w:eastAsia="zh-CN"/>
                <w14:textFill>
                  <w14:solidFill>
                    <w14:schemeClr w14:val="tx1"/>
                  </w14:solidFill>
                </w14:textFill>
              </w:rPr>
              <w:t>，</w:t>
            </w:r>
            <w:r>
              <w:rPr>
                <w:rFonts w:hint="default" w:ascii="Times New Roman" w:hAnsi="Times New Roman" w:cs="Times New Roman"/>
                <w:caps w:val="0"/>
                <w:color w:val="000000" w:themeColor="text1"/>
                <w:sz w:val="24"/>
                <w:szCs w:val="32"/>
                <w:highlight w:val="none"/>
                <w:lang w:val="en-US" w:eastAsia="zh-CN"/>
                <w14:textFill>
                  <w14:solidFill>
                    <w14:schemeClr w14:val="tx1"/>
                  </w14:solidFill>
                </w14:textFill>
              </w:rPr>
              <w:t>无弃土</w:t>
            </w:r>
            <w:r>
              <w:rPr>
                <w:rFonts w:hint="eastAsia" w:cs="Times New Roman"/>
                <w:caps w:val="0"/>
                <w:color w:val="000000" w:themeColor="text1"/>
                <w:sz w:val="24"/>
                <w:szCs w:val="32"/>
                <w:highlight w:val="none"/>
                <w:lang w:val="en-US" w:eastAsia="zh-CN"/>
                <w14:textFill>
                  <w14:solidFill>
                    <w14:schemeClr w14:val="tx1"/>
                  </w14:solidFill>
                </w14:textFill>
              </w:rPr>
              <w:t>，本项目石方来源于密山市建材市场</w:t>
            </w:r>
            <w:r>
              <w:rPr>
                <w:rFonts w:hint="default" w:ascii="Times New Roman" w:hAnsi="Times New Roman" w:cs="Times New Roman" w:eastAsiaTheme="minorEastAsia"/>
                <w:color w:val="000000" w:themeColor="text1"/>
                <w:sz w:val="24"/>
                <w:highlight w:val="none"/>
                <w14:textFill>
                  <w14:solidFill>
                    <w14:schemeClr w14:val="tx1"/>
                  </w14:solidFill>
                </w14:textFill>
              </w:rPr>
              <w:t>。</w:t>
            </w:r>
          </w:p>
          <w:p w14:paraId="339754B8">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（2）生活垃圾处置措施</w:t>
            </w:r>
          </w:p>
          <w:p w14:paraId="14C994DD">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在生活区设置1个垃圾桶，垃圾桶规格为240L。日常安排清洁人员负责生活垃圾的清扫；对各垃圾桶存放处经常喷洒灭害灵等药水，以防止蚊蝇等滋生，减免施工生活垃圾对施工区环境卫生产生不利影响。</w:t>
            </w:r>
          </w:p>
          <w:p w14:paraId="0BF6F98F">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租赁垃圾清运车，用于垃圾清运。生活垃圾运送至附近的垃圾填埋场，各施工单位应在施工筹建期按照就近原则与附近县市、乡镇生活垃圾填埋场管理单位进行沟通，签订施工期生活垃圾处置协议。</w:t>
            </w:r>
          </w:p>
          <w:p w14:paraId="7C07A3E5">
            <w:pPr>
              <w:spacing w:line="360" w:lineRule="auto"/>
              <w:ind w:firstLine="480" w:firstLineChars="200"/>
              <w:rPr>
                <w:rFonts w:hint="default" w:ascii="Times New Roman" w:hAnsi="Times New Roman" w:cs="Times New Roman" w:eastAsiaTheme="minorEastAsia"/>
                <w:b w:val="0"/>
                <w:bCs w:val="0"/>
                <w:color w:val="000000" w:themeColor="text1"/>
                <w:kern w:val="0"/>
                <w:sz w:val="24"/>
                <w:highlight w:val="none"/>
                <w:lang w:val="en-US" w:eastAsia="zh-CN"/>
                <w14:textFill>
                  <w14:solidFill>
                    <w14:schemeClr w14:val="tx1"/>
                  </w14:solidFill>
                </w14:textFill>
              </w:rPr>
            </w:pPr>
            <w:r>
              <w:rPr>
                <w:rFonts w:hint="eastAsia" w:cs="Times New Roman" w:eastAsiaTheme="minorEastAsia"/>
                <w:b w:val="0"/>
                <w:bCs w:val="0"/>
                <w:color w:val="000000" w:themeColor="text1"/>
                <w:kern w:val="0"/>
                <w:sz w:val="24"/>
                <w:highlight w:val="none"/>
                <w:lang w:val="en-US" w:eastAsia="zh-CN"/>
                <w14:textFill>
                  <w14:solidFill>
                    <w14:schemeClr w14:val="tx1"/>
                  </w14:solidFill>
                </w14:textFill>
              </w:rPr>
              <w:t>（3）建筑垃圾</w:t>
            </w:r>
          </w:p>
          <w:p w14:paraId="1B846C29">
            <w:pPr>
              <w:spacing w:line="360" w:lineRule="auto"/>
              <w:ind w:firstLine="480" w:firstLineChars="200"/>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pPr>
            <w:r>
              <w:rPr>
                <w:rFonts w:hint="eastAsia" w:cs="Times New Roman" w:eastAsiaTheme="minorEastAsia"/>
                <w:b w:val="0"/>
                <w:bCs w:val="0"/>
                <w:color w:val="000000" w:themeColor="text1"/>
                <w:kern w:val="0"/>
                <w:sz w:val="24"/>
                <w:highlight w:val="none"/>
                <w:lang w:val="en-US" w:eastAsia="zh-CN"/>
                <w14:textFill>
                  <w14:solidFill>
                    <w14:schemeClr w14:val="tx1"/>
                  </w14:solidFill>
                </w14:textFill>
              </w:rPr>
              <w:t>本项目所产生的建筑垃圾约为2t，主要为输水洞以及溢洪道拆除的建筑垃圾，严禁与生活垃圾混合，拉运至建设单位与环卫部门指定地点，运距不超过5km。</w:t>
            </w:r>
          </w:p>
          <w:p w14:paraId="52820D8F">
            <w:pPr>
              <w:spacing w:line="360" w:lineRule="auto"/>
              <w:ind w:firstLine="482" w:firstLineChars="200"/>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6、</w:t>
            </w:r>
            <w:r>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t>人群健康保护措施</w:t>
            </w:r>
          </w:p>
          <w:p w14:paraId="69E4AB06">
            <w:pPr>
              <w:spacing w:line="360" w:lineRule="auto"/>
              <w:ind w:firstLine="480" w:firstLineChars="200"/>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（1）施工区卫生清理</w:t>
            </w:r>
          </w:p>
          <w:p w14:paraId="4D8782CE">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工程准备期，结合场地平整工作，对施工营地、施工人员集中活动场所进行一次性清理和消毒，抛撒生石灰。在施工人员临时居住范围和生产生活区开展灭鼠、灭蚊和灭蝇活动，加强施工区卫生管理，以控制各种传染性疾病的传染源和切断传播途径。</w:t>
            </w:r>
          </w:p>
          <w:p w14:paraId="10C2416E">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（2）环境卫生及食品卫生管理</w:t>
            </w:r>
          </w:p>
          <w:p w14:paraId="4C196E05">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施工期加强对各施工区等区域饮用水源、公共餐饮场所、垃圾桶、公共厕所等地的环境卫生管理，定期进行卫生检查。除日常清理外，每月至少集中清理2次。加强工区内食堂的卫生管理，每季度进行一次卫生检查，取得卫生许可证的人员方可从事餐饮工作。</w:t>
            </w:r>
          </w:p>
          <w:p w14:paraId="38D29B8A">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（3）卫生防疫及疫情监控措施</w:t>
            </w:r>
          </w:p>
          <w:p w14:paraId="51D3E475">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为有效预防现场流行疾病，提高施工人员的抗病能力，定期对施工人群采取预防性服药、疫苗接种等预防措施。各施工单位应明确卫生防疫责任人，按当地卫生部门制订的疫情管理制度及报送制度进行管理，并接受当地卫生部门的监督。施工期应设立疫情监控站，随时备用痢疾、肝炎、肺结核等常见传染病的处理药品和器材。一旦发现疫情，立即对传染源采取治疗、隔离、观察等措施，对易感人群采取预防措施，并及时上报卫生防疫主管部门。</w:t>
            </w:r>
          </w:p>
        </w:tc>
      </w:tr>
      <w:tr w14:paraId="2FC426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753" w:type="dxa"/>
            <w:tcMar>
              <w:left w:w="28" w:type="dxa"/>
              <w:right w:w="28" w:type="dxa"/>
            </w:tcMar>
            <w:vAlign w:val="center"/>
          </w:tcPr>
          <w:p w14:paraId="7194D97C">
            <w:pPr>
              <w:adjustRightInd w:val="0"/>
              <w:snapToGrid w:val="0"/>
              <w:jc w:val="center"/>
              <w:rPr>
                <w:rFonts w:hint="default" w:ascii="Times New Roman" w:hAnsi="Times New Roman" w:cs="Times New Roman" w:eastAsiaTheme="minorEastAsia"/>
                <w:bCs/>
                <w:color w:val="000000" w:themeColor="text1"/>
                <w:spacing w:val="10"/>
                <w:sz w:val="24"/>
                <w:szCs w:val="24"/>
                <w:highlight w:val="none"/>
                <w14:textFill>
                  <w14:solidFill>
                    <w14:schemeClr w14:val="tx1"/>
                  </w14:solidFill>
                </w14:textFill>
              </w:rPr>
            </w:pPr>
            <w:r>
              <w:rPr>
                <w:rFonts w:hint="default" w:ascii="Times New Roman" w:hAnsi="Times New Roman" w:cs="Times New Roman" w:eastAsiaTheme="minorEastAsia"/>
                <w:bCs/>
                <w:color w:val="000000" w:themeColor="text1"/>
                <w:spacing w:val="10"/>
                <w:sz w:val="24"/>
                <w:szCs w:val="24"/>
                <w:highlight w:val="none"/>
                <w14:textFill>
                  <w14:solidFill>
                    <w14:schemeClr w14:val="tx1"/>
                  </w14:solidFill>
                </w14:textFill>
              </w:rPr>
              <w:t>运营期生态环境保护措施</w:t>
            </w:r>
          </w:p>
        </w:tc>
        <w:tc>
          <w:tcPr>
            <w:tcW w:w="8457" w:type="dxa"/>
            <w:vAlign w:val="center"/>
          </w:tcPr>
          <w:p w14:paraId="6FBAFB74">
            <w:pPr>
              <w:spacing w:before="120" w:beforeLines="50" w:line="360" w:lineRule="auto"/>
              <w:ind w:firstLine="482" w:firstLineChars="200"/>
              <w:rPr>
                <w:rFonts w:hint="default" w:ascii="Times New Roman" w:hAnsi="Times New Roman" w:cs="Times New Roman" w:eastAsiaTheme="minorEastAsia"/>
                <w:b/>
                <w:bCs/>
                <w:color w:val="000000" w:themeColor="text1"/>
                <w:sz w:val="24"/>
                <w:highlight w:val="none"/>
                <w14:textFill>
                  <w14:solidFill>
                    <w14:schemeClr w14:val="tx1"/>
                  </w14:solidFill>
                </w14:textFill>
              </w:rPr>
            </w:pPr>
            <w:r>
              <w:rPr>
                <w:rFonts w:hint="default" w:ascii="Times New Roman" w:hAnsi="Times New Roman" w:cs="Times New Roman" w:eastAsiaTheme="minorEastAsia"/>
                <w:b/>
                <w:bCs/>
                <w:color w:val="000000" w:themeColor="text1"/>
                <w:sz w:val="24"/>
                <w:highlight w:val="none"/>
                <w:lang w:val="en-US" w:eastAsia="zh-CN"/>
                <w14:textFill>
                  <w14:solidFill>
                    <w14:schemeClr w14:val="tx1"/>
                  </w14:solidFill>
                </w14:textFill>
              </w:rPr>
              <w:t>1、</w:t>
            </w:r>
            <w:r>
              <w:rPr>
                <w:rFonts w:hint="default" w:ascii="Times New Roman" w:hAnsi="Times New Roman" w:cs="Times New Roman" w:eastAsiaTheme="minorEastAsia"/>
                <w:b/>
                <w:bCs/>
                <w:color w:val="000000" w:themeColor="text1"/>
                <w:sz w:val="24"/>
                <w:highlight w:val="none"/>
                <w14:textFill>
                  <w14:solidFill>
                    <w14:schemeClr w14:val="tx1"/>
                  </w14:solidFill>
                </w14:textFill>
              </w:rPr>
              <w:t>运营期环境保护措施</w:t>
            </w:r>
          </w:p>
          <w:p w14:paraId="45D9BDB3">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（1）生态流量保障措施</w:t>
            </w:r>
          </w:p>
          <w:p w14:paraId="389F1782">
            <w:pPr>
              <w:spacing w:line="360" w:lineRule="auto"/>
              <w:ind w:firstLine="480" w:firstLineChars="200"/>
              <w:rPr>
                <w:rFonts w:hint="eastAsia" w:ascii="Times New Roman" w:hAnsi="Times New Roman" w:eastAsia="宋体" w:cs="Times New Roman"/>
                <w:color w:val="000000" w:themeColor="text1"/>
                <w:kern w:val="0"/>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水库在调度时，采用现有输水洞进行生态流量下泄，严格按照</w:t>
            </w:r>
            <w:r>
              <w:rPr>
                <w:rFonts w:hint="default"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t>《水利水电工程生态流量计算与泄放设计规范》（SL/T820-2023）与《水库生态流量泄放规程》（SL/T819-2023）</w:t>
            </w:r>
            <w:r>
              <w:rPr>
                <w:rFonts w:hint="eastAsia" w:cs="Times New Roman"/>
                <w:snapToGrid w:val="0"/>
                <w:color w:val="000000" w:themeColor="text1"/>
                <w:kern w:val="0"/>
                <w:sz w:val="24"/>
                <w:szCs w:val="24"/>
                <w:lang w:val="en-US" w:eastAsia="zh-CN" w:bidi="ar-SA"/>
                <w14:textFill>
                  <w14:solidFill>
                    <w14:schemeClr w14:val="tx1"/>
                  </w14:solidFill>
                </w14:textFill>
              </w:rPr>
              <w:t>以及</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《水库调度设计规范》（GB/T50587-2010）要求，基本的水库调度原则为：水库调度设计应遵循保护生态和环境的原则，优先满足河道内生态和环境的基本用水要求，</w:t>
            </w:r>
            <w:r>
              <w:rPr>
                <w:rFonts w:hint="eastAsia"/>
                <w:color w:val="000000" w:themeColor="text1"/>
                <w:kern w:val="0"/>
                <w:sz w:val="24"/>
                <w:szCs w:val="24"/>
                <w14:textFill>
                  <w14:solidFill>
                    <w14:schemeClr w14:val="tx1"/>
                  </w14:solidFill>
                </w14:textFill>
              </w:rPr>
              <w:t>需要下放一定的水量作为生态用水</w:t>
            </w:r>
            <w:r>
              <w:rPr>
                <w:rFonts w:hint="eastAsia"/>
                <w:color w:val="000000" w:themeColor="text1"/>
                <w:kern w:val="0"/>
                <w:sz w:val="24"/>
                <w:szCs w:val="24"/>
                <w:lang w:eastAsia="zh-CN"/>
                <w14:textFill>
                  <w14:solidFill>
                    <w14:schemeClr w14:val="tx1"/>
                  </w14:solidFill>
                </w14:textFill>
              </w:rPr>
              <w:t>，根据地表水专项评价，</w:t>
            </w:r>
            <w:r>
              <w:rPr>
                <w:rFonts w:hint="eastAsia"/>
                <w:color w:val="000000" w:themeColor="text1"/>
                <w:kern w:val="0"/>
                <w:sz w:val="24"/>
                <w:szCs w:val="24"/>
                <w:lang w:val="en-US" w:eastAsia="zh-CN"/>
                <w14:textFill>
                  <w14:solidFill>
                    <w14:schemeClr w14:val="tx1"/>
                  </w14:solidFill>
                </w14:textFill>
              </w:rPr>
              <w:t>本项目丰水期生态流量为0.57m³/s，枯水期生态流量为0.345m³/s</w:t>
            </w:r>
            <w:r>
              <w:rPr>
                <w:rFonts w:hint="eastAsia" w:cs="Times New Roman"/>
                <w:b w:val="0"/>
                <w:bCs w:val="0"/>
                <w:color w:val="000000" w:themeColor="text1"/>
                <w:sz w:val="24"/>
                <w:szCs w:val="24"/>
                <w:highlight w:val="none"/>
                <w:lang w:val="en-US" w:eastAsia="zh-CN"/>
                <w14:textFill>
                  <w14:solidFill>
                    <w14:schemeClr w14:val="tx1"/>
                  </w14:solidFill>
                </w14:textFill>
              </w:rPr>
              <w:t>。</w:t>
            </w:r>
          </w:p>
          <w:p w14:paraId="0D6FD7F9">
            <w:pPr>
              <w:adjustRightInd w:val="0"/>
              <w:snapToGrid w:val="0"/>
              <w:spacing w:line="360" w:lineRule="auto"/>
              <w:ind w:firstLine="420" w:firstLineChars="200"/>
              <w:rPr>
                <w:rFonts w:hint="default" w:ascii="Times New Roman" w:hAnsi="Times New Roman" w:cs="Times New Roman"/>
                <w:color w:val="000000" w:themeColor="text1"/>
                <w:highlight w:val="none"/>
                <w14:textFill>
                  <w14:solidFill>
                    <w14:schemeClr w14:val="tx1"/>
                  </w14:solidFill>
                </w14:textFill>
              </w:rPr>
            </w:pPr>
          </w:p>
          <w:p w14:paraId="5B4ACC03">
            <w:pPr>
              <w:pStyle w:val="28"/>
              <w:rPr>
                <w:rFonts w:hint="default" w:ascii="Times New Roman" w:hAnsi="Times New Roman" w:cs="Times New Roman"/>
                <w:color w:val="000000" w:themeColor="text1"/>
                <w:highlight w:val="none"/>
                <w14:textFill>
                  <w14:solidFill>
                    <w14:schemeClr w14:val="tx1"/>
                  </w14:solidFill>
                </w14:textFill>
              </w:rPr>
            </w:pPr>
          </w:p>
        </w:tc>
      </w:tr>
      <w:tr w14:paraId="037322E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83" w:hRule="atLeast"/>
          <w:jc w:val="center"/>
        </w:trPr>
        <w:tc>
          <w:tcPr>
            <w:tcW w:w="753" w:type="dxa"/>
            <w:vAlign w:val="center"/>
          </w:tcPr>
          <w:p w14:paraId="7374C281">
            <w:pPr>
              <w:adjustRightInd w:val="0"/>
              <w:snapToGrid w:val="0"/>
              <w:jc w:val="center"/>
              <w:rPr>
                <w:rFonts w:hint="default" w:ascii="Times New Roman" w:hAnsi="Times New Roman" w:cs="Times New Roman" w:eastAsiaTheme="minorEastAsia"/>
                <w:bCs/>
                <w:color w:val="000000" w:themeColor="text1"/>
                <w:spacing w:val="10"/>
                <w:szCs w:val="21"/>
                <w:highlight w:val="none"/>
                <w14:textFill>
                  <w14:solidFill>
                    <w14:schemeClr w14:val="tx1"/>
                  </w14:solidFill>
                </w14:textFill>
              </w:rPr>
            </w:pPr>
            <w:r>
              <w:rPr>
                <w:rFonts w:hint="default" w:ascii="Times New Roman" w:hAnsi="Times New Roman" w:cs="Times New Roman" w:eastAsiaTheme="minorEastAsia"/>
                <w:bCs/>
                <w:color w:val="000000" w:themeColor="text1"/>
                <w:szCs w:val="21"/>
                <w:highlight w:val="none"/>
                <w14:textFill>
                  <w14:solidFill>
                    <w14:schemeClr w14:val="tx1"/>
                  </w14:solidFill>
                </w14:textFill>
              </w:rPr>
              <w:t>其他</w:t>
            </w:r>
          </w:p>
        </w:tc>
        <w:tc>
          <w:tcPr>
            <w:tcW w:w="8457" w:type="dxa"/>
          </w:tcPr>
          <w:p w14:paraId="3BDC6D49">
            <w:pPr>
              <w:spacing w:before="120" w:beforeLines="50" w:line="360" w:lineRule="auto"/>
              <w:ind w:firstLine="482" w:firstLineChars="200"/>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kern w:val="0"/>
                <w:sz w:val="24"/>
                <w:highlight w:val="none"/>
                <w14:textFill>
                  <w14:solidFill>
                    <w14:schemeClr w14:val="tx1"/>
                  </w14:solidFill>
                </w14:textFill>
              </w:rPr>
              <w:t>环境监测与管理</w:t>
            </w:r>
          </w:p>
          <w:p w14:paraId="45EBA1C4">
            <w:pPr>
              <w:spacing w:line="360" w:lineRule="auto"/>
              <w:ind w:firstLine="482" w:firstLineChars="200"/>
              <w:rPr>
                <w:rFonts w:hint="default" w:ascii="Times New Roman" w:hAnsi="Times New Roman" w:cs="Times New Roman"/>
                <w:b/>
                <w:bCs/>
                <w:color w:val="000000" w:themeColor="text1"/>
                <w:kern w:val="0"/>
                <w:sz w:val="24"/>
                <w:highlight w:val="none"/>
                <w14:textFill>
                  <w14:solidFill>
                    <w14:schemeClr w14:val="tx1"/>
                  </w14:solidFill>
                </w14:textFill>
              </w:rPr>
            </w:pPr>
            <w:r>
              <w:rPr>
                <w:rFonts w:hint="default" w:ascii="Times New Roman" w:hAnsi="Times New Roman" w:cs="Times New Roman"/>
                <w:b/>
                <w:bCs/>
                <w:color w:val="000000" w:themeColor="text1"/>
                <w:kern w:val="0"/>
                <w:sz w:val="24"/>
                <w:highlight w:val="none"/>
                <w:lang w:eastAsia="zh-CN"/>
                <w14:textFill>
                  <w14:solidFill>
                    <w14:schemeClr w14:val="tx1"/>
                  </w14:solidFill>
                </w14:textFill>
              </w:rPr>
              <w:t>（</w:t>
            </w:r>
            <w:r>
              <w:rPr>
                <w:rFonts w:hint="default" w:ascii="Times New Roman" w:hAnsi="Times New Roman" w:cs="Times New Roman"/>
                <w:b/>
                <w:bCs/>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b/>
                <w:bCs/>
                <w:color w:val="000000" w:themeColor="text1"/>
                <w:kern w:val="0"/>
                <w:sz w:val="24"/>
                <w:highlight w:val="none"/>
                <w:lang w:eastAsia="zh-CN"/>
                <w14:textFill>
                  <w14:solidFill>
                    <w14:schemeClr w14:val="tx1"/>
                  </w14:solidFill>
                </w14:textFill>
              </w:rPr>
              <w:t>）</w:t>
            </w:r>
            <w:r>
              <w:rPr>
                <w:rFonts w:hint="default" w:ascii="Times New Roman" w:hAnsi="Times New Roman" w:cs="Times New Roman"/>
                <w:b/>
                <w:bCs/>
                <w:color w:val="000000" w:themeColor="text1"/>
                <w:kern w:val="0"/>
                <w:sz w:val="24"/>
                <w:highlight w:val="none"/>
                <w14:textFill>
                  <w14:solidFill>
                    <w14:schemeClr w14:val="tx1"/>
                  </w14:solidFill>
                </w14:textFill>
              </w:rPr>
              <w:t>环境监测</w:t>
            </w:r>
          </w:p>
          <w:p w14:paraId="374B1A8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环境监测重点放在施工期，监测对象为地表水环境等。监测任务可委托有资质的环境监测部门承担，监测数据经过审查、校核后，整理编印。本项目施工期1年，环境监测周期与项目建设周期同步。具体环境监测计划详见表</w:t>
            </w:r>
            <w:r>
              <w:rPr>
                <w:rFonts w:hint="default" w:ascii="Times New Roman" w:hAnsi="Times New Roman" w:cs="Times New Roman"/>
                <w:color w:val="000000" w:themeColor="text1"/>
                <w:sz w:val="24"/>
                <w:highlight w:val="none"/>
                <w:lang w:val="en-US" w:eastAsia="zh-CN"/>
                <w14:textFill>
                  <w14:solidFill>
                    <w14:schemeClr w14:val="tx1"/>
                  </w14:solidFill>
                </w14:textFill>
              </w:rPr>
              <w:t>5-1</w:t>
            </w:r>
            <w:r>
              <w:rPr>
                <w:rFonts w:hint="default" w:ascii="Times New Roman" w:hAnsi="Times New Roman" w:cs="Times New Roman"/>
                <w:color w:val="000000" w:themeColor="text1"/>
                <w:sz w:val="24"/>
                <w:highlight w:val="none"/>
                <w14:textFill>
                  <w14:solidFill>
                    <w14:schemeClr w14:val="tx1"/>
                  </w14:solidFill>
                </w14:textFill>
              </w:rPr>
              <w:t>。</w:t>
            </w:r>
          </w:p>
          <w:p w14:paraId="78F4B9A0">
            <w:pPr>
              <w:keepNext w:val="0"/>
              <w:keepLines w:val="0"/>
              <w:pageBreakBefore w:val="0"/>
              <w:widowControl w:val="0"/>
              <w:kinsoku/>
              <w:wordWrap/>
              <w:overflowPunct/>
              <w:topLinePunct w:val="0"/>
              <w:autoSpaceDE/>
              <w:autoSpaceDN/>
              <w:bidi w:val="0"/>
              <w:adjustRightInd/>
              <w:snapToGrid/>
              <w:spacing w:line="240" w:lineRule="auto"/>
              <w:ind w:firstLine="482" w:firstLineChars="200"/>
              <w:jc w:val="center"/>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szCs w:val="32"/>
                <w:highlight w:val="none"/>
                <w14:textFill>
                  <w14:solidFill>
                    <w14:schemeClr w14:val="tx1"/>
                  </w14:solidFill>
                </w14:textFill>
              </w:rPr>
              <w:t>表</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5-1</w:t>
            </w:r>
            <w:r>
              <w:rPr>
                <w:rFonts w:hint="default" w:ascii="Times New Roman" w:hAnsi="Times New Roman" w:cs="Times New Roman"/>
                <w:b/>
                <w:bCs/>
                <w:color w:val="000000" w:themeColor="text1"/>
                <w:sz w:val="24"/>
                <w:szCs w:val="32"/>
                <w:highlight w:val="none"/>
                <w14:textFill>
                  <w14:solidFill>
                    <w14:schemeClr w14:val="tx1"/>
                  </w14:solidFill>
                </w14:textFill>
              </w:rPr>
              <w:t>施工期环境监测计划</w:t>
            </w:r>
          </w:p>
          <w:tbl>
            <w:tblPr>
              <w:tblStyle w:val="22"/>
              <w:tblpPr w:leftFromText="180" w:rightFromText="180" w:vertAnchor="text" w:horzAnchor="page" w:tblpX="15" w:tblpY="241"/>
              <w:tblOverlap w:val="never"/>
              <w:tblW w:w="845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984"/>
              <w:gridCol w:w="2067"/>
              <w:gridCol w:w="2333"/>
              <w:gridCol w:w="1599"/>
              <w:gridCol w:w="1469"/>
            </w:tblGrid>
            <w:tr w14:paraId="6C54C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0" w:hRule="atLeast"/>
                <w:tblHeader/>
              </w:trPr>
              <w:tc>
                <w:tcPr>
                  <w:tcW w:w="582" w:type="pct"/>
                  <w:vAlign w:val="center"/>
                </w:tcPr>
                <w:p w14:paraId="68A58F2A">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w:t>
                  </w:r>
                </w:p>
                <w:p w14:paraId="50909C6A">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要素</w:t>
                  </w:r>
                </w:p>
              </w:tc>
              <w:tc>
                <w:tcPr>
                  <w:tcW w:w="1222" w:type="pct"/>
                  <w:vAlign w:val="center"/>
                </w:tcPr>
                <w:p w14:paraId="1E3BB308">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监测地点</w:t>
                  </w:r>
                </w:p>
              </w:tc>
              <w:tc>
                <w:tcPr>
                  <w:tcW w:w="1380" w:type="pct"/>
                  <w:vAlign w:val="center"/>
                </w:tcPr>
                <w:p w14:paraId="6E44679E">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监测项目</w:t>
                  </w:r>
                </w:p>
              </w:tc>
              <w:tc>
                <w:tcPr>
                  <w:tcW w:w="945" w:type="pct"/>
                  <w:vAlign w:val="center"/>
                </w:tcPr>
                <w:p w14:paraId="19E577AD">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监测时间及频率</w:t>
                  </w:r>
                </w:p>
              </w:tc>
              <w:tc>
                <w:tcPr>
                  <w:tcW w:w="869" w:type="pct"/>
                  <w:vAlign w:val="center"/>
                </w:tcPr>
                <w:p w14:paraId="7CB41848">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实施机构</w:t>
                  </w:r>
                </w:p>
              </w:tc>
            </w:tr>
            <w:tr w14:paraId="62D8C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047" w:hRule="atLeast"/>
              </w:trPr>
              <w:tc>
                <w:tcPr>
                  <w:tcW w:w="582" w:type="pct"/>
                  <w:vAlign w:val="center"/>
                </w:tcPr>
                <w:p w14:paraId="19D822B6">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地表水</w:t>
                  </w:r>
                </w:p>
                <w:p w14:paraId="2D5C07F5">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环境</w:t>
                  </w:r>
                </w:p>
              </w:tc>
              <w:tc>
                <w:tcPr>
                  <w:tcW w:w="1222" w:type="pct"/>
                  <w:vAlign w:val="center"/>
                </w:tcPr>
                <w:p w14:paraId="1C740EC0">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lang w:eastAsia="zh-CN"/>
                      <w14:textFill>
                        <w14:solidFill>
                          <w14:schemeClr w14:val="tx1"/>
                        </w14:solidFill>
                      </w14:textFill>
                    </w:rPr>
                    <w:t>青山</w:t>
                  </w:r>
                  <w:r>
                    <w:rPr>
                      <w:rFonts w:hint="default" w:ascii="Times New Roman" w:hAnsi="Times New Roman" w:cs="Times New Roman"/>
                      <w:color w:val="000000" w:themeColor="text1"/>
                      <w:sz w:val="21"/>
                      <w:szCs w:val="21"/>
                      <w:highlight w:val="none"/>
                      <w14:textFill>
                        <w14:solidFill>
                          <w14:schemeClr w14:val="tx1"/>
                        </w14:solidFill>
                      </w14:textFill>
                    </w:rPr>
                    <w:t>水库靠坝前位置设置1处断面</w:t>
                  </w:r>
                </w:p>
              </w:tc>
              <w:tc>
                <w:tcPr>
                  <w:tcW w:w="1380" w:type="pct"/>
                  <w:vAlign w:val="center"/>
                </w:tcPr>
                <w:p w14:paraId="5019598B">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pH值、SS、COD、BOD</w:t>
                  </w:r>
                  <w:r>
                    <w:rPr>
                      <w:rFonts w:hint="default" w:ascii="Times New Roman" w:hAnsi="Times New Roman" w:cs="Times New Roman"/>
                      <w:color w:val="000000" w:themeColor="text1"/>
                      <w:sz w:val="21"/>
                      <w:szCs w:val="21"/>
                      <w:highlight w:val="none"/>
                      <w:vertAlign w:val="subscript"/>
                      <w14:textFill>
                        <w14:solidFill>
                          <w14:schemeClr w14:val="tx1"/>
                        </w14:solidFill>
                      </w14:textFill>
                    </w:rPr>
                    <w:t>5</w:t>
                  </w:r>
                  <w:r>
                    <w:rPr>
                      <w:rFonts w:hint="default" w:ascii="Times New Roman" w:hAnsi="Times New Roman" w:cs="Times New Roman"/>
                      <w:color w:val="000000" w:themeColor="text1"/>
                      <w:sz w:val="21"/>
                      <w:szCs w:val="21"/>
                      <w:highlight w:val="none"/>
                      <w14:textFill>
                        <w14:solidFill>
                          <w14:schemeClr w14:val="tx1"/>
                        </w14:solidFill>
                      </w14:textFill>
                    </w:rPr>
                    <w:t>、氨氮、高锰酸盐指数、粪大肠菌群、石油类</w:t>
                  </w:r>
                </w:p>
              </w:tc>
              <w:tc>
                <w:tcPr>
                  <w:tcW w:w="945" w:type="pct"/>
                  <w:vAlign w:val="center"/>
                </w:tcPr>
                <w:p w14:paraId="7093D026">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highlight w:val="none"/>
                      <w14:textFill>
                        <w14:solidFill>
                          <w14:schemeClr w14:val="tx1"/>
                        </w14:solidFill>
                      </w14:textFill>
                    </w:rPr>
                    <w:t>施工高峰期</w:t>
                  </w:r>
                  <w:r>
                    <w:rPr>
                      <w:rFonts w:hint="default" w:ascii="Times New Roman" w:hAnsi="Times New Roman" w:cs="Times New Roman"/>
                      <w:color w:val="000000" w:themeColor="text1"/>
                      <w:sz w:val="21"/>
                      <w:highlight w:val="none"/>
                      <w:lang w:eastAsia="zh-CN"/>
                      <w14:textFill>
                        <w14:solidFill>
                          <w14:schemeClr w14:val="tx1"/>
                        </w14:solidFill>
                      </w14:textFill>
                    </w:rPr>
                    <w:t>一次</w:t>
                  </w:r>
                  <w:r>
                    <w:rPr>
                      <w:rFonts w:hint="default" w:ascii="Times New Roman" w:hAnsi="Times New Roman" w:cs="Times New Roman"/>
                      <w:color w:val="000000" w:themeColor="text1"/>
                      <w:sz w:val="21"/>
                      <w:szCs w:val="21"/>
                      <w:highlight w:val="none"/>
                      <w14:textFill>
                        <w14:solidFill>
                          <w14:schemeClr w14:val="tx1"/>
                        </w14:solidFill>
                      </w14:textFill>
                    </w:rPr>
                    <w:t>，每次连续监测</w:t>
                  </w: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3</w:t>
                  </w:r>
                  <w:r>
                    <w:rPr>
                      <w:rFonts w:hint="default" w:ascii="Times New Roman" w:hAnsi="Times New Roman" w:cs="Times New Roman"/>
                      <w:color w:val="000000" w:themeColor="text1"/>
                      <w:sz w:val="21"/>
                      <w:szCs w:val="21"/>
                      <w:highlight w:val="none"/>
                      <w14:textFill>
                        <w14:solidFill>
                          <w14:schemeClr w14:val="tx1"/>
                        </w14:solidFill>
                      </w14:textFill>
                    </w:rPr>
                    <w:t>天，每天1次。</w:t>
                  </w:r>
                </w:p>
              </w:tc>
              <w:tc>
                <w:tcPr>
                  <w:tcW w:w="869" w:type="pct"/>
                  <w:vMerge w:val="restart"/>
                  <w:vAlign w:val="center"/>
                </w:tcPr>
                <w:p w14:paraId="13E91BC6">
                  <w:pPr>
                    <w:pStyle w:val="35"/>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有环境监测资质单位</w:t>
                  </w:r>
                </w:p>
              </w:tc>
            </w:tr>
            <w:tr w14:paraId="6883AC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90" w:hRule="atLeast"/>
              </w:trPr>
              <w:tc>
                <w:tcPr>
                  <w:tcW w:w="582" w:type="pct"/>
                  <w:vAlign w:val="center"/>
                </w:tcPr>
                <w:p w14:paraId="3A091C38">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大气环境</w:t>
                  </w:r>
                </w:p>
              </w:tc>
              <w:tc>
                <w:tcPr>
                  <w:tcW w:w="1222" w:type="pct"/>
                  <w:vAlign w:val="center"/>
                </w:tcPr>
                <w:p w14:paraId="1EC598ED">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施工区附近设置1个点位，共计1个点位</w:t>
                  </w:r>
                </w:p>
              </w:tc>
              <w:tc>
                <w:tcPr>
                  <w:tcW w:w="1380" w:type="pct"/>
                  <w:vAlign w:val="center"/>
                </w:tcPr>
                <w:p w14:paraId="3F6CB3F3">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TSP</w:t>
                  </w:r>
                </w:p>
              </w:tc>
              <w:tc>
                <w:tcPr>
                  <w:tcW w:w="945" w:type="pct"/>
                  <w:vAlign w:val="center"/>
                </w:tcPr>
                <w:p w14:paraId="7A11407E">
                  <w:pPr>
                    <w:pStyle w:val="35"/>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施工期监测2次，每次连续3天</w:t>
                  </w:r>
                </w:p>
              </w:tc>
              <w:tc>
                <w:tcPr>
                  <w:tcW w:w="869" w:type="pct"/>
                  <w:vMerge w:val="continue"/>
                  <w:vAlign w:val="center"/>
                </w:tcPr>
                <w:p w14:paraId="7579785C">
                  <w:pPr>
                    <w:pStyle w:val="35"/>
                    <w:rPr>
                      <w:rFonts w:hint="default" w:ascii="Times New Roman" w:hAnsi="Times New Roman" w:cs="Times New Roman"/>
                      <w:color w:val="000000" w:themeColor="text1"/>
                      <w:kern w:val="0"/>
                      <w:szCs w:val="21"/>
                      <w:highlight w:val="none"/>
                      <w14:textFill>
                        <w14:solidFill>
                          <w14:schemeClr w14:val="tx1"/>
                        </w14:solidFill>
                      </w14:textFill>
                    </w:rPr>
                  </w:pPr>
                </w:p>
              </w:tc>
            </w:tr>
            <w:tr w14:paraId="4394E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90" w:hRule="atLeast"/>
              </w:trPr>
              <w:tc>
                <w:tcPr>
                  <w:tcW w:w="582" w:type="pct"/>
                  <w:vAlign w:val="center"/>
                </w:tcPr>
                <w:p w14:paraId="1956CBF4">
                  <w:pPr>
                    <w:pStyle w:val="35"/>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噪声</w:t>
                  </w:r>
                </w:p>
              </w:tc>
              <w:tc>
                <w:tcPr>
                  <w:tcW w:w="1222" w:type="pct"/>
                  <w:vAlign w:val="center"/>
                </w:tcPr>
                <w:p w14:paraId="2E398427">
                  <w:pPr>
                    <w:pStyle w:val="35"/>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施工区附近设置1个点位，共计1个点位</w:t>
                  </w:r>
                </w:p>
              </w:tc>
              <w:tc>
                <w:tcPr>
                  <w:tcW w:w="1380" w:type="pct"/>
                  <w:vAlign w:val="center"/>
                </w:tcPr>
                <w:p w14:paraId="2E00A8B6">
                  <w:pPr>
                    <w:pStyle w:val="35"/>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等效连续A声级</w:t>
                  </w:r>
                </w:p>
              </w:tc>
              <w:tc>
                <w:tcPr>
                  <w:tcW w:w="945" w:type="pct"/>
                  <w:vAlign w:val="center"/>
                </w:tcPr>
                <w:p w14:paraId="0E0A7CCC">
                  <w:pPr>
                    <w:pStyle w:val="35"/>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eastAsia" w:ascii="Times New Roman" w:hAnsi="Times New Roman" w:eastAsia="宋体" w:cs="Times New Roman"/>
                      <w:color w:val="000000" w:themeColor="text1"/>
                      <w:sz w:val="21"/>
                      <w:szCs w:val="21"/>
                      <w:highlight w:val="none"/>
                      <w14:textFill>
                        <w14:solidFill>
                          <w14:schemeClr w14:val="tx1"/>
                        </w14:solidFill>
                      </w14:textFill>
                    </w:rPr>
                    <w:t>1</w:t>
                  </w:r>
                  <w:r>
                    <w:rPr>
                      <w:rFonts w:hint="default" w:ascii="Times New Roman" w:hAnsi="Times New Roman" w:eastAsia="宋体" w:cs="Times New Roman"/>
                      <w:color w:val="000000" w:themeColor="text1"/>
                      <w:sz w:val="21"/>
                      <w:szCs w:val="21"/>
                      <w:highlight w:val="none"/>
                      <w14:textFill>
                        <w14:solidFill>
                          <w14:schemeClr w14:val="tx1"/>
                        </w14:solidFill>
                      </w14:textFill>
                    </w:rPr>
                    <w:t>次/施工高峰期</w:t>
                  </w:r>
                </w:p>
              </w:tc>
              <w:tc>
                <w:tcPr>
                  <w:tcW w:w="869" w:type="pct"/>
                  <w:vMerge w:val="continue"/>
                  <w:vAlign w:val="center"/>
                </w:tcPr>
                <w:p w14:paraId="6AA05E51">
                  <w:pPr>
                    <w:pStyle w:val="35"/>
                    <w:rPr>
                      <w:rFonts w:hint="default" w:ascii="Times New Roman" w:hAnsi="Times New Roman" w:cs="Times New Roman"/>
                      <w:color w:val="000000" w:themeColor="text1"/>
                      <w:kern w:val="0"/>
                      <w:szCs w:val="21"/>
                      <w:highlight w:val="none"/>
                      <w14:textFill>
                        <w14:solidFill>
                          <w14:schemeClr w14:val="tx1"/>
                        </w14:solidFill>
                      </w14:textFill>
                    </w:rPr>
                  </w:pPr>
                </w:p>
              </w:tc>
            </w:tr>
          </w:tbl>
          <w:p w14:paraId="1BE1E363">
            <w:pPr>
              <w:spacing w:before="120" w:beforeLines="50" w:line="360" w:lineRule="auto"/>
              <w:ind w:firstLine="482" w:firstLineChars="200"/>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2</w:t>
            </w:r>
            <w:r>
              <w:rPr>
                <w:rFonts w:hint="default" w:ascii="Times New Roman" w:hAnsi="Times New Roman" w:cs="Times New Roman" w:eastAsiaTheme="minorEastAsia"/>
                <w:b/>
                <w:bCs/>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t>环境管理</w:t>
            </w:r>
          </w:p>
          <w:p w14:paraId="350EDD8E">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为确保各项环境保护政策、法规的贯彻以及环保措施的落实，有效地处理各种环境突发事件，在工程管理机构设置环境管理人员1人，负责环境保护及环境管理工作。</w:t>
            </w:r>
          </w:p>
          <w:p w14:paraId="01E16488">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环境管理任务：协调解决工程建设及运行过程中的有关环境纠纷等问题；监督施工期和运行期各项环保措施的执行情况；编制并负责执行工程的环境管理计划；以各种形式宣传环境</w:t>
            </w:r>
            <w:r>
              <w:rPr>
                <w:rFonts w:hint="default" w:ascii="Times New Roman" w:hAnsi="Times New Roman" w:cs="Times New Roman" w:eastAsiaTheme="minorEastAsia"/>
                <w:color w:val="000000" w:themeColor="text1"/>
                <w:sz w:val="24"/>
                <w:highlight w:val="none"/>
                <w14:textFill>
                  <w14:solidFill>
                    <w14:schemeClr w14:val="tx1"/>
                  </w14:solidFill>
                </w14:textFill>
              </w:rPr>
              <w:t>保护法规、增强人们的环保意识。</w:t>
            </w:r>
          </w:p>
          <w:p w14:paraId="46B8CC8C">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通过环境管理，可以使工程建设和环境保护得以同时实施，使项目的建设符合国家的“三同时”方针，使地方环保部门具有可监督的依据，将水利工程建设对周围环境带来的不利影响，通过环保措施的实施而得以减免。</w:t>
            </w:r>
          </w:p>
          <w:p w14:paraId="1993EE25">
            <w:pPr>
              <w:spacing w:line="360" w:lineRule="auto"/>
              <w:ind w:firstLine="482" w:firstLineChars="200"/>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3</w:t>
            </w:r>
            <w:r>
              <w:rPr>
                <w:rFonts w:hint="default" w:ascii="Times New Roman" w:hAnsi="Times New Roman" w:cs="Times New Roman" w:eastAsiaTheme="minorEastAsia"/>
                <w:b/>
                <w:bCs/>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t>环境监理</w:t>
            </w:r>
          </w:p>
          <w:p w14:paraId="345A7283">
            <w:pPr>
              <w:spacing w:line="360" w:lineRule="auto"/>
              <w:ind w:firstLine="48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工程施工期设立环境监理人员1名。根据国家法律法规和政策及施工合同中的环保条</w:t>
            </w:r>
            <w:r>
              <w:rPr>
                <w:rFonts w:hint="default" w:ascii="Times New Roman" w:hAnsi="Times New Roman" w:cs="Times New Roman"/>
                <w:color w:val="000000" w:themeColor="text1"/>
                <w:sz w:val="24"/>
                <w:highlight w:val="none"/>
                <w14:textFill>
                  <w14:solidFill>
                    <w14:schemeClr w14:val="tx1"/>
                  </w14:solidFill>
                </w14:textFill>
              </w:rPr>
              <w:t>款，通过日常巡视，下发指令性文件等方式，监督、审查和评估施工期环境保护执行情况，及时发现和指正施工单位的违反环境保护政策行为，及时将监理情况反馈给工程监理和工程建设管理部门，防止各种突发污染事故发生。</w:t>
            </w:r>
          </w:p>
        </w:tc>
      </w:tr>
      <w:tr w14:paraId="31F35A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53" w:type="dxa"/>
            <w:vAlign w:val="center"/>
          </w:tcPr>
          <w:p w14:paraId="3C98C10D">
            <w:pPr>
              <w:adjustRightInd w:val="0"/>
              <w:snapToGrid w:val="0"/>
              <w:jc w:val="center"/>
              <w:rPr>
                <w:rFonts w:hint="default" w:ascii="Times New Roman" w:hAnsi="Times New Roman" w:cs="Times New Roman" w:eastAsiaTheme="minorEastAsia"/>
                <w:bCs/>
                <w:color w:val="000000" w:themeColor="text1"/>
                <w:spacing w:val="10"/>
                <w:szCs w:val="21"/>
                <w:highlight w:val="none"/>
                <w14:textFill>
                  <w14:solidFill>
                    <w14:schemeClr w14:val="tx1"/>
                  </w14:solidFill>
                </w14:textFill>
              </w:rPr>
            </w:pPr>
            <w:r>
              <w:rPr>
                <w:rFonts w:hint="default" w:ascii="Times New Roman" w:hAnsi="Times New Roman" w:cs="Times New Roman" w:eastAsiaTheme="minorEastAsia"/>
                <w:bCs/>
                <w:color w:val="000000" w:themeColor="text1"/>
                <w:szCs w:val="21"/>
                <w:highlight w:val="none"/>
                <w14:textFill>
                  <w14:solidFill>
                    <w14:schemeClr w14:val="tx1"/>
                  </w14:solidFill>
                </w14:textFill>
              </w:rPr>
              <w:t>环保投资</w:t>
            </w:r>
          </w:p>
        </w:tc>
        <w:tc>
          <w:tcPr>
            <w:tcW w:w="8457" w:type="dxa"/>
          </w:tcPr>
          <w:p w14:paraId="0AAF389C">
            <w:pPr>
              <w:spacing w:before="120" w:beforeLines="50" w:line="360" w:lineRule="auto"/>
              <w:ind w:firstLine="482" w:firstLineChars="200"/>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b/>
                <w:bCs/>
                <w:color w:val="000000" w:themeColor="text1"/>
                <w:kern w:val="0"/>
                <w:sz w:val="24"/>
                <w:highlight w:val="none"/>
                <w:lang w:val="en-US" w:eastAsia="zh-CN"/>
                <w14:textFill>
                  <w14:solidFill>
                    <w14:schemeClr w14:val="tx1"/>
                  </w14:solidFill>
                </w14:textFill>
              </w:rPr>
              <w:t>2、</w:t>
            </w:r>
            <w:r>
              <w:rPr>
                <w:rFonts w:hint="default" w:ascii="Times New Roman" w:hAnsi="Times New Roman" w:cs="Times New Roman" w:eastAsiaTheme="minorEastAsia"/>
                <w:b/>
                <w:bCs/>
                <w:color w:val="000000" w:themeColor="text1"/>
                <w:kern w:val="0"/>
                <w:sz w:val="24"/>
                <w:highlight w:val="none"/>
                <w14:textFill>
                  <w14:solidFill>
                    <w14:schemeClr w14:val="tx1"/>
                  </w14:solidFill>
                </w14:textFill>
              </w:rPr>
              <w:t>环境保护投资</w:t>
            </w:r>
          </w:p>
          <w:p w14:paraId="26FFFECA">
            <w:pPr>
              <w:spacing w:line="360" w:lineRule="auto"/>
              <w:ind w:firstLine="480" w:firstLineChars="200"/>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根据项目建设对所在区域环境的影响</w:t>
            </w: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提出相应的减缓措施，项目总投资为</w:t>
            </w:r>
            <w:r>
              <w:rPr>
                <w:rFonts w:hint="eastAsia" w:cs="Times New Roman" w:eastAsiaTheme="minorEastAsia"/>
                <w:color w:val="000000" w:themeColor="text1"/>
                <w:sz w:val="24"/>
                <w:szCs w:val="24"/>
                <w:highlight w:val="none"/>
                <w:lang w:val="en-US" w:eastAsia="zh-CN"/>
                <w14:textFill>
                  <w14:solidFill>
                    <w14:schemeClr w14:val="tx1"/>
                  </w14:solidFill>
                </w14:textFill>
              </w:rPr>
              <w:t>540.38</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万元，其中环保投资费用为</w:t>
            </w:r>
            <w:r>
              <w:rPr>
                <w:rFonts w:hint="eastAsia" w:cs="Times New Roman" w:eastAsiaTheme="minorEastAsia"/>
                <w:color w:val="000000" w:themeColor="text1"/>
                <w:sz w:val="24"/>
                <w:szCs w:val="24"/>
                <w:highlight w:val="none"/>
                <w:lang w:val="en-US" w:eastAsia="zh-CN"/>
                <w14:textFill>
                  <w14:solidFill>
                    <w14:schemeClr w14:val="tx1"/>
                  </w14:solidFill>
                </w14:textFill>
              </w:rPr>
              <w:t>29.63</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万元，约占工程总投资的</w:t>
            </w:r>
            <w:r>
              <w:rPr>
                <w:rFonts w:hint="eastAsia" w:cs="Times New Roman" w:eastAsiaTheme="minorEastAsia"/>
                <w:color w:val="000000" w:themeColor="text1"/>
                <w:sz w:val="24"/>
                <w:szCs w:val="24"/>
                <w:highlight w:val="none"/>
                <w:lang w:val="en-US" w:eastAsia="zh-CN"/>
                <w14:textFill>
                  <w14:solidFill>
                    <w14:schemeClr w14:val="tx1"/>
                  </w14:solidFill>
                </w14:textFill>
              </w:rPr>
              <w:t>5.48</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w:t>
            </w:r>
          </w:p>
          <w:p w14:paraId="5027A1F8">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具体环保投资情况见表</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5-2</w:t>
            </w:r>
            <w:r>
              <w:rPr>
                <w:rFonts w:hint="default" w:ascii="Times New Roman" w:hAnsi="Times New Roman" w:cs="Times New Roman" w:eastAsiaTheme="minorEastAsia"/>
                <w:color w:val="000000" w:themeColor="text1"/>
                <w:sz w:val="24"/>
                <w:highlight w:val="none"/>
                <w14:textFill>
                  <w14:solidFill>
                    <w14:schemeClr w14:val="tx1"/>
                  </w14:solidFill>
                </w14:textFill>
              </w:rPr>
              <w:t>。</w:t>
            </w:r>
          </w:p>
          <w:p w14:paraId="3685D372">
            <w:pPr>
              <w:spacing w:line="360" w:lineRule="auto"/>
              <w:ind w:firstLine="482" w:firstLineChars="200"/>
              <w:jc w:val="center"/>
              <w:rPr>
                <w:rFonts w:hint="default" w:ascii="Times New Roman" w:hAnsi="Times New Roman" w:cs="Times New Roman"/>
                <w:b/>
                <w:bCs/>
                <w:color w:val="000000" w:themeColor="text1"/>
                <w:sz w:val="24"/>
                <w:szCs w:val="32"/>
                <w:highlight w:val="none"/>
                <w14:textFill>
                  <w14:solidFill>
                    <w14:schemeClr w14:val="tx1"/>
                  </w14:solidFill>
                </w14:textFill>
              </w:rPr>
            </w:pPr>
            <w:r>
              <w:rPr>
                <w:rFonts w:hint="default" w:ascii="Times New Roman" w:hAnsi="Times New Roman" w:cs="Times New Roman"/>
                <w:b/>
                <w:bCs/>
                <w:color w:val="000000" w:themeColor="text1"/>
                <w:sz w:val="24"/>
                <w:szCs w:val="32"/>
                <w:highlight w:val="none"/>
                <w14:textFill>
                  <w14:solidFill>
                    <w14:schemeClr w14:val="tx1"/>
                  </w14:solidFill>
                </w14:textFill>
              </w:rPr>
              <w:t>表</w:t>
            </w:r>
            <w:r>
              <w:rPr>
                <w:rFonts w:hint="default" w:ascii="Times New Roman" w:hAnsi="Times New Roman" w:cs="Times New Roman"/>
                <w:b/>
                <w:bCs/>
                <w:color w:val="000000" w:themeColor="text1"/>
                <w:sz w:val="24"/>
                <w:szCs w:val="32"/>
                <w:highlight w:val="none"/>
                <w:lang w:val="en-US" w:eastAsia="zh-CN"/>
                <w14:textFill>
                  <w14:solidFill>
                    <w14:schemeClr w14:val="tx1"/>
                  </w14:solidFill>
                </w14:textFill>
              </w:rPr>
              <w:t>5-2</w:t>
            </w:r>
            <w:r>
              <w:rPr>
                <w:rFonts w:hint="default" w:ascii="Times New Roman" w:hAnsi="Times New Roman" w:cs="Times New Roman"/>
                <w:b/>
                <w:bCs/>
                <w:color w:val="000000" w:themeColor="text1"/>
                <w:sz w:val="24"/>
                <w:szCs w:val="32"/>
                <w:highlight w:val="none"/>
                <w14:textFill>
                  <w14:solidFill>
                    <w14:schemeClr w14:val="tx1"/>
                  </w14:solidFill>
                </w14:textFill>
              </w:rPr>
              <w:t>环境保护投资概算表</w:t>
            </w:r>
          </w:p>
          <w:tbl>
            <w:tblPr>
              <w:tblStyle w:val="23"/>
              <w:tblW w:w="824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36"/>
              <w:gridCol w:w="1309"/>
              <w:gridCol w:w="2754"/>
              <w:gridCol w:w="2442"/>
            </w:tblGrid>
            <w:tr w14:paraId="085A9B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6" w:type="dxa"/>
                  <w:vAlign w:val="center"/>
                </w:tcPr>
                <w:p w14:paraId="1443A450">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类别</w:t>
                  </w:r>
                </w:p>
              </w:tc>
              <w:tc>
                <w:tcPr>
                  <w:tcW w:w="4063" w:type="dxa"/>
                  <w:gridSpan w:val="2"/>
                  <w:vAlign w:val="center"/>
                </w:tcPr>
                <w:p w14:paraId="4A435D85">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措施</w:t>
                  </w:r>
                </w:p>
              </w:tc>
              <w:tc>
                <w:tcPr>
                  <w:tcW w:w="2442" w:type="dxa"/>
                  <w:vAlign w:val="center"/>
                </w:tcPr>
                <w:p w14:paraId="4906159D">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投资估算</w:t>
                  </w:r>
                </w:p>
              </w:tc>
            </w:tr>
            <w:tr w14:paraId="7664DD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6" w:type="dxa"/>
                  <w:vAlign w:val="center"/>
                </w:tcPr>
                <w:p w14:paraId="04BF2BB4">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水污染防治</w:t>
                  </w:r>
                </w:p>
              </w:tc>
              <w:tc>
                <w:tcPr>
                  <w:tcW w:w="1309" w:type="dxa"/>
                  <w:vAlign w:val="center"/>
                </w:tcPr>
                <w:p w14:paraId="6DA06DDF">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混凝土拌合站冲洗废水</w:t>
                  </w:r>
                </w:p>
              </w:tc>
              <w:tc>
                <w:tcPr>
                  <w:tcW w:w="2754" w:type="dxa"/>
                  <w:vAlign w:val="center"/>
                </w:tcPr>
                <w:p w14:paraId="375B8E31">
                  <w:pPr>
                    <w:spacing w:before="29"/>
                    <w:jc w:val="cente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1座10m³沉淀池</w:t>
                  </w:r>
                  <w:r>
                    <w:rPr>
                      <w:rFonts w:hint="default" w:ascii="Times New Roman" w:hAnsi="Times New Roman" w:cs="Times New Roman"/>
                      <w:color w:val="000000" w:themeColor="text1"/>
                      <w:highlight w:val="none"/>
                      <w14:textFill>
                        <w14:solidFill>
                          <w14:schemeClr w14:val="tx1"/>
                        </w14:solidFill>
                      </w14:textFill>
                    </w:rPr>
                    <w:t>尺寸为2.0m（长）×2.0m（宽）×</w:t>
                  </w:r>
                  <w:r>
                    <w:rPr>
                      <w:rFonts w:hint="eastAsia" w:cs="Times New Roman"/>
                      <w:color w:val="000000" w:themeColor="text1"/>
                      <w:highlight w:val="none"/>
                      <w:lang w:val="en-US" w:eastAsia="zh-CN"/>
                      <w14:textFill>
                        <w14:solidFill>
                          <w14:schemeClr w14:val="tx1"/>
                        </w14:solidFill>
                      </w14:textFill>
                    </w:rPr>
                    <w:t>2</w:t>
                  </w:r>
                  <w:r>
                    <w:rPr>
                      <w:rFonts w:hint="default" w:ascii="Times New Roman" w:hAnsi="Times New Roman" w:cs="Times New Roman"/>
                      <w:color w:val="000000" w:themeColor="text1"/>
                      <w:highlight w:val="none"/>
                      <w14:textFill>
                        <w14:solidFill>
                          <w14:schemeClr w14:val="tx1"/>
                        </w14:solidFill>
                      </w14:textFill>
                    </w:rPr>
                    <w:t>.5m（高）</w:t>
                  </w:r>
                </w:p>
              </w:tc>
              <w:tc>
                <w:tcPr>
                  <w:tcW w:w="2442" w:type="dxa"/>
                  <w:vAlign w:val="center"/>
                </w:tcPr>
                <w:p w14:paraId="2445D294">
                  <w:pPr>
                    <w:spacing w:before="29"/>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8.6</w:t>
                  </w:r>
                  <w:r>
                    <w:rPr>
                      <w:rFonts w:hint="eastAsia" w:cs="Times New Roman"/>
                      <w:color w:val="000000" w:themeColor="text1"/>
                      <w:highlight w:val="none"/>
                      <w:vertAlign w:val="baseline"/>
                      <w:lang w:val="en-US" w:eastAsia="zh-CN"/>
                      <w14:textFill>
                        <w14:solidFill>
                          <w14:schemeClr w14:val="tx1"/>
                        </w14:solidFill>
                      </w14:textFill>
                    </w:rPr>
                    <w:t>0</w:t>
                  </w:r>
                </w:p>
              </w:tc>
            </w:tr>
            <w:tr w14:paraId="782DB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6" w:type="dxa"/>
                  <w:vMerge w:val="restart"/>
                  <w:vAlign w:val="center"/>
                </w:tcPr>
                <w:p w14:paraId="6EA3A367">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噪声防治</w:t>
                  </w:r>
                </w:p>
              </w:tc>
              <w:tc>
                <w:tcPr>
                  <w:tcW w:w="4063" w:type="dxa"/>
                  <w:gridSpan w:val="2"/>
                  <w:vAlign w:val="center"/>
                </w:tcPr>
                <w:p w14:paraId="3A842429">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合理安排施工时间，采用低噪声设备，加强设备维护、减震</w:t>
                  </w:r>
                </w:p>
              </w:tc>
              <w:tc>
                <w:tcPr>
                  <w:tcW w:w="2442" w:type="dxa"/>
                  <w:vAlign w:val="center"/>
                </w:tcPr>
                <w:p w14:paraId="5186D38A">
                  <w:pPr>
                    <w:spacing w:before="29"/>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3.13</w:t>
                  </w:r>
                </w:p>
              </w:tc>
            </w:tr>
            <w:tr w14:paraId="783CE9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6" w:type="dxa"/>
                  <w:vMerge w:val="continue"/>
                  <w:vAlign w:val="center"/>
                </w:tcPr>
                <w:p w14:paraId="7915B705">
                  <w:pPr>
                    <w:spacing w:before="29"/>
                    <w:jc w:val="center"/>
                    <w:rPr>
                      <w:rFonts w:hint="default" w:ascii="Times New Roman" w:hAnsi="Times New Roman" w:cs="Times New Roman"/>
                      <w:color w:val="000000" w:themeColor="text1"/>
                      <w:highlight w:val="none"/>
                      <w:vertAlign w:val="baseline"/>
                      <w14:textFill>
                        <w14:solidFill>
                          <w14:schemeClr w14:val="tx1"/>
                        </w14:solidFill>
                      </w14:textFill>
                    </w:rPr>
                  </w:pPr>
                </w:p>
              </w:tc>
              <w:tc>
                <w:tcPr>
                  <w:tcW w:w="4063" w:type="dxa"/>
                  <w:gridSpan w:val="2"/>
                  <w:vAlign w:val="center"/>
                </w:tcPr>
                <w:p w14:paraId="20929881">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设置减速、禁鸣等标识</w:t>
                  </w:r>
                </w:p>
              </w:tc>
              <w:tc>
                <w:tcPr>
                  <w:tcW w:w="2442" w:type="dxa"/>
                  <w:vAlign w:val="center"/>
                </w:tcPr>
                <w:p w14:paraId="771556EE">
                  <w:pPr>
                    <w:spacing w:before="29"/>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2</w:t>
                  </w:r>
                  <w:r>
                    <w:rPr>
                      <w:rFonts w:hint="eastAsia" w:cs="Times New Roman"/>
                      <w:color w:val="000000" w:themeColor="text1"/>
                      <w:highlight w:val="none"/>
                      <w:vertAlign w:val="baseline"/>
                      <w:lang w:val="en-US" w:eastAsia="zh-CN"/>
                      <w14:textFill>
                        <w14:solidFill>
                          <w14:schemeClr w14:val="tx1"/>
                        </w14:solidFill>
                      </w14:textFill>
                    </w:rPr>
                    <w:t>.0</w:t>
                  </w:r>
                </w:p>
              </w:tc>
            </w:tr>
            <w:tr w14:paraId="7A9C4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6" w:type="dxa"/>
                  <w:vAlign w:val="center"/>
                </w:tcPr>
                <w:p w14:paraId="32A16450">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废气治理</w:t>
                  </w:r>
                </w:p>
              </w:tc>
              <w:tc>
                <w:tcPr>
                  <w:tcW w:w="4063" w:type="dxa"/>
                  <w:gridSpan w:val="2"/>
                  <w:vAlign w:val="center"/>
                </w:tcPr>
                <w:p w14:paraId="613AF0AD">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施工区、堆场及运输道路洒水降尘、临时堆料场苫盖</w:t>
                  </w:r>
                </w:p>
              </w:tc>
              <w:tc>
                <w:tcPr>
                  <w:tcW w:w="2442" w:type="dxa"/>
                  <w:vAlign w:val="center"/>
                </w:tcPr>
                <w:p w14:paraId="1FECA2B2">
                  <w:pPr>
                    <w:spacing w:before="29"/>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3</w:t>
                  </w:r>
                  <w:r>
                    <w:rPr>
                      <w:rFonts w:hint="eastAsia" w:cs="Times New Roman"/>
                      <w:color w:val="000000" w:themeColor="text1"/>
                      <w:highlight w:val="none"/>
                      <w:vertAlign w:val="baseline"/>
                      <w:lang w:val="en-US" w:eastAsia="zh-CN"/>
                      <w14:textFill>
                        <w14:solidFill>
                          <w14:schemeClr w14:val="tx1"/>
                        </w14:solidFill>
                      </w14:textFill>
                    </w:rPr>
                    <w:t>.0</w:t>
                  </w:r>
                </w:p>
              </w:tc>
            </w:tr>
            <w:tr w14:paraId="40BC5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6" w:type="dxa"/>
                  <w:vAlign w:val="center"/>
                </w:tcPr>
                <w:p w14:paraId="6AC84AB4">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固体废物处理</w:t>
                  </w:r>
                </w:p>
              </w:tc>
              <w:tc>
                <w:tcPr>
                  <w:tcW w:w="4063" w:type="dxa"/>
                  <w:gridSpan w:val="2"/>
                  <w:vAlign w:val="center"/>
                </w:tcPr>
                <w:p w14:paraId="6056C1A0">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设置垃圾桶，委托环卫部门清运</w:t>
                  </w:r>
                </w:p>
              </w:tc>
              <w:tc>
                <w:tcPr>
                  <w:tcW w:w="2442" w:type="dxa"/>
                  <w:vAlign w:val="center"/>
                </w:tcPr>
                <w:p w14:paraId="55F63FA2">
                  <w:pPr>
                    <w:spacing w:before="29"/>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1</w:t>
                  </w:r>
                  <w:r>
                    <w:rPr>
                      <w:rFonts w:hint="eastAsia" w:cs="Times New Roman"/>
                      <w:color w:val="000000" w:themeColor="text1"/>
                      <w:highlight w:val="none"/>
                      <w:vertAlign w:val="baseline"/>
                      <w:lang w:val="en-US" w:eastAsia="zh-CN"/>
                      <w14:textFill>
                        <w14:solidFill>
                          <w14:schemeClr w14:val="tx1"/>
                        </w14:solidFill>
                      </w14:textFill>
                    </w:rPr>
                    <w:t>.0</w:t>
                  </w:r>
                </w:p>
              </w:tc>
            </w:tr>
            <w:tr w14:paraId="11615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6" w:type="dxa"/>
                  <w:vAlign w:val="center"/>
                </w:tcPr>
                <w:p w14:paraId="7A0CDB98">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生态恢复措施</w:t>
                  </w:r>
                </w:p>
              </w:tc>
              <w:tc>
                <w:tcPr>
                  <w:tcW w:w="4063" w:type="dxa"/>
                  <w:gridSpan w:val="2"/>
                  <w:vAlign w:val="center"/>
                </w:tcPr>
                <w:p w14:paraId="079B325A">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坝体绿化，临时用地恢复</w:t>
                  </w:r>
                </w:p>
              </w:tc>
              <w:tc>
                <w:tcPr>
                  <w:tcW w:w="2442" w:type="dxa"/>
                  <w:vAlign w:val="center"/>
                </w:tcPr>
                <w:p w14:paraId="4EDF14D6">
                  <w:pPr>
                    <w:spacing w:before="29"/>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5</w:t>
                  </w:r>
                  <w:r>
                    <w:rPr>
                      <w:rFonts w:hint="eastAsia" w:cs="Times New Roman"/>
                      <w:color w:val="000000" w:themeColor="text1"/>
                      <w:highlight w:val="none"/>
                      <w:vertAlign w:val="baseline"/>
                      <w:lang w:val="en-US" w:eastAsia="zh-CN"/>
                      <w14:textFill>
                        <w14:solidFill>
                          <w14:schemeClr w14:val="tx1"/>
                        </w14:solidFill>
                      </w14:textFill>
                    </w:rPr>
                    <w:t>.0</w:t>
                  </w:r>
                </w:p>
              </w:tc>
            </w:tr>
            <w:tr w14:paraId="41A5E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36" w:type="dxa"/>
                  <w:vAlign w:val="center"/>
                </w:tcPr>
                <w:p w14:paraId="344C8EF2">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环境监测</w:t>
                  </w:r>
                </w:p>
              </w:tc>
              <w:tc>
                <w:tcPr>
                  <w:tcW w:w="4063" w:type="dxa"/>
                  <w:gridSpan w:val="2"/>
                  <w:vAlign w:val="center"/>
                </w:tcPr>
                <w:p w14:paraId="2C5163F8">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施工期环境监测</w:t>
                  </w:r>
                </w:p>
              </w:tc>
              <w:tc>
                <w:tcPr>
                  <w:tcW w:w="2442" w:type="dxa"/>
                  <w:vAlign w:val="center"/>
                </w:tcPr>
                <w:p w14:paraId="2360B871">
                  <w:pPr>
                    <w:spacing w:before="29"/>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default" w:ascii="Times New Roman" w:hAnsi="Times New Roman" w:cs="Times New Roman"/>
                      <w:color w:val="000000" w:themeColor="text1"/>
                      <w:highlight w:val="none"/>
                      <w:vertAlign w:val="baseline"/>
                      <w:lang w:val="en-US" w:eastAsia="zh-CN"/>
                      <w14:textFill>
                        <w14:solidFill>
                          <w14:schemeClr w14:val="tx1"/>
                        </w14:solidFill>
                      </w14:textFill>
                    </w:rPr>
                    <w:t>2</w:t>
                  </w:r>
                  <w:r>
                    <w:rPr>
                      <w:rFonts w:hint="eastAsia" w:cs="Times New Roman"/>
                      <w:color w:val="000000" w:themeColor="text1"/>
                      <w:highlight w:val="none"/>
                      <w:vertAlign w:val="baseline"/>
                      <w:lang w:val="en-US" w:eastAsia="zh-CN"/>
                      <w14:textFill>
                        <w14:solidFill>
                          <w14:schemeClr w14:val="tx1"/>
                        </w14:solidFill>
                      </w14:textFill>
                    </w:rPr>
                    <w:t>.0</w:t>
                  </w:r>
                </w:p>
              </w:tc>
            </w:tr>
            <w:tr w14:paraId="226DE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99" w:type="dxa"/>
                  <w:gridSpan w:val="3"/>
                  <w:vAlign w:val="center"/>
                </w:tcPr>
                <w:p w14:paraId="37576A0B">
                  <w:pPr>
                    <w:spacing w:before="29"/>
                    <w:jc w:val="center"/>
                    <w:rPr>
                      <w:rFonts w:hint="default" w:ascii="Times New Roman" w:hAnsi="Times New Roman" w:cs="Times New Roman"/>
                      <w:color w:val="000000" w:themeColor="text1"/>
                      <w:highlight w:val="none"/>
                      <w:vertAlign w:val="baseline"/>
                      <w:lang w:eastAsia="zh-CN"/>
                      <w14:textFill>
                        <w14:solidFill>
                          <w14:schemeClr w14:val="tx1"/>
                        </w14:solidFill>
                      </w14:textFill>
                    </w:rPr>
                  </w:pPr>
                  <w:r>
                    <w:rPr>
                      <w:rFonts w:hint="eastAsia" w:cs="Times New Roman"/>
                      <w:color w:val="000000" w:themeColor="text1"/>
                      <w:highlight w:val="none"/>
                      <w:vertAlign w:val="baseline"/>
                      <w:lang w:eastAsia="zh-CN"/>
                      <w14:textFill>
                        <w14:solidFill>
                          <w14:schemeClr w14:val="tx1"/>
                        </w14:solidFill>
                      </w14:textFill>
                    </w:rPr>
                    <w:t>运用维护费用</w:t>
                  </w:r>
                </w:p>
              </w:tc>
              <w:tc>
                <w:tcPr>
                  <w:tcW w:w="2442" w:type="dxa"/>
                  <w:vAlign w:val="center"/>
                </w:tcPr>
                <w:p w14:paraId="20A00B56">
                  <w:pPr>
                    <w:spacing w:before="29"/>
                    <w:jc w:val="center"/>
                    <w:rPr>
                      <w:rFonts w:hint="default" w:ascii="Times New Roman" w:hAnsi="Times New Roman" w:cs="Times New Roman"/>
                      <w:color w:val="000000" w:themeColor="text1"/>
                      <w:highlight w:val="none"/>
                      <w:vertAlign w:val="baseline"/>
                      <w:lang w:val="en-US" w:eastAsia="zh-CN"/>
                      <w14:textFill>
                        <w14:solidFill>
                          <w14:schemeClr w14:val="tx1"/>
                        </w14:solidFill>
                      </w14:textFill>
                    </w:rPr>
                  </w:pPr>
                  <w:r>
                    <w:rPr>
                      <w:rFonts w:hint="eastAsia" w:ascii="Times New Roman" w:hAnsi="Times New Roman" w:cs="Times New Roman"/>
                      <w:color w:val="000000" w:themeColor="text1"/>
                      <w:highlight w:val="none"/>
                      <w:vertAlign w:val="baseline"/>
                      <w:lang w:val="en-US" w:eastAsia="zh-CN"/>
                      <w14:textFill>
                        <w14:solidFill>
                          <w14:schemeClr w14:val="tx1"/>
                        </w14:solidFill>
                      </w14:textFill>
                    </w:rPr>
                    <w:t>4.9</w:t>
                  </w:r>
                  <w:r>
                    <w:rPr>
                      <w:rFonts w:hint="eastAsia" w:cs="Times New Roman"/>
                      <w:color w:val="000000" w:themeColor="text1"/>
                      <w:highlight w:val="none"/>
                      <w:vertAlign w:val="baseline"/>
                      <w:lang w:val="en-US" w:eastAsia="zh-CN"/>
                      <w14:textFill>
                        <w14:solidFill>
                          <w14:schemeClr w14:val="tx1"/>
                        </w14:solidFill>
                      </w14:textFill>
                    </w:rPr>
                    <w:t>0</w:t>
                  </w:r>
                </w:p>
              </w:tc>
            </w:tr>
            <w:tr w14:paraId="585F63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99" w:type="dxa"/>
                  <w:gridSpan w:val="3"/>
                  <w:vAlign w:val="center"/>
                </w:tcPr>
                <w:p w14:paraId="1123B764">
                  <w:pPr>
                    <w:spacing w:before="29"/>
                    <w:jc w:val="center"/>
                    <w:rPr>
                      <w:rFonts w:hint="default" w:ascii="Times New Roman" w:hAnsi="Times New Roman" w:eastAsia="宋体" w:cs="Times New Roman"/>
                      <w:color w:val="000000" w:themeColor="text1"/>
                      <w:highlight w:val="none"/>
                      <w:vertAlign w:val="baseline"/>
                      <w:lang w:eastAsia="zh-CN"/>
                      <w14:textFill>
                        <w14:solidFill>
                          <w14:schemeClr w14:val="tx1"/>
                        </w14:solidFill>
                      </w14:textFill>
                    </w:rPr>
                  </w:pPr>
                  <w:r>
                    <w:rPr>
                      <w:rFonts w:hint="default" w:ascii="Times New Roman" w:hAnsi="Times New Roman" w:cs="Times New Roman"/>
                      <w:color w:val="000000" w:themeColor="text1"/>
                      <w:highlight w:val="none"/>
                      <w:vertAlign w:val="baseline"/>
                      <w:lang w:eastAsia="zh-CN"/>
                      <w14:textFill>
                        <w14:solidFill>
                          <w14:schemeClr w14:val="tx1"/>
                        </w14:solidFill>
                      </w14:textFill>
                    </w:rPr>
                    <w:t>合计</w:t>
                  </w:r>
                </w:p>
              </w:tc>
              <w:tc>
                <w:tcPr>
                  <w:tcW w:w="2442" w:type="dxa"/>
                  <w:vAlign w:val="center"/>
                </w:tcPr>
                <w:p w14:paraId="1E19F72D">
                  <w:pPr>
                    <w:spacing w:before="29"/>
                    <w:jc w:val="center"/>
                    <w:rPr>
                      <w:rFonts w:hint="default" w:ascii="Times New Roman" w:hAnsi="Times New Roman" w:eastAsia="宋体" w:cs="Times New Roman"/>
                      <w:color w:val="000000" w:themeColor="text1"/>
                      <w:highlight w:val="none"/>
                      <w:vertAlign w:val="baseline"/>
                      <w:lang w:val="en-US" w:eastAsia="zh-CN"/>
                      <w14:textFill>
                        <w14:solidFill>
                          <w14:schemeClr w14:val="tx1"/>
                        </w14:solidFill>
                      </w14:textFill>
                    </w:rPr>
                  </w:pPr>
                  <w:r>
                    <w:rPr>
                      <w:rFonts w:hint="eastAsia" w:cs="Times New Roman"/>
                      <w:color w:val="000000" w:themeColor="text1"/>
                      <w:highlight w:val="none"/>
                      <w:vertAlign w:val="baseline"/>
                      <w:lang w:val="en-US" w:eastAsia="zh-CN"/>
                      <w14:textFill>
                        <w14:solidFill>
                          <w14:schemeClr w14:val="tx1"/>
                        </w14:solidFill>
                      </w14:textFill>
                    </w:rPr>
                    <w:t>29.63</w:t>
                  </w:r>
                </w:p>
              </w:tc>
            </w:tr>
          </w:tbl>
          <w:p w14:paraId="5F99C392">
            <w:pPr>
              <w:jc w:val="center"/>
              <w:rPr>
                <w:rFonts w:hint="default" w:ascii="Times New Roman" w:hAnsi="Times New Roman" w:cs="Times New Roman"/>
                <w:color w:val="000000" w:themeColor="text1"/>
                <w:highlight w:val="none"/>
                <w14:textFill>
                  <w14:solidFill>
                    <w14:schemeClr w14:val="tx1"/>
                  </w14:solidFill>
                </w14:textFill>
              </w:rPr>
            </w:pPr>
          </w:p>
        </w:tc>
      </w:tr>
    </w:tbl>
    <w:p w14:paraId="3D777319">
      <w:pPr>
        <w:pStyle w:val="19"/>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31" w:name="_Toc30501"/>
    </w:p>
    <w:p w14:paraId="28023AE1">
      <w:pPr>
        <w:pStyle w:val="19"/>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32" w:name="_Toc32330"/>
      <w:bookmarkStart w:id="33" w:name="_Toc17926"/>
      <w:bookmarkStart w:id="34" w:name="_Toc19635"/>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六、生态环境保护措施监督检查清单</w:t>
      </w:r>
      <w:bookmarkEnd w:id="31"/>
      <w:bookmarkEnd w:id="32"/>
      <w:bookmarkEnd w:id="33"/>
      <w:bookmarkEnd w:id="34"/>
    </w:p>
    <w:tbl>
      <w:tblPr>
        <w:tblStyle w:val="22"/>
        <w:tblW w:w="526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77"/>
        <w:gridCol w:w="2646"/>
        <w:gridCol w:w="2196"/>
        <w:gridCol w:w="1684"/>
        <w:gridCol w:w="1076"/>
      </w:tblGrid>
      <w:tr w14:paraId="3C966A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766" w:type="pct"/>
            <w:vMerge w:val="restart"/>
            <w:tcBorders>
              <w:tl2br w:val="single" w:color="auto" w:sz="4" w:space="0"/>
            </w:tcBorders>
          </w:tcPr>
          <w:p w14:paraId="778E3B40">
            <w:pPr>
              <w:pStyle w:val="19"/>
              <w:adjustRightInd w:val="0"/>
              <w:snapToGrid w:val="0"/>
              <w:spacing w:before="72" w:beforeLines="30" w:beforeAutospacing="0" w:after="0" w:afterAutospacing="0"/>
              <w:jc w:val="center"/>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bookmarkStart w:id="35" w:name="_Toc27307"/>
            <w:bookmarkStart w:id="36" w:name="_Toc20710"/>
            <w:bookmarkStart w:id="37" w:name="_Toc9383"/>
            <w:bookmarkStart w:id="38" w:name="_Toc1393"/>
            <w:bookmarkStart w:id="39" w:name="_Toc21675"/>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内容</w:t>
            </w:r>
            <w:bookmarkEnd w:id="35"/>
            <w:bookmarkEnd w:id="36"/>
            <w:bookmarkEnd w:id="37"/>
            <w:bookmarkEnd w:id="38"/>
            <w:bookmarkEnd w:id="39"/>
          </w:p>
          <w:p w14:paraId="2E3E9FE7">
            <w:pPr>
              <w:pStyle w:val="19"/>
              <w:adjustRightInd w:val="0"/>
              <w:snapToGrid w:val="0"/>
              <w:spacing w:before="0" w:beforeAutospacing="0" w:after="0" w:afterAutospacing="0" w:line="14" w:lineRule="auto"/>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p>
          <w:p w14:paraId="03BF963C">
            <w:pPr>
              <w:pStyle w:val="19"/>
              <w:adjustRightInd w:val="0"/>
              <w:snapToGrid w:val="0"/>
              <w:spacing w:before="0" w:beforeAutospacing="0" w:after="0" w:afterAutospacing="0"/>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bookmarkStart w:id="40" w:name="_Toc3482"/>
            <w:bookmarkStart w:id="41" w:name="_Toc30794"/>
            <w:bookmarkStart w:id="42" w:name="_Toc28491"/>
            <w:bookmarkStart w:id="43" w:name="_Toc6082"/>
            <w:bookmarkStart w:id="44" w:name="_Toc3077"/>
          </w:p>
          <w:p w14:paraId="24B963D4">
            <w:pPr>
              <w:pStyle w:val="19"/>
              <w:adjustRightInd w:val="0"/>
              <w:snapToGrid w:val="0"/>
              <w:spacing w:before="0" w:beforeAutospacing="0" w:after="0" w:afterAutospacing="0"/>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要素</w:t>
            </w:r>
            <w:bookmarkEnd w:id="40"/>
            <w:bookmarkEnd w:id="41"/>
            <w:bookmarkEnd w:id="42"/>
            <w:bookmarkEnd w:id="43"/>
            <w:bookmarkEnd w:id="44"/>
          </w:p>
        </w:tc>
        <w:tc>
          <w:tcPr>
            <w:tcW w:w="2696" w:type="pct"/>
            <w:gridSpan w:val="2"/>
            <w:vAlign w:val="center"/>
          </w:tcPr>
          <w:p w14:paraId="033C49B7">
            <w:pPr>
              <w:pStyle w:val="19"/>
              <w:adjustRightInd w:val="0"/>
              <w:snapToGrid w:val="0"/>
              <w:spacing w:before="0" w:beforeAutospacing="0" w:after="0" w:afterAutospacing="0"/>
              <w:jc w:val="center"/>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bookmarkStart w:id="45" w:name="_Toc7565"/>
            <w:bookmarkStart w:id="46" w:name="_Toc32628"/>
            <w:bookmarkStart w:id="47" w:name="_Toc27515"/>
            <w:bookmarkStart w:id="48" w:name="_Toc5466"/>
            <w:bookmarkStart w:id="49" w:name="_Toc396"/>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施工期</w:t>
            </w:r>
            <w:bookmarkEnd w:id="45"/>
            <w:bookmarkEnd w:id="46"/>
            <w:bookmarkEnd w:id="47"/>
            <w:bookmarkEnd w:id="48"/>
            <w:bookmarkEnd w:id="49"/>
          </w:p>
        </w:tc>
        <w:tc>
          <w:tcPr>
            <w:tcW w:w="1537" w:type="pct"/>
            <w:gridSpan w:val="2"/>
            <w:vAlign w:val="center"/>
          </w:tcPr>
          <w:p w14:paraId="043ED1F5">
            <w:pPr>
              <w:pStyle w:val="19"/>
              <w:adjustRightInd w:val="0"/>
              <w:snapToGrid w:val="0"/>
              <w:spacing w:before="0" w:beforeAutospacing="0" w:after="0" w:afterAutospacing="0"/>
              <w:jc w:val="center"/>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bookmarkStart w:id="50" w:name="_Toc31524"/>
            <w:bookmarkStart w:id="51" w:name="_Toc10670"/>
            <w:bookmarkStart w:id="52" w:name="_Toc20875"/>
            <w:bookmarkStart w:id="53" w:name="_Toc3739"/>
            <w:bookmarkStart w:id="54" w:name="_Toc5926"/>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运营期</w:t>
            </w:r>
            <w:bookmarkEnd w:id="50"/>
            <w:bookmarkEnd w:id="51"/>
            <w:bookmarkEnd w:id="52"/>
            <w:bookmarkEnd w:id="53"/>
            <w:bookmarkEnd w:id="54"/>
          </w:p>
        </w:tc>
      </w:tr>
      <w:tr w14:paraId="4BEEA33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766" w:type="pct"/>
            <w:vMerge w:val="continue"/>
          </w:tcPr>
          <w:p w14:paraId="3A430993">
            <w:pPr>
              <w:pStyle w:val="19"/>
              <w:adjustRightInd w:val="0"/>
              <w:snapToGrid w:val="0"/>
              <w:spacing w:before="0" w:beforeAutospacing="0" w:after="0" w:afterAutospacing="0"/>
              <w:ind w:firstLine="840"/>
              <w:jc w:val="center"/>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p>
        </w:tc>
        <w:tc>
          <w:tcPr>
            <w:tcW w:w="1473" w:type="pct"/>
            <w:vAlign w:val="center"/>
          </w:tcPr>
          <w:p w14:paraId="77E9831D">
            <w:pPr>
              <w:pStyle w:val="19"/>
              <w:adjustRightInd w:val="0"/>
              <w:snapToGrid w:val="0"/>
              <w:spacing w:before="0" w:beforeAutospacing="0" w:after="0" w:afterAutospacing="0"/>
              <w:jc w:val="center"/>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bookmarkStart w:id="55" w:name="_Toc676"/>
            <w:bookmarkStart w:id="56" w:name="_Toc15491"/>
            <w:bookmarkStart w:id="57" w:name="_Toc31533"/>
            <w:bookmarkStart w:id="58" w:name="_Toc24011"/>
            <w:bookmarkStart w:id="59" w:name="_Toc14595"/>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环境保护措施</w:t>
            </w:r>
            <w:bookmarkEnd w:id="55"/>
            <w:bookmarkEnd w:id="56"/>
            <w:bookmarkEnd w:id="57"/>
            <w:bookmarkEnd w:id="58"/>
            <w:bookmarkEnd w:id="59"/>
          </w:p>
        </w:tc>
        <w:tc>
          <w:tcPr>
            <w:tcW w:w="1222" w:type="pct"/>
            <w:vAlign w:val="center"/>
          </w:tcPr>
          <w:p w14:paraId="6C72AB09">
            <w:pPr>
              <w:pStyle w:val="19"/>
              <w:adjustRightInd w:val="0"/>
              <w:snapToGrid w:val="0"/>
              <w:spacing w:before="0" w:beforeAutospacing="0" w:after="0" w:afterAutospacing="0"/>
              <w:jc w:val="center"/>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bookmarkStart w:id="60" w:name="_Toc28455"/>
            <w:bookmarkStart w:id="61" w:name="_Toc717"/>
            <w:bookmarkStart w:id="62" w:name="_Toc16034"/>
            <w:bookmarkStart w:id="63" w:name="_Toc3923"/>
            <w:bookmarkStart w:id="64" w:name="_Toc7922"/>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验收要求</w:t>
            </w:r>
            <w:bookmarkEnd w:id="60"/>
            <w:bookmarkEnd w:id="61"/>
            <w:bookmarkEnd w:id="62"/>
            <w:bookmarkEnd w:id="63"/>
            <w:bookmarkEnd w:id="64"/>
          </w:p>
        </w:tc>
        <w:tc>
          <w:tcPr>
            <w:tcW w:w="938" w:type="pct"/>
            <w:vAlign w:val="center"/>
          </w:tcPr>
          <w:p w14:paraId="7E44D4D5">
            <w:pPr>
              <w:pStyle w:val="19"/>
              <w:adjustRightInd w:val="0"/>
              <w:snapToGrid w:val="0"/>
              <w:spacing w:before="0" w:beforeAutospacing="0" w:after="0" w:afterAutospacing="0"/>
              <w:jc w:val="center"/>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bookmarkStart w:id="65" w:name="_Toc7743"/>
            <w:bookmarkStart w:id="66" w:name="_Toc30400"/>
            <w:bookmarkStart w:id="67" w:name="_Toc28071"/>
            <w:bookmarkStart w:id="68" w:name="_Toc29308"/>
            <w:bookmarkStart w:id="69" w:name="_Toc28395"/>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环境保护措施</w:t>
            </w:r>
            <w:bookmarkEnd w:id="65"/>
            <w:bookmarkEnd w:id="66"/>
            <w:bookmarkEnd w:id="67"/>
            <w:bookmarkEnd w:id="68"/>
            <w:bookmarkEnd w:id="69"/>
          </w:p>
        </w:tc>
        <w:tc>
          <w:tcPr>
            <w:tcW w:w="599" w:type="pct"/>
            <w:vAlign w:val="center"/>
          </w:tcPr>
          <w:p w14:paraId="6023E3F9">
            <w:pPr>
              <w:pStyle w:val="19"/>
              <w:adjustRightInd w:val="0"/>
              <w:snapToGrid w:val="0"/>
              <w:spacing w:before="0" w:beforeAutospacing="0" w:after="0" w:afterAutospacing="0"/>
              <w:jc w:val="center"/>
              <w:outlineLvl w:val="0"/>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pPr>
            <w:bookmarkStart w:id="70" w:name="_Toc16764"/>
            <w:bookmarkStart w:id="71" w:name="_Toc3236"/>
            <w:bookmarkStart w:id="72" w:name="_Toc13635"/>
            <w:bookmarkStart w:id="73" w:name="_Toc7829"/>
            <w:bookmarkStart w:id="74" w:name="_Toc18771"/>
            <w:r>
              <w:rPr>
                <w:rFonts w:hint="default" w:ascii="Times New Roman" w:hAnsi="Times New Roman" w:cs="Times New Roman" w:eastAsiaTheme="minorEastAsia"/>
                <w:color w:val="000000" w:themeColor="text1"/>
                <w:kern w:val="2"/>
                <w:sz w:val="21"/>
                <w:szCs w:val="21"/>
                <w:highlight w:val="none"/>
                <w14:textFill>
                  <w14:solidFill>
                    <w14:schemeClr w14:val="tx1"/>
                  </w14:solidFill>
                </w14:textFill>
              </w:rPr>
              <w:t>验收要求</w:t>
            </w:r>
            <w:bookmarkEnd w:id="70"/>
            <w:bookmarkEnd w:id="71"/>
            <w:bookmarkEnd w:id="72"/>
            <w:bookmarkEnd w:id="73"/>
            <w:bookmarkEnd w:id="74"/>
          </w:p>
        </w:tc>
      </w:tr>
      <w:tr w14:paraId="1EEE46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4" w:hRule="atLeast"/>
          <w:jc w:val="center"/>
        </w:trPr>
        <w:tc>
          <w:tcPr>
            <w:tcW w:w="766" w:type="pct"/>
            <w:vAlign w:val="center"/>
          </w:tcPr>
          <w:p w14:paraId="0093CB95">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陆生生态</w:t>
            </w:r>
          </w:p>
        </w:tc>
        <w:tc>
          <w:tcPr>
            <w:tcW w:w="1473" w:type="pct"/>
            <w:vAlign w:val="center"/>
          </w:tcPr>
          <w:p w14:paraId="59E729A6">
            <w:pPr>
              <w:spacing w:before="3" w:line="239" w:lineRule="auto"/>
              <w:ind w:right="147"/>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临时占地用地结束后清除场地并进行场地平整、耕地复垦和植被恢复</w:t>
            </w:r>
          </w:p>
        </w:tc>
        <w:tc>
          <w:tcPr>
            <w:tcW w:w="1222" w:type="pct"/>
            <w:vAlign w:val="center"/>
          </w:tcPr>
          <w:p w14:paraId="0FC4F5F1">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施工期做好监督检查，</w:t>
            </w:r>
            <w:r>
              <w:rPr>
                <w:rFonts w:hint="eastAsia" w:ascii="Times New Roman" w:hAnsi="Times New Roman" w:eastAsia="宋体" w:cs="Times New Roman"/>
                <w:color w:val="000000" w:themeColor="text1"/>
                <w:szCs w:val="21"/>
                <w14:textFill>
                  <w14:solidFill>
                    <w14:schemeClr w14:val="tx1"/>
                  </w14:solidFill>
                </w14:textFill>
              </w:rPr>
              <w:t>按环评要求履行</w:t>
            </w:r>
          </w:p>
        </w:tc>
        <w:tc>
          <w:tcPr>
            <w:tcW w:w="938" w:type="pct"/>
            <w:vAlign w:val="center"/>
          </w:tcPr>
          <w:p w14:paraId="4F413EF6">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773A1982">
            <w:pPr>
              <w:adjustRightInd w:val="0"/>
              <w:snapToGrid w:val="0"/>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20E950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91" w:hRule="atLeast"/>
          <w:jc w:val="center"/>
        </w:trPr>
        <w:tc>
          <w:tcPr>
            <w:tcW w:w="766" w:type="pct"/>
            <w:vAlign w:val="center"/>
          </w:tcPr>
          <w:p w14:paraId="53303C61">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水生生态</w:t>
            </w:r>
          </w:p>
        </w:tc>
        <w:tc>
          <w:tcPr>
            <w:tcW w:w="1473" w:type="pct"/>
            <w:vAlign w:val="center"/>
          </w:tcPr>
          <w:p w14:paraId="026219CF">
            <w:pPr>
              <w:spacing w:before="3" w:line="239" w:lineRule="auto"/>
              <w:ind w:right="147"/>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采取低噪音设备施工，及时处理固体垃圾，有效处理废水，禁止将生产生活废、污水排入地表水体</w:t>
            </w:r>
          </w:p>
        </w:tc>
        <w:tc>
          <w:tcPr>
            <w:tcW w:w="1222" w:type="pct"/>
            <w:vAlign w:val="center"/>
          </w:tcPr>
          <w:p w14:paraId="071EDC3A">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施工期不会影响下游生态流量，优化并规范施工方式，缩短施工时间</w:t>
            </w:r>
          </w:p>
        </w:tc>
        <w:tc>
          <w:tcPr>
            <w:tcW w:w="938" w:type="pct"/>
            <w:vAlign w:val="center"/>
          </w:tcPr>
          <w:p w14:paraId="37748CF7">
            <w:pPr>
              <w:spacing w:before="3" w:line="239" w:lineRule="auto"/>
              <w:ind w:right="147"/>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3E3B6D87">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0FCF2F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1" w:hRule="atLeast"/>
          <w:jc w:val="center"/>
        </w:trPr>
        <w:tc>
          <w:tcPr>
            <w:tcW w:w="766" w:type="pct"/>
            <w:vAlign w:val="center"/>
          </w:tcPr>
          <w:p w14:paraId="32B1EEE5">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地表水环境</w:t>
            </w:r>
          </w:p>
        </w:tc>
        <w:tc>
          <w:tcPr>
            <w:tcW w:w="1473" w:type="pct"/>
            <w:vAlign w:val="center"/>
          </w:tcPr>
          <w:p w14:paraId="23951124">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施工废污水经处理后优先回用于生产，生活污水防渗旱厕收集后，定期清掏外运</w:t>
            </w:r>
          </w:p>
        </w:tc>
        <w:tc>
          <w:tcPr>
            <w:tcW w:w="1222" w:type="pct"/>
            <w:vAlign w:val="center"/>
          </w:tcPr>
          <w:p w14:paraId="25004157">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施工废污水不外排</w:t>
            </w:r>
          </w:p>
        </w:tc>
        <w:tc>
          <w:tcPr>
            <w:tcW w:w="938" w:type="pct"/>
            <w:vAlign w:val="center"/>
          </w:tcPr>
          <w:p w14:paraId="69F950BA">
            <w:pPr>
              <w:spacing w:before="3" w:line="239" w:lineRule="auto"/>
              <w:ind w:right="147"/>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062B42B9">
            <w:pPr>
              <w:spacing w:before="3" w:line="239" w:lineRule="auto"/>
              <w:ind w:right="147"/>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7E8567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66" w:type="pct"/>
            <w:vAlign w:val="center"/>
          </w:tcPr>
          <w:p w14:paraId="549AD895">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地下水及土壤环境</w:t>
            </w:r>
          </w:p>
        </w:tc>
        <w:tc>
          <w:tcPr>
            <w:tcW w:w="2646" w:type="dxa"/>
            <w:vAlign w:val="center"/>
          </w:tcPr>
          <w:p w14:paraId="7142CB9E">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p>
        </w:tc>
        <w:tc>
          <w:tcPr>
            <w:tcW w:w="2196" w:type="dxa"/>
            <w:vAlign w:val="center"/>
          </w:tcPr>
          <w:p w14:paraId="2BB6578F">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p>
        </w:tc>
        <w:tc>
          <w:tcPr>
            <w:tcW w:w="938" w:type="pct"/>
            <w:vAlign w:val="center"/>
          </w:tcPr>
          <w:p w14:paraId="3710640E">
            <w:pPr>
              <w:spacing w:before="3" w:line="239" w:lineRule="auto"/>
              <w:ind w:right="147"/>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721E670A">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378832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66" w:type="pct"/>
            <w:vAlign w:val="center"/>
          </w:tcPr>
          <w:p w14:paraId="0161EEBB">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声环境</w:t>
            </w:r>
          </w:p>
        </w:tc>
        <w:tc>
          <w:tcPr>
            <w:tcW w:w="1473" w:type="pct"/>
            <w:vAlign w:val="center"/>
          </w:tcPr>
          <w:p w14:paraId="4F732D41">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合理安排作业时间，选用低噪声设备。</w:t>
            </w:r>
          </w:p>
        </w:tc>
        <w:tc>
          <w:tcPr>
            <w:tcW w:w="1222" w:type="pct"/>
            <w:vAlign w:val="center"/>
          </w:tcPr>
          <w:p w14:paraId="7254D32E">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施工场界执行《建筑施工场界环境噪声排放标准》表1要求</w:t>
            </w:r>
          </w:p>
        </w:tc>
        <w:tc>
          <w:tcPr>
            <w:tcW w:w="938" w:type="pct"/>
            <w:vAlign w:val="center"/>
          </w:tcPr>
          <w:p w14:paraId="7AD383F8">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3FDF8078">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6D7825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66" w:type="pct"/>
            <w:vAlign w:val="center"/>
          </w:tcPr>
          <w:p w14:paraId="1539A210">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振动</w:t>
            </w:r>
          </w:p>
        </w:tc>
        <w:tc>
          <w:tcPr>
            <w:tcW w:w="1473" w:type="pct"/>
            <w:vAlign w:val="center"/>
          </w:tcPr>
          <w:p w14:paraId="4E57E212">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p>
        </w:tc>
        <w:tc>
          <w:tcPr>
            <w:tcW w:w="1222" w:type="pct"/>
            <w:vAlign w:val="center"/>
          </w:tcPr>
          <w:p w14:paraId="1D29FF3E">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p>
        </w:tc>
        <w:tc>
          <w:tcPr>
            <w:tcW w:w="938" w:type="pct"/>
            <w:vAlign w:val="center"/>
          </w:tcPr>
          <w:p w14:paraId="6D9E1B80">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3B65351A">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6D44A7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766" w:type="pct"/>
            <w:vAlign w:val="center"/>
          </w:tcPr>
          <w:p w14:paraId="1CB95EBA">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大气环境</w:t>
            </w:r>
          </w:p>
        </w:tc>
        <w:tc>
          <w:tcPr>
            <w:tcW w:w="1473" w:type="pct"/>
            <w:vAlign w:val="center"/>
          </w:tcPr>
          <w:p w14:paraId="05C854C0">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施工场地洒水降尘、多尘物料覆盖布料、加强往返于施工区车辆的管理和维修</w:t>
            </w:r>
          </w:p>
        </w:tc>
        <w:tc>
          <w:tcPr>
            <w:tcW w:w="1222" w:type="pct"/>
            <w:vAlign w:val="center"/>
          </w:tcPr>
          <w:p w14:paraId="1D26A5E7">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执行《大气污染物综合排放标准》中表2无组织监控浓度</w:t>
            </w:r>
          </w:p>
        </w:tc>
        <w:tc>
          <w:tcPr>
            <w:tcW w:w="938" w:type="pct"/>
            <w:vAlign w:val="center"/>
          </w:tcPr>
          <w:p w14:paraId="03177F45">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1E9307E6">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15D1D85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43" w:hRule="atLeast"/>
          <w:jc w:val="center"/>
        </w:trPr>
        <w:tc>
          <w:tcPr>
            <w:tcW w:w="766" w:type="pct"/>
            <w:vAlign w:val="center"/>
          </w:tcPr>
          <w:p w14:paraId="2543C44F">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固体废物</w:t>
            </w:r>
          </w:p>
        </w:tc>
        <w:tc>
          <w:tcPr>
            <w:tcW w:w="1473" w:type="pct"/>
            <w:vAlign w:val="center"/>
          </w:tcPr>
          <w:p w14:paraId="54DB475D">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工程</w:t>
            </w:r>
            <w:r>
              <w:rPr>
                <w:rFonts w:hint="eastAsia" w:ascii="Times New Roman" w:hAnsi="Times New Roman" w:cs="Times New Roman" w:eastAsiaTheme="minorEastAsia"/>
                <w:color w:val="000000" w:themeColor="text1"/>
                <w:szCs w:val="21"/>
                <w:highlight w:val="none"/>
                <w:lang w:val="en-US" w:eastAsia="zh-CN"/>
                <w14:textFill>
                  <w14:solidFill>
                    <w14:schemeClr w14:val="tx1"/>
                  </w14:solidFill>
                </w14:textFill>
              </w:rPr>
              <w:t>无弃方量</w:t>
            </w: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，生活垃圾收集后由当地市政部门处理</w:t>
            </w:r>
          </w:p>
        </w:tc>
        <w:tc>
          <w:tcPr>
            <w:tcW w:w="1222" w:type="pct"/>
            <w:vAlign w:val="center"/>
          </w:tcPr>
          <w:p w14:paraId="7187AD32">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合理化处置</w:t>
            </w:r>
          </w:p>
        </w:tc>
        <w:tc>
          <w:tcPr>
            <w:tcW w:w="938" w:type="pct"/>
            <w:vAlign w:val="center"/>
          </w:tcPr>
          <w:p w14:paraId="4A3F1F24">
            <w:pPr>
              <w:spacing w:before="3" w:line="239" w:lineRule="auto"/>
              <w:ind w:right="147"/>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78B0122E">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2B5D48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766" w:type="pct"/>
            <w:vAlign w:val="center"/>
          </w:tcPr>
          <w:p w14:paraId="7916026A">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电磁环境</w:t>
            </w:r>
          </w:p>
        </w:tc>
        <w:tc>
          <w:tcPr>
            <w:tcW w:w="1473" w:type="pct"/>
            <w:vAlign w:val="center"/>
          </w:tcPr>
          <w:p w14:paraId="4AA8BBC1">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p>
        </w:tc>
        <w:tc>
          <w:tcPr>
            <w:tcW w:w="1222" w:type="pct"/>
            <w:vAlign w:val="center"/>
          </w:tcPr>
          <w:p w14:paraId="1CB4DD65">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p>
        </w:tc>
        <w:tc>
          <w:tcPr>
            <w:tcW w:w="938" w:type="pct"/>
            <w:vAlign w:val="center"/>
          </w:tcPr>
          <w:p w14:paraId="48FFA0AF">
            <w:pPr>
              <w:spacing w:before="3" w:line="239" w:lineRule="auto"/>
              <w:ind w:right="147"/>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34BFE3D0">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5F3E5B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4" w:hRule="atLeast"/>
          <w:jc w:val="center"/>
        </w:trPr>
        <w:tc>
          <w:tcPr>
            <w:tcW w:w="766" w:type="pct"/>
            <w:vAlign w:val="center"/>
          </w:tcPr>
          <w:p w14:paraId="7E2361BD">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环境风险</w:t>
            </w:r>
          </w:p>
        </w:tc>
        <w:tc>
          <w:tcPr>
            <w:tcW w:w="1473" w:type="pct"/>
            <w:vAlign w:val="center"/>
          </w:tcPr>
          <w:p w14:paraId="223AB9BD">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p>
        </w:tc>
        <w:tc>
          <w:tcPr>
            <w:tcW w:w="1222" w:type="pct"/>
            <w:vAlign w:val="center"/>
          </w:tcPr>
          <w:p w14:paraId="35F814E4">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w:t>
            </w:r>
          </w:p>
        </w:tc>
        <w:tc>
          <w:tcPr>
            <w:tcW w:w="938" w:type="pct"/>
            <w:vAlign w:val="center"/>
          </w:tcPr>
          <w:p w14:paraId="05DBC2FE">
            <w:pPr>
              <w:spacing w:before="3" w:line="239" w:lineRule="auto"/>
              <w:ind w:right="147"/>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2BED49AE">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5CDF88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1" w:hRule="atLeast"/>
          <w:jc w:val="center"/>
        </w:trPr>
        <w:tc>
          <w:tcPr>
            <w:tcW w:w="766" w:type="pct"/>
            <w:vAlign w:val="center"/>
          </w:tcPr>
          <w:p w14:paraId="6ACB13E4">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环境监测</w:t>
            </w:r>
          </w:p>
        </w:tc>
        <w:tc>
          <w:tcPr>
            <w:tcW w:w="1473" w:type="pct"/>
            <w:vAlign w:val="center"/>
          </w:tcPr>
          <w:p w14:paraId="48ECA85B">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提出地表水环境、地下水环境、大气环境和声环境监测计划</w:t>
            </w:r>
          </w:p>
        </w:tc>
        <w:tc>
          <w:tcPr>
            <w:tcW w:w="1222" w:type="pct"/>
            <w:vAlign w:val="center"/>
          </w:tcPr>
          <w:p w14:paraId="3D1626D6">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按照要求进行环境监测</w:t>
            </w:r>
          </w:p>
        </w:tc>
        <w:tc>
          <w:tcPr>
            <w:tcW w:w="938" w:type="pct"/>
            <w:vAlign w:val="center"/>
          </w:tcPr>
          <w:p w14:paraId="21D209D4">
            <w:pPr>
              <w:spacing w:before="3" w:line="239" w:lineRule="auto"/>
              <w:ind w:right="147"/>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17A13993">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r w14:paraId="37CF85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37" w:hRule="atLeast"/>
          <w:jc w:val="center"/>
        </w:trPr>
        <w:tc>
          <w:tcPr>
            <w:tcW w:w="766" w:type="pct"/>
            <w:vAlign w:val="center"/>
          </w:tcPr>
          <w:p w14:paraId="51CBE105">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其他</w:t>
            </w:r>
          </w:p>
        </w:tc>
        <w:tc>
          <w:tcPr>
            <w:tcW w:w="1473" w:type="pct"/>
            <w:vAlign w:val="center"/>
          </w:tcPr>
          <w:p w14:paraId="0747BCD1">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保证各项环保管理措施的落实、施工人员开展环保培训</w:t>
            </w:r>
          </w:p>
        </w:tc>
        <w:tc>
          <w:tcPr>
            <w:tcW w:w="1222" w:type="pct"/>
            <w:vAlign w:val="center"/>
          </w:tcPr>
          <w:p w14:paraId="4B80E9C1">
            <w:pPr>
              <w:keepNext w:val="0"/>
              <w:keepLines w:val="0"/>
              <w:pageBreakBefore w:val="0"/>
              <w:widowControl w:val="0"/>
              <w:kinsoku/>
              <w:wordWrap/>
              <w:overflowPunct/>
              <w:topLinePunct w:val="0"/>
              <w:autoSpaceDE/>
              <w:autoSpaceDN/>
              <w:bidi w:val="0"/>
              <w:adjustRightInd/>
              <w:snapToGrid/>
              <w:spacing w:before="78" w:line="240" w:lineRule="auto"/>
              <w:jc w:val="center"/>
              <w:textAlignment w:val="auto"/>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Cs w:val="21"/>
                <w:highlight w:val="none"/>
                <w:lang w:eastAsia="zh-CN"/>
                <w14:textFill>
                  <w14:solidFill>
                    <w14:schemeClr w14:val="tx1"/>
                  </w14:solidFill>
                </w14:textFill>
              </w:rPr>
              <w:t>落实环境管理制度</w:t>
            </w:r>
          </w:p>
        </w:tc>
        <w:tc>
          <w:tcPr>
            <w:tcW w:w="938" w:type="pct"/>
            <w:vAlign w:val="center"/>
          </w:tcPr>
          <w:p w14:paraId="71901514">
            <w:pPr>
              <w:spacing w:before="3" w:line="239" w:lineRule="auto"/>
              <w:ind w:right="147"/>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c>
          <w:tcPr>
            <w:tcW w:w="599" w:type="pct"/>
            <w:vAlign w:val="center"/>
          </w:tcPr>
          <w:p w14:paraId="2889C264">
            <w:pPr>
              <w:adjustRightInd w:val="0"/>
              <w:snapToGrid w:val="0"/>
              <w:jc w:val="center"/>
              <w:rPr>
                <w:rFonts w:hint="default" w:ascii="Times New Roman" w:hAnsi="Times New Roman" w:cs="Times New Roman" w:eastAsiaTheme="minorEastAsia"/>
                <w:color w:val="000000" w:themeColor="text1"/>
                <w:szCs w:val="21"/>
                <w:highlight w:val="none"/>
                <w14:textFill>
                  <w14:solidFill>
                    <w14:schemeClr w14:val="tx1"/>
                  </w14:solidFill>
                </w14:textFill>
              </w:rPr>
            </w:pPr>
            <w:r>
              <w:rPr>
                <w:rFonts w:hint="default" w:ascii="Times New Roman" w:hAnsi="Times New Roman" w:cs="Times New Roman" w:eastAsiaTheme="minorEastAsia"/>
                <w:color w:val="000000" w:themeColor="text1"/>
                <w:szCs w:val="21"/>
                <w:highlight w:val="none"/>
                <w14:textFill>
                  <w14:solidFill>
                    <w14:schemeClr w14:val="tx1"/>
                  </w14:solidFill>
                </w14:textFill>
              </w:rPr>
              <w:t>/</w:t>
            </w:r>
          </w:p>
        </w:tc>
      </w:tr>
    </w:tbl>
    <w:p w14:paraId="5A276CFC">
      <w:pPr>
        <w:pStyle w:val="19"/>
        <w:spacing w:before="192" w:beforeLines="80" w:beforeAutospacing="0"/>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bookmarkStart w:id="75" w:name="_Toc21418"/>
    </w:p>
    <w:p w14:paraId="2A6EA62A">
      <w:pPr>
        <w:pStyle w:val="19"/>
        <w:spacing w:before="192" w:beforeLines="80" w:beforeAutospacing="0"/>
        <w:jc w:val="center"/>
        <w:outlineLvl w:val="0"/>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pPr>
      <w:bookmarkStart w:id="76" w:name="_Toc4258"/>
      <w:bookmarkStart w:id="77" w:name="_Toc9222"/>
      <w:bookmarkStart w:id="78" w:name="_Toc14393"/>
      <w:r>
        <w:rPr>
          <w:rFonts w:hint="default" w:ascii="Times New Roman" w:hAnsi="Times New Roman" w:eastAsia="黑体" w:cs="Times New Roman"/>
          <w:snapToGrid w:val="0"/>
          <w:color w:val="000000" w:themeColor="text1"/>
          <w:sz w:val="30"/>
          <w:szCs w:val="30"/>
          <w:highlight w:val="none"/>
          <w14:textFill>
            <w14:solidFill>
              <w14:schemeClr w14:val="tx1"/>
            </w14:solidFill>
          </w14:textFill>
        </w:rPr>
        <w:t>七、结论</w:t>
      </w:r>
      <w:bookmarkEnd w:id="75"/>
      <w:bookmarkEnd w:id="76"/>
      <w:bookmarkEnd w:id="77"/>
      <w:bookmarkEnd w:id="78"/>
    </w:p>
    <w:tbl>
      <w:tblPr>
        <w:tblStyle w:val="22"/>
        <w:tblW w:w="928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7E25A1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591" w:hRule="atLeast"/>
          <w:jc w:val="center"/>
        </w:trPr>
        <w:tc>
          <w:tcPr>
            <w:tcW w:w="9289" w:type="dxa"/>
          </w:tcPr>
          <w:p w14:paraId="466B4BEA">
            <w:pPr>
              <w:spacing w:before="120" w:beforeLines="50" w:line="360" w:lineRule="auto"/>
              <w:ind w:firstLine="480" w:firstLineChars="200"/>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工程实施后，可消除</w:t>
            </w:r>
            <w:r>
              <w:rPr>
                <w:rFonts w:hint="eastAsia"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color w:val="000000" w:themeColor="text1"/>
                <w:kern w:val="0"/>
                <w:sz w:val="24"/>
                <w:highlight w:val="none"/>
                <w14:textFill>
                  <w14:solidFill>
                    <w14:schemeClr w14:val="tx1"/>
                  </w14:solidFill>
                </w14:textFill>
              </w:rPr>
              <w:t>水库安全隐患，使得水库正常运行，持续发挥水库灌溉和防洪功能。</w:t>
            </w:r>
            <w:r>
              <w:rPr>
                <w:rFonts w:hint="default" w:ascii="Times New Roman" w:hAnsi="Times New Roman" w:cs="Times New Roman"/>
                <w:color w:val="000000" w:themeColor="text1"/>
                <w:sz w:val="24"/>
                <w:highlight w:val="none"/>
                <w14:textFill>
                  <w14:solidFill>
                    <w14:schemeClr w14:val="tx1"/>
                  </w14:solidFill>
                </w14:textFill>
              </w:rPr>
              <w:t>保护下游农田免遭洪水侵袭，可避免因洪水灾害而污染河流水质的情况发生，对区域水环境将起到一定的保护作用。</w:t>
            </w:r>
            <w:r>
              <w:rPr>
                <w:rFonts w:hint="default" w:ascii="Times New Roman" w:hAnsi="Times New Roman" w:cs="Times New Roman"/>
                <w:color w:val="000000" w:themeColor="text1"/>
                <w:kern w:val="0"/>
                <w:sz w:val="24"/>
                <w:highlight w:val="none"/>
                <w14:textFill>
                  <w14:solidFill>
                    <w14:schemeClr w14:val="tx1"/>
                  </w14:solidFill>
                </w14:textFill>
              </w:rPr>
              <w:t>工程建设不涉及环境敏感区，不存在环境制约因素，施工期对环境带来的不利影响可以通过本报告提出的环境保护措施予以减免。</w:t>
            </w:r>
          </w:p>
          <w:p w14:paraId="67799D2A">
            <w:pPr>
              <w:spacing w:line="360" w:lineRule="auto"/>
              <w:ind w:firstLine="480" w:firstLineChars="200"/>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从环境角度分析，工程建设是可行的。</w:t>
            </w:r>
          </w:p>
          <w:p w14:paraId="4406B241">
            <w:pPr>
              <w:spacing w:before="120" w:beforeLines="50" w:line="360" w:lineRule="auto"/>
              <w:ind w:firstLine="420" w:firstLineChars="200"/>
              <w:rPr>
                <w:rFonts w:hint="default" w:ascii="Times New Roman" w:hAnsi="Times New Roman" w:cs="Times New Roman" w:eastAsiaTheme="minorEastAsia"/>
                <w:color w:val="000000" w:themeColor="text1"/>
                <w:szCs w:val="21"/>
                <w:highlight w:val="none"/>
                <w14:textFill>
                  <w14:solidFill>
                    <w14:schemeClr w14:val="tx1"/>
                  </w14:solidFill>
                </w14:textFill>
              </w:rPr>
            </w:pPr>
          </w:p>
        </w:tc>
      </w:tr>
    </w:tbl>
    <w:p w14:paraId="7A87F1C4">
      <w:pPr>
        <w:widowControl/>
        <w:adjustRightInd w:val="0"/>
        <w:snapToGrid w:val="0"/>
        <w:spacing w:before="192" w:beforeLines="80"/>
        <w:jc w:val="left"/>
        <w:rPr>
          <w:rFonts w:hint="default" w:ascii="Times New Roman" w:hAnsi="Times New Roman" w:cs="Times New Roman" w:eastAsiaTheme="minorEastAsia"/>
          <w:color w:val="000000" w:themeColor="text1"/>
          <w:highlight w:val="none"/>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68FCCF67">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6ABA9B46">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2F17F1AB">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19AAC203">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2C3AC0AC">
      <w:pPr>
        <w:rPr>
          <w:rFonts w:hint="default" w:ascii="Times New Roman" w:hAnsi="Times New Roman" w:cs="Times New Roman"/>
          <w:color w:val="000000" w:themeColor="text1"/>
          <w:sz w:val="24"/>
          <w:highlight w:val="none"/>
          <w14:textFill>
            <w14:solidFill>
              <w14:schemeClr w14:val="tx1"/>
            </w14:solidFill>
          </w14:textFill>
        </w:rPr>
      </w:pPr>
    </w:p>
    <w:p w14:paraId="0094C8BB">
      <w:pPr>
        <w:pStyle w:val="20"/>
        <w:ind w:firstLine="240"/>
        <w:rPr>
          <w:rFonts w:hint="default" w:ascii="Times New Roman" w:hAnsi="Times New Roman" w:cs="Times New Roman"/>
          <w:color w:val="000000" w:themeColor="text1"/>
          <w:sz w:val="24"/>
          <w:szCs w:val="24"/>
          <w:highlight w:val="none"/>
          <w14:textFill>
            <w14:solidFill>
              <w14:schemeClr w14:val="tx1"/>
            </w14:solidFill>
          </w14:textFill>
        </w:rPr>
      </w:pPr>
    </w:p>
    <w:p w14:paraId="575D243F">
      <w:pPr>
        <w:rPr>
          <w:rFonts w:hint="default" w:ascii="Times New Roman" w:hAnsi="Times New Roman" w:cs="Times New Roman"/>
          <w:color w:val="000000" w:themeColor="text1"/>
          <w:sz w:val="24"/>
          <w:highlight w:val="none"/>
          <w14:textFill>
            <w14:solidFill>
              <w14:schemeClr w14:val="tx1"/>
            </w14:solidFill>
          </w14:textFill>
        </w:rPr>
      </w:pPr>
    </w:p>
    <w:p w14:paraId="41C4A238">
      <w:pPr>
        <w:pStyle w:val="20"/>
        <w:ind w:firstLine="180"/>
        <w:rPr>
          <w:rFonts w:hint="default" w:ascii="Times New Roman" w:hAnsi="Times New Roman" w:cs="Times New Roman"/>
          <w:color w:val="000000" w:themeColor="text1"/>
          <w:highlight w:val="none"/>
          <w14:textFill>
            <w14:solidFill>
              <w14:schemeClr w14:val="tx1"/>
            </w14:solidFill>
          </w14:textFill>
        </w:rPr>
      </w:pPr>
    </w:p>
    <w:p w14:paraId="6B4261D3">
      <w:pPr>
        <w:pStyle w:val="31"/>
        <w:jc w:val="center"/>
        <w:rPr>
          <w:rFonts w:hint="default" w:ascii="Times New Roman" w:hAnsi="Times New Roman" w:eastAsia="宋体" w:cs="Times New Roman"/>
          <w:color w:val="000000" w:themeColor="text1"/>
          <w:sz w:val="44"/>
          <w:szCs w:val="44"/>
          <w:highlight w:val="none"/>
          <w:lang w:eastAsia="zh-CN"/>
          <w14:textFill>
            <w14:solidFill>
              <w14:schemeClr w14:val="tx1"/>
            </w14:solidFill>
          </w14:textFill>
        </w:rPr>
      </w:pPr>
      <w:r>
        <w:rPr>
          <w:rFonts w:hint="default" w:ascii="Times New Roman" w:hAnsi="Times New Roman" w:cs="Times New Roman"/>
          <w:b/>
          <w:bCs/>
          <w:color w:val="000000" w:themeColor="text1"/>
          <w:sz w:val="44"/>
          <w:szCs w:val="44"/>
          <w:highlight w:val="none"/>
          <w:lang w:val="en-US" w:eastAsia="zh-CN"/>
          <w14:textFill>
            <w14:solidFill>
              <w14:schemeClr w14:val="tx1"/>
            </w14:solidFill>
          </w14:textFill>
        </w:rPr>
        <w:t>密山市青山水库除险加固工程</w:t>
      </w:r>
      <w:r>
        <w:rPr>
          <w:rFonts w:hint="eastAsia" w:ascii="Times New Roman" w:hAnsi="Times New Roman" w:cs="Times New Roman"/>
          <w:b/>
          <w:bCs/>
          <w:color w:val="000000" w:themeColor="text1"/>
          <w:sz w:val="44"/>
          <w:szCs w:val="44"/>
          <w:highlight w:val="none"/>
          <w:lang w:val="en-US" w:eastAsia="zh-CN"/>
          <w14:textFill>
            <w14:solidFill>
              <w14:schemeClr w14:val="tx1"/>
            </w14:solidFill>
          </w14:textFill>
        </w:rPr>
        <w:t>项目</w:t>
      </w:r>
    </w:p>
    <w:p w14:paraId="27C258EF">
      <w:pPr>
        <w:pStyle w:val="31"/>
        <w:jc w:val="center"/>
        <w:rPr>
          <w:rFonts w:hint="default" w:ascii="Times New Roman" w:hAnsi="Times New Roman" w:cs="Times New Roman"/>
          <w:color w:val="000000" w:themeColor="text1"/>
          <w:sz w:val="44"/>
          <w:szCs w:val="44"/>
          <w:highlight w:val="none"/>
          <w14:textFill>
            <w14:solidFill>
              <w14:schemeClr w14:val="tx1"/>
            </w14:solidFill>
          </w14:textFill>
        </w:rPr>
      </w:pPr>
    </w:p>
    <w:p w14:paraId="0E721226">
      <w:pPr>
        <w:pStyle w:val="31"/>
        <w:jc w:val="center"/>
        <w:rPr>
          <w:rFonts w:hint="default" w:ascii="Times New Roman" w:hAnsi="Times New Roman" w:cs="Times New Roman"/>
          <w:color w:val="000000" w:themeColor="text1"/>
          <w:sz w:val="44"/>
          <w:szCs w:val="44"/>
          <w:highlight w:val="none"/>
          <w14:textFill>
            <w14:solidFill>
              <w14:schemeClr w14:val="tx1"/>
            </w14:solidFill>
          </w14:textFill>
        </w:rPr>
      </w:pPr>
    </w:p>
    <w:p w14:paraId="2E9E5CC8">
      <w:pPr>
        <w:pStyle w:val="31"/>
        <w:jc w:val="center"/>
        <w:rPr>
          <w:rFonts w:hint="default" w:ascii="Times New Roman" w:hAnsi="Times New Roman" w:eastAsia="宋体" w:cs="Times New Roman"/>
          <w:color w:val="000000" w:themeColor="text1"/>
          <w:sz w:val="44"/>
          <w:szCs w:val="44"/>
          <w:highlight w:val="none"/>
          <w:lang w:eastAsia="zh-CN"/>
          <w14:textFill>
            <w14:solidFill>
              <w14:schemeClr w14:val="tx1"/>
            </w14:solidFill>
          </w14:textFill>
        </w:rPr>
      </w:pPr>
      <w:bookmarkStart w:id="79" w:name="_Hlk107736968"/>
      <w:r>
        <w:rPr>
          <w:rFonts w:hint="default" w:ascii="Times New Roman" w:hAnsi="Times New Roman" w:cs="Times New Roman"/>
          <w:b/>
          <w:bCs/>
          <w:color w:val="000000" w:themeColor="text1"/>
          <w:sz w:val="44"/>
          <w:szCs w:val="44"/>
          <w:highlight w:val="none"/>
          <w14:textFill>
            <w14:solidFill>
              <w14:schemeClr w14:val="tx1"/>
            </w14:solidFill>
          </w14:textFill>
        </w:rPr>
        <w:t>地表水环境影响</w:t>
      </w:r>
      <w:bookmarkEnd w:id="79"/>
      <w:r>
        <w:rPr>
          <w:rFonts w:hint="default" w:ascii="Times New Roman" w:hAnsi="Times New Roman" w:cs="Times New Roman"/>
          <w:b/>
          <w:bCs/>
          <w:color w:val="000000" w:themeColor="text1"/>
          <w:sz w:val="44"/>
          <w:szCs w:val="44"/>
          <w:highlight w:val="none"/>
          <w:lang w:eastAsia="zh-CN"/>
          <w14:textFill>
            <w14:solidFill>
              <w14:schemeClr w14:val="tx1"/>
            </w14:solidFill>
          </w14:textFill>
        </w:rPr>
        <w:t>专项评价</w:t>
      </w:r>
    </w:p>
    <w:p w14:paraId="2FA189CA">
      <w:pPr>
        <w:pStyle w:val="31"/>
        <w:jc w:val="center"/>
        <w:rPr>
          <w:rFonts w:hint="default" w:ascii="Times New Roman" w:hAnsi="Times New Roman" w:cs="Times New Roman"/>
          <w:color w:val="000000" w:themeColor="text1"/>
          <w:sz w:val="44"/>
          <w:szCs w:val="44"/>
          <w:highlight w:val="none"/>
          <w14:textFill>
            <w14:solidFill>
              <w14:schemeClr w14:val="tx1"/>
            </w14:solidFill>
          </w14:textFill>
        </w:rPr>
      </w:pPr>
    </w:p>
    <w:p w14:paraId="2BA5F948">
      <w:pPr>
        <w:pStyle w:val="31"/>
        <w:jc w:val="center"/>
        <w:rPr>
          <w:rFonts w:hint="default" w:ascii="Times New Roman" w:hAnsi="Times New Roman" w:cs="Times New Roman"/>
          <w:color w:val="000000" w:themeColor="text1"/>
          <w:sz w:val="24"/>
          <w:szCs w:val="24"/>
          <w:highlight w:val="none"/>
          <w14:textFill>
            <w14:solidFill>
              <w14:schemeClr w14:val="tx1"/>
            </w14:solidFill>
          </w14:textFill>
        </w:rPr>
      </w:pPr>
    </w:p>
    <w:p w14:paraId="60EC8353">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57FD7680">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1CA632F5">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639979CC">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41232E93">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738A1FA6">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160E8CCF">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60856DF0">
      <w:pPr>
        <w:rPr>
          <w:rFonts w:hint="default" w:ascii="Times New Roman" w:hAnsi="Times New Roman" w:cs="Times New Roman"/>
          <w:color w:val="000000" w:themeColor="text1"/>
          <w:sz w:val="24"/>
          <w:highlight w:val="none"/>
          <w14:textFill>
            <w14:solidFill>
              <w14:schemeClr w14:val="tx1"/>
            </w14:solidFill>
          </w14:textFill>
        </w:rPr>
      </w:pPr>
    </w:p>
    <w:p w14:paraId="7A378E07">
      <w:pPr>
        <w:pStyle w:val="20"/>
        <w:ind w:firstLine="240"/>
        <w:rPr>
          <w:rFonts w:hint="default" w:ascii="Times New Roman" w:hAnsi="Times New Roman" w:cs="Times New Roman"/>
          <w:color w:val="000000" w:themeColor="text1"/>
          <w:sz w:val="24"/>
          <w:szCs w:val="24"/>
          <w:highlight w:val="none"/>
          <w14:textFill>
            <w14:solidFill>
              <w14:schemeClr w14:val="tx1"/>
            </w14:solidFill>
          </w14:textFill>
        </w:rPr>
      </w:pPr>
    </w:p>
    <w:p w14:paraId="7FDFC3DD">
      <w:pPr>
        <w:rPr>
          <w:rFonts w:hint="default" w:ascii="Times New Roman" w:hAnsi="Times New Roman" w:cs="Times New Roman"/>
          <w:color w:val="000000" w:themeColor="text1"/>
          <w:sz w:val="24"/>
          <w:highlight w:val="none"/>
          <w14:textFill>
            <w14:solidFill>
              <w14:schemeClr w14:val="tx1"/>
            </w14:solidFill>
          </w14:textFill>
        </w:rPr>
      </w:pPr>
    </w:p>
    <w:p w14:paraId="0D044AE1">
      <w:pPr>
        <w:pStyle w:val="20"/>
        <w:ind w:firstLine="240"/>
        <w:rPr>
          <w:rFonts w:hint="default" w:ascii="Times New Roman" w:hAnsi="Times New Roman" w:cs="Times New Roman"/>
          <w:color w:val="000000" w:themeColor="text1"/>
          <w:sz w:val="24"/>
          <w:szCs w:val="24"/>
          <w:highlight w:val="none"/>
          <w14:textFill>
            <w14:solidFill>
              <w14:schemeClr w14:val="tx1"/>
            </w14:solidFill>
          </w14:textFill>
        </w:rPr>
      </w:pPr>
    </w:p>
    <w:p w14:paraId="768602DC">
      <w:pPr>
        <w:rPr>
          <w:rFonts w:hint="default" w:ascii="Times New Roman" w:hAnsi="Times New Roman" w:cs="Times New Roman"/>
          <w:color w:val="000000" w:themeColor="text1"/>
          <w:sz w:val="24"/>
          <w:highlight w:val="none"/>
          <w14:textFill>
            <w14:solidFill>
              <w14:schemeClr w14:val="tx1"/>
            </w14:solidFill>
          </w14:textFill>
        </w:rPr>
      </w:pPr>
    </w:p>
    <w:p w14:paraId="7FA93342">
      <w:pPr>
        <w:pStyle w:val="20"/>
        <w:ind w:firstLine="240"/>
        <w:rPr>
          <w:rFonts w:hint="default" w:ascii="Times New Roman" w:hAnsi="Times New Roman" w:cs="Times New Roman"/>
          <w:color w:val="000000" w:themeColor="text1"/>
          <w:sz w:val="24"/>
          <w:szCs w:val="24"/>
          <w:highlight w:val="none"/>
          <w14:textFill>
            <w14:solidFill>
              <w14:schemeClr w14:val="tx1"/>
            </w14:solidFill>
          </w14:textFill>
        </w:rPr>
      </w:pPr>
    </w:p>
    <w:p w14:paraId="37282D8B">
      <w:pPr>
        <w:rPr>
          <w:rFonts w:hint="default" w:ascii="Times New Roman" w:hAnsi="Times New Roman" w:cs="Times New Roman"/>
          <w:color w:val="000000" w:themeColor="text1"/>
          <w:sz w:val="24"/>
          <w:highlight w:val="none"/>
          <w14:textFill>
            <w14:solidFill>
              <w14:schemeClr w14:val="tx1"/>
            </w14:solidFill>
          </w14:textFill>
        </w:rPr>
      </w:pPr>
    </w:p>
    <w:p w14:paraId="48D7790E">
      <w:pPr>
        <w:pStyle w:val="20"/>
        <w:ind w:firstLine="240"/>
        <w:rPr>
          <w:rFonts w:hint="default" w:ascii="Times New Roman" w:hAnsi="Times New Roman" w:cs="Times New Roman"/>
          <w:color w:val="000000" w:themeColor="text1"/>
          <w:sz w:val="24"/>
          <w:szCs w:val="24"/>
          <w:highlight w:val="none"/>
          <w14:textFill>
            <w14:solidFill>
              <w14:schemeClr w14:val="tx1"/>
            </w14:solidFill>
          </w14:textFill>
        </w:rPr>
      </w:pPr>
    </w:p>
    <w:p w14:paraId="137B1BAF">
      <w:pPr>
        <w:rPr>
          <w:rFonts w:hint="default" w:ascii="Times New Roman" w:hAnsi="Times New Roman" w:cs="Times New Roman"/>
          <w:color w:val="000000" w:themeColor="text1"/>
          <w:sz w:val="24"/>
          <w:highlight w:val="none"/>
          <w14:textFill>
            <w14:solidFill>
              <w14:schemeClr w14:val="tx1"/>
            </w14:solidFill>
          </w14:textFill>
        </w:rPr>
      </w:pPr>
    </w:p>
    <w:p w14:paraId="7004A25D">
      <w:pPr>
        <w:pStyle w:val="20"/>
        <w:ind w:firstLine="180"/>
        <w:rPr>
          <w:rFonts w:hint="default" w:ascii="Times New Roman" w:hAnsi="Times New Roman" w:cs="Times New Roman"/>
          <w:color w:val="000000" w:themeColor="text1"/>
          <w:highlight w:val="none"/>
          <w14:textFill>
            <w14:solidFill>
              <w14:schemeClr w14:val="tx1"/>
            </w14:solidFill>
          </w14:textFill>
        </w:rPr>
      </w:pPr>
    </w:p>
    <w:p w14:paraId="14639671">
      <w:pPr>
        <w:rPr>
          <w:rFonts w:hint="default" w:ascii="Times New Roman" w:hAnsi="Times New Roman" w:cs="Times New Roman"/>
          <w:color w:val="000000" w:themeColor="text1"/>
          <w:sz w:val="24"/>
          <w:highlight w:val="none"/>
          <w14:textFill>
            <w14:solidFill>
              <w14:schemeClr w14:val="tx1"/>
            </w14:solidFill>
          </w14:textFill>
        </w:rPr>
      </w:pPr>
    </w:p>
    <w:p w14:paraId="616973D3">
      <w:pPr>
        <w:pStyle w:val="31"/>
        <w:rPr>
          <w:rFonts w:hint="default" w:ascii="Times New Roman" w:hAnsi="Times New Roman" w:cs="Times New Roman"/>
          <w:color w:val="000000" w:themeColor="text1"/>
          <w:sz w:val="24"/>
          <w:szCs w:val="24"/>
          <w:highlight w:val="none"/>
          <w14:textFill>
            <w14:solidFill>
              <w14:schemeClr w14:val="tx1"/>
            </w14:solidFill>
          </w14:textFill>
        </w:rPr>
      </w:pPr>
    </w:p>
    <w:p w14:paraId="393E4A56">
      <w:pPr>
        <w:pStyle w:val="31"/>
        <w:spacing w:line="360" w:lineRule="auto"/>
        <w:jc w:val="center"/>
        <w:rPr>
          <w:rFonts w:hint="default" w:ascii="Times New Roman" w:hAnsi="Times New Roman" w:cs="Times New Roman"/>
          <w:color w:val="000000" w:themeColor="text1"/>
          <w:sz w:val="32"/>
          <w:szCs w:val="32"/>
          <w:highlight w:val="none"/>
          <w14:textFill>
            <w14:solidFill>
              <w14:schemeClr w14:val="tx1"/>
            </w14:solidFill>
          </w14:textFill>
        </w:rPr>
      </w:pPr>
    </w:p>
    <w:p w14:paraId="4B448D1E">
      <w:pPr>
        <w:pStyle w:val="13"/>
        <w:spacing w:line="360" w:lineRule="auto"/>
        <w:ind w:firstLine="0" w:firstLineChars="0"/>
        <w:jc w:val="center"/>
        <w:rPr>
          <w:rFonts w:hint="default" w:ascii="Times New Roman" w:hAnsi="Times New Roman" w:eastAsia="仿宋_GB2312" w:cs="Times New Roman"/>
          <w:color w:val="000000" w:themeColor="text1"/>
          <w:sz w:val="32"/>
          <w:szCs w:val="32"/>
          <w:highlight w:val="none"/>
          <w:lang w:val="en-US" w:eastAsia="zh-CN"/>
          <w14:textFill>
            <w14:solidFill>
              <w14:schemeClr w14:val="tx1"/>
            </w14:solidFill>
          </w14:textFill>
        </w:rPr>
        <w:sectPr>
          <w:footerReference r:id="rId8"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rPr>
          <w:rFonts w:hint="default" w:ascii="Times New Roman" w:hAnsi="Times New Roman" w:cs="Times New Roman"/>
          <w:color w:val="000000" w:themeColor="text1"/>
          <w:sz w:val="32"/>
          <w:szCs w:val="32"/>
          <w:highlight w:val="none"/>
          <w14:textFill>
            <w14:solidFill>
              <w14:schemeClr w14:val="tx1"/>
            </w14:solidFill>
          </w14:textFill>
        </w:rPr>
        <w:t>202</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5</w:t>
      </w:r>
      <w:r>
        <w:rPr>
          <w:rFonts w:hint="default" w:ascii="Times New Roman" w:hAnsi="Times New Roman" w:cs="Times New Roman"/>
          <w:color w:val="000000" w:themeColor="text1"/>
          <w:sz w:val="32"/>
          <w:szCs w:val="32"/>
          <w:highlight w:val="none"/>
          <w14:textFill>
            <w14:solidFill>
              <w14:schemeClr w14:val="tx1"/>
            </w14:solidFill>
          </w14:textFill>
        </w:rPr>
        <w:t>.0</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6</w:t>
      </w:r>
    </w:p>
    <w:p w14:paraId="5F0DAEFB">
      <w:pPr>
        <w:keepNext w:val="0"/>
        <w:keepLines w:val="0"/>
        <w:pageBreakBefore w:val="0"/>
        <w:widowControl w:val="0"/>
        <w:kinsoku/>
        <w:wordWrap/>
        <w:overflowPunct/>
        <w:topLinePunct w:val="0"/>
        <w:autoSpaceDE/>
        <w:autoSpaceDN/>
        <w:bidi w:val="0"/>
        <w:adjustRightInd/>
        <w:snapToGrid/>
        <w:spacing w:line="240" w:lineRule="auto"/>
        <w:ind w:firstLine="480"/>
        <w:jc w:val="center"/>
        <w:textAlignment w:val="auto"/>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sz w:val="28"/>
          <w:szCs w:val="28"/>
          <w:highlight w:val="none"/>
          <w14:textFill>
            <w14:solidFill>
              <w14:schemeClr w14:val="tx1"/>
            </w14:solidFill>
          </w14:textFill>
        </w:rPr>
        <w:t>目录</w: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TOC \o "1-2" \h \z \u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p>
    <w:p w14:paraId="6EB2041D">
      <w:pPr>
        <w:pStyle w:val="16"/>
        <w:keepNext w:val="0"/>
        <w:keepLines w:val="0"/>
        <w:pageBreakBefore w:val="0"/>
        <w:widowControl w:val="0"/>
        <w:tabs>
          <w:tab w:val="right" w:leader="dot" w:pos="8306"/>
          <w:tab w:val="clear" w:pos="8364"/>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_Toc5563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1总论</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_Toc5563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57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37CFF39B">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_Toc6755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1.1项目基本情况</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_Toc6755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57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48AF7A31">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_Toc8585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1.2编制依据</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_Toc8585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57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576F9798">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_Toc9578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1.3环境保护目标</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_Toc9578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58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4CCEBA61">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_Toc952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1.4评价等级及评价范围</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_Toc952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58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33750C32">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_Toc18729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1.5评价因子</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_Toc18729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60</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6F03B1CF">
      <w:pPr>
        <w:pStyle w:val="16"/>
        <w:keepNext w:val="0"/>
        <w:keepLines w:val="0"/>
        <w:pageBreakBefore w:val="0"/>
        <w:widowControl w:val="0"/>
        <w:tabs>
          <w:tab w:val="right" w:leader="dot" w:pos="8306"/>
          <w:tab w:val="clear" w:pos="8364"/>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_Toc15670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建设项目工程概况</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_Toc15670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62</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3FBB28CD">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_Toc9121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2.1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项目概况</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_Toc9121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62</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409E3F4F">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_Toc14752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2施工期污染源分析</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_Toc14752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63</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32DE23D0">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_Toc29417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2.</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3运营期污染源分析</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_Toc29417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63</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5D5843AF">
      <w:pPr>
        <w:pStyle w:val="16"/>
        <w:keepNext w:val="0"/>
        <w:keepLines w:val="0"/>
        <w:pageBreakBefore w:val="0"/>
        <w:widowControl w:val="0"/>
        <w:tabs>
          <w:tab w:val="right" w:leader="dot" w:pos="8306"/>
          <w:tab w:val="clear" w:pos="8364"/>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_Toc7428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3环境现状调查与评价</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_Toc7428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65</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68EA6EB8">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_Toc27532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.1自然环境概况</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_Toc27532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65</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319E9938">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_Toc12377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highlight w:val="none"/>
          <w14:textFill>
            <w14:solidFill>
              <w14:schemeClr w14:val="tx1"/>
            </w14:solidFill>
          </w14:textFill>
        </w:rPr>
        <w:t>.</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2区域水污染源调查</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_Toc12377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66</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20DB159E">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_Toc19442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3.3水文情势调查</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_Toc19442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66</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7A08FE8E">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_Toc2454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szCs w:val="24"/>
          <w:highlight w:val="none"/>
          <w14:textFill>
            <w14:solidFill>
              <w14:schemeClr w14:val="tx1"/>
            </w14:solidFill>
          </w14:textFill>
        </w:rPr>
        <w:t>水生生态的调查</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_Toc2454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69</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09DBF717">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_Toc29714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szCs w:val="24"/>
          <w:highlight w:val="none"/>
          <w14:textFill>
            <w14:solidFill>
              <w14:schemeClr w14:val="tx1"/>
            </w14:solidFill>
          </w14:textFill>
        </w:rPr>
        <w:t>水质管理目标</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_Toc29714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72</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045E2450">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_Toc3158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6</w:t>
      </w:r>
      <w:r>
        <w:rPr>
          <w:rFonts w:hint="default" w:ascii="Times New Roman" w:hAnsi="Times New Roman" w:eastAsia="宋体" w:cs="Times New Roman"/>
          <w:color w:val="000000" w:themeColor="text1"/>
          <w:sz w:val="24"/>
          <w:szCs w:val="24"/>
          <w:highlight w:val="none"/>
          <w14:textFill>
            <w14:solidFill>
              <w14:schemeClr w14:val="tx1"/>
            </w14:solidFill>
          </w14:textFill>
        </w:rPr>
        <w:t>水质现状</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_Toc3158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72</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6739AC3B">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_Toc13967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3.</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w:t>
      </w:r>
      <w:r>
        <w:rPr>
          <w:rFonts w:hint="default" w:ascii="Times New Roman" w:hAnsi="Times New Roman" w:eastAsia="宋体" w:cs="Times New Roman"/>
          <w:color w:val="000000" w:themeColor="text1"/>
          <w:sz w:val="24"/>
          <w:szCs w:val="24"/>
          <w:highlight w:val="none"/>
          <w14:textFill>
            <w14:solidFill>
              <w14:schemeClr w14:val="tx1"/>
            </w14:solidFill>
          </w14:textFill>
        </w:rPr>
        <w:t>现状评价结论</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_Toc13967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77</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09A0B3E6">
      <w:pPr>
        <w:pStyle w:val="16"/>
        <w:keepNext w:val="0"/>
        <w:keepLines w:val="0"/>
        <w:pageBreakBefore w:val="0"/>
        <w:widowControl w:val="0"/>
        <w:tabs>
          <w:tab w:val="right" w:leader="dot" w:pos="8306"/>
          <w:tab w:val="clear" w:pos="8364"/>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_Toc12357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4地表水环境影响预测与评价</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_Toc12357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78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4B98DA57">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_Toc9653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4.1</w:t>
      </w:r>
      <w:r>
        <w:rPr>
          <w:rFonts w:hint="default" w:ascii="Times New Roman" w:hAnsi="Times New Roman" w:eastAsia="宋体" w:cs="Times New Roman"/>
          <w:color w:val="000000" w:themeColor="text1"/>
          <w:sz w:val="24"/>
          <w:szCs w:val="24"/>
          <w:highlight w:val="none"/>
          <w:lang w:eastAsia="zh-CN"/>
          <w14:textFill>
            <w14:solidFill>
              <w14:schemeClr w14:val="tx1"/>
            </w14:solidFill>
          </w14:textFill>
        </w:rPr>
        <w:t>施工期环境影响分析</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_Toc9653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78</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59EF3389">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_Toc31389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4.2运行期影响分析</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_Toc31389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79</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0AD59A1F">
      <w:pPr>
        <w:pStyle w:val="16"/>
        <w:keepNext w:val="0"/>
        <w:keepLines w:val="0"/>
        <w:pageBreakBefore w:val="0"/>
        <w:widowControl w:val="0"/>
        <w:tabs>
          <w:tab w:val="right" w:leader="dot" w:pos="8306"/>
          <w:tab w:val="clear" w:pos="8364"/>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_Toc1386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5地表水环境保护措施</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_Toc1386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83</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0978B835">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_Toc3297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5.1施工期保护措施</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_Toc3297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83</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628FE605">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_Toc29077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5.2运行期保护措施</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_Toc29077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83</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0F5B76CA">
      <w:pPr>
        <w:pStyle w:val="16"/>
        <w:keepNext w:val="0"/>
        <w:keepLines w:val="0"/>
        <w:pageBreakBefore w:val="0"/>
        <w:widowControl w:val="0"/>
        <w:tabs>
          <w:tab w:val="right" w:leader="dot" w:pos="8306"/>
          <w:tab w:val="clear" w:pos="8364"/>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_Toc14878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6评价结论</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_Toc14878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85</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36CBF5CC">
      <w:pPr>
        <w:pStyle w:val="17"/>
        <w:keepNext w:val="0"/>
        <w:keepLines w:val="0"/>
        <w:pageBreakBefore w:val="0"/>
        <w:widowControl w:val="0"/>
        <w:tabs>
          <w:tab w:val="right" w:leader="dot" w:pos="8306"/>
        </w:tabs>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begin"/>
      </w:r>
      <w:r>
        <w:rPr>
          <w:rFonts w:hint="default" w:ascii="Times New Roman" w:hAnsi="Times New Roman" w:eastAsia="宋体" w:cs="Times New Roman"/>
          <w:color w:val="000000" w:themeColor="text1"/>
          <w:sz w:val="24"/>
          <w:szCs w:val="24"/>
          <w:highlight w:val="none"/>
          <w14:textFill>
            <w14:solidFill>
              <w14:schemeClr w14:val="tx1"/>
            </w14:solidFill>
          </w14:textFill>
        </w:rPr>
        <w:instrText xml:space="preserve"> HYPERLINK \l _Toc1223 </w:instrText>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highlight w:val="none"/>
          <w14:textFill>
            <w14:solidFill>
              <w14:schemeClr w14:val="tx1"/>
            </w14:solidFill>
          </w14:textFill>
        </w:rPr>
        <w:t>地表水环境影响评价自查表</w:t>
      </w:r>
      <w:r>
        <w:rPr>
          <w:rFonts w:hint="default" w:ascii="Times New Roman" w:hAnsi="Times New Roman" w:eastAsia="宋体" w:cs="Times New Roman"/>
          <w:color w:val="000000" w:themeColor="text1"/>
          <w:sz w:val="24"/>
          <w:szCs w:val="24"/>
          <w14:textFill>
            <w14:solidFill>
              <w14:schemeClr w14:val="tx1"/>
            </w14:solidFill>
          </w14:textFill>
        </w:rPr>
        <w:tab/>
      </w:r>
      <w:r>
        <w:rPr>
          <w:rFonts w:hint="default" w:ascii="Times New Roman" w:hAnsi="Times New Roman" w:eastAsia="宋体" w:cs="Times New Roman"/>
          <w:color w:val="000000" w:themeColor="text1"/>
          <w:sz w:val="24"/>
          <w:szCs w:val="24"/>
          <w14:textFill>
            <w14:solidFill>
              <w14:schemeClr w14:val="tx1"/>
            </w14:solidFill>
          </w14:textFill>
        </w:rPr>
        <w:fldChar w:fldCharType="begin"/>
      </w:r>
      <w:r>
        <w:rPr>
          <w:rFonts w:hint="default" w:ascii="Times New Roman" w:hAnsi="Times New Roman" w:eastAsia="宋体" w:cs="Times New Roman"/>
          <w:color w:val="000000" w:themeColor="text1"/>
          <w:sz w:val="24"/>
          <w:szCs w:val="24"/>
          <w14:textFill>
            <w14:solidFill>
              <w14:schemeClr w14:val="tx1"/>
            </w14:solidFill>
          </w14:textFill>
        </w:rPr>
        <w:instrText xml:space="preserve"> PAGEREF _Toc1223 \h </w:instrText>
      </w:r>
      <w:r>
        <w:rPr>
          <w:rFonts w:hint="default" w:ascii="Times New Roman" w:hAnsi="Times New Roman" w:eastAsia="宋体" w:cs="Times New Roman"/>
          <w:color w:val="000000" w:themeColor="text1"/>
          <w:sz w:val="24"/>
          <w:szCs w:val="24"/>
          <w14:textFill>
            <w14:solidFill>
              <w14:schemeClr w14:val="tx1"/>
            </w14:solidFill>
          </w14:textFill>
        </w:rPr>
        <w:fldChar w:fldCharType="separate"/>
      </w:r>
      <w:r>
        <w:rPr>
          <w:rFonts w:hint="default" w:ascii="Times New Roman" w:hAnsi="Times New Roman" w:eastAsia="宋体" w:cs="Times New Roman"/>
          <w:color w:val="000000" w:themeColor="text1"/>
          <w:sz w:val="24"/>
          <w:szCs w:val="24"/>
          <w14:textFill>
            <w14:solidFill>
              <w14:schemeClr w14:val="tx1"/>
            </w14:solidFill>
          </w14:textFill>
        </w:rPr>
        <w:t>86</w:t>
      </w:r>
      <w:r>
        <w:rPr>
          <w:rFonts w:hint="default" w:ascii="Times New Roman" w:hAnsi="Times New Roman" w:eastAsia="宋体" w:cs="Times New Roman"/>
          <w:color w:val="000000" w:themeColor="text1"/>
          <w:sz w:val="24"/>
          <w:szCs w:val="24"/>
          <w14:textFill>
            <w14:solidFill>
              <w14:schemeClr w14:val="tx1"/>
            </w14:solidFill>
          </w14:textFill>
        </w:rPr>
        <w:fldChar w:fldCharType="end"/>
      </w: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48EC108F">
      <w:pPr>
        <w:pStyle w:val="16"/>
        <w:keepNext w:val="0"/>
        <w:keepLines w:val="0"/>
        <w:pageBreakBefore w:val="0"/>
        <w:widowControl w:val="0"/>
        <w:tabs>
          <w:tab w:val="right" w:leader="dot" w:pos="8296"/>
          <w:tab w:val="clear" w:pos="8364"/>
        </w:tabs>
        <w:kinsoku/>
        <w:wordWrap/>
        <w:overflowPunct/>
        <w:topLinePunct w:val="0"/>
        <w:autoSpaceDE/>
        <w:autoSpaceDN/>
        <w:bidi w:val="0"/>
        <w:adjustRightInd/>
        <w:snapToGrid/>
        <w:spacing w:line="240" w:lineRule="auto"/>
        <w:ind w:firstLine="480"/>
        <w:jc w:val="center"/>
        <w:textAlignment w:val="auto"/>
        <w:rPr>
          <w:rFonts w:hint="default" w:ascii="Times New Roman" w:hAnsi="Times New Roman" w:eastAsia="宋体" w:cs="Times New Roman"/>
          <w:color w:val="000000" w:themeColor="text1"/>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fldChar w:fldCharType="end"/>
      </w:r>
    </w:p>
    <w:p w14:paraId="3ED1F50D">
      <w:pPr>
        <w:ind w:firstLine="480"/>
        <w:rPr>
          <w:rFonts w:hint="default" w:ascii="Times New Roman" w:hAnsi="Times New Roman" w:cs="Times New Roman"/>
          <w:color w:val="000000" w:themeColor="text1"/>
          <w:highlight w:val="none"/>
          <w14:textFill>
            <w14:solidFill>
              <w14:schemeClr w14:val="tx1"/>
            </w14:solidFill>
          </w14:textFill>
        </w:rPr>
      </w:pPr>
    </w:p>
    <w:p w14:paraId="0A9D71DB">
      <w:pPr>
        <w:ind w:firstLine="480"/>
        <w:rPr>
          <w:rFonts w:hint="default" w:ascii="Times New Roman" w:hAnsi="Times New Roman" w:cs="Times New Roman"/>
          <w:i/>
          <w:iCs/>
          <w:color w:val="000000" w:themeColor="text1"/>
          <w:highlight w:val="none"/>
          <w14:textFill>
            <w14:solidFill>
              <w14:schemeClr w14:val="tx1"/>
            </w14:solidFill>
          </w14:textFill>
        </w:rPr>
        <w:sectPr>
          <w:headerReference r:id="rId9" w:type="default"/>
          <w:footerReference r:id="rId10"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CE8BA9B">
      <w:pPr>
        <w:pStyle w:val="4"/>
        <w:pageBreakBefore w:val="0"/>
        <w:widowControl w:val="0"/>
        <w:kinsoku/>
        <w:wordWrap/>
        <w:topLinePunct w:val="0"/>
        <w:autoSpaceDE/>
        <w:autoSpaceDN/>
        <w:bidi w:val="0"/>
        <w:adjustRightInd/>
        <w:spacing w:line="360" w:lineRule="auto"/>
        <w:ind w:left="0" w:firstLine="0"/>
        <w:textAlignment w:val="auto"/>
        <w:rPr>
          <w:rFonts w:hint="default" w:ascii="Times New Roman" w:hAnsi="Times New Roman" w:cs="Times New Roman"/>
          <w:color w:val="000000" w:themeColor="text1"/>
          <w:highlight w:val="none"/>
          <w14:textFill>
            <w14:solidFill>
              <w14:schemeClr w14:val="tx1"/>
            </w14:solidFill>
          </w14:textFill>
        </w:rPr>
      </w:pPr>
      <w:bookmarkStart w:id="80" w:name="_Toc16316"/>
      <w:bookmarkStart w:id="81" w:name="_Toc27199"/>
      <w:bookmarkStart w:id="82" w:name="_Toc5563"/>
      <w:r>
        <w:rPr>
          <w:rFonts w:hint="default" w:ascii="Times New Roman" w:hAnsi="Times New Roman" w:cs="Times New Roman"/>
          <w:color w:val="000000" w:themeColor="text1"/>
          <w:highlight w:val="none"/>
          <w14:textFill>
            <w14:solidFill>
              <w14:schemeClr w14:val="tx1"/>
            </w14:solidFill>
          </w14:textFill>
        </w:rPr>
        <w:t>1总论</w:t>
      </w:r>
      <w:bookmarkEnd w:id="80"/>
      <w:bookmarkEnd w:id="81"/>
      <w:bookmarkEnd w:id="82"/>
    </w:p>
    <w:p w14:paraId="6758CF9A">
      <w:pPr>
        <w:pageBreakBefore w:val="0"/>
        <w:widowControl w:val="0"/>
        <w:kinsoku/>
        <w:wordWrap/>
        <w:topLinePunct w:val="0"/>
        <w:autoSpaceDE/>
        <w:autoSpaceDN/>
        <w:bidi w:val="0"/>
        <w:adjustRightInd/>
        <w:spacing w:line="360" w:lineRule="auto"/>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本工程的任务为通过对</w:t>
      </w:r>
      <w:r>
        <w:rPr>
          <w:rFonts w:hint="default" w:ascii="Times New Roman" w:hAnsi="Times New Roman" w:cs="Times New Roman"/>
          <w:color w:val="000000" w:themeColor="text1"/>
          <w:sz w:val="24"/>
          <w:highlight w:val="none"/>
          <w:lang w:eastAsia="zh-CN"/>
          <w14:textFill>
            <w14:solidFill>
              <w14:schemeClr w14:val="tx1"/>
            </w14:solidFill>
          </w14:textFill>
        </w:rPr>
        <w:t>青山</w:t>
      </w:r>
      <w:r>
        <w:rPr>
          <w:rFonts w:hint="default" w:ascii="Times New Roman" w:hAnsi="Times New Roman" w:cs="Times New Roman"/>
          <w:color w:val="000000" w:themeColor="text1"/>
          <w:sz w:val="24"/>
          <w:highlight w:val="none"/>
          <w14:textFill>
            <w14:solidFill>
              <w14:schemeClr w14:val="tx1"/>
            </w14:solidFill>
          </w14:textFill>
        </w:rPr>
        <w:t>水库进行除险加固，解决</w:t>
      </w:r>
      <w:r>
        <w:rPr>
          <w:rFonts w:hint="default" w:ascii="Times New Roman" w:hAnsi="Times New Roman" w:cs="Times New Roman"/>
          <w:color w:val="000000" w:themeColor="text1"/>
          <w:sz w:val="24"/>
          <w:highlight w:val="none"/>
          <w:lang w:eastAsia="zh-CN"/>
          <w14:textFill>
            <w14:solidFill>
              <w14:schemeClr w14:val="tx1"/>
            </w14:solidFill>
          </w14:textFill>
        </w:rPr>
        <w:t>青山</w:t>
      </w:r>
      <w:r>
        <w:rPr>
          <w:rFonts w:hint="default" w:ascii="Times New Roman" w:hAnsi="Times New Roman" w:cs="Times New Roman"/>
          <w:color w:val="000000" w:themeColor="text1"/>
          <w:sz w:val="24"/>
          <w:highlight w:val="none"/>
          <w14:textFill>
            <w14:solidFill>
              <w14:schemeClr w14:val="tx1"/>
            </w14:solidFill>
          </w14:textFill>
        </w:rPr>
        <w:t>水库运行中的安全隐患，保证下游防洪安全，属水库工程。根据《建设项目环境影响报告表编制技术指南（生态影响类）（试行）》关于评价</w:t>
      </w:r>
      <w:r>
        <w:rPr>
          <w:rFonts w:hint="default" w:ascii="Times New Roman" w:hAnsi="Times New Roman" w:cs="Times New Roman"/>
          <w:color w:val="000000" w:themeColor="text1"/>
          <w:sz w:val="24"/>
          <w:highlight w:val="none"/>
          <w:lang w:eastAsia="zh-CN"/>
          <w14:textFill>
            <w14:solidFill>
              <w14:schemeClr w14:val="tx1"/>
            </w14:solidFill>
          </w14:textFill>
        </w:rPr>
        <w:t>专项</w:t>
      </w:r>
      <w:r>
        <w:rPr>
          <w:rFonts w:hint="default" w:ascii="Times New Roman" w:hAnsi="Times New Roman" w:cs="Times New Roman"/>
          <w:color w:val="000000" w:themeColor="text1"/>
          <w:sz w:val="24"/>
          <w:highlight w:val="none"/>
          <w14:textFill>
            <w14:solidFill>
              <w14:schemeClr w14:val="tx1"/>
            </w14:solidFill>
          </w14:textFill>
        </w:rPr>
        <w:t>的设置条件，包含水库工程应编制地表水影响专项评价，因此，本项目需要设置地表水环境影响评价</w:t>
      </w:r>
      <w:r>
        <w:rPr>
          <w:rFonts w:hint="default" w:ascii="Times New Roman" w:hAnsi="Times New Roman" w:cs="Times New Roman"/>
          <w:color w:val="000000" w:themeColor="text1"/>
          <w:sz w:val="24"/>
          <w:highlight w:val="none"/>
          <w:lang w:eastAsia="zh-CN"/>
          <w14:textFill>
            <w14:solidFill>
              <w14:schemeClr w14:val="tx1"/>
            </w14:solidFill>
          </w14:textFill>
        </w:rPr>
        <w:t>专项</w:t>
      </w:r>
      <w:r>
        <w:rPr>
          <w:rFonts w:hint="default" w:ascii="Times New Roman" w:hAnsi="Times New Roman" w:cs="Times New Roman"/>
          <w:color w:val="000000" w:themeColor="text1"/>
          <w:sz w:val="24"/>
          <w:highlight w:val="none"/>
          <w14:textFill>
            <w14:solidFill>
              <w14:schemeClr w14:val="tx1"/>
            </w14:solidFill>
          </w14:textFill>
        </w:rPr>
        <w:t>。</w:t>
      </w:r>
    </w:p>
    <w:p w14:paraId="44239CBC">
      <w:pPr>
        <w:pStyle w:val="5"/>
        <w:pageBreakBefore w:val="0"/>
        <w:widowControl w:val="0"/>
        <w:numPr>
          <w:ilvl w:val="1"/>
          <w:numId w:val="0"/>
        </w:numPr>
        <w:kinsoku/>
        <w:wordWrap/>
        <w:topLinePunct w:val="0"/>
        <w:autoSpaceDE/>
        <w:autoSpaceDN/>
        <w:bidi w:val="0"/>
        <w:adjustRightInd/>
        <w:spacing w:line="360" w:lineRule="auto"/>
        <w:textAlignment w:val="auto"/>
        <w:rPr>
          <w:rFonts w:hint="default" w:ascii="Times New Roman" w:hAnsi="Times New Roman" w:cs="Times New Roman"/>
          <w:color w:val="000000" w:themeColor="text1"/>
          <w:highlight w:val="none"/>
          <w14:textFill>
            <w14:solidFill>
              <w14:schemeClr w14:val="tx1"/>
            </w14:solidFill>
          </w14:textFill>
        </w:rPr>
      </w:pPr>
      <w:bookmarkStart w:id="83" w:name="_Toc6755"/>
      <w:r>
        <w:rPr>
          <w:rFonts w:hint="default" w:ascii="Times New Roman" w:hAnsi="Times New Roman" w:cs="Times New Roman"/>
          <w:color w:val="000000" w:themeColor="text1"/>
          <w:highlight w:val="none"/>
          <w14:textFill>
            <w14:solidFill>
              <w14:schemeClr w14:val="tx1"/>
            </w14:solidFill>
          </w14:textFill>
        </w:rPr>
        <w:t>1.1项目基本情况</w:t>
      </w:r>
      <w:bookmarkEnd w:id="83"/>
    </w:p>
    <w:p w14:paraId="4E938F5D">
      <w:pPr>
        <w:pageBreakBefore w:val="0"/>
        <w:widowControl w:val="0"/>
        <w:kinsoku/>
        <w:wordWrap/>
        <w:topLinePunct w:val="0"/>
        <w:autoSpaceDE/>
        <w:autoSpaceDN/>
        <w:bidi w:val="0"/>
        <w:adjustRightIn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工程等级和</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标准：按照《水利水电工程等级划分及洪水标准》（SL252-2017）的规定，青山水库为小</w:t>
      </w:r>
      <w:r>
        <w:rPr>
          <w:rFonts w:hint="eastAsia" w:cs="Times New Roman"/>
          <w:color w:val="000000" w:themeColor="text1"/>
          <w:kern w:val="0"/>
          <w:sz w:val="24"/>
          <w:szCs w:val="24"/>
          <w:lang w:val="en-US" w:eastAsia="zh-CN" w:bidi="ar"/>
          <w14:textFill>
            <w14:solidFill>
              <w14:schemeClr w14:val="tx1"/>
            </w14:solidFill>
          </w14:textFill>
        </w:rPr>
        <w:t>I</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水库，</w:t>
      </w:r>
      <w:r>
        <w:rPr>
          <w:rFonts w:hint="eastAsia" w:cs="Times New Roman"/>
          <w:color w:val="000000" w:themeColor="text1"/>
          <w:kern w:val="0"/>
          <w:sz w:val="24"/>
          <w:szCs w:val="24"/>
          <w:lang w:val="en-US" w:eastAsia="zh-CN" w:bidi="ar"/>
          <w14:textFill>
            <w14:solidFill>
              <w14:schemeClr w14:val="tx1"/>
            </w14:solidFill>
          </w14:textFill>
        </w:rPr>
        <w:t>水工建筑物的级别为IV</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，洪水标准按20年一遇洪水设计，100年一遇洪水校核。根据本次调洪成果，现状正常蓄水位177.50m，本次仍采用实际正常蓄水位177.5m不变，正常蓄水位相应库容为272.43×10</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经复核后，仍然采用死水位172.50m，相应死库容为8.45×10</w:t>
      </w:r>
      <w:r>
        <w:rPr>
          <w:rFonts w:hint="default" w:ascii="Times New Roman" w:hAnsi="Times New Roman" w:cs="Times New Roman" w:eastAsiaTheme="minorEastAsia"/>
          <w:color w:val="000000" w:themeColor="text1"/>
          <w:sz w:val="24"/>
          <w:highlight w:val="none"/>
          <w:vertAlign w:val="superscript"/>
          <w:lang w:val="en-US" w:eastAsia="zh-CN"/>
          <w14:textFill>
            <w14:solidFill>
              <w14:schemeClr w14:val="tx1"/>
            </w14:solidFill>
          </w14:textFill>
        </w:rPr>
        <w:t>4</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m</w:t>
      </w:r>
      <w:r>
        <w:rPr>
          <w:rFonts w:hint="default" w:ascii="Times New Roman" w:hAnsi="Times New Roman" w:cs="Times New Roman" w:eastAsiaTheme="minorEastAsia"/>
          <w:color w:val="000000" w:themeColor="text1"/>
          <w:sz w:val="24"/>
          <w:highlight w:val="none"/>
          <w:vertAlign w:val="superscript"/>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w:t>
      </w:r>
    </w:p>
    <w:p w14:paraId="6950A861">
      <w:pPr>
        <w:spacing w:line="360" w:lineRule="auto"/>
        <w:ind w:firstLine="48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t>主要</w:t>
      </w:r>
      <w:r>
        <w:rPr>
          <w:rFonts w:hint="default" w:ascii="Times New Roman" w:hAnsi="Times New Roman" w:cs="Times New Roman" w:eastAsiaTheme="minorEastAsia"/>
          <w:color w:val="000000" w:themeColor="text1"/>
          <w:sz w:val="24"/>
          <w:highlight w:val="none"/>
          <w14:textFill>
            <w14:solidFill>
              <w14:schemeClr w14:val="tx1"/>
            </w14:solidFill>
          </w14:textFill>
        </w:rPr>
        <w:t>建设内容：本次除险加固设计主要建设内容为新建溢洪道、土坝回填、新建坝顶路面、土坝增设下游护坡、泄洪输水洞闸门养护、增设路灯、渗流监测设备等。</w:t>
      </w:r>
    </w:p>
    <w:p w14:paraId="74154FFD">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84" w:name="_Toc8585"/>
      <w:r>
        <w:rPr>
          <w:rFonts w:hint="default" w:ascii="Times New Roman" w:hAnsi="Times New Roman" w:cs="Times New Roman"/>
          <w:color w:val="000000" w:themeColor="text1"/>
          <w:highlight w:val="none"/>
          <w14:textFill>
            <w14:solidFill>
              <w14:schemeClr w14:val="tx1"/>
            </w14:solidFill>
          </w14:textFill>
        </w:rPr>
        <w:t>1.2编制依据</w:t>
      </w:r>
      <w:bookmarkEnd w:id="84"/>
    </w:p>
    <w:p w14:paraId="55E586D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1、法律法规及部门规章</w:t>
      </w:r>
    </w:p>
    <w:p w14:paraId="12A6EBC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（1）《中华人民共和国环境保护法（修正）》（2015.1.1）；</w:t>
      </w:r>
    </w:p>
    <w:p w14:paraId="6F5BD3C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（2）《中华人民共和国环境影响评价法（修正）》（2018.12.29）；</w:t>
      </w:r>
    </w:p>
    <w:p w14:paraId="07F6D01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（3）《中华人民共和国水污染防治法》（2017.6.27）；</w:t>
      </w:r>
    </w:p>
    <w:p w14:paraId="513925C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（4）</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《生态环境分区管控管理暂行规定》</w:t>
      </w:r>
      <w:r>
        <w:rPr>
          <w:rFonts w:hint="eastAsia" w:ascii="Times New Roman" w:hAnsi="Times New Roman" w:cs="Times New Roman" w:eastAsiaTheme="minorEastAsia"/>
          <w:color w:val="000000" w:themeColor="text1"/>
          <w:sz w:val="24"/>
          <w:highlight w:val="none"/>
          <w14:textFill>
            <w14:solidFill>
              <w14:schemeClr w14:val="tx1"/>
            </w14:solidFill>
          </w14:textFill>
        </w:rPr>
        <w:t>环环评〔2024〕41号</w:t>
      </w:r>
    </w:p>
    <w:p w14:paraId="2E7E1BA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（5）</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《黑龙江省水污染防治条例》</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w:t>
      </w:r>
      <w:r>
        <w:rPr>
          <w:rFonts w:hint="eastAsia" w:ascii="Times New Roman" w:hAnsi="Times New Roman" w:cs="Times New Roman" w:eastAsiaTheme="minorEastAsia"/>
          <w:color w:val="000000" w:themeColor="text1"/>
          <w:sz w:val="24"/>
          <w:highlight w:val="none"/>
          <w14:textFill>
            <w14:solidFill>
              <w14:schemeClr w14:val="tx1"/>
            </w14:solidFill>
          </w14:textFill>
        </w:rPr>
        <w:t>2023年12月1日</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w:t>
      </w:r>
    </w:p>
    <w:p w14:paraId="4741B84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有关标准技术规范</w:t>
      </w:r>
    </w:p>
    <w:p w14:paraId="3A130A5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1</w:t>
      </w:r>
      <w:r>
        <w:rPr>
          <w:rFonts w:hint="eastAsia"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《建设项目环境影响评价技术导则总纲》（HJ2.1-2016）；</w:t>
      </w:r>
    </w:p>
    <w:p w14:paraId="365649C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2</w:t>
      </w:r>
      <w:r>
        <w:rPr>
          <w:rFonts w:hint="eastAsia"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《环境影响评价技术导则地表水环境》（HJ2.3-2018）；</w:t>
      </w:r>
    </w:p>
    <w:p w14:paraId="63EAC0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3</w:t>
      </w:r>
      <w:r>
        <w:rPr>
          <w:rFonts w:hint="default" w:ascii="Times New Roman" w:hAnsi="Times New Roman" w:cs="Times New Roman" w:eastAsiaTheme="minorEastAsia"/>
          <w:color w:val="000000" w:themeColor="text1"/>
          <w:sz w:val="24"/>
          <w:highlight w:val="none"/>
          <w14:textFill>
            <w14:solidFill>
              <w14:schemeClr w14:val="tx1"/>
            </w14:solidFill>
          </w14:textFill>
        </w:rPr>
        <w:t>）《环境影响评价技术导则水利水电工程》（HJ/T88-2003）；</w:t>
      </w:r>
    </w:p>
    <w:p w14:paraId="774D10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4</w:t>
      </w: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default"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t>《水利水电工程环境保护设计规范》（SL/T4922-2025）</w:t>
      </w:r>
      <w:r>
        <w:rPr>
          <w:rFonts w:hint="eastAsia" w:cs="Times New Roman" w:eastAsiaTheme="minorEastAsia"/>
          <w:color w:val="000000" w:themeColor="text1"/>
          <w:sz w:val="24"/>
          <w:highlight w:val="none"/>
          <w:lang w:eastAsia="zh-CN"/>
          <w14:textFill>
            <w14:solidFill>
              <w14:schemeClr w14:val="tx1"/>
            </w14:solidFill>
          </w14:textFill>
        </w:rPr>
        <w:t>；</w:t>
      </w:r>
    </w:p>
    <w:p w14:paraId="051308E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cs="Times New Roman"/>
          <w:snapToGrid w:val="0"/>
          <w:color w:val="000000" w:themeColor="text1"/>
          <w:kern w:val="0"/>
          <w:sz w:val="24"/>
          <w:szCs w:val="24"/>
          <w:lang w:val="en-US" w:eastAsia="zh-CN" w:bidi="ar-SA"/>
          <w14:textFill>
            <w14:solidFill>
              <w14:schemeClr w14:val="tx1"/>
            </w14:solidFill>
          </w14:textFill>
        </w:rPr>
        <w:t>（5</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《水库生态流量泄放规程》（SL/T819-2023）</w:t>
      </w:r>
    </w:p>
    <w:p w14:paraId="0A1937E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（6）</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《水利水电工程生态流量计算与泄放设计规范》（SL/T820-2023）</w:t>
      </w:r>
    </w:p>
    <w:p w14:paraId="7D6C51CF">
      <w:pPr>
        <w:pStyle w:val="5"/>
        <w:numPr>
          <w:ilvl w:val="1"/>
          <w:numId w:val="0"/>
        </w:numPr>
        <w:spacing w:line="360" w:lineRule="auto"/>
        <w:rPr>
          <w:rFonts w:hint="default" w:ascii="Times New Roman" w:hAnsi="Times New Roman" w:cs="Times New Roman"/>
          <w:color w:val="000000" w:themeColor="text1"/>
          <w:highlight w:val="none"/>
          <w14:textFill>
            <w14:solidFill>
              <w14:schemeClr w14:val="tx1"/>
            </w14:solidFill>
          </w14:textFill>
        </w:rPr>
      </w:pPr>
      <w:bookmarkStart w:id="85" w:name="_Toc9578"/>
      <w:r>
        <w:rPr>
          <w:rFonts w:hint="default" w:ascii="Times New Roman" w:hAnsi="Times New Roman" w:cs="Times New Roman"/>
          <w:color w:val="000000" w:themeColor="text1"/>
          <w:highlight w:val="none"/>
          <w14:textFill>
            <w14:solidFill>
              <w14:schemeClr w14:val="tx1"/>
            </w14:solidFill>
          </w14:textFill>
        </w:rPr>
        <w:t>1.3环境保护目标</w:t>
      </w:r>
      <w:bookmarkEnd w:id="85"/>
    </w:p>
    <w:p w14:paraId="5D5F052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评价区内无自然保护区、风景旅游区、名胜古迹以及重要的政治文化设施和水源地分布。根据本项目的特点，地表水环境保护目标是保护评价区域内的地表水环境质量不受到污染。</w:t>
      </w:r>
    </w:p>
    <w:p w14:paraId="6C8EE163">
      <w:pPr>
        <w:spacing w:line="360" w:lineRule="auto"/>
        <w:jc w:val="center"/>
        <w:rPr>
          <w:rFonts w:hint="default" w:ascii="Times New Roman" w:hAnsi="Times New Roman" w:cs="Times New Roman"/>
          <w:b/>
          <w:bCs/>
          <w:color w:val="000000" w:themeColor="text1"/>
          <w:sz w:val="24"/>
          <w:highlight w:val="none"/>
          <w14:textFill>
            <w14:solidFill>
              <w14:schemeClr w14:val="tx1"/>
            </w14:solidFill>
          </w14:textFill>
        </w:rPr>
      </w:pPr>
    </w:p>
    <w:p w14:paraId="71D8CF09">
      <w:pPr>
        <w:spacing w:line="360" w:lineRule="auto"/>
        <w:jc w:val="center"/>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表</w:t>
      </w:r>
      <w:r>
        <w:rPr>
          <w:rFonts w:hint="eastAsia" w:ascii="Times New Roman" w:hAnsi="Times New Roman" w:cs="Times New Roman"/>
          <w:b/>
          <w:bCs/>
          <w:color w:val="000000" w:themeColor="text1"/>
          <w:sz w:val="24"/>
          <w:highlight w:val="none"/>
          <w:lang w:val="en-US" w:eastAsia="zh-CN"/>
          <w14:textFill>
            <w14:solidFill>
              <w14:schemeClr w14:val="tx1"/>
            </w14:solidFill>
          </w14:textFill>
        </w:rPr>
        <w:t xml:space="preserve">1-1 </w:t>
      </w:r>
      <w:r>
        <w:rPr>
          <w:rFonts w:hint="default" w:ascii="Times New Roman" w:hAnsi="Times New Roman" w:cs="Times New Roman"/>
          <w:b/>
          <w:bCs/>
          <w:color w:val="000000" w:themeColor="text1"/>
          <w:sz w:val="24"/>
          <w:highlight w:val="none"/>
          <w14:textFill>
            <w14:solidFill>
              <w14:schemeClr w14:val="tx1"/>
            </w14:solidFill>
          </w14:textFill>
        </w:rPr>
        <w:t>地表水环境保护目标</w:t>
      </w:r>
    </w:p>
    <w:tbl>
      <w:tblPr>
        <w:tblStyle w:val="36"/>
        <w:tblW w:w="8422" w:type="dxa"/>
        <w:jc w:val="center"/>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014"/>
        <w:gridCol w:w="1764"/>
        <w:gridCol w:w="1031"/>
        <w:gridCol w:w="1743"/>
        <w:gridCol w:w="1138"/>
        <w:gridCol w:w="1732"/>
      </w:tblGrid>
      <w:tr w14:paraId="7E4B8C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34" w:hRule="atLeast"/>
          <w:jc w:val="center"/>
        </w:trPr>
        <w:tc>
          <w:tcPr>
            <w:tcW w:w="1014" w:type="dxa"/>
            <w:vAlign w:val="center"/>
          </w:tcPr>
          <w:p w14:paraId="51ADAF87">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pacing w:val="-2"/>
                <w:szCs w:val="21"/>
                <w:highlight w:val="none"/>
                <w14:textFill>
                  <w14:solidFill>
                    <w14:schemeClr w14:val="tx1"/>
                  </w14:solidFill>
                </w14:textFill>
              </w:rPr>
              <w:t>主要保护对象</w:t>
            </w:r>
          </w:p>
        </w:tc>
        <w:tc>
          <w:tcPr>
            <w:tcW w:w="1764" w:type="dxa"/>
            <w:vAlign w:val="center"/>
          </w:tcPr>
          <w:p w14:paraId="7777AEE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pacing w:val="-2"/>
                <w:szCs w:val="21"/>
                <w:highlight w:val="none"/>
                <w14:textFill>
                  <w14:solidFill>
                    <w14:schemeClr w14:val="tx1"/>
                  </w14:solidFill>
                </w14:textFill>
              </w:rPr>
              <w:t>保护内容</w:t>
            </w:r>
          </w:p>
        </w:tc>
        <w:tc>
          <w:tcPr>
            <w:tcW w:w="1031" w:type="dxa"/>
            <w:vAlign w:val="center"/>
          </w:tcPr>
          <w:p w14:paraId="6673540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pacing w:val="-3"/>
                <w:szCs w:val="21"/>
                <w:highlight w:val="none"/>
                <w14:textFill>
                  <w14:solidFill>
                    <w14:schemeClr w14:val="tx1"/>
                  </w14:solidFill>
                </w14:textFill>
              </w:rPr>
              <w:t>与工程位</w:t>
            </w:r>
            <w:r>
              <w:rPr>
                <w:rFonts w:hint="default" w:ascii="Times New Roman" w:hAnsi="Times New Roman" w:cs="Times New Roman"/>
                <w:b/>
                <w:bCs/>
                <w:color w:val="000000" w:themeColor="text1"/>
                <w:spacing w:val="-1"/>
                <w:szCs w:val="21"/>
                <w:highlight w:val="none"/>
                <w14:textFill>
                  <w14:solidFill>
                    <w14:schemeClr w14:val="tx1"/>
                  </w14:solidFill>
                </w14:textFill>
              </w:rPr>
              <w:t>置关系</w:t>
            </w:r>
          </w:p>
        </w:tc>
        <w:tc>
          <w:tcPr>
            <w:tcW w:w="1743" w:type="dxa"/>
            <w:vAlign w:val="center"/>
          </w:tcPr>
          <w:p w14:paraId="1873CA72">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pacing w:val="-2"/>
                <w:szCs w:val="21"/>
                <w:highlight w:val="none"/>
                <w14:textFill>
                  <w14:solidFill>
                    <w14:schemeClr w14:val="tx1"/>
                  </w14:solidFill>
                </w14:textFill>
              </w:rPr>
              <w:t>保护目标</w:t>
            </w:r>
          </w:p>
        </w:tc>
        <w:tc>
          <w:tcPr>
            <w:tcW w:w="1138" w:type="dxa"/>
            <w:vAlign w:val="center"/>
          </w:tcPr>
          <w:p w14:paraId="3BA5387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pacing w:val="-2"/>
                <w:szCs w:val="21"/>
                <w:highlight w:val="none"/>
                <w14:textFill>
                  <w14:solidFill>
                    <w14:schemeClr w14:val="tx1"/>
                  </w14:solidFill>
                </w14:textFill>
              </w:rPr>
              <w:t>主要保护对象</w:t>
            </w:r>
          </w:p>
        </w:tc>
        <w:tc>
          <w:tcPr>
            <w:tcW w:w="1732" w:type="dxa"/>
            <w:vAlign w:val="center"/>
          </w:tcPr>
          <w:p w14:paraId="709D0AEE">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b/>
                <w:bCs/>
                <w:color w:val="000000" w:themeColor="text1"/>
                <w:szCs w:val="21"/>
                <w:highlight w:val="none"/>
                <w14:textFill>
                  <w14:solidFill>
                    <w14:schemeClr w14:val="tx1"/>
                  </w14:solidFill>
                </w14:textFill>
              </w:rPr>
            </w:pPr>
            <w:r>
              <w:rPr>
                <w:rFonts w:hint="default" w:ascii="Times New Roman" w:hAnsi="Times New Roman" w:cs="Times New Roman"/>
                <w:b/>
                <w:bCs/>
                <w:color w:val="000000" w:themeColor="text1"/>
                <w:spacing w:val="-2"/>
                <w:szCs w:val="21"/>
                <w:highlight w:val="none"/>
                <w14:textFill>
                  <w14:solidFill>
                    <w14:schemeClr w14:val="tx1"/>
                  </w14:solidFill>
                </w14:textFill>
              </w:rPr>
              <w:t>保护内容</w:t>
            </w:r>
          </w:p>
        </w:tc>
      </w:tr>
      <w:tr w14:paraId="3C6274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39" w:hRule="atLeast"/>
          <w:jc w:val="center"/>
        </w:trPr>
        <w:tc>
          <w:tcPr>
            <w:tcW w:w="1014" w:type="dxa"/>
            <w:vAlign w:val="center"/>
          </w:tcPr>
          <w:p w14:paraId="32E08F5D">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2"/>
                <w:szCs w:val="21"/>
                <w:highlight w:val="none"/>
                <w14:textFill>
                  <w14:solidFill>
                    <w14:schemeClr w14:val="tx1"/>
                  </w14:solidFill>
                </w14:textFill>
              </w:rPr>
              <w:t>地表水</w:t>
            </w:r>
          </w:p>
          <w:p w14:paraId="7B178D61">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2"/>
                <w:szCs w:val="21"/>
                <w:highlight w:val="none"/>
                <w14:textFill>
                  <w14:solidFill>
                    <w14:schemeClr w14:val="tx1"/>
                  </w14:solidFill>
                </w14:textFill>
              </w:rPr>
              <w:t>环境</w:t>
            </w:r>
          </w:p>
        </w:tc>
        <w:tc>
          <w:tcPr>
            <w:tcW w:w="1764" w:type="dxa"/>
            <w:vAlign w:val="center"/>
          </w:tcPr>
          <w:p w14:paraId="3374FC7C">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pacing w:val="-2"/>
                <w:szCs w:val="21"/>
                <w:highlight w:val="none"/>
                <w:lang w:eastAsia="zh-CN"/>
                <w14:textFill>
                  <w14:solidFill>
                    <w14:schemeClr w14:val="tx1"/>
                  </w14:solidFill>
                </w14:textFill>
              </w:rPr>
              <w:t>青山</w:t>
            </w:r>
            <w:r>
              <w:rPr>
                <w:rFonts w:hint="default" w:ascii="Times New Roman" w:hAnsi="Times New Roman" w:cs="Times New Roman"/>
                <w:color w:val="000000" w:themeColor="text1"/>
                <w:spacing w:val="-2"/>
                <w:szCs w:val="21"/>
                <w:highlight w:val="none"/>
                <w14:textFill>
                  <w14:solidFill>
                    <w14:schemeClr w14:val="tx1"/>
                  </w14:solidFill>
                </w14:textFill>
              </w:rPr>
              <w:t>水库水质</w:t>
            </w:r>
          </w:p>
        </w:tc>
        <w:tc>
          <w:tcPr>
            <w:tcW w:w="1031" w:type="dxa"/>
            <w:vAlign w:val="center"/>
          </w:tcPr>
          <w:p w14:paraId="7CF1E633">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3"/>
                <w:szCs w:val="21"/>
                <w:highlight w:val="none"/>
                <w14:textFill>
                  <w14:solidFill>
                    <w14:schemeClr w14:val="tx1"/>
                  </w14:solidFill>
                </w14:textFill>
              </w:rPr>
              <w:t>紧邻水库</w:t>
            </w:r>
          </w:p>
        </w:tc>
        <w:tc>
          <w:tcPr>
            <w:tcW w:w="1743" w:type="dxa"/>
            <w:vAlign w:val="center"/>
          </w:tcPr>
          <w:p w14:paraId="08DC27A8">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pacing w:val="-11"/>
                <w:szCs w:val="21"/>
                <w:highlight w:val="none"/>
                <w14:textFill>
                  <w14:solidFill>
                    <w14:schemeClr w14:val="tx1"/>
                  </w14:solidFill>
                </w14:textFill>
              </w:rPr>
              <w:t>《地表水环境质量标</w:t>
            </w:r>
            <w:r>
              <w:rPr>
                <w:rFonts w:hint="default" w:ascii="Times New Roman" w:hAnsi="Times New Roman" w:cs="Times New Roman"/>
                <w:color w:val="000000" w:themeColor="text1"/>
                <w:spacing w:val="-9"/>
                <w:szCs w:val="21"/>
                <w:highlight w:val="none"/>
                <w14:textFill>
                  <w14:solidFill>
                    <w14:schemeClr w14:val="tx1"/>
                  </w14:solidFill>
                </w14:textFill>
              </w:rPr>
              <w:t>准》（GB3838-2002）</w:t>
            </w:r>
            <w:r>
              <w:rPr>
                <w:rFonts w:hint="default" w:ascii="Times New Roman" w:hAnsi="Times New Roman" w:cs="Times New Roman"/>
                <w:color w:val="000000" w:themeColor="text1"/>
                <w:spacing w:val="-2"/>
                <w:szCs w:val="21"/>
                <w:highlight w:val="none"/>
                <w14:textFill>
                  <w14:solidFill>
                    <w14:schemeClr w14:val="tx1"/>
                  </w14:solidFill>
                </w14:textFill>
              </w:rPr>
              <w:t>Ⅲ类</w:t>
            </w:r>
          </w:p>
        </w:tc>
        <w:tc>
          <w:tcPr>
            <w:tcW w:w="1138" w:type="dxa"/>
            <w:vAlign w:val="center"/>
          </w:tcPr>
          <w:p w14:paraId="218F2FA6">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eastAsia" w:ascii="Times New Roman" w:hAnsi="Times New Roman" w:cs="Times New Roman"/>
                <w:color w:val="000000" w:themeColor="text1"/>
                <w:szCs w:val="21"/>
                <w:highlight w:val="none"/>
                <w:lang w:eastAsia="zh-CN"/>
                <w14:textFill>
                  <w14:solidFill>
                    <w14:schemeClr w14:val="tx1"/>
                  </w14:solidFill>
                </w14:textFill>
              </w:rPr>
              <w:t>地表水环境</w:t>
            </w:r>
          </w:p>
        </w:tc>
        <w:tc>
          <w:tcPr>
            <w:tcW w:w="1732" w:type="dxa"/>
            <w:vAlign w:val="center"/>
          </w:tcPr>
          <w:p w14:paraId="6A6770CB">
            <w:pPr>
              <w:keepNext w:val="0"/>
              <w:keepLines w:val="0"/>
              <w:pageBreakBefore w:val="0"/>
              <w:widowControl w:val="0"/>
              <w:kinsoku/>
              <w:wordWrap/>
              <w:overflowPunct/>
              <w:topLinePunct w:val="0"/>
              <w:autoSpaceDE/>
              <w:autoSpaceDN/>
              <w:bidi w:val="0"/>
              <w:adjustRightInd/>
              <w:snapToGrid/>
              <w:spacing w:line="240" w:lineRule="auto"/>
              <w:ind w:left="0" w:right="0" w:firstLine="0"/>
              <w:jc w:val="center"/>
              <w:textAlignment w:val="auto"/>
              <w:rPr>
                <w:rFonts w:hint="default" w:ascii="Times New Roman" w:hAnsi="Times New Roman" w:cs="Times New Roman"/>
                <w:color w:val="000000" w:themeColor="text1"/>
                <w:szCs w:val="21"/>
                <w:highlight w:val="none"/>
                <w14:textFill>
                  <w14:solidFill>
                    <w14:schemeClr w14:val="tx1"/>
                  </w14:solidFill>
                </w14:textFill>
              </w:rPr>
            </w:pPr>
            <w:r>
              <w:rPr>
                <w:rFonts w:hint="eastAsia" w:ascii="Times New Roman" w:hAnsi="Times New Roman" w:cs="Times New Roman"/>
                <w:color w:val="000000" w:themeColor="text1"/>
                <w:spacing w:val="-2"/>
                <w:szCs w:val="21"/>
                <w:highlight w:val="none"/>
                <w:lang w:eastAsia="zh-CN"/>
                <w14:textFill>
                  <w14:solidFill>
                    <w14:schemeClr w14:val="tx1"/>
                  </w14:solidFill>
                </w14:textFill>
              </w:rPr>
              <w:t>青山</w:t>
            </w:r>
            <w:r>
              <w:rPr>
                <w:rFonts w:hint="default" w:ascii="Times New Roman" w:hAnsi="Times New Roman" w:cs="Times New Roman"/>
                <w:color w:val="000000" w:themeColor="text1"/>
                <w:spacing w:val="-2"/>
                <w:szCs w:val="21"/>
                <w:highlight w:val="none"/>
                <w14:textFill>
                  <w14:solidFill>
                    <w14:schemeClr w14:val="tx1"/>
                  </w14:solidFill>
                </w14:textFill>
              </w:rPr>
              <w:t>水库水质</w:t>
            </w:r>
          </w:p>
        </w:tc>
      </w:tr>
    </w:tbl>
    <w:p w14:paraId="62FA17B7">
      <w:pPr>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sz w:val="24"/>
          <w:szCs w:val="32"/>
          <w:highlight w:val="none"/>
          <w14:textFill>
            <w14:solidFill>
              <w14:schemeClr w14:val="tx1"/>
            </w14:solidFill>
          </w14:textFill>
        </w:rPr>
        <w:t>表</w:t>
      </w:r>
      <w:r>
        <w:rPr>
          <w:rFonts w:hint="eastAsia" w:cs="Times New Roman"/>
          <w:b/>
          <w:bCs/>
          <w:color w:val="000000" w:themeColor="text1"/>
          <w:sz w:val="24"/>
          <w:szCs w:val="32"/>
          <w:highlight w:val="none"/>
          <w:lang w:val="en-US" w:eastAsia="zh-CN"/>
          <w14:textFill>
            <w14:solidFill>
              <w14:schemeClr w14:val="tx1"/>
            </w14:solidFill>
          </w14:textFill>
        </w:rPr>
        <w:t>1-2生态环境</w:t>
      </w:r>
      <w:r>
        <w:rPr>
          <w:rFonts w:hint="default" w:ascii="Times New Roman" w:hAnsi="Times New Roman" w:cs="Times New Roman"/>
          <w:b/>
          <w:bCs/>
          <w:color w:val="000000" w:themeColor="text1"/>
          <w:sz w:val="24"/>
          <w:highlight w:val="none"/>
          <w14:textFill>
            <w14:solidFill>
              <w14:schemeClr w14:val="tx1"/>
            </w14:solidFill>
          </w14:textFill>
        </w:rPr>
        <w:t>保护目标</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5"/>
        <w:gridCol w:w="2093"/>
        <w:gridCol w:w="1360"/>
        <w:gridCol w:w="1779"/>
        <w:gridCol w:w="2100"/>
      </w:tblGrid>
      <w:tr w14:paraId="39F87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95" w:type="dxa"/>
            <w:noWrap w:val="0"/>
            <w:vAlign w:val="center"/>
          </w:tcPr>
          <w:p w14:paraId="0E0C4AA9">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环境因子</w:t>
            </w:r>
          </w:p>
        </w:tc>
        <w:tc>
          <w:tcPr>
            <w:tcW w:w="2093" w:type="dxa"/>
            <w:noWrap w:val="0"/>
            <w:vAlign w:val="center"/>
          </w:tcPr>
          <w:p w14:paraId="3F80CC1F">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敏感点名称</w:t>
            </w:r>
          </w:p>
        </w:tc>
        <w:tc>
          <w:tcPr>
            <w:tcW w:w="1360" w:type="dxa"/>
            <w:noWrap w:val="0"/>
            <w:vAlign w:val="center"/>
          </w:tcPr>
          <w:p w14:paraId="20FD37F7">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保护内容</w:t>
            </w:r>
          </w:p>
        </w:tc>
        <w:tc>
          <w:tcPr>
            <w:tcW w:w="1779" w:type="dxa"/>
            <w:noWrap w:val="0"/>
            <w:vAlign w:val="center"/>
          </w:tcPr>
          <w:p w14:paraId="054B155D">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与工程的位置及距离</w:t>
            </w:r>
          </w:p>
        </w:tc>
        <w:tc>
          <w:tcPr>
            <w:tcW w:w="2100" w:type="dxa"/>
            <w:noWrap w:val="0"/>
            <w:vAlign w:val="center"/>
          </w:tcPr>
          <w:p w14:paraId="0CCBE4C2">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保护目标</w:t>
            </w:r>
          </w:p>
        </w:tc>
      </w:tr>
      <w:tr w14:paraId="48B053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095" w:type="dxa"/>
            <w:noWrap w:val="0"/>
            <w:vAlign w:val="center"/>
          </w:tcPr>
          <w:p w14:paraId="7BD157EF">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cs="Times New Roman"/>
                <w:color w:val="000000" w:themeColor="text1"/>
                <w:sz w:val="21"/>
                <w:szCs w:val="21"/>
                <w:highlight w:val="none"/>
                <w:lang w:val="en-US" w:eastAsia="zh-CN"/>
                <w14:textFill>
                  <w14:solidFill>
                    <w14:schemeClr w14:val="tx1"/>
                  </w14:solidFill>
                </w14:textFill>
              </w:rPr>
              <w:t>生态环境</w:t>
            </w:r>
          </w:p>
        </w:tc>
        <w:tc>
          <w:tcPr>
            <w:tcW w:w="2093" w:type="dxa"/>
            <w:noWrap w:val="0"/>
            <w:vAlign w:val="center"/>
          </w:tcPr>
          <w:p w14:paraId="1C0578E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陆生动植物、水生生物、鱼类资源</w:t>
            </w:r>
          </w:p>
        </w:tc>
        <w:tc>
          <w:tcPr>
            <w:tcW w:w="1360" w:type="dxa"/>
            <w:noWrap w:val="0"/>
            <w:vAlign w:val="center"/>
          </w:tcPr>
          <w:p w14:paraId="26691B69">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保护陆生生态和水生生态的完整性</w:t>
            </w:r>
          </w:p>
        </w:tc>
        <w:tc>
          <w:tcPr>
            <w:tcW w:w="1779" w:type="dxa"/>
            <w:noWrap w:val="0"/>
            <w:vAlign w:val="center"/>
          </w:tcPr>
          <w:p w14:paraId="0673DCC2">
            <w:pPr>
              <w:adjustRightInd w:val="0"/>
              <w:snapToGrid w:val="0"/>
              <w:spacing w:line="240" w:lineRule="auto"/>
              <w:jc w:val="center"/>
              <w:rPr>
                <w:rFonts w:hint="default" w:ascii="Times New Roman" w:hAnsi="Times New Roman" w:cs="Times New Roman" w:eastAsiaTheme="minorEastAsia"/>
                <w:color w:val="000000" w:themeColor="text1"/>
                <w:sz w:val="21"/>
                <w:szCs w:val="21"/>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施工影响</w:t>
            </w:r>
            <w:r>
              <w:rPr>
                <w:rFonts w:hint="default" w:ascii="Times New Roman" w:hAnsi="Times New Roman" w:cs="Times New Roman" w:eastAsiaTheme="minorEastAsia"/>
                <w:color w:val="000000" w:themeColor="text1"/>
                <w:sz w:val="21"/>
                <w:szCs w:val="21"/>
                <w:highlight w:val="none"/>
                <w:lang w:eastAsia="zh-CN"/>
                <w14:textFill>
                  <w14:solidFill>
                    <w14:schemeClr w14:val="tx1"/>
                  </w14:solidFill>
                </w14:textFill>
              </w:rPr>
              <w:t>区域</w:t>
            </w:r>
          </w:p>
        </w:tc>
        <w:tc>
          <w:tcPr>
            <w:tcW w:w="2100" w:type="dxa"/>
            <w:noWrap w:val="0"/>
            <w:vAlign w:val="center"/>
          </w:tcPr>
          <w:p w14:paraId="45C9BE60">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保护物种多样性、生境，维持生态系统的完整性与稳定性</w:t>
            </w:r>
          </w:p>
        </w:tc>
      </w:tr>
    </w:tbl>
    <w:p w14:paraId="7B6AC6B7">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86" w:name="_Toc952"/>
      <w:r>
        <w:rPr>
          <w:rFonts w:hint="default" w:ascii="Times New Roman" w:hAnsi="Times New Roman" w:cs="Times New Roman"/>
          <w:color w:val="000000" w:themeColor="text1"/>
          <w:highlight w:val="none"/>
          <w14:textFill>
            <w14:solidFill>
              <w14:schemeClr w14:val="tx1"/>
            </w14:solidFill>
          </w14:textFill>
        </w:rPr>
        <w:t>1.4评价等级及评价范围</w:t>
      </w:r>
      <w:bookmarkEnd w:id="86"/>
    </w:p>
    <w:p w14:paraId="47B43726">
      <w:pPr>
        <w:pStyle w:val="6"/>
        <w:numPr>
          <w:ilvl w:val="2"/>
          <w:numId w:val="0"/>
        </w:num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1.4.1评价工作等级</w:t>
      </w:r>
    </w:p>
    <w:p w14:paraId="223EA126">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根据《环境影响评价技术导则地表水环境》（HJ2.3-2018），建设项目的地表水环境影响主要包括水污染影响与水文要素影响，本工程属于水污染影响及水文要素影响类兼有的复合影响型项目。</w:t>
      </w:r>
    </w:p>
    <w:p w14:paraId="2E169ED2">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（1）水污染影响型建设项目评价等级确定</w:t>
      </w:r>
    </w:p>
    <w:p w14:paraId="3573380D">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根据《环境影响评价技术导则地表水环境》（HJ2.3-2018）相关规定，建设项目地表水环境影响评价等级按照影响类型、排放方式、排放量或影响情况、受纳水体环境质量现状、水环境保护目标等综合确定。水污染影响型建设项目根据排放方式和废水排放量划分评价等级。</w:t>
      </w:r>
    </w:p>
    <w:p w14:paraId="750AE0FA">
      <w:pPr>
        <w:spacing w:line="360" w:lineRule="auto"/>
        <w:jc w:val="center"/>
        <w:rPr>
          <w:rFonts w:hint="default" w:ascii="Times New Roman" w:hAnsi="Times New Roman" w:cs="Times New Roman"/>
          <w:b/>
          <w:bCs/>
          <w:color w:val="000000" w:themeColor="text1"/>
          <w:sz w:val="24"/>
          <w:highlight w:val="none"/>
          <w14:textFill>
            <w14:solidFill>
              <w14:schemeClr w14:val="tx1"/>
            </w14:solidFill>
          </w14:textFill>
        </w:rPr>
      </w:pPr>
      <w:bookmarkStart w:id="87" w:name="_Ref107751402"/>
      <w:r>
        <w:rPr>
          <w:rFonts w:hint="default" w:ascii="Times New Roman" w:hAnsi="Times New Roman" w:cs="Times New Roman"/>
          <w:b/>
          <w:bCs/>
          <w:color w:val="000000" w:themeColor="text1"/>
          <w:sz w:val="24"/>
          <w:highlight w:val="none"/>
          <w14:textFill>
            <w14:solidFill>
              <w14:schemeClr w14:val="tx1"/>
            </w14:solidFill>
          </w14:textFill>
        </w:rPr>
        <w:t>表</w:t>
      </w:r>
      <w:bookmarkEnd w:id="87"/>
      <w:r>
        <w:rPr>
          <w:rFonts w:hint="eastAsia" w:ascii="Times New Roman" w:hAnsi="Times New Roman" w:cs="Times New Roman"/>
          <w:b/>
          <w:bCs/>
          <w:color w:val="000000" w:themeColor="text1"/>
          <w:sz w:val="24"/>
          <w:highlight w:val="none"/>
          <w:lang w:val="en-US" w:eastAsia="zh-CN"/>
          <w14:textFill>
            <w14:solidFill>
              <w14:schemeClr w14:val="tx1"/>
            </w14:solidFill>
          </w14:textFill>
        </w:rPr>
        <w:t>1-2</w:t>
      </w:r>
      <w:r>
        <w:rPr>
          <w:rFonts w:hint="default" w:ascii="Times New Roman" w:hAnsi="Times New Roman" w:cs="Times New Roman"/>
          <w:b/>
          <w:bCs/>
          <w:color w:val="000000" w:themeColor="text1"/>
          <w:sz w:val="24"/>
          <w:highlight w:val="none"/>
          <w14:textFill>
            <w14:solidFill>
              <w14:schemeClr w14:val="tx1"/>
            </w14:solidFill>
          </w14:textFill>
        </w:rPr>
        <w:t>水污染型评价等级判定表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55"/>
        <w:gridCol w:w="1614"/>
        <w:gridCol w:w="4653"/>
      </w:tblGrid>
      <w:tr w14:paraId="3A128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vMerge w:val="restart"/>
            <w:vAlign w:val="center"/>
          </w:tcPr>
          <w:p w14:paraId="4E43C339">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评价工作等级</w:t>
            </w:r>
          </w:p>
        </w:tc>
        <w:tc>
          <w:tcPr>
            <w:tcW w:w="3677" w:type="pct"/>
            <w:gridSpan w:val="2"/>
            <w:vAlign w:val="center"/>
          </w:tcPr>
          <w:p w14:paraId="29CFC64A">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评价工作分级判据</w:t>
            </w:r>
          </w:p>
        </w:tc>
      </w:tr>
      <w:tr w14:paraId="780A0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vMerge w:val="continue"/>
            <w:vAlign w:val="center"/>
          </w:tcPr>
          <w:p w14:paraId="0455C164">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p>
        </w:tc>
        <w:tc>
          <w:tcPr>
            <w:tcW w:w="947" w:type="pct"/>
            <w:vAlign w:val="center"/>
          </w:tcPr>
          <w:p w14:paraId="7AD427E2">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排放方式</w:t>
            </w:r>
          </w:p>
        </w:tc>
        <w:tc>
          <w:tcPr>
            <w:tcW w:w="2730" w:type="pct"/>
            <w:vAlign w:val="center"/>
          </w:tcPr>
          <w:p w14:paraId="36FA703D">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废水排放量Q/（m</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3</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/d）；</w:t>
            </w:r>
          </w:p>
          <w:p w14:paraId="0BDBD428">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水污染物当量数W/（无量纲）</w:t>
            </w:r>
          </w:p>
        </w:tc>
      </w:tr>
      <w:tr w14:paraId="395A03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vAlign w:val="center"/>
          </w:tcPr>
          <w:p w14:paraId="3E8CD537">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一级</w:t>
            </w:r>
          </w:p>
        </w:tc>
        <w:tc>
          <w:tcPr>
            <w:tcW w:w="947" w:type="pct"/>
            <w:vAlign w:val="center"/>
          </w:tcPr>
          <w:p w14:paraId="18F5A530">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直接排放</w:t>
            </w:r>
          </w:p>
        </w:tc>
        <w:tc>
          <w:tcPr>
            <w:tcW w:w="2730" w:type="pct"/>
            <w:vAlign w:val="center"/>
          </w:tcPr>
          <w:p w14:paraId="71709F3C">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Q≥20000或W≥600000</w:t>
            </w:r>
          </w:p>
        </w:tc>
      </w:tr>
      <w:tr w14:paraId="1B49C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vAlign w:val="center"/>
          </w:tcPr>
          <w:p w14:paraId="03A311F1">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二级</w:t>
            </w:r>
          </w:p>
        </w:tc>
        <w:tc>
          <w:tcPr>
            <w:tcW w:w="947" w:type="pct"/>
            <w:vAlign w:val="center"/>
          </w:tcPr>
          <w:p w14:paraId="6E76DA36">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直接排放</w:t>
            </w:r>
          </w:p>
        </w:tc>
        <w:tc>
          <w:tcPr>
            <w:tcW w:w="2730" w:type="pct"/>
            <w:vAlign w:val="center"/>
          </w:tcPr>
          <w:p w14:paraId="76A97495">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其他</w:t>
            </w:r>
          </w:p>
        </w:tc>
      </w:tr>
      <w:tr w14:paraId="6549D8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vAlign w:val="center"/>
          </w:tcPr>
          <w:p w14:paraId="409AC709">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三级A</w:t>
            </w:r>
          </w:p>
        </w:tc>
        <w:tc>
          <w:tcPr>
            <w:tcW w:w="947" w:type="pct"/>
            <w:vAlign w:val="center"/>
          </w:tcPr>
          <w:p w14:paraId="683708BE">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直接排放</w:t>
            </w:r>
          </w:p>
        </w:tc>
        <w:tc>
          <w:tcPr>
            <w:tcW w:w="2730" w:type="pct"/>
            <w:vAlign w:val="center"/>
          </w:tcPr>
          <w:p w14:paraId="2D796957">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Q＜200且W＜6000</w:t>
            </w:r>
          </w:p>
        </w:tc>
      </w:tr>
      <w:tr w14:paraId="2BA3B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23" w:type="pct"/>
            <w:vAlign w:val="center"/>
          </w:tcPr>
          <w:p w14:paraId="521A6678">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三级B</w:t>
            </w:r>
          </w:p>
        </w:tc>
        <w:tc>
          <w:tcPr>
            <w:tcW w:w="947" w:type="pct"/>
            <w:vAlign w:val="center"/>
          </w:tcPr>
          <w:p w14:paraId="0516A2EE">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间接排放</w:t>
            </w:r>
          </w:p>
        </w:tc>
        <w:tc>
          <w:tcPr>
            <w:tcW w:w="2730" w:type="pct"/>
            <w:vAlign w:val="center"/>
          </w:tcPr>
          <w:p w14:paraId="29E6C131">
            <w:pPr>
              <w:pStyle w:val="35"/>
              <w:jc w:val="center"/>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w:t>
            </w:r>
          </w:p>
        </w:tc>
      </w:tr>
    </w:tbl>
    <w:p w14:paraId="79248574">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本项目施工期生产废水和生活污水均收集处理不外排，运行期生活污水不外排。依据《环境影响评价技术导则地表水环境》（HJ2.3-2018），水污染型评价工作等级为三级B。</w:t>
      </w:r>
    </w:p>
    <w:p w14:paraId="4C618085">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（2）水文要素影响型建设项目评价等级确定</w:t>
      </w:r>
    </w:p>
    <w:p w14:paraId="3A2D4EE9">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水文要素影响型建设项目评价等级划分根据水温、径流与受影响地表水域等三类水文要素的影响程度判定。</w:t>
      </w:r>
    </w:p>
    <w:p w14:paraId="235F9148">
      <w:pPr>
        <w:spacing w:line="360" w:lineRule="auto"/>
        <w:jc w:val="center"/>
        <w:rPr>
          <w:rFonts w:hint="default" w:ascii="Times New Roman" w:hAnsi="Times New Roman" w:cs="Times New Roman"/>
          <w:b/>
          <w:bCs/>
          <w:color w:val="000000" w:themeColor="text1"/>
          <w:sz w:val="24"/>
          <w:highlight w:val="none"/>
          <w14:textFill>
            <w14:solidFill>
              <w14:schemeClr w14:val="tx1"/>
            </w14:solidFill>
          </w14:textFill>
        </w:rPr>
      </w:pPr>
      <w:bookmarkStart w:id="88" w:name="_Ref107752110"/>
      <w:r>
        <w:rPr>
          <w:rFonts w:hint="default" w:ascii="Times New Roman" w:hAnsi="Times New Roman" w:cs="Times New Roman"/>
          <w:b/>
          <w:bCs/>
          <w:color w:val="000000" w:themeColor="text1"/>
          <w:sz w:val="24"/>
          <w:highlight w:val="none"/>
          <w14:textFill>
            <w14:solidFill>
              <w14:schemeClr w14:val="tx1"/>
            </w14:solidFill>
          </w14:textFill>
        </w:rPr>
        <w:t>表</w:t>
      </w:r>
      <w:bookmarkEnd w:id="88"/>
      <w:r>
        <w:rPr>
          <w:rFonts w:hint="eastAsia" w:ascii="Times New Roman" w:hAnsi="Times New Roman" w:cs="Times New Roman"/>
          <w:b/>
          <w:bCs/>
          <w:color w:val="000000" w:themeColor="text1"/>
          <w:sz w:val="24"/>
          <w:highlight w:val="none"/>
          <w:lang w:val="en-US" w:eastAsia="zh-CN"/>
          <w14:textFill>
            <w14:solidFill>
              <w14:schemeClr w14:val="tx1"/>
            </w14:solidFill>
          </w14:textFill>
        </w:rPr>
        <w:t>1-3</w:t>
      </w:r>
      <w:r>
        <w:rPr>
          <w:rFonts w:hint="default" w:ascii="Times New Roman" w:hAnsi="Times New Roman" w:cs="Times New Roman"/>
          <w:b/>
          <w:bCs/>
          <w:color w:val="000000" w:themeColor="text1"/>
          <w:sz w:val="24"/>
          <w:highlight w:val="none"/>
          <w14:textFill>
            <w14:solidFill>
              <w14:schemeClr w14:val="tx1"/>
            </w14:solidFill>
          </w14:textFill>
        </w:rPr>
        <w:t>水文要素影响型建设项目评价等级判定</w:t>
      </w:r>
    </w:p>
    <w:tbl>
      <w:tblPr>
        <w:tblStyle w:val="22"/>
        <w:tblW w:w="852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2"/>
        <w:gridCol w:w="1139"/>
        <w:gridCol w:w="1091"/>
        <w:gridCol w:w="978"/>
        <w:gridCol w:w="1451"/>
        <w:gridCol w:w="1256"/>
        <w:gridCol w:w="2041"/>
      </w:tblGrid>
      <w:tr w14:paraId="50F8E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Merge w:val="restart"/>
            <w:vAlign w:val="center"/>
          </w:tcPr>
          <w:p w14:paraId="671E6CC0">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评价等级</w:t>
            </w:r>
          </w:p>
        </w:tc>
        <w:tc>
          <w:tcPr>
            <w:tcW w:w="1139" w:type="dxa"/>
            <w:vAlign w:val="center"/>
          </w:tcPr>
          <w:p w14:paraId="4EEA8769">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水温</w:t>
            </w:r>
          </w:p>
        </w:tc>
        <w:tc>
          <w:tcPr>
            <w:tcW w:w="2069" w:type="dxa"/>
            <w:gridSpan w:val="2"/>
            <w:vAlign w:val="center"/>
          </w:tcPr>
          <w:p w14:paraId="153F9573">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径流</w:t>
            </w:r>
          </w:p>
        </w:tc>
        <w:tc>
          <w:tcPr>
            <w:tcW w:w="4748" w:type="dxa"/>
            <w:gridSpan w:val="3"/>
            <w:vAlign w:val="center"/>
          </w:tcPr>
          <w:p w14:paraId="42D85E21">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受影响地表水域</w:t>
            </w:r>
          </w:p>
        </w:tc>
      </w:tr>
      <w:tr w14:paraId="61BD98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Merge w:val="continue"/>
            <w:vAlign w:val="center"/>
          </w:tcPr>
          <w:p w14:paraId="33D0286C">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p>
        </w:tc>
        <w:tc>
          <w:tcPr>
            <w:tcW w:w="1139" w:type="dxa"/>
            <w:vMerge w:val="restart"/>
            <w:vAlign w:val="center"/>
          </w:tcPr>
          <w:p w14:paraId="309C9C34">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年径流量与总库容百分比α/%</w:t>
            </w:r>
          </w:p>
        </w:tc>
        <w:tc>
          <w:tcPr>
            <w:tcW w:w="1091" w:type="dxa"/>
            <w:vMerge w:val="restart"/>
            <w:vAlign w:val="center"/>
          </w:tcPr>
          <w:p w14:paraId="42FCEA7E">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兴利库容与年径流量百</w:t>
            </w:r>
          </w:p>
          <w:p w14:paraId="43921736">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分比β/%</w:t>
            </w:r>
          </w:p>
        </w:tc>
        <w:tc>
          <w:tcPr>
            <w:tcW w:w="978" w:type="dxa"/>
            <w:vMerge w:val="restart"/>
            <w:vAlign w:val="center"/>
          </w:tcPr>
          <w:p w14:paraId="39259460">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取水量占多年平均径流量百分比γ/%</w:t>
            </w:r>
          </w:p>
        </w:tc>
        <w:tc>
          <w:tcPr>
            <w:tcW w:w="2707" w:type="dxa"/>
            <w:gridSpan w:val="2"/>
            <w:vAlign w:val="center"/>
          </w:tcPr>
          <w:p w14:paraId="19B65145">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工程垂直投影面积及外扩范围A</w:t>
            </w:r>
            <w:r>
              <w:rPr>
                <w:rFonts w:hint="default" w:ascii="Times New Roman" w:hAnsi="Times New Roman" w:cs="Times New Roman" w:eastAsiaTheme="minorEastAsia"/>
                <w:color w:val="000000" w:themeColor="text1"/>
                <w:sz w:val="21"/>
                <w:szCs w:val="21"/>
                <w:highlight w:val="none"/>
                <w:vertAlign w:val="subscript"/>
                <w14:textFill>
                  <w14:solidFill>
                    <w14:schemeClr w14:val="tx1"/>
                  </w14:solidFill>
                </w14:textFill>
              </w:rPr>
              <w:t>1</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/km</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2</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；工程扰动水底面积A</w:t>
            </w:r>
            <w:r>
              <w:rPr>
                <w:rFonts w:hint="default" w:ascii="Times New Roman" w:hAnsi="Times New Roman" w:cs="Times New Roman" w:eastAsiaTheme="minorEastAsia"/>
                <w:color w:val="000000" w:themeColor="text1"/>
                <w:sz w:val="21"/>
                <w:szCs w:val="21"/>
                <w:highlight w:val="none"/>
                <w:vertAlign w:val="subscript"/>
                <w14:textFill>
                  <w14:solidFill>
                    <w14:schemeClr w14:val="tx1"/>
                  </w14:solidFill>
                </w14:textFill>
              </w:rPr>
              <w:t>2</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/km</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2</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；过水断面宽度占用比例或占用水域面积比例R/%</w:t>
            </w:r>
          </w:p>
        </w:tc>
        <w:tc>
          <w:tcPr>
            <w:tcW w:w="2041" w:type="dxa"/>
            <w:vAlign w:val="center"/>
          </w:tcPr>
          <w:p w14:paraId="13CDEC30">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工程垂直投影面积及外扩范围A</w:t>
            </w:r>
            <w:r>
              <w:rPr>
                <w:rFonts w:hint="default" w:ascii="Times New Roman" w:hAnsi="Times New Roman" w:cs="Times New Roman" w:eastAsiaTheme="minorEastAsia"/>
                <w:color w:val="000000" w:themeColor="text1"/>
                <w:sz w:val="21"/>
                <w:szCs w:val="21"/>
                <w:highlight w:val="none"/>
                <w:vertAlign w:val="subscript"/>
                <w14:textFill>
                  <w14:solidFill>
                    <w14:schemeClr w14:val="tx1"/>
                  </w14:solidFill>
                </w14:textFill>
              </w:rPr>
              <w:t>1</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/km</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2</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；工程扰动水底面积A</w:t>
            </w:r>
            <w:r>
              <w:rPr>
                <w:rFonts w:hint="default" w:ascii="Times New Roman" w:hAnsi="Times New Roman" w:cs="Times New Roman" w:eastAsiaTheme="minorEastAsia"/>
                <w:color w:val="000000" w:themeColor="text1"/>
                <w:sz w:val="21"/>
                <w:szCs w:val="21"/>
                <w:highlight w:val="none"/>
                <w:vertAlign w:val="subscript"/>
                <w14:textFill>
                  <w14:solidFill>
                    <w14:schemeClr w14:val="tx1"/>
                  </w14:solidFill>
                </w14:textFill>
              </w:rPr>
              <w:t>2</w:t>
            </w: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/km</w:t>
            </w:r>
            <w:r>
              <w:rPr>
                <w:rFonts w:hint="default" w:ascii="Times New Roman" w:hAnsi="Times New Roman" w:cs="Times New Roman" w:eastAsiaTheme="minorEastAsia"/>
                <w:color w:val="000000" w:themeColor="text1"/>
                <w:sz w:val="21"/>
                <w:szCs w:val="21"/>
                <w:highlight w:val="none"/>
                <w:vertAlign w:val="superscript"/>
                <w14:textFill>
                  <w14:solidFill>
                    <w14:schemeClr w14:val="tx1"/>
                  </w14:solidFill>
                </w14:textFill>
              </w:rPr>
              <w:t>2</w:t>
            </w:r>
          </w:p>
        </w:tc>
      </w:tr>
      <w:tr w14:paraId="668FC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Merge w:val="continue"/>
            <w:vAlign w:val="center"/>
          </w:tcPr>
          <w:p w14:paraId="035EAB27">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p>
        </w:tc>
        <w:tc>
          <w:tcPr>
            <w:tcW w:w="1139" w:type="dxa"/>
            <w:vMerge w:val="continue"/>
            <w:vAlign w:val="center"/>
          </w:tcPr>
          <w:p w14:paraId="7AB80B7C">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p>
        </w:tc>
        <w:tc>
          <w:tcPr>
            <w:tcW w:w="1091" w:type="dxa"/>
            <w:vMerge w:val="continue"/>
            <w:vAlign w:val="center"/>
          </w:tcPr>
          <w:p w14:paraId="643E23AE">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p>
        </w:tc>
        <w:tc>
          <w:tcPr>
            <w:tcW w:w="978" w:type="dxa"/>
            <w:vMerge w:val="continue"/>
            <w:vAlign w:val="center"/>
          </w:tcPr>
          <w:p w14:paraId="0936BFD8">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p>
        </w:tc>
        <w:tc>
          <w:tcPr>
            <w:tcW w:w="1451" w:type="dxa"/>
            <w:vAlign w:val="center"/>
          </w:tcPr>
          <w:p w14:paraId="65BA5E9A">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河流</w:t>
            </w:r>
          </w:p>
        </w:tc>
        <w:tc>
          <w:tcPr>
            <w:tcW w:w="1256" w:type="dxa"/>
            <w:vAlign w:val="center"/>
          </w:tcPr>
          <w:p w14:paraId="6960661D">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湖库</w:t>
            </w:r>
          </w:p>
        </w:tc>
        <w:tc>
          <w:tcPr>
            <w:tcW w:w="2041" w:type="dxa"/>
            <w:vAlign w:val="center"/>
          </w:tcPr>
          <w:p w14:paraId="68977B2B">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入海河口、近岸海域</w:t>
            </w:r>
          </w:p>
        </w:tc>
      </w:tr>
      <w:tr w14:paraId="66C419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Align w:val="center"/>
          </w:tcPr>
          <w:p w14:paraId="5AFCE317">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一级</w:t>
            </w:r>
          </w:p>
        </w:tc>
        <w:tc>
          <w:tcPr>
            <w:tcW w:w="1139" w:type="dxa"/>
            <w:vAlign w:val="center"/>
          </w:tcPr>
          <w:p w14:paraId="3105F43F">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α≤10；或稳定分层</w:t>
            </w:r>
          </w:p>
        </w:tc>
        <w:tc>
          <w:tcPr>
            <w:tcW w:w="1091" w:type="dxa"/>
            <w:vAlign w:val="center"/>
          </w:tcPr>
          <w:p w14:paraId="27F8B110">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β≥20；或完全年调节与多年调节</w:t>
            </w:r>
          </w:p>
        </w:tc>
        <w:tc>
          <w:tcPr>
            <w:tcW w:w="978" w:type="dxa"/>
            <w:vAlign w:val="center"/>
          </w:tcPr>
          <w:p w14:paraId="3DC79C0B">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γ≥30</w:t>
            </w:r>
          </w:p>
        </w:tc>
        <w:tc>
          <w:tcPr>
            <w:tcW w:w="1451" w:type="dxa"/>
            <w:vAlign w:val="center"/>
          </w:tcPr>
          <w:p w14:paraId="6067058F">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A1≥0.3；或A2≥1.5；或R≥10</w:t>
            </w:r>
          </w:p>
        </w:tc>
        <w:tc>
          <w:tcPr>
            <w:tcW w:w="1256" w:type="dxa"/>
            <w:vAlign w:val="center"/>
          </w:tcPr>
          <w:p w14:paraId="0F086492">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A1≥0.3；或A2≥1.5；或R≥20</w:t>
            </w:r>
          </w:p>
        </w:tc>
        <w:tc>
          <w:tcPr>
            <w:tcW w:w="2041" w:type="dxa"/>
            <w:vAlign w:val="center"/>
          </w:tcPr>
          <w:p w14:paraId="1B28AF5D">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A1≥0.5；或A2≥3</w:t>
            </w:r>
          </w:p>
        </w:tc>
      </w:tr>
      <w:tr w14:paraId="44135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Align w:val="center"/>
          </w:tcPr>
          <w:p w14:paraId="7E253E86">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二级</w:t>
            </w:r>
          </w:p>
        </w:tc>
        <w:tc>
          <w:tcPr>
            <w:tcW w:w="1139" w:type="dxa"/>
            <w:vAlign w:val="center"/>
          </w:tcPr>
          <w:p w14:paraId="4B346C22">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20&gt;α&gt;10；或不稳定分层</w:t>
            </w:r>
          </w:p>
        </w:tc>
        <w:tc>
          <w:tcPr>
            <w:tcW w:w="1091" w:type="dxa"/>
            <w:vAlign w:val="center"/>
          </w:tcPr>
          <w:p w14:paraId="4B081F14">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20&gt;β&gt;2；或季调节与不完全年调节</w:t>
            </w:r>
          </w:p>
        </w:tc>
        <w:tc>
          <w:tcPr>
            <w:tcW w:w="978" w:type="dxa"/>
            <w:vAlign w:val="center"/>
          </w:tcPr>
          <w:p w14:paraId="745241AD">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30&gt;γ&gt;10</w:t>
            </w:r>
          </w:p>
        </w:tc>
        <w:tc>
          <w:tcPr>
            <w:tcW w:w="1451" w:type="dxa"/>
            <w:vAlign w:val="center"/>
          </w:tcPr>
          <w:p w14:paraId="027577E6">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0.3&gt;A1&gt;0.05；或1.5&gt;A2&gt;0.2；或10&gt;R&gt;5</w:t>
            </w:r>
          </w:p>
        </w:tc>
        <w:tc>
          <w:tcPr>
            <w:tcW w:w="1256" w:type="dxa"/>
            <w:vAlign w:val="center"/>
          </w:tcPr>
          <w:p w14:paraId="54CCE73D">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0.3&gt;A1&gt;0.05；或1.5&gt;A2&gt;0.2；或20&gt;R&gt;5</w:t>
            </w:r>
          </w:p>
        </w:tc>
        <w:tc>
          <w:tcPr>
            <w:tcW w:w="2041" w:type="dxa"/>
            <w:vAlign w:val="center"/>
          </w:tcPr>
          <w:p w14:paraId="5864F446">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0.5&gt;A1&gt;0.15；或3&gt;A2&gt;0.5</w:t>
            </w:r>
          </w:p>
        </w:tc>
      </w:tr>
      <w:tr w14:paraId="7DAA0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572" w:type="dxa"/>
            <w:vAlign w:val="center"/>
          </w:tcPr>
          <w:p w14:paraId="22CB0B92">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三级</w:t>
            </w:r>
          </w:p>
        </w:tc>
        <w:tc>
          <w:tcPr>
            <w:tcW w:w="1139" w:type="dxa"/>
            <w:vAlign w:val="center"/>
          </w:tcPr>
          <w:p w14:paraId="4EE9B12D">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α≥20；或混合型</w:t>
            </w:r>
          </w:p>
        </w:tc>
        <w:tc>
          <w:tcPr>
            <w:tcW w:w="1091" w:type="dxa"/>
            <w:vAlign w:val="center"/>
          </w:tcPr>
          <w:p w14:paraId="69F107BD">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β≤2；或无调节</w:t>
            </w:r>
          </w:p>
        </w:tc>
        <w:tc>
          <w:tcPr>
            <w:tcW w:w="978" w:type="dxa"/>
            <w:vAlign w:val="center"/>
          </w:tcPr>
          <w:p w14:paraId="3FE17F22">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γ≤10</w:t>
            </w:r>
          </w:p>
        </w:tc>
        <w:tc>
          <w:tcPr>
            <w:tcW w:w="1451" w:type="dxa"/>
            <w:vAlign w:val="center"/>
          </w:tcPr>
          <w:p w14:paraId="44B1958B">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A1≤0.05；或A2≤0.2；或R≤5</w:t>
            </w:r>
          </w:p>
        </w:tc>
        <w:tc>
          <w:tcPr>
            <w:tcW w:w="1256" w:type="dxa"/>
            <w:vAlign w:val="center"/>
          </w:tcPr>
          <w:p w14:paraId="0B088B74">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A1≤0.05；或A2≤0.2；或R≤5</w:t>
            </w:r>
          </w:p>
        </w:tc>
        <w:tc>
          <w:tcPr>
            <w:tcW w:w="2041" w:type="dxa"/>
            <w:vAlign w:val="center"/>
          </w:tcPr>
          <w:p w14:paraId="647FE199">
            <w:pPr>
              <w:pStyle w:val="35"/>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smallCaps/>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A1≤0.15；或A2≤0.5</w:t>
            </w:r>
          </w:p>
        </w:tc>
      </w:tr>
      <w:tr w14:paraId="42F1FB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8" w:type="dxa"/>
            <w:gridSpan w:val="7"/>
            <w:vAlign w:val="center"/>
          </w:tcPr>
          <w:p w14:paraId="6A51D2A8">
            <w:pPr>
              <w:pStyle w:val="3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注1：影响范围涉及饮用水水源保护区、重点保护与珍稀水生生物的栖息地、重要水生生物的自然产卵场、自然保护区等保护目标，评价等级应不低于二级。</w:t>
            </w:r>
          </w:p>
          <w:p w14:paraId="5557C493">
            <w:pPr>
              <w:pStyle w:val="3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注2：跨流域调水、引水式电站、可能受到河流感潮河段影响，评价等级不低于二级。</w:t>
            </w:r>
          </w:p>
          <w:p w14:paraId="70535990">
            <w:pPr>
              <w:pStyle w:val="3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注3：造成入海河口（湾口）宽度束窄（束窄尺度达到原宽度的5%以上），评价等级应不低于二级。</w:t>
            </w:r>
          </w:p>
          <w:p w14:paraId="08BC39C1">
            <w:pPr>
              <w:pStyle w:val="3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注4：对不透水的单方向建筑尺度较长的水工建筑物（如防波堤、导流堤等），其与潮流活水流主流向切线垂直方向投影长度大于2km时，评价等级应不低于二级。</w:t>
            </w:r>
          </w:p>
          <w:p w14:paraId="0258EEFB">
            <w:pPr>
              <w:pStyle w:val="3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注5：允许在一类海域建设的项目，评价等级为一级。</w:t>
            </w:r>
          </w:p>
          <w:p w14:paraId="6E62E500">
            <w:pPr>
              <w:pStyle w:val="35"/>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color w:val="000000" w:themeColor="text1"/>
                <w:sz w:val="21"/>
                <w:szCs w:val="21"/>
                <w:highlight w:val="none"/>
                <w14:textFill>
                  <w14:solidFill>
                    <w14:schemeClr w14:val="tx1"/>
                  </w14:solidFill>
                </w14:textFill>
              </w:rPr>
            </w:pPr>
            <w:r>
              <w:rPr>
                <w:rFonts w:hint="default" w:ascii="Times New Roman" w:hAnsi="Times New Roman" w:cs="Times New Roman" w:eastAsiaTheme="minorEastAsia"/>
                <w:color w:val="000000" w:themeColor="text1"/>
                <w:sz w:val="21"/>
                <w:szCs w:val="21"/>
                <w:highlight w:val="none"/>
                <w14:textFill>
                  <w14:solidFill>
                    <w14:schemeClr w14:val="tx1"/>
                  </w14:solidFill>
                </w14:textFill>
              </w:rPr>
              <w:t>注6：同时存在多个水文要素影响的建设项目，分别判定各水文要素影响评价等级，并取其中最高等级作为水文要素影响型建设项目评价等级。</w:t>
            </w:r>
          </w:p>
        </w:tc>
      </w:tr>
    </w:tbl>
    <w:p w14:paraId="50555227">
      <w:pPr>
        <w:spacing w:line="360" w:lineRule="auto"/>
        <w:ind w:firstLine="480" w:firstLineChars="200"/>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按水文要素型建设项目评价等级划分，工程主要对水库进行除险加固，不改变原坝址，水库除险加固后，正常蓄水位、死水位不变，相应库容不变</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，且本项目无扰动水底工程，不采用</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A2</w:t>
      </w:r>
      <w:r>
        <w:rPr>
          <w:rFonts w:hint="eastAsia" w:cs="Times New Roman" w:eastAsiaTheme="minorEastAsia"/>
          <w:color w:val="000000" w:themeColor="text1"/>
          <w:sz w:val="24"/>
          <w:highlight w:val="none"/>
          <w:lang w:val="en-US" w:eastAsia="zh-CN"/>
          <w14:textFill>
            <w14:solidFill>
              <w14:schemeClr w14:val="tx1"/>
            </w14:solidFill>
          </w14:textFill>
        </w:rPr>
        <w:t>；</w:t>
      </w:r>
      <w:r>
        <w:rPr>
          <w:rFonts w:hint="eastAsia" w:cs="Times New Roman" w:eastAsiaTheme="minorEastAsia"/>
          <w:color w:val="000000" w:themeColor="text1"/>
          <w:sz w:val="24"/>
          <w:highlight w:val="none"/>
          <w:lang w:eastAsia="zh-CN"/>
          <w14:textFill>
            <w14:solidFill>
              <w14:schemeClr w14:val="tx1"/>
            </w14:solidFill>
          </w14:textFill>
        </w:rPr>
        <w:t>本项目为水库加固项目，</w:t>
      </w:r>
      <w:r>
        <w:rPr>
          <w:rFonts w:hint="default" w:cs="Times New Roman" w:eastAsiaTheme="minorEastAsia"/>
          <w:color w:val="000000" w:themeColor="text1"/>
          <w:sz w:val="24"/>
          <w:highlight w:val="none"/>
          <w:lang w:eastAsia="zh-CN"/>
          <w14:textFill>
            <w14:solidFill>
              <w14:schemeClr w14:val="tx1"/>
            </w14:solidFill>
          </w14:textFill>
        </w:rPr>
        <w:t>径流</w:t>
      </w:r>
      <w:r>
        <w:rPr>
          <w:rFonts w:hint="eastAsia" w:cs="Times New Roman" w:eastAsiaTheme="minorEastAsia"/>
          <w:color w:val="000000" w:themeColor="text1"/>
          <w:sz w:val="24"/>
          <w:highlight w:val="none"/>
          <w:lang w:eastAsia="zh-CN"/>
          <w14:textFill>
            <w14:solidFill>
              <w14:schemeClr w14:val="tx1"/>
            </w14:solidFill>
          </w14:textFill>
        </w:rPr>
        <w:t>量无影响保持不变，不</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采用</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β</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w:t>
      </w:r>
    </w:p>
    <w:p w14:paraId="5D0A60E1">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因此本次评价根据工程垂直投影面积及外扩范围A1判定评价等级</w:t>
      </w: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 w:val="24"/>
          <w:highlight w:val="none"/>
          <w14:textFill>
            <w14:solidFill>
              <w14:schemeClr w14:val="tx1"/>
            </w14:solidFill>
          </w14:textFill>
        </w:rPr>
        <w:t>水库大坝坝体长度为</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540</w:t>
      </w:r>
      <w:r>
        <w:rPr>
          <w:rFonts w:hint="default" w:ascii="Times New Roman" w:hAnsi="Times New Roman" w:cs="Times New Roman" w:eastAsiaTheme="minorEastAsia"/>
          <w:color w:val="000000" w:themeColor="text1"/>
          <w:sz w:val="24"/>
          <w:highlight w:val="none"/>
          <w14:textFill>
            <w14:solidFill>
              <w14:schemeClr w14:val="tx1"/>
            </w14:solidFill>
          </w14:textFill>
        </w:rPr>
        <w:t>m，坝顶宽度为</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5</w:t>
      </w:r>
      <w:r>
        <w:rPr>
          <w:rFonts w:hint="default" w:ascii="Times New Roman" w:hAnsi="Times New Roman" w:cs="Times New Roman" w:eastAsiaTheme="minorEastAsia"/>
          <w:color w:val="000000" w:themeColor="text1"/>
          <w:sz w:val="24"/>
          <w:highlight w:val="none"/>
          <w14:textFill>
            <w14:solidFill>
              <w14:schemeClr w14:val="tx1"/>
            </w14:solidFill>
          </w14:textFill>
        </w:rPr>
        <w:t>m，A1</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=540×5×</w:t>
      </w:r>
      <w:r>
        <w:rPr>
          <w:rFonts w:hint="eastAsia" w:cs="Times New Roman" w:eastAsiaTheme="minorEastAsia"/>
          <w:color w:val="000000" w:themeColor="text1"/>
          <w:sz w:val="24"/>
          <w:highlight w:val="none"/>
          <w:lang w:val="en-US" w:eastAsia="zh-CN"/>
          <w14:textFill>
            <w14:solidFill>
              <w14:schemeClr w14:val="tx1"/>
            </w14:solidFill>
          </w14:textFill>
        </w:rPr>
        <w:t>10</w:t>
      </w:r>
      <w:r>
        <w:rPr>
          <w:rFonts w:hint="eastAsia" w:cs="Times New Roman" w:eastAsiaTheme="minorEastAsia"/>
          <w:color w:val="000000" w:themeColor="text1"/>
          <w:sz w:val="24"/>
          <w:highlight w:val="none"/>
          <w:vertAlign w:val="superscript"/>
          <w:lang w:val="en-US" w:eastAsia="zh-CN"/>
          <w14:textFill>
            <w14:solidFill>
              <w14:schemeClr w14:val="tx1"/>
            </w14:solidFill>
          </w14:textFill>
        </w:rPr>
        <w:t>-6</w:t>
      </w:r>
      <w:r>
        <w:rPr>
          <w:rFonts w:hint="default" w:ascii="Times New Roman" w:hAnsi="Times New Roman" w:cs="Times New Roman" w:eastAsiaTheme="minorEastAsia"/>
          <w:color w:val="000000" w:themeColor="text1"/>
          <w:sz w:val="24"/>
          <w:highlight w:val="none"/>
          <w14:textFill>
            <w14:solidFill>
              <w14:schemeClr w14:val="tx1"/>
            </w14:solidFill>
          </w14:textFill>
        </w:rPr>
        <w:t>=</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0.0027</w:t>
      </w:r>
      <w:r>
        <w:rPr>
          <w:rFonts w:hint="default" w:ascii="Times New Roman" w:hAnsi="Times New Roman" w:cs="Times New Roman" w:eastAsiaTheme="minorEastAsia"/>
          <w:color w:val="000000" w:themeColor="text1"/>
          <w:sz w:val="24"/>
          <w:highlight w:val="none"/>
          <w14:textFill>
            <w14:solidFill>
              <w14:schemeClr w14:val="tx1"/>
            </w14:solidFill>
          </w14:textFill>
        </w:rPr>
        <w:t>km</w:t>
      </w:r>
      <w:r>
        <w:rPr>
          <w:rFonts w:hint="default" w:ascii="Times New Roman" w:hAnsi="Times New Roman" w:cs="Times New Roman" w:eastAsiaTheme="minorEastAsia"/>
          <w:color w:val="000000" w:themeColor="text1"/>
          <w:sz w:val="24"/>
          <w:highlight w:val="none"/>
          <w:vertAlign w:val="superscript"/>
          <w14:textFill>
            <w14:solidFill>
              <w14:schemeClr w14:val="tx1"/>
            </w14:solidFill>
          </w14:textFill>
        </w:rPr>
        <w:t>2</w:t>
      </w:r>
      <w:r>
        <w:rPr>
          <w:rFonts w:hint="default" w:ascii="Times New Roman" w:hAnsi="Times New Roman" w:cs="Times New Roman" w:eastAsiaTheme="minorEastAsia"/>
          <w:color w:val="000000" w:themeColor="text1"/>
          <w:sz w:val="24"/>
          <w:highlight w:val="none"/>
          <w14:textFill>
            <w14:solidFill>
              <w14:schemeClr w14:val="tx1"/>
            </w14:solidFill>
          </w14:textFill>
        </w:rPr>
        <w:t>。A1≤0.05</w:t>
      </w:r>
      <w:r>
        <w:rPr>
          <w:rFonts w:hint="eastAsia" w:cs="Times New Roman" w:eastAsiaTheme="minorEastAsia"/>
          <w:color w:val="000000" w:themeColor="text1"/>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highlight w:val="none"/>
          <w14:textFill>
            <w14:solidFill>
              <w14:schemeClr w14:val="tx1"/>
            </w14:solidFill>
          </w14:textFill>
        </w:rPr>
        <w:t>故水文要素影响型评价工作等级为三级。</w:t>
      </w:r>
    </w:p>
    <w:p w14:paraId="7F8CBEE4">
      <w:pPr>
        <w:pStyle w:val="6"/>
        <w:numPr>
          <w:ilvl w:val="2"/>
          <w:numId w:val="0"/>
        </w:numP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1.4.2评价范围</w:t>
      </w:r>
    </w:p>
    <w:p w14:paraId="112A3FCA">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根据《环境影响评价技术导则地表水环境》（HJ2.3-2018），本项目不涉及自然保护区、饮用水水源保护区、重要水生生物栖息地等环境敏感区域，施工期间不排水，且工程运行期运行水位、供水任务及供</w:t>
      </w:r>
      <w:r>
        <w:rPr>
          <w:rFonts w:hint="default" w:ascii="Times New Roman" w:hAnsi="Times New Roman" w:eastAsia="宋体" w:cs="Times New Roman"/>
          <w:color w:val="000000" w:themeColor="text1"/>
          <w:sz w:val="24"/>
          <w:highlight w:val="none"/>
          <w14:textFill>
            <w14:solidFill>
              <w14:schemeClr w14:val="tx1"/>
            </w14:solidFill>
          </w14:textFill>
        </w:rPr>
        <w:t>水对象均未发生变化，综合考虑工程建成前后水环境及水文情势均未发生变化，因此本次评价设置评价范围为整个水库</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下游泄水影响范围为锅盔河河段1kn范围内。</w:t>
      </w:r>
    </w:p>
    <w:p w14:paraId="3EDDCCC7">
      <w:pPr>
        <w:pStyle w:val="5"/>
        <w:numPr>
          <w:ilvl w:val="1"/>
          <w:numId w:val="0"/>
        </w:numPr>
        <w:spacing w:line="360" w:lineRule="auto"/>
        <w:rPr>
          <w:rFonts w:hint="default" w:ascii="Times New Roman" w:hAnsi="Times New Roman" w:cs="Times New Roman"/>
          <w:color w:val="000000" w:themeColor="text1"/>
          <w:highlight w:val="none"/>
          <w14:textFill>
            <w14:solidFill>
              <w14:schemeClr w14:val="tx1"/>
            </w14:solidFill>
          </w14:textFill>
        </w:rPr>
      </w:pPr>
      <w:bookmarkStart w:id="89" w:name="_Toc18729"/>
      <w:r>
        <w:rPr>
          <w:rFonts w:hint="default" w:ascii="Times New Roman" w:hAnsi="Times New Roman" w:cs="Times New Roman"/>
          <w:color w:val="000000" w:themeColor="text1"/>
          <w:highlight w:val="none"/>
          <w14:textFill>
            <w14:solidFill>
              <w14:schemeClr w14:val="tx1"/>
            </w14:solidFill>
          </w14:textFill>
        </w:rPr>
        <w:t>1.5评价因子</w:t>
      </w:r>
      <w:bookmarkEnd w:id="89"/>
    </w:p>
    <w:p w14:paraId="368B195A">
      <w:pPr>
        <w:spacing w:line="360" w:lineRule="auto"/>
        <w:ind w:firstLine="480" w:firstLineChars="200"/>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根据本项目的特点确定评价因子见</w:t>
      </w:r>
      <w:r>
        <w:rPr>
          <w:rFonts w:hint="default" w:ascii="Times New Roman" w:hAnsi="Times New Roman" w:cs="Times New Roman"/>
          <w:color w:val="000000" w:themeColor="text1"/>
          <w:sz w:val="24"/>
          <w:highlight w:val="none"/>
          <w14:textFill>
            <w14:solidFill>
              <w14:schemeClr w14:val="tx1"/>
            </w14:solidFill>
          </w14:textFill>
        </w:rPr>
        <w:fldChar w:fldCharType="begin"/>
      </w:r>
      <w:r>
        <w:rPr>
          <w:rFonts w:hint="default" w:ascii="Times New Roman" w:hAnsi="Times New Roman" w:cs="Times New Roman"/>
          <w:color w:val="000000" w:themeColor="text1"/>
          <w:sz w:val="24"/>
          <w:highlight w:val="none"/>
          <w14:textFill>
            <w14:solidFill>
              <w14:schemeClr w14:val="tx1"/>
            </w14:solidFill>
          </w14:textFill>
        </w:rPr>
        <w:instrText xml:space="preserve"> REF _Ref107753084 \h  \* MERGEFORMAT </w:instrText>
      </w:r>
      <w:r>
        <w:rPr>
          <w:rFonts w:hint="default" w:ascii="Times New Roman" w:hAnsi="Times New Roman" w:cs="Times New Roman"/>
          <w:color w:val="000000" w:themeColor="text1"/>
          <w:sz w:val="24"/>
          <w:highlight w:val="none"/>
          <w14:textFill>
            <w14:solidFill>
              <w14:schemeClr w14:val="tx1"/>
            </w14:solidFill>
          </w14:textFill>
        </w:rPr>
        <w:fldChar w:fldCharType="separate"/>
      </w:r>
      <w:r>
        <w:rPr>
          <w:rFonts w:hint="default" w:ascii="Times New Roman" w:hAnsi="Times New Roman" w:cs="Times New Roman"/>
          <w:color w:val="000000" w:themeColor="text1"/>
          <w:sz w:val="24"/>
          <w:highlight w:val="none"/>
          <w14:textFill>
            <w14:solidFill>
              <w14:schemeClr w14:val="tx1"/>
            </w14:solidFill>
          </w14:textFill>
        </w:rPr>
        <w:t>表1.5-1</w:t>
      </w:r>
      <w:r>
        <w:rPr>
          <w:rFonts w:hint="default" w:ascii="Times New Roman" w:hAnsi="Times New Roman" w:cs="Times New Roman"/>
          <w:color w:val="000000" w:themeColor="text1"/>
          <w:sz w:val="24"/>
          <w:highlight w:val="none"/>
          <w14:textFill>
            <w14:solidFill>
              <w14:schemeClr w14:val="tx1"/>
            </w14:solidFill>
          </w14:textFill>
        </w:rPr>
        <w:fldChar w:fldCharType="end"/>
      </w:r>
      <w:r>
        <w:rPr>
          <w:rFonts w:hint="default" w:ascii="Times New Roman" w:hAnsi="Times New Roman" w:cs="Times New Roman"/>
          <w:color w:val="000000" w:themeColor="text1"/>
          <w:sz w:val="24"/>
          <w:highlight w:val="none"/>
          <w14:textFill>
            <w14:solidFill>
              <w14:schemeClr w14:val="tx1"/>
            </w14:solidFill>
          </w14:textFill>
        </w:rPr>
        <w:t>。</w:t>
      </w:r>
      <w:bookmarkStart w:id="90" w:name="_Ref107753084"/>
    </w:p>
    <w:p w14:paraId="73A0DBAB">
      <w:pPr>
        <w:spacing w:line="360" w:lineRule="auto"/>
        <w:jc w:val="center"/>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表</w:t>
      </w:r>
      <w:r>
        <w:rPr>
          <w:rFonts w:hint="default" w:ascii="Times New Roman" w:hAnsi="Times New Roman" w:cs="Times New Roman"/>
          <w:b/>
          <w:bCs/>
          <w:color w:val="000000" w:themeColor="text1"/>
          <w:sz w:val="24"/>
          <w:highlight w:val="none"/>
          <w14:textFill>
            <w14:solidFill>
              <w14:schemeClr w14:val="tx1"/>
            </w14:solidFill>
          </w14:textFill>
        </w:rPr>
        <w:fldChar w:fldCharType="begin"/>
      </w:r>
      <w:r>
        <w:rPr>
          <w:rFonts w:hint="default" w:ascii="Times New Roman" w:hAnsi="Times New Roman" w:cs="Times New Roman"/>
          <w:b/>
          <w:bCs/>
          <w:color w:val="000000" w:themeColor="text1"/>
          <w:sz w:val="24"/>
          <w:highlight w:val="none"/>
          <w14:textFill>
            <w14:solidFill>
              <w14:schemeClr w14:val="tx1"/>
            </w14:solidFill>
          </w14:textFill>
        </w:rPr>
        <w:instrText xml:space="preserve"> STYLEREF 2 \s </w:instrText>
      </w:r>
      <w:r>
        <w:rPr>
          <w:rFonts w:hint="default" w:ascii="Times New Roman" w:hAnsi="Times New Roman" w:cs="Times New Roman"/>
          <w:b/>
          <w:bCs/>
          <w:color w:val="000000" w:themeColor="text1"/>
          <w:sz w:val="24"/>
          <w:highlight w:val="none"/>
          <w14:textFill>
            <w14:solidFill>
              <w14:schemeClr w14:val="tx1"/>
            </w14:solidFill>
          </w14:textFill>
        </w:rPr>
        <w:fldChar w:fldCharType="separate"/>
      </w:r>
      <w:r>
        <w:rPr>
          <w:rFonts w:hint="default" w:ascii="Times New Roman" w:hAnsi="Times New Roman" w:cs="Times New Roman"/>
          <w:b/>
          <w:bCs/>
          <w:color w:val="000000" w:themeColor="text1"/>
          <w:sz w:val="24"/>
          <w:highlight w:val="none"/>
          <w14:textFill>
            <w14:solidFill>
              <w14:schemeClr w14:val="tx1"/>
            </w14:solidFill>
          </w14:textFill>
        </w:rPr>
        <w:t>1.5</w:t>
      </w:r>
      <w:r>
        <w:rPr>
          <w:rFonts w:hint="default" w:ascii="Times New Roman" w:hAnsi="Times New Roman" w:cs="Times New Roman"/>
          <w:b/>
          <w:bCs/>
          <w:color w:val="000000" w:themeColor="text1"/>
          <w:sz w:val="24"/>
          <w:highlight w:val="none"/>
          <w14:textFill>
            <w14:solidFill>
              <w14:schemeClr w14:val="tx1"/>
            </w14:solidFill>
          </w14:textFill>
        </w:rPr>
        <w:fldChar w:fldCharType="end"/>
      </w:r>
      <w:r>
        <w:rPr>
          <w:rFonts w:hint="default" w:ascii="Times New Roman" w:hAnsi="Times New Roman" w:cs="Times New Roman"/>
          <w:b/>
          <w:bCs/>
          <w:color w:val="000000" w:themeColor="text1"/>
          <w:sz w:val="24"/>
          <w:highlight w:val="none"/>
          <w14:textFill>
            <w14:solidFill>
              <w14:schemeClr w14:val="tx1"/>
            </w14:solidFill>
          </w14:textFill>
        </w:rPr>
        <w:t>-</w:t>
      </w:r>
      <w:r>
        <w:rPr>
          <w:rFonts w:hint="default" w:ascii="Times New Roman" w:hAnsi="Times New Roman" w:cs="Times New Roman"/>
          <w:b/>
          <w:bCs/>
          <w:color w:val="000000" w:themeColor="text1"/>
          <w:sz w:val="24"/>
          <w:highlight w:val="none"/>
          <w14:textFill>
            <w14:solidFill>
              <w14:schemeClr w14:val="tx1"/>
            </w14:solidFill>
          </w14:textFill>
        </w:rPr>
        <w:fldChar w:fldCharType="begin"/>
      </w:r>
      <w:r>
        <w:rPr>
          <w:rFonts w:hint="default" w:ascii="Times New Roman" w:hAnsi="Times New Roman" w:cs="Times New Roman"/>
          <w:b/>
          <w:bCs/>
          <w:color w:val="000000" w:themeColor="text1"/>
          <w:sz w:val="24"/>
          <w:highlight w:val="none"/>
          <w14:textFill>
            <w14:solidFill>
              <w14:schemeClr w14:val="tx1"/>
            </w14:solidFill>
          </w14:textFill>
        </w:rPr>
        <w:instrText xml:space="preserve"> SEQ 表 \* ARABIC \s 2 </w:instrText>
      </w:r>
      <w:r>
        <w:rPr>
          <w:rFonts w:hint="default" w:ascii="Times New Roman" w:hAnsi="Times New Roman" w:cs="Times New Roman"/>
          <w:b/>
          <w:bCs/>
          <w:color w:val="000000" w:themeColor="text1"/>
          <w:sz w:val="24"/>
          <w:highlight w:val="none"/>
          <w14:textFill>
            <w14:solidFill>
              <w14:schemeClr w14:val="tx1"/>
            </w14:solidFill>
          </w14:textFill>
        </w:rPr>
        <w:fldChar w:fldCharType="separate"/>
      </w:r>
      <w:r>
        <w:rPr>
          <w:rFonts w:hint="default" w:ascii="Times New Roman" w:hAnsi="Times New Roman" w:cs="Times New Roman"/>
          <w:b/>
          <w:bCs/>
          <w:color w:val="000000" w:themeColor="text1"/>
          <w:sz w:val="24"/>
          <w:highlight w:val="none"/>
          <w14:textFill>
            <w14:solidFill>
              <w14:schemeClr w14:val="tx1"/>
            </w14:solidFill>
          </w14:textFill>
        </w:rPr>
        <w:t>1</w:t>
      </w:r>
      <w:r>
        <w:rPr>
          <w:rFonts w:hint="default" w:ascii="Times New Roman" w:hAnsi="Times New Roman" w:cs="Times New Roman"/>
          <w:b/>
          <w:bCs/>
          <w:color w:val="000000" w:themeColor="text1"/>
          <w:sz w:val="24"/>
          <w:highlight w:val="none"/>
          <w14:textFill>
            <w14:solidFill>
              <w14:schemeClr w14:val="tx1"/>
            </w14:solidFill>
          </w14:textFill>
        </w:rPr>
        <w:fldChar w:fldCharType="end"/>
      </w:r>
      <w:bookmarkEnd w:id="90"/>
      <w:r>
        <w:rPr>
          <w:rFonts w:hint="default" w:ascii="Times New Roman" w:hAnsi="Times New Roman" w:cs="Times New Roman"/>
          <w:b/>
          <w:bCs/>
          <w:color w:val="000000" w:themeColor="text1"/>
          <w:sz w:val="24"/>
          <w:highlight w:val="none"/>
          <w14:textFill>
            <w14:solidFill>
              <w14:schemeClr w14:val="tx1"/>
            </w14:solidFill>
          </w14:textFill>
        </w:rPr>
        <w:t>评价因子一览表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2"/>
        <w:gridCol w:w="4252"/>
        <w:gridCol w:w="2318"/>
      </w:tblGrid>
      <w:tr w14:paraId="26641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 w:hRule="atLeast"/>
          <w:jc w:val="center"/>
        </w:trPr>
        <w:tc>
          <w:tcPr>
            <w:tcW w:w="1145" w:type="pct"/>
            <w:tcBorders>
              <w:tl2br w:val="single" w:color="auto" w:sz="4" w:space="0"/>
            </w:tcBorders>
            <w:vAlign w:val="center"/>
          </w:tcPr>
          <w:p w14:paraId="240F1662">
            <w:pPr>
              <w:jc w:val="righ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评价因子</w:t>
            </w:r>
          </w:p>
          <w:p w14:paraId="39F4FC60">
            <w:pPr>
              <w:jc w:val="left"/>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特征分类</w:t>
            </w:r>
          </w:p>
        </w:tc>
        <w:tc>
          <w:tcPr>
            <w:tcW w:w="2495" w:type="pct"/>
            <w:vAlign w:val="center"/>
          </w:tcPr>
          <w:p w14:paraId="1E29108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现状评价因子</w:t>
            </w:r>
          </w:p>
        </w:tc>
        <w:tc>
          <w:tcPr>
            <w:tcW w:w="1360" w:type="pct"/>
            <w:vAlign w:val="center"/>
          </w:tcPr>
          <w:p w14:paraId="48CC271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影响评价因子</w:t>
            </w:r>
          </w:p>
        </w:tc>
      </w:tr>
      <w:tr w14:paraId="40CA9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5" w:type="pct"/>
            <w:vAlign w:val="center"/>
          </w:tcPr>
          <w:p w14:paraId="76B4C010">
            <w:pPr>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基本水质因子</w:t>
            </w:r>
          </w:p>
        </w:tc>
        <w:tc>
          <w:tcPr>
            <w:tcW w:w="2495" w:type="pct"/>
            <w:vAlign w:val="center"/>
          </w:tcPr>
          <w:p w14:paraId="094ADD27">
            <w:pPr>
              <w:jc w:val="center"/>
              <w:rPr>
                <w:rFonts w:hint="default" w:ascii="Times New Roman" w:hAnsi="Times New Roman" w:cs="Times New Roman"/>
                <w:bCs/>
                <w:color w:val="000000" w:themeColor="text1"/>
                <w:szCs w:val="21"/>
                <w:highlight w:val="none"/>
                <w14:textFill>
                  <w14:solidFill>
                    <w14:schemeClr w14:val="tx1"/>
                  </w14:solidFill>
                </w14:textFill>
              </w:rPr>
            </w:pPr>
            <w:r>
              <w:rPr>
                <w:rFonts w:hint="eastAsia"/>
                <w:color w:val="000000" w:themeColor="text1"/>
                <w:lang w:eastAsia="zh-CN"/>
                <w14:textFill>
                  <w14:solidFill>
                    <w14:schemeClr w14:val="tx1"/>
                  </w14:solidFill>
                </w14:textFill>
              </w:rPr>
              <w:t>透明度、</w:t>
            </w:r>
            <w:r>
              <w:rPr>
                <w:rFonts w:hint="eastAsia"/>
                <w:color w:val="000000" w:themeColor="text1"/>
                <w:lang w:val="en-US" w:eastAsia="zh-CN"/>
                <w14:textFill>
                  <w14:solidFill>
                    <w14:schemeClr w14:val="tx1"/>
                  </w14:solidFill>
                </w14:textFill>
              </w:rPr>
              <w:t>pH、悬浮物、高锰酸盐指数、化学需氧量、五日生化需氧量、氨氮、总磷、总氮、石油类、叶绿素a、铜、锌、氟化物、硒、砷、汞、镉、六价铬、氰化物、挥发酚、LAS、硫化物、粪大肠菌群、</w:t>
            </w:r>
            <w:r>
              <w:rPr>
                <w:rFonts w:hint="default" w:ascii="Times New Roman" w:hAnsi="Times New Roman" w:cs="Times New Roman"/>
                <w:bCs/>
                <w:color w:val="000000" w:themeColor="text1"/>
                <w:szCs w:val="21"/>
                <w:highlight w:val="none"/>
                <w14:textFill>
                  <w14:solidFill>
                    <w14:schemeClr w14:val="tx1"/>
                  </w14:solidFill>
                </w14:textFill>
              </w:rPr>
              <w:t>水文情势</w:t>
            </w:r>
          </w:p>
        </w:tc>
        <w:tc>
          <w:tcPr>
            <w:tcW w:w="1360" w:type="pct"/>
            <w:vAlign w:val="center"/>
          </w:tcPr>
          <w:p w14:paraId="1731584C">
            <w:pPr>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bCs/>
                <w:color w:val="000000" w:themeColor="text1"/>
                <w:szCs w:val="21"/>
                <w:highlight w:val="none"/>
                <w14:textFill>
                  <w14:solidFill>
                    <w14:schemeClr w14:val="tx1"/>
                  </w14:solidFill>
                </w14:textFill>
              </w:rPr>
              <w:t>COD、氨氮、pH、SS、水文情势</w:t>
            </w:r>
            <w:r>
              <w:rPr>
                <w:rFonts w:hint="eastAsia" w:cs="Times New Roman"/>
                <w:bCs/>
                <w:color w:val="000000" w:themeColor="text1"/>
                <w:szCs w:val="21"/>
                <w:highlight w:val="none"/>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叶绿素a</w:t>
            </w:r>
          </w:p>
        </w:tc>
      </w:tr>
    </w:tbl>
    <w:p w14:paraId="50368C94">
      <w:pPr>
        <w:pStyle w:val="5"/>
        <w:numPr>
          <w:ilvl w:val="1"/>
          <w:numId w:val="0"/>
        </w:numPr>
        <w:spacing w:line="360" w:lineRule="auto"/>
        <w:rPr>
          <w:rFonts w:hint="default" w:ascii="Times New Roman" w:hAnsi="Times New Roman" w:eastAsia="宋体" w:cs="Times New Roman"/>
          <w:color w:val="000000" w:themeColor="text1"/>
          <w:highlight w:val="none"/>
          <w:lang w:val="en-US" w:eastAsia="zh-CN"/>
          <w14:textFill>
            <w14:solidFill>
              <w14:schemeClr w14:val="tx1"/>
            </w14:solidFill>
          </w14:textFill>
        </w:rPr>
      </w:pPr>
      <w:bookmarkStart w:id="91" w:name="_Toc32584"/>
      <w:r>
        <w:rPr>
          <w:rFonts w:hint="eastAsia" w:ascii="Times New Roman" w:hAnsi="Times New Roman" w:eastAsia="宋体" w:cs="Times New Roman"/>
          <w:color w:val="000000" w:themeColor="text1"/>
          <w:highlight w:val="none"/>
          <w:lang w:val="en-US" w:eastAsia="zh-CN"/>
          <w14:textFill>
            <w14:solidFill>
              <w14:schemeClr w14:val="tx1"/>
            </w14:solidFill>
          </w14:textFill>
        </w:rPr>
        <w:t>1.6地表水保护目标</w:t>
      </w:r>
    </w:p>
    <w:p w14:paraId="22D4F01A">
      <w:pPr>
        <w:spacing w:line="360" w:lineRule="auto"/>
        <w:ind w:firstLine="480" w:firstLineChars="200"/>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根据《环境影响评价技术导则地表水环境》（HJ2.3-2018），水环境保护目标包括饮用水水源保护区、饮用水取水口，涉水的自然保护区、风景名胜区，重要湿地、重点保护与珍稀水生生物的栖息地、重要水生生物的自然产卵场及索饵场、越冬场和洄游通道，天然渔场等渔业水体，以及水产种质资源保护区等。</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本工程不涉及上述情况，</w:t>
      </w:r>
      <w:r>
        <w:rPr>
          <w:rFonts w:hint="default" w:ascii="Times New Roman" w:hAnsi="Times New Roman" w:cs="Times New Roman" w:eastAsiaTheme="minorEastAsia"/>
          <w:color w:val="000000" w:themeColor="text1"/>
          <w:sz w:val="24"/>
          <w:highlight w:val="none"/>
          <w14:textFill>
            <w14:solidFill>
              <w14:schemeClr w14:val="tx1"/>
            </w14:solidFill>
          </w14:textFill>
        </w:rPr>
        <w:t>本项目主要环境保护目标为工程沿线两侧</w:t>
      </w:r>
      <w:r>
        <w:rPr>
          <w:rFonts w:hint="eastAsia"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 w:val="24"/>
          <w:highlight w:val="none"/>
          <w14:textFill>
            <w14:solidFill>
              <w14:schemeClr w14:val="tx1"/>
            </w14:solidFill>
          </w14:textFill>
        </w:rPr>
        <w:t>水库水环境、生态环境等根据工程特点及工程所在地环境现状确定本工程的环境保护目标。主要保护目标见表</w:t>
      </w:r>
      <w:r>
        <w:rPr>
          <w:rFonts w:hint="eastAsia" w:ascii="Times New Roman" w:hAnsi="Times New Roman" w:cs="Times New Roman" w:eastAsiaTheme="minorEastAsia"/>
          <w:color w:val="000000" w:themeColor="text1"/>
          <w:sz w:val="24"/>
          <w:highlight w:val="none"/>
          <w:lang w:val="en-US" w:eastAsia="zh-CN"/>
          <w14:textFill>
            <w14:solidFill>
              <w14:schemeClr w14:val="tx1"/>
            </w14:solidFill>
          </w14:textFill>
        </w:rPr>
        <w:t>1.6-1。</w:t>
      </w:r>
    </w:p>
    <w:p w14:paraId="422D161D">
      <w:pPr>
        <w:spacing w:line="360" w:lineRule="auto"/>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b/>
          <w:bCs/>
          <w:color w:val="000000" w:themeColor="text1"/>
          <w:sz w:val="24"/>
          <w:szCs w:val="32"/>
          <w:highlight w:val="none"/>
          <w14:textFill>
            <w14:solidFill>
              <w14:schemeClr w14:val="tx1"/>
            </w14:solidFill>
          </w14:textFill>
        </w:rPr>
        <w:t>表</w:t>
      </w:r>
      <w:r>
        <w:rPr>
          <w:rFonts w:hint="eastAsia" w:ascii="Times New Roman" w:hAnsi="Times New Roman" w:cs="Times New Roman"/>
          <w:b/>
          <w:bCs/>
          <w:color w:val="000000" w:themeColor="text1"/>
          <w:sz w:val="24"/>
          <w:szCs w:val="32"/>
          <w:highlight w:val="none"/>
          <w:lang w:val="en-US" w:eastAsia="zh-CN"/>
          <w14:textFill>
            <w14:solidFill>
              <w14:schemeClr w14:val="tx1"/>
            </w14:solidFill>
          </w14:textFill>
        </w:rPr>
        <w:t>1.6-1</w:t>
      </w:r>
      <w:r>
        <w:rPr>
          <w:rFonts w:hint="default" w:ascii="Times New Roman" w:hAnsi="Times New Roman" w:cs="Times New Roman"/>
          <w:b/>
          <w:bCs/>
          <w:color w:val="000000" w:themeColor="text1"/>
          <w:sz w:val="24"/>
          <w:szCs w:val="32"/>
          <w:highlight w:val="none"/>
          <w14:textFill>
            <w14:solidFill>
              <w14:schemeClr w14:val="tx1"/>
            </w14:solidFill>
          </w14:textFill>
        </w:rPr>
        <w:t>工程环境保护目标一览表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1585"/>
        <w:gridCol w:w="1360"/>
        <w:gridCol w:w="1779"/>
        <w:gridCol w:w="2330"/>
      </w:tblGrid>
      <w:tr w14:paraId="644CE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9" w:type="dxa"/>
            <w:noWrap w:val="0"/>
            <w:vAlign w:val="center"/>
          </w:tcPr>
          <w:p w14:paraId="310A71BF">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环境因子</w:t>
            </w:r>
          </w:p>
        </w:tc>
        <w:tc>
          <w:tcPr>
            <w:tcW w:w="1585" w:type="dxa"/>
            <w:noWrap w:val="0"/>
            <w:vAlign w:val="center"/>
          </w:tcPr>
          <w:p w14:paraId="4173493C">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敏感点名称</w:t>
            </w:r>
          </w:p>
        </w:tc>
        <w:tc>
          <w:tcPr>
            <w:tcW w:w="1360" w:type="dxa"/>
            <w:noWrap w:val="0"/>
            <w:vAlign w:val="center"/>
          </w:tcPr>
          <w:p w14:paraId="0CDA8BE7">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保护内容</w:t>
            </w:r>
          </w:p>
        </w:tc>
        <w:tc>
          <w:tcPr>
            <w:tcW w:w="1779" w:type="dxa"/>
            <w:noWrap w:val="0"/>
            <w:vAlign w:val="center"/>
          </w:tcPr>
          <w:p w14:paraId="005996E6">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与工程的位置及距离</w:t>
            </w:r>
          </w:p>
        </w:tc>
        <w:tc>
          <w:tcPr>
            <w:tcW w:w="2330" w:type="dxa"/>
            <w:noWrap w:val="0"/>
            <w:vAlign w:val="center"/>
          </w:tcPr>
          <w:p w14:paraId="755C7458">
            <w:pPr>
              <w:adjustRightInd w:val="0"/>
              <w:snapToGrid w:val="0"/>
              <w:spacing w:line="240" w:lineRule="auto"/>
              <w:jc w:val="center"/>
              <w:rPr>
                <w:rFonts w:hint="default" w:ascii="Times New Roman" w:hAnsi="Times New Roman" w:cs="Times New Roman"/>
                <w:b/>
                <w:color w:val="000000" w:themeColor="text1"/>
                <w:sz w:val="21"/>
                <w:szCs w:val="21"/>
                <w:highlight w:val="none"/>
                <w14:textFill>
                  <w14:solidFill>
                    <w14:schemeClr w14:val="tx1"/>
                  </w14:solidFill>
                </w14:textFill>
              </w:rPr>
            </w:pPr>
            <w:r>
              <w:rPr>
                <w:rFonts w:hint="default" w:ascii="Times New Roman" w:hAnsi="Times New Roman" w:cs="Times New Roman"/>
                <w:b/>
                <w:color w:val="000000" w:themeColor="text1"/>
                <w:sz w:val="21"/>
                <w:szCs w:val="21"/>
                <w:highlight w:val="none"/>
                <w14:textFill>
                  <w14:solidFill>
                    <w14:schemeClr w14:val="tx1"/>
                  </w14:solidFill>
                </w14:textFill>
              </w:rPr>
              <w:t>保护目标</w:t>
            </w:r>
          </w:p>
        </w:tc>
      </w:tr>
      <w:tr w14:paraId="05CA9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9" w:type="dxa"/>
            <w:vMerge w:val="restart"/>
            <w:noWrap w:val="0"/>
            <w:vAlign w:val="center"/>
          </w:tcPr>
          <w:p w14:paraId="72F13579">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地表水环境</w:t>
            </w:r>
          </w:p>
        </w:tc>
        <w:tc>
          <w:tcPr>
            <w:tcW w:w="1585" w:type="dxa"/>
            <w:shd w:val="clear" w:color="auto" w:fill="auto"/>
            <w:noWrap w:val="0"/>
            <w:vAlign w:val="center"/>
          </w:tcPr>
          <w:p w14:paraId="2D100087">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青山水库下游1km内锅盔河</w:t>
            </w:r>
          </w:p>
        </w:tc>
        <w:tc>
          <w:tcPr>
            <w:tcW w:w="1360" w:type="dxa"/>
            <w:noWrap w:val="0"/>
            <w:vAlign w:val="center"/>
          </w:tcPr>
          <w:p w14:paraId="5E0DA1AA">
            <w:pPr>
              <w:adjustRightInd w:val="0"/>
              <w:snapToGrid w:val="0"/>
              <w:spacing w:line="240" w:lineRule="auto"/>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水质</w:t>
            </w:r>
            <w:r>
              <w:rPr>
                <w:rFonts w:hint="eastAsia" w:ascii="Times New Roman" w:hAnsi="Times New Roman" w:cs="Times New Roman"/>
                <w:color w:val="000000" w:themeColor="text1"/>
                <w:sz w:val="21"/>
                <w:szCs w:val="21"/>
                <w:highlight w:val="none"/>
                <w:lang w:eastAsia="zh-CN"/>
                <w14:textFill>
                  <w14:solidFill>
                    <w14:schemeClr w14:val="tx1"/>
                  </w14:solidFill>
                </w14:textFill>
              </w:rPr>
              <w:t>、水文情势</w:t>
            </w:r>
          </w:p>
        </w:tc>
        <w:tc>
          <w:tcPr>
            <w:tcW w:w="1779" w:type="dxa"/>
            <w:noWrap w:val="0"/>
            <w:vAlign w:val="center"/>
          </w:tcPr>
          <w:p w14:paraId="6E97AB77">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eastAsia" w:ascii="Times New Roman" w:hAnsi="Times New Roman" w:cs="Times New Roman"/>
                <w:color w:val="000000" w:themeColor="text1"/>
                <w:sz w:val="21"/>
                <w:szCs w:val="21"/>
                <w:highlight w:val="none"/>
                <w:lang w:eastAsia="zh-CN"/>
                <w14:textFill>
                  <w14:solidFill>
                    <w14:schemeClr w14:val="tx1"/>
                  </w14:solidFill>
                </w14:textFill>
              </w:rPr>
              <w:t>下游</w:t>
            </w:r>
          </w:p>
        </w:tc>
        <w:tc>
          <w:tcPr>
            <w:tcW w:w="2330" w:type="dxa"/>
            <w:vMerge w:val="restart"/>
            <w:noWrap w:val="0"/>
            <w:vAlign w:val="center"/>
          </w:tcPr>
          <w:p w14:paraId="786B7280">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《地表水环境质量》（GB3838-2002）中Ⅲ类</w:t>
            </w:r>
          </w:p>
        </w:tc>
      </w:tr>
      <w:tr w14:paraId="24C83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1149" w:type="dxa"/>
            <w:vMerge w:val="continue"/>
            <w:noWrap w:val="0"/>
            <w:vAlign w:val="center"/>
          </w:tcPr>
          <w:p w14:paraId="662FFA1D">
            <w:pPr>
              <w:adjustRightInd w:val="0"/>
              <w:snapToGrid w:val="0"/>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p>
        </w:tc>
        <w:tc>
          <w:tcPr>
            <w:tcW w:w="1585" w:type="dxa"/>
            <w:shd w:val="clear" w:color="auto" w:fill="auto"/>
            <w:noWrap w:val="0"/>
            <w:vAlign w:val="center"/>
          </w:tcPr>
          <w:p w14:paraId="3D5E43BF">
            <w:pPr>
              <w:adjustRightInd w:val="0"/>
              <w:snapToGrid w:val="0"/>
              <w:spacing w:line="240" w:lineRule="auto"/>
              <w:jc w:val="cente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t>青山水库</w:t>
            </w:r>
          </w:p>
        </w:tc>
        <w:tc>
          <w:tcPr>
            <w:tcW w:w="1360" w:type="dxa"/>
            <w:shd w:val="clear" w:color="auto" w:fill="auto"/>
            <w:noWrap w:val="0"/>
            <w:vAlign w:val="center"/>
          </w:tcPr>
          <w:p w14:paraId="71A0A5E9">
            <w:pPr>
              <w:adjustRightInd w:val="0"/>
              <w:snapToGrid w:val="0"/>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水质</w:t>
            </w:r>
            <w:r>
              <w:rPr>
                <w:rFonts w:hint="eastAsia" w:ascii="Times New Roman" w:hAnsi="Times New Roman" w:cs="Times New Roman"/>
                <w:color w:val="000000" w:themeColor="text1"/>
                <w:sz w:val="21"/>
                <w:szCs w:val="21"/>
                <w:highlight w:val="none"/>
                <w:lang w:eastAsia="zh-CN"/>
                <w14:textFill>
                  <w14:solidFill>
                    <w14:schemeClr w14:val="tx1"/>
                  </w14:solidFill>
                </w14:textFill>
              </w:rPr>
              <w:t>、水文情势</w:t>
            </w:r>
          </w:p>
        </w:tc>
        <w:tc>
          <w:tcPr>
            <w:tcW w:w="1779" w:type="dxa"/>
            <w:noWrap w:val="0"/>
            <w:vAlign w:val="center"/>
          </w:tcPr>
          <w:p w14:paraId="7E426E7D">
            <w:pPr>
              <w:adjustRightInd w:val="0"/>
              <w:snapToGrid w:val="0"/>
              <w:spacing w:line="240" w:lineRule="auto"/>
              <w:jc w:val="center"/>
              <w:rPr>
                <w:rFonts w:hint="eastAsia" w:ascii="Times New Roman" w:hAnsi="Times New Roman" w:eastAsia="宋体" w:cs="Times New Roman"/>
                <w:color w:val="000000" w:themeColor="text1"/>
                <w:sz w:val="21"/>
                <w:szCs w:val="21"/>
                <w:highlight w:val="none"/>
                <w:lang w:eastAsia="zh-CN"/>
                <w14:textFill>
                  <w14:solidFill>
                    <w14:schemeClr w14:val="tx1"/>
                  </w14:solidFill>
                </w14:textFill>
              </w:rPr>
            </w:pPr>
            <w:r>
              <w:rPr>
                <w:rFonts w:hint="default" w:ascii="Times New Roman" w:hAnsi="Times New Roman" w:cs="Times New Roman"/>
                <w:color w:val="000000" w:themeColor="text1"/>
                <w:sz w:val="21"/>
                <w:szCs w:val="21"/>
                <w:highlight w:val="none"/>
                <w14:textFill>
                  <w14:solidFill>
                    <w14:schemeClr w14:val="tx1"/>
                  </w14:solidFill>
                </w14:textFill>
              </w:rPr>
              <w:t>在其中或近邻</w:t>
            </w:r>
          </w:p>
        </w:tc>
        <w:tc>
          <w:tcPr>
            <w:tcW w:w="2330" w:type="dxa"/>
            <w:vMerge w:val="continue"/>
            <w:noWrap w:val="0"/>
            <w:vAlign w:val="center"/>
          </w:tcPr>
          <w:p w14:paraId="10B2F56A">
            <w:pPr>
              <w:adjustRightInd w:val="0"/>
              <w:snapToGrid w:val="0"/>
              <w:spacing w:line="240" w:lineRule="auto"/>
              <w:jc w:val="center"/>
              <w:rPr>
                <w:rFonts w:hint="default" w:ascii="Times New Roman" w:hAnsi="Times New Roman" w:cs="Times New Roman"/>
                <w:color w:val="000000" w:themeColor="text1"/>
                <w:sz w:val="21"/>
                <w:szCs w:val="21"/>
                <w:highlight w:val="none"/>
                <w14:textFill>
                  <w14:solidFill>
                    <w14:schemeClr w14:val="tx1"/>
                  </w14:solidFill>
                </w14:textFill>
              </w:rPr>
            </w:pPr>
          </w:p>
        </w:tc>
      </w:tr>
    </w:tbl>
    <w:p w14:paraId="31D58516">
      <w:pPr>
        <w:spacing w:line="360" w:lineRule="auto"/>
        <w:ind w:firstLine="480" w:firstLineChars="200"/>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p>
    <w:p w14:paraId="6589066A">
      <w:pPr>
        <w:spacing w:line="360" w:lineRule="auto"/>
        <w:ind w:firstLine="480" w:firstLineChars="200"/>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p>
    <w:p w14:paraId="7DF75515">
      <w:pP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br w:type="page"/>
      </w:r>
    </w:p>
    <w:p w14:paraId="492E6935">
      <w:pPr>
        <w:pStyle w:val="4"/>
        <w:ind w:left="0" w:firstLine="0"/>
        <w:rPr>
          <w:rFonts w:hint="eastAsia" w:ascii="Times New Roman" w:hAnsi="Times New Roman" w:eastAsia="黑体" w:cs="Times New Roman"/>
          <w:color w:val="000000" w:themeColor="text1"/>
          <w:highlight w:val="none"/>
          <w:lang w:eastAsia="zh-CN"/>
          <w14:textFill>
            <w14:solidFill>
              <w14:schemeClr w14:val="tx1"/>
            </w14:solidFill>
          </w14:textFill>
        </w:rPr>
      </w:pPr>
      <w:bookmarkStart w:id="92" w:name="_Toc18811"/>
      <w:bookmarkStart w:id="93" w:name="_Toc15670"/>
      <w:r>
        <w:rPr>
          <w:rFonts w:hint="default" w:ascii="Times New Roman" w:hAnsi="Times New Roman" w:cs="Times New Roman"/>
          <w:color w:val="000000" w:themeColor="text1"/>
          <w:highlight w:val="none"/>
          <w14:textFill>
            <w14:solidFill>
              <w14:schemeClr w14:val="tx1"/>
            </w14:solidFill>
          </w14:textFill>
        </w:rPr>
        <w:t>2</w:t>
      </w:r>
      <w:r>
        <w:rPr>
          <w:rFonts w:hint="eastAsia" w:cs="Times New Roman"/>
          <w:color w:val="000000" w:themeColor="text1"/>
          <w:highlight w:val="none"/>
          <w:lang w:eastAsia="zh-CN"/>
          <w14:textFill>
            <w14:solidFill>
              <w14:schemeClr w14:val="tx1"/>
            </w14:solidFill>
          </w14:textFill>
        </w:rPr>
        <w:t>建设项目工程概况</w:t>
      </w:r>
      <w:bookmarkEnd w:id="92"/>
      <w:bookmarkEnd w:id="93"/>
    </w:p>
    <w:p w14:paraId="02617917">
      <w:pPr>
        <w:pStyle w:val="5"/>
        <w:numPr>
          <w:ilvl w:val="1"/>
          <w:numId w:val="0"/>
        </w:numPr>
        <w:rPr>
          <w:rFonts w:hint="eastAsia" w:ascii="Times New Roman" w:hAnsi="Times New Roman" w:eastAsia="宋体" w:cs="Times New Roman"/>
          <w:color w:val="000000" w:themeColor="text1"/>
          <w:highlight w:val="none"/>
          <w:lang w:eastAsia="zh-CN"/>
          <w14:textFill>
            <w14:solidFill>
              <w14:schemeClr w14:val="tx1"/>
            </w14:solidFill>
          </w14:textFill>
        </w:rPr>
      </w:pPr>
      <w:bookmarkStart w:id="94" w:name="_Toc9121"/>
      <w:r>
        <w:rPr>
          <w:rFonts w:hint="default" w:ascii="Times New Roman" w:hAnsi="Times New Roman" w:cs="Times New Roman"/>
          <w:color w:val="000000" w:themeColor="text1"/>
          <w:highlight w:val="none"/>
          <w14:textFill>
            <w14:solidFill>
              <w14:schemeClr w14:val="tx1"/>
            </w14:solidFill>
          </w14:textFill>
        </w:rPr>
        <w:t>2.1</w:t>
      </w:r>
      <w:r>
        <w:rPr>
          <w:rFonts w:hint="eastAsia" w:cs="Times New Roman"/>
          <w:color w:val="000000" w:themeColor="text1"/>
          <w:highlight w:val="none"/>
          <w:lang w:eastAsia="zh-CN"/>
          <w14:textFill>
            <w14:solidFill>
              <w14:schemeClr w14:val="tx1"/>
            </w14:solidFill>
          </w14:textFill>
        </w:rPr>
        <w:t>项目概况</w:t>
      </w:r>
      <w:bookmarkEnd w:id="94"/>
    </w:p>
    <w:p w14:paraId="48033C20">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项目名称：</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密山市青山水库除险加固工程</w:t>
      </w:r>
      <w:r>
        <w:rPr>
          <w:rFonts w:hint="eastAsia" w:cs="Times New Roman"/>
          <w:color w:val="000000" w:themeColor="text1"/>
          <w:sz w:val="24"/>
          <w:highlight w:val="none"/>
          <w:lang w:eastAsia="zh-CN"/>
          <w14:textFill>
            <w14:solidFill>
              <w14:schemeClr w14:val="tx1"/>
            </w14:solidFill>
          </w14:textFill>
        </w:rPr>
        <w:t>项目</w:t>
      </w:r>
    </w:p>
    <w:p w14:paraId="372A7188">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建设单位：</w:t>
      </w:r>
      <w:r>
        <w:rPr>
          <w:rFonts w:hint="default" w:ascii="Times New Roman" w:hAnsi="Times New Roman" w:eastAsia="宋体" w:cs="Times New Roman"/>
          <w:color w:val="000000" w:themeColor="text1"/>
          <w:sz w:val="24"/>
          <w:highlight w:val="none"/>
          <w:lang w:eastAsia="zh-CN"/>
          <w14:textFill>
            <w14:solidFill>
              <w14:schemeClr w14:val="tx1"/>
            </w14:solidFill>
          </w14:textFill>
        </w:rPr>
        <w:t>密山市</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水务局</w:t>
      </w:r>
    </w:p>
    <w:p w14:paraId="5B571A82">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highlight w:val="none"/>
          <w14:textFill>
            <w14:solidFill>
              <w14:schemeClr w14:val="tx1"/>
            </w14:solidFill>
          </w14:textFill>
        </w:rPr>
        <w:t>建设地点：</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黑龙江省</w:t>
      </w: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鸡西市密山市太平乡</w:t>
      </w:r>
      <w:r>
        <w:rPr>
          <w:rFonts w:hint="eastAsia" w:ascii="Times New Roman" w:hAnsi="Times New Roman" w:cs="Times New Roman" w:eastAsiaTheme="minorEastAsia"/>
          <w:color w:val="000000" w:themeColor="text1"/>
          <w:sz w:val="24"/>
          <w:szCs w:val="24"/>
          <w:highlight w:val="none"/>
          <w:lang w:eastAsia="zh-CN"/>
          <w14:textFill>
            <w14:solidFill>
              <w14:schemeClr w14:val="tx1"/>
            </w14:solidFill>
          </w14:textFill>
        </w:rPr>
        <w:t>青山水库大坝，</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水库大坝</w:t>
      </w: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中心</w:t>
      </w:r>
      <w:r>
        <w:rPr>
          <w:rFonts w:hint="default" w:ascii="Times New Roman" w:hAnsi="Times New Roman" w:cs="Times New Roman" w:eastAsiaTheme="minorEastAsia"/>
          <w:color w:val="000000" w:themeColor="text1"/>
          <w:sz w:val="24"/>
          <w:szCs w:val="24"/>
          <w:highlight w:val="none"/>
          <w14:textFill>
            <w14:solidFill>
              <w14:schemeClr w14:val="tx1"/>
            </w14:solidFill>
          </w14:textFill>
        </w:rPr>
        <w:t>：东经131°28'55.674"，北纬45°25'58.712"</w:t>
      </w:r>
      <w:r>
        <w:rPr>
          <w:rFonts w:hint="default" w:ascii="Times New Roman" w:hAnsi="Times New Roman" w:cs="Times New Roman"/>
          <w:color w:val="000000" w:themeColor="text1"/>
          <w:sz w:val="24"/>
          <w:highlight w:val="none"/>
          <w14:textFill>
            <w14:solidFill>
              <w14:schemeClr w14:val="tx1"/>
            </w14:solidFill>
          </w14:textFill>
        </w:rPr>
        <w:t>。</w:t>
      </w:r>
    </w:p>
    <w:p w14:paraId="00104BF1">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ascii="Times New Roman" w:hAnsi="Times New Roman"/>
          <w:color w:val="000000" w:themeColor="text1"/>
          <w:sz w:val="24"/>
          <w14:textFill>
            <w14:solidFill>
              <w14:schemeClr w14:val="tx1"/>
            </w14:solidFill>
          </w14:textFill>
        </w:rPr>
        <w:t>建设性质：</w:t>
      </w:r>
      <w:r>
        <w:rPr>
          <w:rFonts w:hint="eastAsia" w:ascii="Times New Roman" w:hAnsi="Times New Roman"/>
          <w:color w:val="000000" w:themeColor="text1"/>
          <w:sz w:val="24"/>
          <w:lang w:val="en-US" w:eastAsia="zh-CN"/>
          <w14:textFill>
            <w14:solidFill>
              <w14:schemeClr w14:val="tx1"/>
            </w14:solidFill>
          </w14:textFill>
        </w:rPr>
        <w:t>改</w:t>
      </w:r>
      <w:r>
        <w:rPr>
          <w:rFonts w:ascii="Times New Roman" w:hAnsi="Times New Roman"/>
          <w:color w:val="000000" w:themeColor="text1"/>
          <w:sz w:val="24"/>
          <w14:textFill>
            <w14:solidFill>
              <w14:schemeClr w14:val="tx1"/>
            </w14:solidFill>
          </w14:textFill>
        </w:rPr>
        <w:t>建</w:t>
      </w:r>
    </w:p>
    <w:p w14:paraId="0CF55483">
      <w:pPr>
        <w:spacing w:line="360" w:lineRule="auto"/>
        <w:ind w:firstLine="480" w:firstLineChars="200"/>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pPr>
      <w:r>
        <w:rPr>
          <w:rFonts w:ascii="Times New Roman" w:hAnsi="Times New Roman"/>
          <w:color w:val="000000" w:themeColor="text1"/>
          <w:sz w:val="24"/>
          <w14:textFill>
            <w14:solidFill>
              <w14:schemeClr w14:val="tx1"/>
            </w14:solidFill>
          </w14:textFill>
        </w:rPr>
        <w:t>建设内容</w:t>
      </w:r>
      <w:r>
        <w:rPr>
          <w:rFonts w:hint="eastAsia" w:ascii="Times New Roman" w:hAnsi="Times New Roman"/>
          <w:color w:val="000000" w:themeColor="text1"/>
          <w:sz w:val="24"/>
          <w14:textFill>
            <w14:solidFill>
              <w14:schemeClr w14:val="tx1"/>
            </w14:solidFill>
          </w14:textFill>
        </w:rPr>
        <w:t>：</w:t>
      </w:r>
      <w:r>
        <w:rPr>
          <w:rFonts w:hint="eastAsia" w:ascii="Times New Roman" w:hAnsi="Times New Roman"/>
          <w:color w:val="000000" w:themeColor="text1"/>
          <w:sz w:val="24"/>
          <w:lang w:eastAsia="zh-CN"/>
          <w14:textFill>
            <w14:solidFill>
              <w14:schemeClr w14:val="tx1"/>
            </w14:solidFill>
          </w14:textFill>
        </w:rPr>
        <w:t>本工</w:t>
      </w:r>
      <w:r>
        <w:rPr>
          <w:rFonts w:hint="eastAsia" w:ascii="Times New Roman" w:hAnsi="Times New Roman" w:cs="Times New Roman" w:eastAsiaTheme="minorEastAsia"/>
          <w:color w:val="000000" w:themeColor="text1"/>
          <w:sz w:val="24"/>
          <w:szCs w:val="24"/>
          <w:highlight w:val="none"/>
          <w:lang w:eastAsia="zh-CN"/>
          <w14:textFill>
            <w14:solidFill>
              <w14:schemeClr w14:val="tx1"/>
            </w14:solidFill>
          </w14:textFill>
        </w:rPr>
        <w:t>程由</w:t>
      </w: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坝体工程</w:t>
      </w:r>
      <w:r>
        <w:rPr>
          <w:rFonts w:hint="eastAsia" w:ascii="Times New Roman" w:hAnsi="Times New Roman" w:cs="Times New Roman" w:eastAsiaTheme="minorEastAsia"/>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lang w:eastAsia="zh-CN"/>
          <w14:textFill>
            <w14:solidFill>
              <w14:schemeClr w14:val="tx1"/>
            </w14:solidFill>
          </w14:textFill>
        </w:rPr>
        <w:t>溢洪道工程</w:t>
      </w:r>
      <w:r>
        <w:rPr>
          <w:rFonts w:hint="eastAsia" w:ascii="Times New Roman" w:hAnsi="Times New Roman" w:cs="Times New Roman" w:eastAsiaTheme="minorEastAsia"/>
          <w:color w:val="000000" w:themeColor="text1"/>
          <w:sz w:val="24"/>
          <w:szCs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输水洞</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组成。</w:t>
      </w:r>
    </w:p>
    <w:p w14:paraId="6A7F35B7">
      <w:pPr>
        <w:pStyle w:val="28"/>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snapToGrid w:val="0"/>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1</w:t>
      </w:r>
      <w:r>
        <w:rPr>
          <w:rFonts w:hint="eastAsia" w:ascii="Times New Roman" w:hAnsi="Times New Roman" w:eastAsia="宋体" w:cs="Times New Roman"/>
          <w:snapToGrid w:val="0"/>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eastAsiaTheme="minorEastAsia"/>
          <w:snapToGrid w:val="0"/>
          <w:color w:val="000000" w:themeColor="text1"/>
          <w:kern w:val="0"/>
          <w:sz w:val="24"/>
          <w:szCs w:val="24"/>
          <w:highlight w:val="none"/>
          <w14:textFill>
            <w14:solidFill>
              <w14:schemeClr w14:val="tx1"/>
            </w14:solidFill>
          </w14:textFill>
        </w:rPr>
        <w:t>坝</w:t>
      </w:r>
      <w:r>
        <w:rPr>
          <w:rFonts w:hint="default" w:ascii="Times New Roman" w:hAnsi="Times New Roman" w:cs="Times New Roman" w:eastAsiaTheme="minorEastAsia"/>
          <w:snapToGrid w:val="0"/>
          <w:color w:val="000000" w:themeColor="text1"/>
          <w:kern w:val="0"/>
          <w:sz w:val="24"/>
          <w:szCs w:val="24"/>
          <w:highlight w:val="none"/>
          <w:lang w:eastAsia="zh-CN"/>
          <w14:textFill>
            <w14:solidFill>
              <w14:schemeClr w14:val="tx1"/>
            </w14:solidFill>
          </w14:textFill>
        </w:rPr>
        <w:t>体</w:t>
      </w:r>
      <w:r>
        <w:rPr>
          <w:rFonts w:hint="default" w:ascii="Times New Roman" w:hAnsi="Times New Roman" w:cs="Times New Roman" w:eastAsiaTheme="minorEastAsia"/>
          <w:snapToGrid w:val="0"/>
          <w:color w:val="000000" w:themeColor="text1"/>
          <w:kern w:val="0"/>
          <w:sz w:val="24"/>
          <w:szCs w:val="24"/>
          <w:highlight w:val="none"/>
          <w14:textFill>
            <w14:solidFill>
              <w14:schemeClr w14:val="tx1"/>
            </w14:solidFill>
          </w14:textFill>
        </w:rPr>
        <w:t>工程</w:t>
      </w:r>
      <w:r>
        <w:rPr>
          <w:rFonts w:hint="eastAsia" w:ascii="Times New Roman" w:hAnsi="Times New Roman" w:cs="Times New Roman" w:eastAsiaTheme="minorEastAsia"/>
          <w:snapToGrid w:val="0"/>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szCs w:val="24"/>
          <w:lang w:val="en-US" w:eastAsia="zh-CN" w:bidi="ar"/>
          <w14:textFill>
            <w14:solidFill>
              <w14:schemeClr w14:val="tx1"/>
            </w14:solidFill>
          </w14:textFill>
        </w:rPr>
        <w:t>坝长540m，坝顶宽度5m，坝的迎水坡坡比为1:3.0，背水坡坡比为1:2.5。迎水侧维持现有干砌石护坡；新增坝顶水泥混凝土硬化20cm厚下设水稳碎石基层20cm厚，路面宽度4.5m，坝顶设0.25m宽0.7m高路缘石，高出坝顶路面0.2m，照明设施14座</w:t>
      </w:r>
      <w:r>
        <w:rPr>
          <w:rFonts w:hint="default" w:ascii="Times New Roman" w:hAnsi="Times New Roman" w:cs="Times New Roman"/>
          <w:snapToGrid w:val="0"/>
          <w:color w:val="000000" w:themeColor="text1"/>
          <w:kern w:val="0"/>
          <w:sz w:val="24"/>
          <w:szCs w:val="24"/>
          <w:lang w:val="en-US" w:eastAsia="zh-CN" w:bidi="ar"/>
          <w14:textFill>
            <w14:solidFill>
              <w14:schemeClr w14:val="tx1"/>
            </w14:solidFill>
          </w14:textFill>
        </w:rPr>
        <w:t>。</w:t>
      </w:r>
    </w:p>
    <w:p w14:paraId="097D026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napToGrid w:val="0"/>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szCs w:val="24"/>
          <w:lang w:val="en-US" w:eastAsia="zh-CN" w:bidi="ar"/>
          <w14:textFill>
            <w14:solidFill>
              <w14:schemeClr w14:val="tx1"/>
            </w14:solidFill>
          </w14:textFill>
        </w:rPr>
        <w:t>拆除坝顶溢洪道启闭房；坝段背水侧现状混凝土路以上坝坡碎石护坡20cm厚，每隔100m桩号设2m宽下坝台阶，坡脚混凝土矩形槽排水沟，现状混凝土路以下按比例放坡，部分坝段坡脚根据需要设需要棱体排水，整体下铺400g/m</w:t>
      </w:r>
      <w:r>
        <w:rPr>
          <w:rFonts w:hint="default" w:ascii="Times New Roman" w:hAnsi="Times New Roman" w:eastAsia="宋体" w:cs="Times New Roman"/>
          <w:snapToGrid w:val="0"/>
          <w:color w:val="000000" w:themeColor="text1"/>
          <w:kern w:val="0"/>
          <w:sz w:val="24"/>
          <w:szCs w:val="24"/>
          <w:vertAlign w:val="superscript"/>
          <w:lang w:val="en-US" w:eastAsia="zh-CN" w:bidi="ar"/>
          <w14:textFill>
            <w14:solidFill>
              <w14:schemeClr w14:val="tx1"/>
            </w14:solidFill>
          </w14:textFill>
        </w:rPr>
        <w:t>2</w:t>
      </w:r>
      <w:r>
        <w:rPr>
          <w:rFonts w:hint="default" w:ascii="Times New Roman" w:hAnsi="Times New Roman" w:eastAsia="宋体" w:cs="Times New Roman"/>
          <w:snapToGrid w:val="0"/>
          <w:color w:val="000000" w:themeColor="text1"/>
          <w:kern w:val="0"/>
          <w:sz w:val="24"/>
          <w:szCs w:val="24"/>
          <w:lang w:val="en-US" w:eastAsia="zh-CN" w:bidi="ar"/>
          <w14:textFill>
            <w14:solidFill>
              <w14:schemeClr w14:val="tx1"/>
            </w14:solidFill>
          </w14:textFill>
        </w:rPr>
        <w:t>土工布。</w:t>
      </w:r>
    </w:p>
    <w:p w14:paraId="6A3E4B6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napToGrid w:val="0"/>
          <w:color w:val="000000" w:themeColor="text1"/>
          <w:kern w:val="0"/>
          <w:sz w:val="24"/>
          <w:szCs w:val="24"/>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highlight w:val="none"/>
          <w:lang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t>2</w:t>
      </w:r>
      <w:r>
        <w:rPr>
          <w:rFonts w:hint="eastAsia" w:ascii="Times New Roman" w:hAnsi="Times New Roman" w:eastAsia="宋体" w:cs="Times New Roman"/>
          <w:snapToGrid w:val="0"/>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eastAsiaTheme="minorEastAsia"/>
          <w:snapToGrid w:val="0"/>
          <w:color w:val="000000" w:themeColor="text1"/>
          <w:kern w:val="0"/>
          <w:sz w:val="24"/>
          <w:szCs w:val="24"/>
          <w:highlight w:val="none"/>
          <w14:textFill>
            <w14:solidFill>
              <w14:schemeClr w14:val="tx1"/>
            </w14:solidFill>
          </w14:textFill>
        </w:rPr>
        <w:t>溢洪道工程</w:t>
      </w:r>
      <w:r>
        <w:rPr>
          <w:rFonts w:hint="eastAsia" w:ascii="Times New Roman" w:hAnsi="Times New Roman" w:cs="Times New Roman" w:eastAsiaTheme="minorEastAsia"/>
          <w:snapToGrid w:val="0"/>
          <w:color w:val="000000" w:themeColor="text1"/>
          <w:kern w:val="0"/>
          <w:sz w:val="24"/>
          <w:szCs w:val="24"/>
          <w:highlight w:val="none"/>
          <w:lang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szCs w:val="24"/>
          <w:lang w:val="en-US" w:eastAsia="zh-CN" w:bidi="ar"/>
          <w14:textFill>
            <w14:solidFill>
              <w14:schemeClr w14:val="tx1"/>
            </w14:solidFill>
          </w14:textFill>
        </w:rPr>
        <w:t>溢洪道位于坝段桩号0+030，溢洪道维持进口段不变</w:t>
      </w:r>
      <w:r>
        <w:rPr>
          <w:rFonts w:hint="default" w:ascii="Times New Roman" w:hAnsi="Times New Roman" w:cs="Times New Roman" w:eastAsiaTheme="minorEastAsia"/>
          <w:snapToGrid w:val="0"/>
          <w:color w:val="000000" w:themeColor="text1"/>
          <w:kern w:val="0"/>
          <w:sz w:val="24"/>
          <w:szCs w:val="24"/>
          <w:highlight w:val="none"/>
          <w:vertAlign w:val="baseli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szCs w:val="24"/>
          <w:lang w:val="en-US" w:eastAsia="zh-CN" w:bidi="ar"/>
          <w14:textFill>
            <w14:solidFill>
              <w14:schemeClr w14:val="tx1"/>
            </w14:solidFill>
          </w14:textFill>
        </w:rPr>
        <w:t>加固重建水毁消力池及海漫段，消力池分两级，均为钢筋混凝土结构。</w:t>
      </w:r>
    </w:p>
    <w:p w14:paraId="0EC477E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napToGrid w:val="0"/>
          <w:color w:val="000000" w:themeColor="text1"/>
          <w:kern w:val="0"/>
          <w:sz w:val="24"/>
          <w:szCs w:val="24"/>
          <w14:textFill>
            <w14:solidFill>
              <w14:schemeClr w14:val="tx1"/>
            </w14:solidFill>
          </w14:textFill>
        </w:rPr>
      </w:pPr>
      <w:r>
        <w:rPr>
          <w:rFonts w:hint="default" w:ascii="Times New Roman" w:hAnsi="Times New Roman" w:eastAsia="宋体" w:cs="Times New Roman"/>
          <w:snapToGrid w:val="0"/>
          <w:color w:val="000000" w:themeColor="text1"/>
          <w:kern w:val="0"/>
          <w:sz w:val="24"/>
          <w:szCs w:val="24"/>
          <w:lang w:val="en-US" w:eastAsia="zh-CN" w:bidi="ar"/>
          <w14:textFill>
            <w14:solidFill>
              <w14:schemeClr w14:val="tx1"/>
            </w14:solidFill>
          </w14:textFill>
        </w:rPr>
        <w:t>一级消力池长22m，净宽4.5m，池深1m，钢筋混凝土底板厚1.5m，下设0.1m厚素混凝土垫层；二级消力池长22m，净宽4.5m，池深1.8m，钢筋混凝土底板厚1.5m，下设0.1m厚素混凝土垫层。边墙墙顶设安全防护围栏。</w:t>
      </w:r>
    </w:p>
    <w:p w14:paraId="3DE56D58">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snapToGrid w:val="0"/>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szCs w:val="24"/>
          <w:lang w:val="en-US" w:eastAsia="zh-CN" w:bidi="ar"/>
          <w14:textFill>
            <w14:solidFill>
              <w14:schemeClr w14:val="tx1"/>
            </w14:solidFill>
          </w14:textFill>
        </w:rPr>
        <w:t>海漫段长25m，护底为钢筋石笼结构，护坡为格宾石笼结构，厚50cm，底宽4.5m，边坡坡比1:2.5，两侧坡顶设1m宽格宾石笼压顶，整体下铺400g/㎡土工布；海漫段尾部设干砌石防冲槽。</w:t>
      </w:r>
    </w:p>
    <w:p w14:paraId="08B989E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napToGrid w:val="0"/>
          <w:color w:val="000000" w:themeColor="text1"/>
          <w:kern w:val="0"/>
          <w:sz w:val="24"/>
          <w:szCs w:val="24"/>
          <w14:textFill>
            <w14:solidFill>
              <w14:schemeClr w14:val="tx1"/>
            </w14:solidFill>
          </w14:textFill>
        </w:rPr>
      </w:pPr>
      <w:r>
        <w:rPr>
          <w:rFonts w:hint="eastAsia" w:ascii="Times New Roman" w:hAnsi="Times New Roman" w:eastAsia="宋体" w:cs="Times New Roman"/>
          <w:snapToGrid w:val="0"/>
          <w:color w:val="000000" w:themeColor="text1"/>
          <w:kern w:val="0"/>
          <w:sz w:val="24"/>
          <w:szCs w:val="24"/>
          <w:highlight w:val="none"/>
          <w:lang w:eastAsia="zh-CN"/>
          <w14:textFill>
            <w14:solidFill>
              <w14:schemeClr w14:val="tx1"/>
            </w14:solidFill>
          </w14:textFill>
        </w:rPr>
        <w:t>（</w:t>
      </w:r>
      <w:r>
        <w:rPr>
          <w:rFonts w:hint="eastAsia" w:ascii="Times New Roman" w:hAnsi="Times New Roman" w:eastAsia="宋体" w:cs="Times New Roman"/>
          <w:snapToGrid w:val="0"/>
          <w:color w:val="000000" w:themeColor="text1"/>
          <w:kern w:val="0"/>
          <w:sz w:val="24"/>
          <w:szCs w:val="24"/>
          <w:highlight w:val="none"/>
          <w:lang w:val="en-US" w:eastAsia="zh-CN"/>
          <w14:textFill>
            <w14:solidFill>
              <w14:schemeClr w14:val="tx1"/>
            </w14:solidFill>
          </w14:textFill>
        </w:rPr>
        <w:t>3</w:t>
      </w:r>
      <w:r>
        <w:rPr>
          <w:rFonts w:hint="eastAsia" w:ascii="Times New Roman" w:hAnsi="Times New Roman" w:eastAsia="宋体" w:cs="Times New Roman"/>
          <w:snapToGrid w:val="0"/>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eastAsiaTheme="minorEastAsia"/>
          <w:snapToGrid w:val="0"/>
          <w:color w:val="000000" w:themeColor="text1"/>
          <w:kern w:val="0"/>
          <w:sz w:val="24"/>
          <w:szCs w:val="24"/>
          <w:highlight w:val="none"/>
          <w:vertAlign w:val="baseline"/>
          <w:lang w:val="en-US" w:eastAsia="zh-CN"/>
          <w14:textFill>
            <w14:solidFill>
              <w14:schemeClr w14:val="tx1"/>
            </w14:solidFill>
          </w14:textFill>
        </w:rPr>
        <w:t>输水洞</w:t>
      </w:r>
      <w:r>
        <w:rPr>
          <w:rFonts w:hint="eastAsia" w:ascii="Times New Roman" w:hAnsi="Times New Roman" w:cs="Times New Roman" w:eastAsiaTheme="minorEastAsia"/>
          <w:snapToGrid w:val="0"/>
          <w:color w:val="000000" w:themeColor="text1"/>
          <w:kern w:val="0"/>
          <w:sz w:val="24"/>
          <w:szCs w:val="24"/>
          <w:highlight w:val="none"/>
          <w:vertAlign w:val="baseline"/>
          <w:lang w:val="en-US" w:eastAsia="zh-CN"/>
          <w14:textFill>
            <w14:solidFill>
              <w14:schemeClr w14:val="tx1"/>
            </w14:solidFill>
          </w14:textFill>
        </w:rPr>
        <w:t>：</w:t>
      </w:r>
      <w:r>
        <w:rPr>
          <w:rFonts w:hint="default" w:ascii="Times New Roman" w:hAnsi="Times New Roman" w:eastAsia="宋体" w:cs="Times New Roman"/>
          <w:snapToGrid w:val="0"/>
          <w:color w:val="000000" w:themeColor="text1"/>
          <w:kern w:val="0"/>
          <w:sz w:val="24"/>
          <w:szCs w:val="24"/>
          <w:lang w:val="en-US" w:eastAsia="zh-CN" w:bidi="ar"/>
          <w14:textFill>
            <w14:solidFill>
              <w14:schemeClr w14:val="tx1"/>
            </w14:solidFill>
          </w14:textFill>
        </w:rPr>
        <w:t>重建水毁消力池及海漫段。消力池长13.2m，净宽4m，池深0.6m，底板厚1m，下设0.1m厚素混凝土垫层。边墙墙顶设安全防护围栏。</w:t>
      </w:r>
    </w:p>
    <w:p w14:paraId="60CE302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snapToGrid w:val="0"/>
          <w:color w:val="000000" w:themeColor="text1"/>
          <w:kern w:val="0"/>
          <w:sz w:val="24"/>
          <w:szCs w:val="24"/>
          <w:highlight w:val="none"/>
          <w:lang w:eastAsia="zh-CN"/>
          <w14:textFill>
            <w14:solidFill>
              <w14:schemeClr w14:val="tx1"/>
            </w14:solidFill>
          </w14:textFill>
        </w:rPr>
      </w:pPr>
      <w:r>
        <w:rPr>
          <w:rFonts w:hint="default" w:ascii="Times New Roman" w:hAnsi="Times New Roman" w:eastAsia="宋体" w:cs="Times New Roman"/>
          <w:snapToGrid w:val="0"/>
          <w:color w:val="000000" w:themeColor="text1"/>
          <w:kern w:val="0"/>
          <w:sz w:val="24"/>
          <w:szCs w:val="24"/>
          <w:lang w:val="en-US" w:eastAsia="zh-CN" w:bidi="ar"/>
          <w14:textFill>
            <w14:solidFill>
              <w14:schemeClr w14:val="tx1"/>
            </w14:solidFill>
          </w14:textFill>
        </w:rPr>
        <w:t>海漫段长25m，护底为钢筋石笼结构，护坡为格宾石笼结构，厚50cm，底宽4.5m，边坡坡比1:2，两侧坡顶设1m宽格宾石笼压顶，整体下铺400g/㎡土工布。</w:t>
      </w:r>
    </w:p>
    <w:p w14:paraId="3495A50A">
      <w:pPr>
        <w:pStyle w:val="5"/>
        <w:numPr>
          <w:ilvl w:val="1"/>
          <w:numId w:val="0"/>
        </w:numPr>
        <w:rPr>
          <w:rFonts w:hint="eastAsia" w:ascii="Times New Roman" w:hAnsi="Times New Roman" w:eastAsia="宋体" w:cs="Times New Roman"/>
          <w:color w:val="000000" w:themeColor="text1"/>
          <w:highlight w:val="none"/>
          <w:lang w:eastAsia="zh-CN"/>
          <w14:textFill>
            <w14:solidFill>
              <w14:schemeClr w14:val="tx1"/>
            </w14:solidFill>
          </w14:textFill>
        </w:rPr>
      </w:pPr>
      <w:bookmarkStart w:id="95" w:name="_Toc14752"/>
      <w:r>
        <w:rPr>
          <w:rFonts w:hint="default" w:ascii="Times New Roman" w:hAnsi="Times New Roman" w:cs="Times New Roman"/>
          <w:color w:val="000000" w:themeColor="text1"/>
          <w:highlight w:val="none"/>
          <w14:textFill>
            <w14:solidFill>
              <w14:schemeClr w14:val="tx1"/>
            </w14:solidFill>
          </w14:textFill>
        </w:rPr>
        <w:t>2.</w:t>
      </w:r>
      <w:r>
        <w:rPr>
          <w:rFonts w:hint="eastAsia" w:ascii="Times New Roman" w:hAnsi="Times New Roman" w:cs="Times New Roman"/>
          <w:color w:val="000000" w:themeColor="text1"/>
          <w:highlight w:val="none"/>
          <w:lang w:val="en-US" w:eastAsia="zh-CN"/>
          <w14:textFill>
            <w14:solidFill>
              <w14:schemeClr w14:val="tx1"/>
            </w14:solidFill>
          </w14:textFill>
        </w:rPr>
        <w:t>2施工期污染源分析</w:t>
      </w:r>
      <w:bookmarkEnd w:id="95"/>
    </w:p>
    <w:p w14:paraId="547F36BB">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eastAsia="zh-CN"/>
          <w14:textFill>
            <w14:solidFill>
              <w14:schemeClr w14:val="tx1"/>
            </w14:solidFill>
          </w14:textFill>
        </w:rPr>
        <w:t>施工期水污染源主要有施工人员的生活污水、</w:t>
      </w:r>
      <w:r>
        <w:rPr>
          <w:rFonts w:hint="default" w:ascii="Times New Roman" w:hAnsi="Times New Roman" w:cs="Times New Roman"/>
          <w:color w:val="000000" w:themeColor="text1"/>
          <w:sz w:val="24"/>
          <w:highlight w:val="none"/>
          <w:lang w:val="en-US" w:eastAsia="zh-CN"/>
          <w14:textFill>
            <w14:solidFill>
              <w14:schemeClr w14:val="tx1"/>
            </w14:solidFill>
          </w14:textFill>
        </w:rPr>
        <w:t>混凝土废水</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w:t>
      </w:r>
    </w:p>
    <w:p w14:paraId="573DF42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textAlignment w:val="auto"/>
        <w:outlineLvl w:val="0"/>
        <w:rPr>
          <w:rFonts w:hint="default" w:ascii="Times New Roman" w:hAnsi="Times New Roman" w:cs="Times New Roman" w:eastAsiaTheme="minorEastAsia"/>
          <w:snapToGrid w:val="0"/>
          <w:color w:val="000000" w:themeColor="text1"/>
          <w:spacing w:val="0"/>
          <w:kern w:val="0"/>
          <w:position w:val="0"/>
          <w:sz w:val="24"/>
          <w:highlight w:val="none"/>
          <w14:textFill>
            <w14:solidFill>
              <w14:schemeClr w14:val="tx1"/>
            </w14:solidFill>
          </w14:textFill>
        </w:rPr>
      </w:pPr>
      <w:bookmarkStart w:id="96" w:name="_Toc5900"/>
      <w:bookmarkStart w:id="97" w:name="_Toc19108"/>
      <w:bookmarkStart w:id="98" w:name="_Toc7838"/>
      <w:bookmarkStart w:id="99" w:name="_Toc10510"/>
      <w:r>
        <w:rPr>
          <w:rFonts w:hint="eastAsia" w:ascii="Times New Roman" w:hAnsi="Times New Roman" w:cs="Times New Roman" w:eastAsiaTheme="minorEastAsia"/>
          <w:snapToGrid w:val="0"/>
          <w:color w:val="000000" w:themeColor="text1"/>
          <w:spacing w:val="0"/>
          <w:kern w:val="0"/>
          <w:position w:val="0"/>
          <w:sz w:val="24"/>
          <w:highlight w:val="none"/>
          <w:lang w:val="en-US" w:eastAsia="zh-CN"/>
          <w14:textFill>
            <w14:solidFill>
              <w14:schemeClr w14:val="tx1"/>
            </w14:solidFill>
          </w14:textFill>
        </w:rPr>
        <w:t>（1）</w:t>
      </w:r>
      <w:r>
        <w:rPr>
          <w:rFonts w:hint="default" w:ascii="Times New Roman" w:hAnsi="Times New Roman" w:cs="Times New Roman" w:eastAsiaTheme="minorEastAsia"/>
          <w:snapToGrid w:val="0"/>
          <w:color w:val="000000" w:themeColor="text1"/>
          <w:spacing w:val="0"/>
          <w:kern w:val="0"/>
          <w:position w:val="0"/>
          <w:sz w:val="24"/>
          <w:highlight w:val="none"/>
          <w14:textFill>
            <w14:solidFill>
              <w14:schemeClr w14:val="tx1"/>
            </w14:solidFill>
          </w14:textFill>
        </w:rPr>
        <w:t>生活污水</w:t>
      </w:r>
      <w:bookmarkEnd w:id="96"/>
      <w:bookmarkEnd w:id="97"/>
      <w:bookmarkEnd w:id="98"/>
      <w:bookmarkEnd w:id="99"/>
    </w:p>
    <w:p w14:paraId="1AD48D3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0"/>
        <w:rPr>
          <w:rFonts w:hint="default" w:ascii="Times New Roman" w:hAnsi="Times New Roman" w:cs="Times New Roman" w:eastAsiaTheme="minorEastAsia"/>
          <w:snapToGrid w:val="0"/>
          <w:color w:val="000000" w:themeColor="text1"/>
          <w:spacing w:val="0"/>
          <w:position w:val="0"/>
          <w:sz w:val="24"/>
          <w:highlight w:val="none"/>
          <w:lang w:eastAsia="zh-CN"/>
          <w14:textFill>
            <w14:solidFill>
              <w14:schemeClr w14:val="tx1"/>
            </w14:solidFill>
          </w14:textFill>
        </w:rPr>
      </w:pPr>
      <w:bookmarkStart w:id="100" w:name="_Toc7709"/>
      <w:bookmarkStart w:id="101" w:name="_Toc31010"/>
      <w:bookmarkStart w:id="102" w:name="_Toc24307"/>
      <w:bookmarkStart w:id="103" w:name="_Toc12268"/>
      <w:r>
        <w:rPr>
          <w:rFonts w:hint="default" w:ascii="Times New Roman" w:hAnsi="Times New Roman" w:cs="Times New Roman" w:eastAsiaTheme="minorEastAsia"/>
          <w:snapToGrid w:val="0"/>
          <w:color w:val="000000" w:themeColor="text1"/>
          <w:spacing w:val="0"/>
          <w:position w:val="0"/>
          <w:sz w:val="24"/>
          <w:highlight w:val="none"/>
          <w14:textFill>
            <w14:solidFill>
              <w14:schemeClr w14:val="tx1"/>
            </w14:solidFill>
          </w14:textFill>
        </w:rPr>
        <w:t>施工人员按高峰阶段计算，需劳动力人数</w:t>
      </w:r>
      <w:r>
        <w:rPr>
          <w:rFonts w:hint="default" w:ascii="Times New Roman" w:hAnsi="Times New Roman" w:cs="Times New Roman" w:eastAsiaTheme="minorEastAsia"/>
          <w:snapToGrid w:val="0"/>
          <w:color w:val="000000" w:themeColor="text1"/>
          <w:spacing w:val="0"/>
          <w:position w:val="0"/>
          <w:sz w:val="24"/>
          <w:highlight w:val="none"/>
          <w:lang w:val="en-US" w:eastAsia="zh-CN"/>
          <w14:textFill>
            <w14:solidFill>
              <w14:schemeClr w14:val="tx1"/>
            </w14:solidFill>
          </w14:textFill>
        </w:rPr>
        <w:t>60</w:t>
      </w:r>
      <w:r>
        <w:rPr>
          <w:rFonts w:hint="default" w:ascii="Times New Roman" w:hAnsi="Times New Roman" w:cs="Times New Roman" w:eastAsiaTheme="minorEastAsia"/>
          <w:snapToGrid w:val="0"/>
          <w:color w:val="000000" w:themeColor="text1"/>
          <w:spacing w:val="0"/>
          <w:position w:val="0"/>
          <w:sz w:val="24"/>
          <w:highlight w:val="none"/>
          <w14:textFill>
            <w14:solidFill>
              <w14:schemeClr w14:val="tx1"/>
            </w14:solidFill>
          </w14:textFill>
        </w:rPr>
        <w:t>人，根据临时生活区环境条件和《用水定额》（DB23/T727-2021），参照农村环境用水标准，施工人员用水定额为</w:t>
      </w:r>
      <w:r>
        <w:rPr>
          <w:rFonts w:hint="default" w:ascii="Times New Roman" w:hAnsi="Times New Roman" w:cs="Times New Roman" w:eastAsiaTheme="minorEastAsia"/>
          <w:snapToGrid w:val="0"/>
          <w:color w:val="000000" w:themeColor="text1"/>
          <w:spacing w:val="0"/>
          <w:position w:val="0"/>
          <w:sz w:val="24"/>
          <w:highlight w:val="none"/>
          <w:lang w:val="en-US" w:eastAsia="zh-CN"/>
          <w14:textFill>
            <w14:solidFill>
              <w14:schemeClr w14:val="tx1"/>
            </w14:solidFill>
          </w14:textFill>
        </w:rPr>
        <w:t>80</w:t>
      </w:r>
      <w:r>
        <w:rPr>
          <w:rFonts w:hint="default" w:ascii="Times New Roman" w:hAnsi="Times New Roman" w:cs="Times New Roman" w:eastAsiaTheme="minorEastAsia"/>
          <w:snapToGrid w:val="0"/>
          <w:color w:val="000000" w:themeColor="text1"/>
          <w:spacing w:val="0"/>
          <w:position w:val="0"/>
          <w:sz w:val="24"/>
          <w:highlight w:val="none"/>
          <w14:textFill>
            <w14:solidFill>
              <w14:schemeClr w14:val="tx1"/>
            </w14:solidFill>
          </w14:textFill>
        </w:rPr>
        <w:t>L/人·d，总用水量</w:t>
      </w:r>
      <w:r>
        <w:rPr>
          <w:rFonts w:hint="default" w:ascii="Times New Roman" w:hAnsi="Times New Roman" w:cs="Times New Roman" w:eastAsiaTheme="minorEastAsia"/>
          <w:snapToGrid w:val="0"/>
          <w:color w:val="000000" w:themeColor="text1"/>
          <w:spacing w:val="0"/>
          <w:position w:val="0"/>
          <w:sz w:val="24"/>
          <w:highlight w:val="none"/>
          <w:lang w:val="en-US" w:eastAsia="zh-CN"/>
          <w14:textFill>
            <w14:solidFill>
              <w14:schemeClr w14:val="tx1"/>
            </w14:solidFill>
          </w14:textFill>
        </w:rPr>
        <w:t>4.80</w:t>
      </w:r>
      <w:r>
        <w:rPr>
          <w:rFonts w:hint="default" w:ascii="Times New Roman" w:hAnsi="Times New Roman" w:cs="Times New Roman" w:eastAsiaTheme="minorEastAsia"/>
          <w:snapToGrid w:val="0"/>
          <w:color w:val="000000" w:themeColor="text1"/>
          <w:spacing w:val="0"/>
          <w:position w:val="0"/>
          <w:sz w:val="24"/>
          <w:highlight w:val="none"/>
          <w14:textFill>
            <w14:solidFill>
              <w14:schemeClr w14:val="tx1"/>
            </w14:solidFill>
          </w14:textFill>
        </w:rPr>
        <w:t>m³/d，生活污水排放量为</w:t>
      </w:r>
      <w:r>
        <w:rPr>
          <w:rFonts w:hint="default" w:ascii="Times New Roman" w:hAnsi="Times New Roman" w:cs="Times New Roman" w:eastAsiaTheme="minorEastAsia"/>
          <w:snapToGrid w:val="0"/>
          <w:color w:val="000000" w:themeColor="text1"/>
          <w:spacing w:val="0"/>
          <w:position w:val="0"/>
          <w:sz w:val="24"/>
          <w:highlight w:val="none"/>
          <w:lang w:val="en-US" w:eastAsia="zh-CN"/>
          <w14:textFill>
            <w14:solidFill>
              <w14:schemeClr w14:val="tx1"/>
            </w14:solidFill>
          </w14:textFill>
        </w:rPr>
        <w:t>3.84</w:t>
      </w:r>
      <w:r>
        <w:rPr>
          <w:rFonts w:hint="default" w:ascii="Times New Roman" w:hAnsi="Times New Roman" w:cs="Times New Roman" w:eastAsiaTheme="minorEastAsia"/>
          <w:snapToGrid w:val="0"/>
          <w:color w:val="000000" w:themeColor="text1"/>
          <w:spacing w:val="0"/>
          <w:position w:val="0"/>
          <w:sz w:val="24"/>
          <w:highlight w:val="none"/>
          <w14:textFill>
            <w14:solidFill>
              <w14:schemeClr w14:val="tx1"/>
            </w14:solidFill>
          </w14:textFill>
        </w:rPr>
        <w:t>m³/d。生活污水主要污染物有COD、氨氮等</w:t>
      </w:r>
      <w:r>
        <w:rPr>
          <w:rFonts w:hint="default" w:ascii="Times New Roman" w:hAnsi="Times New Roman" w:cs="Times New Roman" w:eastAsiaTheme="minorEastAsia"/>
          <w:snapToGrid w:val="0"/>
          <w:color w:val="000000" w:themeColor="text1"/>
          <w:spacing w:val="0"/>
          <w:position w:val="0"/>
          <w:sz w:val="24"/>
          <w:highlight w:val="none"/>
          <w:lang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施工过程中产生的生活污水需采用移动防渗旱厕集中收集，定期清掏堆肥，无害化后还田处理，生活污水不外排。</w:t>
      </w:r>
      <w:bookmarkEnd w:id="100"/>
      <w:bookmarkEnd w:id="101"/>
      <w:bookmarkEnd w:id="102"/>
      <w:bookmarkEnd w:id="103"/>
    </w:p>
    <w:p w14:paraId="3F3198C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420" w:leftChars="0"/>
        <w:textAlignment w:val="auto"/>
        <w:outlineLvl w:val="0"/>
        <w:rPr>
          <w:rFonts w:hint="default" w:ascii="Times New Roman" w:hAnsi="Times New Roman" w:cs="Times New Roman" w:eastAsiaTheme="minorEastAsia"/>
          <w:snapToGrid w:val="0"/>
          <w:color w:val="000000" w:themeColor="text1"/>
          <w:spacing w:val="0"/>
          <w:position w:val="0"/>
          <w:sz w:val="24"/>
          <w:highlight w:val="none"/>
          <w14:textFill>
            <w14:solidFill>
              <w14:schemeClr w14:val="tx1"/>
            </w14:solidFill>
          </w14:textFill>
        </w:rPr>
      </w:pPr>
      <w:bookmarkStart w:id="104" w:name="_Toc10089"/>
      <w:bookmarkStart w:id="105" w:name="_Toc26892"/>
      <w:bookmarkStart w:id="106" w:name="_Toc11952"/>
      <w:bookmarkStart w:id="107" w:name="_Toc1527"/>
      <w:r>
        <w:rPr>
          <w:rFonts w:hint="eastAsia" w:ascii="Times New Roman" w:hAnsi="Times New Roman" w:cs="Times New Roman" w:eastAsiaTheme="minorEastAsia"/>
          <w:snapToGrid w:val="0"/>
          <w:color w:val="000000" w:themeColor="text1"/>
          <w:spacing w:val="0"/>
          <w:position w:val="0"/>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lang w:val="en-US" w:eastAsia="zh-CN"/>
          <w14:textFill>
            <w14:solidFill>
              <w14:schemeClr w14:val="tx1"/>
            </w14:solidFill>
          </w14:textFill>
        </w:rPr>
        <w:t>混凝土废水</w:t>
      </w:r>
      <w:bookmarkEnd w:id="104"/>
      <w:bookmarkEnd w:id="105"/>
      <w:bookmarkEnd w:id="106"/>
      <w:bookmarkEnd w:id="107"/>
    </w:p>
    <w:p w14:paraId="570DB985">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outlineLvl w:val="0"/>
        <w:rPr>
          <w:rFonts w:hint="default" w:ascii="Times New Roman" w:hAnsi="Times New Roman" w:cs="Times New Roman" w:eastAsiaTheme="minorEastAsia"/>
          <w:snapToGrid w:val="0"/>
          <w:color w:val="000000" w:themeColor="text1"/>
          <w:spacing w:val="0"/>
          <w:position w:val="0"/>
          <w:sz w:val="24"/>
          <w:highlight w:val="none"/>
          <w14:textFill>
            <w14:solidFill>
              <w14:schemeClr w14:val="tx1"/>
            </w14:solidFill>
          </w14:textFill>
        </w:rPr>
      </w:pPr>
      <w:bookmarkStart w:id="108" w:name="_Toc6539"/>
      <w:bookmarkStart w:id="109" w:name="_Toc17248"/>
      <w:bookmarkStart w:id="110" w:name="_Toc16612"/>
      <w:bookmarkStart w:id="111" w:name="_Toc27525"/>
      <w:r>
        <w:rPr>
          <w:rFonts w:hint="default" w:ascii="Times New Roman" w:hAnsi="Times New Roman" w:cs="Times New Roman"/>
          <w:color w:val="000000" w:themeColor="text1"/>
          <w:sz w:val="24"/>
          <w:highlight w:val="none"/>
          <w14:textFill>
            <w14:solidFill>
              <w14:schemeClr w14:val="tx1"/>
            </w14:solidFill>
          </w14:textFill>
        </w:rPr>
        <w:t>混凝土在生产、养护过程中将产生废水，该废水具有不连续性等特点，如果随意排放，将对周围土壤、地下水水质、地表水水质及河流水生生物等产生不利影响，因此，施工过程中该类废水</w:t>
      </w:r>
      <w:r>
        <w:rPr>
          <w:rFonts w:hint="default" w:ascii="Times New Roman" w:hAnsi="Times New Roman" w:cs="Times New Roman"/>
          <w:color w:val="000000" w:themeColor="text1"/>
          <w:sz w:val="24"/>
          <w:highlight w:val="none"/>
          <w:lang w:val="en-US" w:eastAsia="zh-CN"/>
          <w14:textFill>
            <w14:solidFill>
              <w14:schemeClr w14:val="tx1"/>
            </w14:solidFill>
          </w14:textFill>
        </w:rPr>
        <w:t>采用沉淀池</w:t>
      </w:r>
      <w:r>
        <w:rPr>
          <w:rFonts w:hint="default" w:ascii="Times New Roman" w:hAnsi="Times New Roman" w:cs="Times New Roman"/>
          <w:color w:val="000000" w:themeColor="text1"/>
          <w:sz w:val="24"/>
          <w:szCs w:val="32"/>
          <w:highlight w:val="none"/>
          <w14:textFill>
            <w14:solidFill>
              <w14:schemeClr w14:val="tx1"/>
            </w14:solidFill>
          </w14:textFill>
        </w:rPr>
        <w:t>尺寸为2.0m（长）×2.0m（宽）×</w:t>
      </w:r>
      <w:r>
        <w:rPr>
          <w:rFonts w:hint="eastAsia" w:cs="Times New Roman"/>
          <w:color w:val="000000" w:themeColor="text1"/>
          <w:sz w:val="24"/>
          <w:szCs w:val="32"/>
          <w:highlight w:val="none"/>
          <w:lang w:val="en-US" w:eastAsia="zh-CN"/>
          <w14:textFill>
            <w14:solidFill>
              <w14:schemeClr w14:val="tx1"/>
            </w14:solidFill>
          </w14:textFill>
        </w:rPr>
        <w:t>2</w:t>
      </w:r>
      <w:r>
        <w:rPr>
          <w:rFonts w:hint="default" w:ascii="Times New Roman" w:hAnsi="Times New Roman" w:cs="Times New Roman"/>
          <w:color w:val="000000" w:themeColor="text1"/>
          <w:sz w:val="24"/>
          <w:szCs w:val="32"/>
          <w:highlight w:val="none"/>
          <w14:textFill>
            <w14:solidFill>
              <w14:schemeClr w14:val="tx1"/>
            </w14:solidFill>
          </w14:textFill>
        </w:rPr>
        <w:t>.5m（高）</w:t>
      </w:r>
      <w:r>
        <w:rPr>
          <w:rFonts w:hint="default" w:ascii="Times New Roman" w:hAnsi="Times New Roman" w:cs="Times New Roman"/>
          <w:color w:val="000000" w:themeColor="text1"/>
          <w:sz w:val="24"/>
          <w:highlight w:val="none"/>
          <w:lang w:val="en-US" w:eastAsia="zh-CN"/>
          <w14:textFill>
            <w14:solidFill>
              <w14:schemeClr w14:val="tx1"/>
            </w14:solidFill>
          </w14:textFill>
        </w:rPr>
        <w:t>收集回收利用</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lang w:val="en-US" w:eastAsia="zh-CN"/>
          <w14:textFill>
            <w14:solidFill>
              <w14:schemeClr w14:val="tx1"/>
            </w14:solidFill>
          </w14:textFill>
        </w:rPr>
        <w:t>不</w:t>
      </w:r>
      <w:r>
        <w:rPr>
          <w:rFonts w:hint="default" w:ascii="Times New Roman" w:hAnsi="Times New Roman" w:cs="Times New Roman"/>
          <w:color w:val="000000" w:themeColor="text1"/>
          <w:sz w:val="24"/>
          <w:highlight w:val="none"/>
          <w14:textFill>
            <w14:solidFill>
              <w14:schemeClr w14:val="tx1"/>
            </w14:solidFill>
          </w14:textFill>
        </w:rPr>
        <w:t>向外环境排放，因此，本工程产生的废水对地表水、地下水环境基本不产生影响。</w:t>
      </w:r>
      <w:bookmarkEnd w:id="108"/>
      <w:bookmarkEnd w:id="109"/>
      <w:bookmarkEnd w:id="110"/>
      <w:bookmarkEnd w:id="111"/>
    </w:p>
    <w:p w14:paraId="0E3BFB3C">
      <w:pPr>
        <w:pStyle w:val="5"/>
        <w:numPr>
          <w:ilvl w:val="1"/>
          <w:numId w:val="0"/>
        </w:numPr>
        <w:rPr>
          <w:rFonts w:hint="eastAsia" w:ascii="Times New Roman" w:hAnsi="Times New Roman" w:eastAsia="宋体" w:cs="Times New Roman"/>
          <w:color w:val="000000" w:themeColor="text1"/>
          <w:highlight w:val="none"/>
          <w:lang w:eastAsia="zh-CN"/>
          <w14:textFill>
            <w14:solidFill>
              <w14:schemeClr w14:val="tx1"/>
            </w14:solidFill>
          </w14:textFill>
        </w:rPr>
      </w:pPr>
      <w:bookmarkStart w:id="112" w:name="_Toc29417"/>
      <w:r>
        <w:rPr>
          <w:rFonts w:hint="default" w:ascii="Times New Roman" w:hAnsi="Times New Roman" w:cs="Times New Roman"/>
          <w:color w:val="000000" w:themeColor="text1"/>
          <w:highlight w:val="none"/>
          <w14:textFill>
            <w14:solidFill>
              <w14:schemeClr w14:val="tx1"/>
            </w14:solidFill>
          </w14:textFill>
        </w:rPr>
        <w:t>2.</w:t>
      </w:r>
      <w:r>
        <w:rPr>
          <w:rFonts w:hint="eastAsia" w:ascii="Times New Roman" w:hAnsi="Times New Roman" w:cs="Times New Roman"/>
          <w:color w:val="000000" w:themeColor="text1"/>
          <w:highlight w:val="none"/>
          <w:lang w:val="en-US" w:eastAsia="zh-CN"/>
          <w14:textFill>
            <w14:solidFill>
              <w14:schemeClr w14:val="tx1"/>
            </w14:solidFill>
          </w14:textFill>
        </w:rPr>
        <w:t>3运营期污染源分析</w:t>
      </w:r>
      <w:bookmarkEnd w:id="112"/>
    </w:p>
    <w:p w14:paraId="75EEC09D">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eastAsia="zh-CN"/>
          <w14:textFill>
            <w14:solidFill>
              <w14:schemeClr w14:val="tx1"/>
            </w14:solidFill>
          </w14:textFill>
        </w:rPr>
        <w:t>本工程为水库除险加固工程，工程完成后，运行期主要影响为水文情势，水库及下游水质的影响。</w:t>
      </w:r>
    </w:p>
    <w:p w14:paraId="67D85A9E">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b w:val="0"/>
          <w:bCs w:val="0"/>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b w:val="0"/>
          <w:bCs w:val="0"/>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eastAsiaTheme="minorEastAsia"/>
          <w:b w:val="0"/>
          <w:bCs w:val="0"/>
          <w:color w:val="000000" w:themeColor="text1"/>
          <w:kern w:val="0"/>
          <w:sz w:val="24"/>
          <w:highlight w:val="none"/>
          <w:lang w:eastAsia="zh-CN"/>
          <w14:textFill>
            <w14:solidFill>
              <w14:schemeClr w14:val="tx1"/>
            </w14:solidFill>
          </w14:textFill>
        </w:rPr>
        <w:t>）</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水文情势影响</w:t>
      </w:r>
    </w:p>
    <w:p w14:paraId="3A5DDC63">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本次除险加固工程实施后，水库的正常蓄水位、汛限水位均没有发生变化，工程任务均未发生变化，不会对坝址上下游水文情势产生影响。</w:t>
      </w:r>
    </w:p>
    <w:p w14:paraId="5B74A178">
      <w:pPr>
        <w:spacing w:line="360" w:lineRule="auto"/>
        <w:ind w:firstLine="480" w:firstLineChars="200"/>
        <w:rPr>
          <w:rFonts w:hint="default" w:ascii="Times New Roman" w:hAnsi="Times New Roman" w:cs="Times New Roman" w:eastAsiaTheme="minorEastAsia"/>
          <w:color w:val="000000" w:themeColor="text1"/>
          <w:kern w:val="0"/>
          <w:sz w:val="24"/>
          <w:highlight w:val="none"/>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（2）地表水水质</w:t>
      </w:r>
    </w:p>
    <w:p w14:paraId="16D9F2C1">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水库除险加固实施后，水库运行本身不产生水污染物。</w:t>
      </w:r>
    </w:p>
    <w:p w14:paraId="57A0DA27">
      <w:pPr>
        <w:pStyle w:val="5"/>
        <w:numPr>
          <w:ilvl w:val="1"/>
          <w:numId w:val="0"/>
        </w:numPr>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2.</w:t>
      </w:r>
      <w:r>
        <w:rPr>
          <w:rFonts w:hint="eastAsia" w:ascii="Times New Roman" w:hAnsi="Times New Roman" w:cs="Times New Roman"/>
          <w:color w:val="000000" w:themeColor="text1"/>
          <w:highlight w:val="none"/>
          <w:lang w:val="en-US" w:eastAsia="zh-CN"/>
          <w14:textFill>
            <w14:solidFill>
              <w14:schemeClr w14:val="tx1"/>
            </w14:solidFill>
          </w14:textFill>
        </w:rPr>
        <w:t>4现有工程回顾</w:t>
      </w:r>
    </w:p>
    <w:p w14:paraId="104B774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1、水库基本情况回顾和</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原有工程环保手续履行情况</w:t>
      </w:r>
    </w:p>
    <w:p w14:paraId="3D5EB9E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32"/>
          <w:highlight w:val="none"/>
          <w:lang w:eastAsia="zh-CN"/>
          <w14:textFill>
            <w14:solidFill>
              <w14:schemeClr w14:val="tx1"/>
            </w14:solidFill>
          </w14:textFill>
        </w:rPr>
      </w:pP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水库现有建筑物包括坝体</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和</w:t>
      </w:r>
      <w:r>
        <w:rPr>
          <w:rFonts w:hint="eastAsia" w:ascii="Times New Roman" w:hAnsi="Times New Roman" w:eastAsia="宋体" w:cs="Times New Roman"/>
          <w:color w:val="000000" w:themeColor="text1"/>
          <w:sz w:val="24"/>
          <w:szCs w:val="24"/>
          <w:highlight w:val="none"/>
          <w14:textFill>
            <w14:solidFill>
              <w14:schemeClr w14:val="tx1"/>
            </w14:solidFill>
          </w14:textFill>
        </w:rPr>
        <w:t>灌溉泄洪洞</w:t>
      </w:r>
      <w:r>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t>，</w:t>
      </w:r>
      <w:r>
        <w:rPr>
          <w:rFonts w:ascii="Times New Roman" w:hAnsi="Times New Roman" w:cs="Times New Roman"/>
          <w:color w:val="000000" w:themeColor="text1"/>
          <w:sz w:val="24"/>
          <w:szCs w:val="24"/>
          <w:highlight w:val="none"/>
          <w14:textFill>
            <w14:solidFill>
              <w14:schemeClr w14:val="tx1"/>
            </w14:solidFill>
          </w14:textFill>
        </w:rPr>
        <w:t>水库工程等级为Ⅴ等，</w:t>
      </w:r>
      <w:r>
        <w:rPr>
          <w:rFonts w:hint="eastAsia" w:ascii="Times New Roman" w:hAnsi="Times New Roman" w:cs="Times New Roman"/>
          <w:color w:val="000000" w:themeColor="text1"/>
          <w:sz w:val="24"/>
          <w:szCs w:val="24"/>
          <w:highlight w:val="none"/>
          <w:lang w:eastAsia="zh-CN"/>
          <w14:textFill>
            <w14:solidFill>
              <w14:schemeClr w14:val="tx1"/>
            </w14:solidFill>
          </w14:textFill>
        </w:rPr>
        <w:t>青山水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主体工程建设时由于环评法未实施，未办理环评手续</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5153701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cs="Times New Roman"/>
          <w:color w:val="000000" w:themeColor="text1"/>
          <w:sz w:val="24"/>
          <w:szCs w:val="24"/>
          <w:highlight w:val="none"/>
          <w14:textFill>
            <w14:solidFill>
              <w14:schemeClr w14:val="tx1"/>
            </w14:solidFill>
          </w14:textFill>
        </w:rPr>
      </w:pPr>
      <w:r>
        <w:rPr>
          <w:rFonts w:ascii="Times New Roman" w:hAnsi="Times New Roman" w:cs="Times New Roman"/>
          <w:color w:val="000000" w:themeColor="text1"/>
          <w:sz w:val="24"/>
          <w:szCs w:val="24"/>
          <w:highlight w:val="none"/>
          <w14:textFill>
            <w14:solidFill>
              <w14:schemeClr w14:val="tx1"/>
            </w14:solidFill>
          </w14:textFill>
        </w:rPr>
        <w:t>水库是一座以灌溉为主，兼顾防洪、养殖等综合利用的小（</w:t>
      </w:r>
      <w:r>
        <w:rPr>
          <w:rFonts w:hint="eastAsia" w:cs="Times New Roman"/>
          <w:color w:val="000000" w:themeColor="text1"/>
          <w:sz w:val="24"/>
          <w:szCs w:val="24"/>
          <w:highlight w:val="none"/>
          <w:lang w:val="en-US" w:eastAsia="zh-CN"/>
          <w14:textFill>
            <w14:solidFill>
              <w14:schemeClr w14:val="tx1"/>
            </w14:solidFill>
          </w14:textFill>
        </w:rPr>
        <w:t>I</w:t>
      </w:r>
      <w:r>
        <w:rPr>
          <w:rFonts w:ascii="Times New Roman" w:hAnsi="Times New Roman" w:cs="Times New Roman"/>
          <w:color w:val="000000" w:themeColor="text1"/>
          <w:sz w:val="24"/>
          <w:szCs w:val="24"/>
          <w:highlight w:val="none"/>
          <w14:textFill>
            <w14:solidFill>
              <w14:schemeClr w14:val="tx1"/>
            </w14:solidFill>
          </w14:textFill>
        </w:rPr>
        <w:t>）型水库</w:t>
      </w:r>
      <w:r>
        <w:rPr>
          <w:rFonts w:hint="eastAsia" w:ascii="Times New Roman" w:hAnsi="Times New Roman" w:cs="Times New Roman"/>
          <w:color w:val="000000" w:themeColor="text1"/>
          <w:sz w:val="24"/>
          <w:szCs w:val="24"/>
          <w:highlight w:val="none"/>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现状正常蓄水位177.50m</w:t>
      </w:r>
      <w:r>
        <w:rPr>
          <w:rFonts w:ascii="Times New Roman" w:hAnsi="Times New Roman" w:cs="Times New Roman"/>
          <w:color w:val="000000" w:themeColor="text1"/>
          <w:sz w:val="24"/>
          <w:szCs w:val="24"/>
          <w:highlight w:val="none"/>
          <w14:textFill>
            <w14:solidFill>
              <w14:schemeClr w14:val="tx1"/>
            </w14:solidFill>
          </w14:textFill>
        </w:rPr>
        <w:t>。</w:t>
      </w:r>
    </w:p>
    <w:p w14:paraId="27682C4B">
      <w:pPr>
        <w:pStyle w:val="21"/>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textAlignment w:val="auto"/>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2、现状运行方案</w:t>
      </w:r>
    </w:p>
    <w:p w14:paraId="7C9469A8">
      <w:pPr>
        <w:pStyle w:val="21"/>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textAlignment w:val="auto"/>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color w:val="000000" w:themeColor="text1"/>
          <w:lang w:eastAsia="zh-CN"/>
          <w14:textFill>
            <w14:solidFill>
              <w14:schemeClr w14:val="tx1"/>
            </w14:solidFill>
          </w14:textFill>
        </w:rPr>
        <w:t>水库的防洪调度时间为6月15日~9月30日。灌溉调度为全年调度，75%保证率灌溉用水量</w:t>
      </w:r>
      <w:r>
        <w:rPr>
          <w:rFonts w:hint="eastAsia" w:ascii="Times New Roman" w:hAnsi="Times New Roman" w:cs="Times New Roman"/>
          <w:color w:val="000000" w:themeColor="text1"/>
          <w:lang w:val="en-US" w:eastAsia="zh-CN"/>
          <w14:textFill>
            <w14:solidFill>
              <w14:schemeClr w14:val="tx1"/>
            </w14:solidFill>
          </w14:textFill>
        </w:rPr>
        <w:t>226.36万m³</w:t>
      </w:r>
      <w:r>
        <w:rPr>
          <w:rFonts w:hint="default" w:ascii="Times New Roman" w:hAnsi="Times New Roman" w:cs="Times New Roman"/>
          <w:color w:val="000000" w:themeColor="text1"/>
          <w:lang w:eastAsia="zh-CN"/>
          <w14:textFill>
            <w14:solidFill>
              <w14:schemeClr w14:val="tx1"/>
            </w14:solidFill>
          </w14:textFill>
        </w:rPr>
        <w:t>，取水水位在死水位以上。当入库流量小于溢洪道泄洪能力，控制泄量等于入库流量，使库水位维持在正常蓄水位</w:t>
      </w:r>
      <w:r>
        <w:rPr>
          <w:rFonts w:hint="eastAsia" w:ascii="Times New Roman" w:hAnsi="Times New Roman" w:cs="Times New Roman"/>
          <w:color w:val="000000" w:themeColor="text1"/>
          <w:lang w:eastAsia="zh-CN"/>
          <w14:textFill>
            <w14:solidFill>
              <w14:schemeClr w14:val="tx1"/>
            </w14:solidFill>
          </w14:textFill>
        </w:rPr>
        <w:t>。</w:t>
      </w:r>
      <w:r>
        <w:rPr>
          <w:rFonts w:hint="default" w:ascii="Times New Roman" w:hAnsi="Times New Roman" w:cs="Times New Roman"/>
          <w:color w:val="000000" w:themeColor="text1"/>
          <w:lang w:eastAsia="zh-CN"/>
          <w14:textFill>
            <w14:solidFill>
              <w14:schemeClr w14:val="tx1"/>
            </w14:solidFill>
          </w14:textFill>
        </w:rPr>
        <w:t>当入库流量大于溢洪道泄洪能力，水位持续升高则打开闸门，溢洪道自由出流。</w:t>
      </w:r>
    </w:p>
    <w:p w14:paraId="28BCD88B">
      <w:pPr>
        <w:pStyle w:val="21"/>
        <w:keepNext w:val="0"/>
        <w:keepLines w:val="0"/>
        <w:pageBreakBefore w:val="0"/>
        <w:widowControl w:val="0"/>
        <w:kinsoku/>
        <w:wordWrap/>
        <w:overflowPunct/>
        <w:topLinePunct w:val="0"/>
        <w:autoSpaceDE/>
        <w:autoSpaceDN/>
        <w:bidi w:val="0"/>
        <w:adjustRightInd/>
        <w:snapToGrid/>
        <w:spacing w:after="0" w:afterLines="0" w:line="360" w:lineRule="auto"/>
        <w:ind w:left="0" w:leftChars="0" w:firstLine="480" w:firstLineChars="200"/>
        <w:textAlignment w:val="auto"/>
        <w:rPr>
          <w:rFonts w:hint="default"/>
          <w:color w:val="000000" w:themeColor="text1"/>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3、</w:t>
      </w:r>
      <w:r>
        <w:rPr>
          <w:rFonts w:hint="default" w:ascii="Times New Roman" w:hAnsi="Times New Roman" w:eastAsia="宋体" w:cs="Times New Roman"/>
          <w:color w:val="000000" w:themeColor="text1"/>
          <w:kern w:val="52"/>
          <w:sz w:val="24"/>
          <w:szCs w:val="24"/>
          <w:highlight w:val="none"/>
          <w:lang w:val="en-US" w:eastAsia="zh-CN" w:bidi="ar-SA"/>
          <w14:textFill>
            <w14:solidFill>
              <w14:schemeClr w14:val="tx1"/>
            </w14:solidFill>
          </w14:textFill>
        </w:rPr>
        <w:t>工程现状</w:t>
      </w:r>
      <w:r>
        <w:rPr>
          <w:rFonts w:hint="eastAsia" w:ascii="Times New Roman" w:hAnsi="Times New Roman" w:eastAsia="宋体" w:cs="Times New Roman"/>
          <w:color w:val="000000" w:themeColor="text1"/>
          <w:kern w:val="52"/>
          <w:sz w:val="24"/>
          <w:szCs w:val="24"/>
          <w:highlight w:val="none"/>
          <w:lang w:val="en-US" w:eastAsia="zh-CN" w:bidi="ar-SA"/>
          <w14:textFill>
            <w14:solidFill>
              <w14:schemeClr w14:val="tx1"/>
            </w14:solidFill>
          </w14:textFill>
        </w:rPr>
        <w:t>及主要问题</w:t>
      </w:r>
    </w:p>
    <w:p w14:paraId="52C96C9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土坝为</w:t>
      </w:r>
      <w:r>
        <w:rPr>
          <w:rFonts w:hint="eastAsia" w:cs="Times New Roman"/>
          <w:color w:val="000000" w:themeColor="text1"/>
          <w:sz w:val="24"/>
          <w:highlight w:val="none"/>
          <w:lang w:eastAsia="zh-CN"/>
          <w14:textFill>
            <w14:solidFill>
              <w14:schemeClr w14:val="tx1"/>
            </w14:solidFill>
          </w14:textFill>
        </w:rPr>
        <w:t>黏性</w:t>
      </w:r>
      <w:r>
        <w:rPr>
          <w:rFonts w:hint="eastAsia" w:ascii="Times New Roman" w:hAnsi="Times New Roman" w:eastAsia="宋体" w:cs="Times New Roman"/>
          <w:color w:val="000000" w:themeColor="text1"/>
          <w:sz w:val="24"/>
          <w:highlight w:val="none"/>
          <w14:textFill>
            <w14:solidFill>
              <w14:schemeClr w14:val="tx1"/>
            </w14:solidFill>
          </w14:textFill>
        </w:rPr>
        <w:t>土均质坝，实际坝顶高程</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180.55-181.44m，现状</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大坝上游坝坡输水洞旁存在一处塌陷，大坝桩号0+390-0+420下游坝坡坝体滑坡</w:t>
      </w:r>
      <w:r>
        <w:rPr>
          <w:rFonts w:hint="eastAsia" w:eastAsia="宋体" w:cs="Times New Roman"/>
          <w:color w:val="000000" w:themeColor="text1"/>
          <w:sz w:val="24"/>
          <w:szCs w:val="32"/>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溢洪道溢流堰体剥蚀、局部钢筋裸露；消力池左侧边墙倒塌，右侧边墙断裂</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输水洞启闭螺杆弯曲变形，闸门及启闭机等金属结构局部变形、锈蚀</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w:t>
      </w:r>
    </w:p>
    <w:p w14:paraId="021313E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szCs w:val="32"/>
          <w:highlight w:val="none"/>
          <w:lang w:eastAsia="zh-CN"/>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水库管理站管理设施简陋，无厕所、食堂、锅炉等相关</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基础设施</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，本项目不建设厕所、食堂、锅炉等相关</w:t>
      </w:r>
      <w:r>
        <w:rPr>
          <w:rFonts w:hint="eastAsia" w:ascii="Times New Roman" w:hAnsi="Times New Roman" w:cs="Times New Roman"/>
          <w:color w:val="000000" w:themeColor="text1"/>
          <w:kern w:val="2"/>
          <w:sz w:val="24"/>
          <w:szCs w:val="24"/>
          <w:highlight w:val="none"/>
          <w:lang w:val="en-US" w:eastAsia="zh-CN" w:bidi="ar-SA"/>
          <w14:textFill>
            <w14:solidFill>
              <w14:schemeClr w14:val="tx1"/>
            </w14:solidFill>
          </w14:textFill>
        </w:rPr>
        <w:t>基础设施</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，不涉及以新带老相关内容。</w:t>
      </w:r>
    </w:p>
    <w:p w14:paraId="6034FE1E">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000000" w:themeColor="text1"/>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目前水库周边生态环境良好，无生态破坏现象。根据环境质量数据，地表水环境质量现状良好，无水质污染现象。不存在与项目有关的原有环境污染和生态破坏问题。</w:t>
      </w:r>
    </w:p>
    <w:p w14:paraId="1479E0F9">
      <w:pPr>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color w:val="000000" w:themeColor="text1"/>
          <w14:textFill>
            <w14:solidFill>
              <w14:schemeClr w14:val="tx1"/>
            </w14:solidFill>
          </w14:textFill>
        </w:rPr>
      </w:pPr>
    </w:p>
    <w:p w14:paraId="63135A74">
      <w:pPr>
        <w:rPr>
          <w:rFonts w:hint="default"/>
          <w:color w:val="000000" w:themeColor="text1"/>
          <w14:textFill>
            <w14:solidFill>
              <w14:schemeClr w14:val="tx1"/>
            </w14:solidFill>
          </w14:textFill>
        </w:rPr>
      </w:pPr>
    </w:p>
    <w:p w14:paraId="6347972E">
      <w:pPr>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br w:type="page"/>
      </w:r>
    </w:p>
    <w:p w14:paraId="3D82CFA7">
      <w:pPr>
        <w:pStyle w:val="4"/>
        <w:ind w:left="0" w:firstLine="0"/>
        <w:rPr>
          <w:rFonts w:hint="default" w:ascii="Times New Roman" w:hAnsi="Times New Roman" w:cs="Times New Roman"/>
          <w:color w:val="000000" w:themeColor="text1"/>
          <w:highlight w:val="none"/>
          <w14:textFill>
            <w14:solidFill>
              <w14:schemeClr w14:val="tx1"/>
            </w14:solidFill>
          </w14:textFill>
        </w:rPr>
      </w:pPr>
      <w:bookmarkStart w:id="113" w:name="_Toc7428"/>
      <w:bookmarkStart w:id="114" w:name="_Toc32532"/>
      <w:r>
        <w:rPr>
          <w:rFonts w:hint="eastAsia" w:cs="Times New Roman"/>
          <w:color w:val="000000" w:themeColor="text1"/>
          <w:highlight w:val="none"/>
          <w:lang w:val="en-US" w:eastAsia="zh-CN"/>
          <w14:textFill>
            <w14:solidFill>
              <w14:schemeClr w14:val="tx1"/>
            </w14:solidFill>
          </w14:textFill>
        </w:rPr>
        <w:t>3</w:t>
      </w:r>
      <w:bookmarkEnd w:id="91"/>
      <w:r>
        <w:rPr>
          <w:rFonts w:hint="eastAsia" w:cs="Times New Roman"/>
          <w:color w:val="000000" w:themeColor="text1"/>
          <w:highlight w:val="none"/>
          <w:lang w:val="en-US" w:eastAsia="zh-CN"/>
          <w14:textFill>
            <w14:solidFill>
              <w14:schemeClr w14:val="tx1"/>
            </w14:solidFill>
          </w14:textFill>
        </w:rPr>
        <w:t>环境现状调查与评价</w:t>
      </w:r>
      <w:bookmarkEnd w:id="113"/>
      <w:bookmarkEnd w:id="114"/>
    </w:p>
    <w:p w14:paraId="75A91D16">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115" w:name="_Toc27532"/>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.1自然环境概况</w:t>
      </w:r>
      <w:bookmarkEnd w:id="115"/>
    </w:p>
    <w:p w14:paraId="40545A3D">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（1）地形地貌</w:t>
      </w:r>
    </w:p>
    <w:p w14:paraId="43885359">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工程区位于张广才岭中段之西、北翼，大锅盔山北东部之中、低山过渡部位。地形起伏大，相对高差可达百米以上，地势由南西向北东降低，山体为森林植被所覆盖。区内地貌单元可划分为：侵蚀剥蚀低山、侵蚀剥蚀丘陵、剥蚀堆积台地（坡积裙）、堆积一级阶地及堆积河漫滩。</w:t>
      </w:r>
    </w:p>
    <w:p w14:paraId="78D408B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（2）气象气候</w:t>
      </w:r>
    </w:p>
    <w:p w14:paraId="20F9A742">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 w:val="24"/>
          <w:highlight w:val="none"/>
          <w14:textFill>
            <w14:solidFill>
              <w14:schemeClr w14:val="tx1"/>
            </w14:solidFill>
          </w14:textFill>
        </w:rPr>
        <w:t>水库地处张广才岭西麓，地势东高西低。本区属温带大陆性季风气候，无霜期120天左右，年平均气温为2.3℃，1月最冷，平均气温-20.5℃，7月最热，平均气温21.6℃。年平均蒸发量1056-1128毫米，年平均降雨量666.1毫米，年平均相对湿度为72%。主要风向春季多为西南风，冬季多为西北风，融雪在3月下旬，结冻期约150-180天，全年日照2450-2600小时。场地季节性冻结标准</w:t>
      </w:r>
    </w:p>
    <w:p w14:paraId="07D31F37">
      <w:pPr>
        <w:spacing w:line="360" w:lineRule="auto"/>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冻深1.75m，需要考虑防冰冻措施。</w:t>
      </w:r>
    </w:p>
    <w:p w14:paraId="4AF9A0AC">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（3）植被</w:t>
      </w:r>
    </w:p>
    <w:p w14:paraId="24ACF805">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ascii="宋体" w:hAnsi="宋体" w:eastAsia="宋体" w:cs="宋体"/>
          <w:color w:val="000000" w:themeColor="text1"/>
          <w:sz w:val="24"/>
          <w:szCs w:val="24"/>
          <w14:textFill>
            <w14:solidFill>
              <w14:schemeClr w14:val="tx1"/>
            </w14:solidFill>
          </w14:textFill>
        </w:rPr>
        <w:t>本项目位于密山市，区域属于温带针阔叶混交林区，植物种类有</w:t>
      </w:r>
      <w:r>
        <w:rPr>
          <w:rFonts w:hint="default" w:ascii="Times New Roman" w:hAnsi="Times New Roman" w:cs="Times New Roman" w:eastAsiaTheme="minorEastAsia"/>
          <w:color w:val="000000" w:themeColor="text1"/>
          <w:sz w:val="24"/>
          <w:highlight w:val="none"/>
          <w14:textFill>
            <w14:solidFill>
              <w14:schemeClr w14:val="tx1"/>
            </w14:solidFill>
          </w14:textFill>
        </w:rPr>
        <w:t>300</w:t>
      </w:r>
      <w:r>
        <w:rPr>
          <w:rFonts w:ascii="宋体" w:hAnsi="宋体" w:eastAsia="宋体" w:cs="宋体"/>
          <w:color w:val="000000" w:themeColor="text1"/>
          <w:sz w:val="24"/>
          <w:szCs w:val="24"/>
          <w14:textFill>
            <w14:solidFill>
              <w14:schemeClr w14:val="tx1"/>
            </w14:solidFill>
          </w14:textFill>
        </w:rPr>
        <w:t>多种。主要乔木树种有红松、云杉、赤松、樟子松、落叶松、柞树、椴树、水 曲柳、黄菠萝、山杨、白桦、榆树、胡桃楸、唐槭、槐树、水冬瓜等。灌木有榛柴、胡枝子、杜鹃、丁香等上百种。藤本类有山葡萄、五味子等。此外还有龙胆草、刺五加等名贵中草药及蕨菜、薇菜等山野菜和榛蘑、元蘑等菌类，资源十分丰富。全市境内山区野生动物均有分布，现存野生动物20余种以上，主要有野猪、狍子、狐狸、鹿、野鸡、蛇等。</w:t>
      </w:r>
    </w:p>
    <w:p w14:paraId="16D62C8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（4）土壤</w:t>
      </w:r>
    </w:p>
    <w:p w14:paraId="639986BE">
      <w:pPr>
        <w:spacing w:line="360" w:lineRule="auto"/>
        <w:ind w:firstLine="480" w:firstLineChars="200"/>
        <w:rPr>
          <w:rFonts w:ascii="宋体" w:hAnsi="宋体" w:eastAsia="宋体" w:cs="宋体"/>
          <w:color w:val="000000" w:themeColor="text1"/>
          <w:sz w:val="24"/>
          <w:szCs w:val="24"/>
          <w14:textFill>
            <w14:solidFill>
              <w14:schemeClr w14:val="tx1"/>
            </w14:solidFill>
          </w14:textFill>
        </w:rPr>
      </w:pPr>
      <w:r>
        <w:rPr>
          <w:rFonts w:ascii="宋体" w:hAnsi="宋体" w:eastAsia="宋体" w:cs="宋体"/>
          <w:color w:val="000000" w:themeColor="text1"/>
          <w:sz w:val="24"/>
          <w:szCs w:val="24"/>
          <w14:textFill>
            <w14:solidFill>
              <w14:schemeClr w14:val="tx1"/>
            </w14:solidFill>
          </w14:textFill>
        </w:rPr>
        <w:t>全市境内山区野生动物均有分布，现存野生动物20余种以上，主要有 野猪、狍子、狐狸、鹿、野鸡、蛇等。</w:t>
      </w:r>
    </w:p>
    <w:p w14:paraId="61E1459D">
      <w:pPr>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000000" w:themeColor="text1"/>
          <w:sz w:val="24"/>
          <w:highlight w:val="none"/>
          <w14:textFill>
            <w14:solidFill>
              <w14:schemeClr w14:val="tx1"/>
            </w14:solidFill>
          </w14:textFill>
        </w:rPr>
      </w:pPr>
      <w:r>
        <w:rPr>
          <w:rFonts w:ascii="宋体" w:hAnsi="宋体" w:eastAsia="宋体" w:cs="宋体"/>
          <w:color w:val="000000" w:themeColor="text1"/>
          <w:sz w:val="24"/>
          <w:szCs w:val="24"/>
          <w14:textFill>
            <w14:solidFill>
              <w14:schemeClr w14:val="tx1"/>
            </w14:solidFill>
          </w14:textFill>
        </w:rPr>
        <w:t>通过现场调查，受工程影响区域内未发现国家重点保护野生动植物存在，项目周围无生态环境敏感点，项目所在区域无珍稀野生动物，野生动物 种类较少，野生动物有松鼠等小型啮齿类动物及啄木鸟等常见鸟类，未见野生大型动物出没。</w:t>
      </w:r>
    </w:p>
    <w:p w14:paraId="5D62AC94">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116" w:name="_Toc12377"/>
      <w:r>
        <w:rPr>
          <w:rFonts w:hint="eastAsia" w:cs="Times New Roman"/>
          <w:color w:val="000000" w:themeColor="text1"/>
          <w:highlight w:val="none"/>
          <w:lang w:val="en-US" w:eastAsia="zh-CN"/>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2区域水污染源调查</w:t>
      </w:r>
      <w:bookmarkEnd w:id="116"/>
    </w:p>
    <w:p w14:paraId="15FDEC4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eastAsia" w:ascii="Times New Roman" w:hAnsi="Times New Roman" w:cs="Times New Roman"/>
          <w:color w:val="000000" w:themeColor="text1"/>
          <w:sz w:val="24"/>
          <w:highlight w:val="none"/>
          <w:lang w:eastAsia="zh-CN"/>
          <w14:textFill>
            <w14:solidFill>
              <w14:schemeClr w14:val="tx1"/>
            </w14:solidFill>
          </w14:textFill>
        </w:rPr>
        <w:t>青山</w:t>
      </w:r>
      <w:r>
        <w:rPr>
          <w:rFonts w:hint="default" w:ascii="Times New Roman" w:hAnsi="Times New Roman" w:cs="Times New Roman"/>
          <w:color w:val="000000" w:themeColor="text1"/>
          <w:sz w:val="24"/>
          <w:highlight w:val="none"/>
          <w14:textFill>
            <w14:solidFill>
              <w14:schemeClr w14:val="tx1"/>
            </w14:solidFill>
          </w14:textFill>
        </w:rPr>
        <w:t>水库</w:t>
      </w:r>
      <w:r>
        <w:rPr>
          <w:rFonts w:hint="default" w:ascii="Times New Roman" w:hAnsi="Times New Roman" w:cs="Times New Roman"/>
          <w:color w:val="000000" w:themeColor="text1"/>
          <w:sz w:val="24"/>
          <w:szCs w:val="24"/>
          <w:highlight w:val="none"/>
          <w14:textFill>
            <w14:solidFill>
              <w14:schemeClr w14:val="tx1"/>
            </w14:solidFill>
          </w14:textFill>
        </w:rPr>
        <w:t>坝址上游区域无大型企事业单位，区域污染源以面源污染为主。</w:t>
      </w:r>
    </w:p>
    <w:p w14:paraId="24B5C50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（1）农业生产</w:t>
      </w:r>
    </w:p>
    <w:p w14:paraId="2CF1449E">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坝址上游汇水区域内分布有大量的耕地，农田面源、水土流失现象仍然存在，化肥、农药等农业投入品的使用，农作物秸秆和农田残膜等农业废弃物不合理利用，农业面源污染仍然存在。</w:t>
      </w:r>
    </w:p>
    <w:p w14:paraId="289459E6">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cs="Times New Roman"/>
          <w:color w:val="000000" w:themeColor="text1"/>
          <w:sz w:val="24"/>
          <w:szCs w:val="24"/>
          <w:highlight w:val="none"/>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（2）畜禽养殖</w:t>
      </w:r>
    </w:p>
    <w:p w14:paraId="2FD7B70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cs="Times New Roman" w:eastAsiaTheme="minorEastAsia"/>
          <w:color w:val="000000" w:themeColor="text1"/>
          <w:spacing w:val="-6"/>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14:textFill>
            <w14:solidFill>
              <w14:schemeClr w14:val="tx1"/>
            </w14:solidFill>
          </w14:textFill>
        </w:rPr>
        <w:t>坝址上游汇水区域内畜禽养殖方式基本是农村散养，缺少粪便无害化处理设施，粪污的收集、贮存、处理等方式并不科学、环保，多数为随意堆放，堆积还田，污水无处理排放。</w:t>
      </w:r>
    </w:p>
    <w:p w14:paraId="69BEEFA6">
      <w:pPr>
        <w:pStyle w:val="5"/>
        <w:numPr>
          <w:ilvl w:val="1"/>
          <w:numId w:val="0"/>
        </w:numPr>
        <w:rPr>
          <w:rFonts w:hint="default" w:ascii="Times New Roman" w:hAnsi="Times New Roman" w:eastAsia="宋体" w:cs="Times New Roman"/>
          <w:color w:val="000000" w:themeColor="text1"/>
          <w:highlight w:val="none"/>
          <w:lang w:val="en-US" w:eastAsia="zh-CN"/>
          <w14:textFill>
            <w14:solidFill>
              <w14:schemeClr w14:val="tx1"/>
            </w14:solidFill>
          </w14:textFill>
        </w:rPr>
      </w:pPr>
      <w:bookmarkStart w:id="117" w:name="_Toc19442"/>
      <w:r>
        <w:rPr>
          <w:rFonts w:hint="default" w:ascii="Times New Roman" w:hAnsi="Times New Roman" w:eastAsia="宋体" w:cs="Times New Roman"/>
          <w:color w:val="000000" w:themeColor="text1"/>
          <w:highlight w:val="none"/>
          <w:lang w:val="en-US" w:eastAsia="zh-CN"/>
          <w14:textFill>
            <w14:solidFill>
              <w14:schemeClr w14:val="tx1"/>
            </w14:solidFill>
          </w14:textFill>
        </w:rPr>
        <w:t>3.3水文情势调查</w:t>
      </w:r>
      <w:bookmarkEnd w:id="117"/>
    </w:p>
    <w:p w14:paraId="1C6DD3AD">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（1）径流特征</w:t>
      </w:r>
    </w:p>
    <w:p w14:paraId="48DDFC3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流域的径流成因主要是降雨和融雪。融雪径流一般发生在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月中旬至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月上旬，占年径流量较小，期间降水产生的径流很少，河川径流主要来源于融冰融雪，径流量主要取决于冬季降雪量的大小。降雨径流主要在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5</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月中旬至</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月末，占年径流量的</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70</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％以上，其年内分配与降水分配基本一致。径流主要由地下水补给，径流量很小。</w:t>
      </w:r>
    </w:p>
    <w:p w14:paraId="49B12405">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（2）</w:t>
      </w:r>
      <w:r>
        <w:rPr>
          <w:rFonts w:hint="eastAsia" w:cs="Times New Roman"/>
          <w:color w:val="000000" w:themeColor="text1"/>
          <w:sz w:val="24"/>
          <w:szCs w:val="24"/>
          <w:highlight w:val="none"/>
          <w:lang w:val="en-US" w:eastAsia="zh-CN"/>
          <w14:textFill>
            <w14:solidFill>
              <w14:schemeClr w14:val="tx1"/>
            </w14:solidFill>
          </w14:textFill>
        </w:rPr>
        <w:t>设计</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年径流</w:t>
      </w:r>
    </w:p>
    <w:p w14:paraId="56D6B2C9">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根据水库水文站资料</w:t>
      </w:r>
      <w:r>
        <w:rPr>
          <w:rFonts w:hint="eastAsia" w:cs="Times New Roman"/>
          <w:color w:val="000000" w:themeColor="text1"/>
          <w:sz w:val="24"/>
          <w:szCs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及《黑龙江省密山市青山水库除险加固工程初步设计报告》及黑龙江省润源工程勘测设计有限公司</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2024</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年</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8</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月编制的《密山市青山水库大坝安全评价报告》，</w:t>
      </w:r>
      <w:r>
        <w:rPr>
          <w:rFonts w:hint="eastAsia" w:cs="Times New Roman"/>
          <w:color w:val="000000" w:themeColor="text1"/>
          <w:sz w:val="24"/>
          <w:szCs w:val="24"/>
          <w:highlight w:val="none"/>
          <w:lang w:val="en-US" w:eastAsia="zh-CN"/>
          <w14:textFill>
            <w14:solidFill>
              <w14:schemeClr w14:val="tx1"/>
            </w14:solidFill>
          </w14:textFill>
        </w:rPr>
        <w:t>收集1988-2023年35年径流系列，</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多年下泄流量</w:t>
      </w:r>
      <w:r>
        <w:rPr>
          <w:rFonts w:hint="eastAsia" w:eastAsia="宋体" w:cs="Times New Roman"/>
          <w:color w:val="000000" w:themeColor="text1"/>
          <w:sz w:val="24"/>
          <w:szCs w:val="24"/>
          <w:highlight w:val="none"/>
          <w:lang w:val="en-US" w:eastAsia="zh-CN"/>
          <w14:textFill>
            <w14:solidFill>
              <w14:schemeClr w14:val="tx1"/>
            </w14:solidFill>
          </w14:textFill>
        </w:rPr>
        <w:t>为370×</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10</w:t>
      </w:r>
      <w:r>
        <w:rPr>
          <w:rFonts w:hint="eastAsia"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4</w:t>
      </w:r>
      <w:r>
        <w:rPr>
          <w:rFonts w:hint="eastAsia" w:ascii="Times New Roman" w:hAnsi="Times New Roman" w:eastAsia="宋体" w:cs="Times New Roman"/>
          <w:color w:val="000000" w:themeColor="text1"/>
          <w:sz w:val="24"/>
          <w:szCs w:val="24"/>
          <w:highlight w:val="none"/>
          <w:vertAlign w:val="baseline"/>
          <w:lang w:val="en-US" w:eastAsia="zh-CN"/>
          <w14:textFill>
            <w14:solidFill>
              <w14:schemeClr w14:val="tx1"/>
            </w14:solidFill>
          </w14:textFill>
        </w:rPr>
        <w:t>m</w:t>
      </w:r>
      <w:r>
        <w:rPr>
          <w:rFonts w:hint="eastAsia" w:ascii="Times New Roman" w:hAnsi="Times New Roman" w:eastAsia="宋体" w:cs="Times New Roman"/>
          <w:color w:val="000000" w:themeColor="text1"/>
          <w:sz w:val="24"/>
          <w:szCs w:val="24"/>
          <w:highlight w:val="none"/>
          <w:vertAlign w:val="superscript"/>
          <w:lang w:val="en-US" w:eastAsia="zh-CN"/>
          <w14:textFill>
            <w14:solidFill>
              <w14:schemeClr w14:val="tx1"/>
            </w14:solidFill>
          </w14:textFill>
        </w:rPr>
        <w:t>3</w:t>
      </w:r>
      <w:r>
        <w:rPr>
          <w:rFonts w:hint="eastAsia" w:eastAsia="宋体" w:cs="Times New Roman"/>
          <w:color w:val="000000" w:themeColor="text1"/>
          <w:sz w:val="24"/>
          <w:szCs w:val="24"/>
          <w:highlight w:val="none"/>
          <w:vertAlign w:val="baseline"/>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青山水</w:t>
      </w:r>
      <w:r>
        <w:rPr>
          <w:rFonts w:hint="eastAsia" w:ascii="宋体" w:hAnsi="宋体" w:eastAsia="宋体" w:cs="宋体"/>
          <w:color w:val="000000" w:themeColor="text1"/>
          <w:kern w:val="0"/>
          <w:sz w:val="24"/>
          <w:szCs w:val="24"/>
          <w:lang w:val="en-US" w:eastAsia="zh-CN" w:bidi="ar"/>
          <w14:textFill>
            <w14:solidFill>
              <w14:schemeClr w14:val="tx1"/>
            </w14:solidFill>
          </w14:textFill>
        </w:rPr>
        <w:t>库所在锅盔河流域，坝址设计年径流</w:t>
      </w:r>
      <w:r>
        <w:rPr>
          <w:rFonts w:hint="eastAsia" w:ascii="宋体" w:hAnsi="宋体" w:cs="宋体"/>
          <w:color w:val="000000" w:themeColor="text1"/>
          <w:kern w:val="0"/>
          <w:sz w:val="24"/>
          <w:szCs w:val="24"/>
          <w:lang w:val="en-US" w:eastAsia="zh-CN" w:bidi="ar"/>
          <w14:textFill>
            <w14:solidFill>
              <w14:schemeClr w14:val="tx1"/>
            </w14:solidFill>
          </w14:textFill>
        </w:rPr>
        <w:t>。</w:t>
      </w:r>
    </w:p>
    <w:p w14:paraId="04BFC0C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（4）冰情</w:t>
      </w:r>
    </w:p>
    <w:p w14:paraId="14F3D458">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据穆棱河鸡西站冰情观测资料统计，本地区封冻期一般在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11</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月中旬，解冻期在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4</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月上旬，封冻天数平均</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137d</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左右，平均最大冰厚</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1.08m</w:t>
      </w:r>
      <w:r>
        <w:rPr>
          <w:rFonts w:hint="eastAsia" w:ascii="Times New Roman" w:hAnsi="Times New Roman" w:eastAsia="宋体" w:cs="Times New Roman"/>
          <w:color w:val="000000" w:themeColor="text1"/>
          <w:sz w:val="24"/>
          <w:szCs w:val="24"/>
          <w:highlight w:val="none"/>
          <w:lang w:val="en-US" w:eastAsia="zh-CN"/>
          <w14:textFill>
            <w14:solidFill>
              <w14:schemeClr w14:val="tx1"/>
            </w14:solidFill>
          </w14:textFill>
        </w:rPr>
        <w:t>。</w:t>
      </w:r>
    </w:p>
    <w:p w14:paraId="7F0F4EB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5</w:t>
      </w:r>
      <w:r>
        <w:rPr>
          <w:rFonts w:hint="eastAsia" w:cs="Times New Roman"/>
          <w:color w:val="000000" w:themeColor="text1"/>
          <w:sz w:val="24"/>
          <w:szCs w:val="24"/>
          <w:highlight w:val="none"/>
          <w:lang w:eastAsia="zh-CN"/>
          <w14:textFill>
            <w14:solidFill>
              <w14:schemeClr w14:val="tx1"/>
            </w14:solidFill>
          </w14:textFill>
        </w:rPr>
        <w:t>）温排水</w:t>
      </w:r>
    </w:p>
    <w:p w14:paraId="47D2A609">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cs="Times New Roman" w:eastAsiaTheme="minorEastAsia"/>
          <w:color w:val="000000" w:themeColor="text1"/>
          <w:sz w:val="24"/>
          <w:szCs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kern w:val="0"/>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水库是一座以灌溉为主，兼顾防洪、养鱼等综合利用的小(</w:t>
      </w:r>
      <w:r>
        <w:rPr>
          <w:rFonts w:hint="default" w:ascii="Times New Roman" w:hAnsi="Times New Roman" w:cs="Times New Roman" w:eastAsiaTheme="minorEastAsia"/>
          <w:color w:val="000000" w:themeColor="text1"/>
          <w:kern w:val="0"/>
          <w:sz w:val="24"/>
          <w:highlight w:val="none"/>
          <w:lang w:val="en-US" w:eastAsia="zh-CN"/>
          <w14:textFill>
            <w14:solidFill>
              <w14:schemeClr w14:val="tx1"/>
            </w14:solidFill>
          </w14:textFill>
        </w:rPr>
        <w:t>I</w:t>
      </w:r>
      <w:r>
        <w:rPr>
          <w:rFonts w:hint="default" w:ascii="Times New Roman" w:hAnsi="Times New Roman" w:cs="Times New Roman" w:eastAsiaTheme="minorEastAsia"/>
          <w:color w:val="000000" w:themeColor="text1"/>
          <w:kern w:val="0"/>
          <w:sz w:val="24"/>
          <w:highlight w:val="none"/>
          <w14:textFill>
            <w14:solidFill>
              <w14:schemeClr w14:val="tx1"/>
            </w14:solidFill>
          </w14:textFill>
        </w:rPr>
        <w:t>)型水库，</w:t>
      </w:r>
      <w:r>
        <w:rPr>
          <w:rFonts w:hint="eastAsia" w:cs="Times New Roman" w:eastAsiaTheme="minorEastAsia"/>
          <w:color w:val="000000" w:themeColor="text1"/>
          <w:kern w:val="0"/>
          <w:sz w:val="24"/>
          <w:highlight w:val="none"/>
          <w:lang w:eastAsia="zh-CN"/>
          <w14:textFill>
            <w14:solidFill>
              <w14:schemeClr w14:val="tx1"/>
            </w14:solidFill>
          </w14:textFill>
        </w:rPr>
        <w:t>无分层情况，最小下泄生态流量为上部取水，上部分与外环境紧密联系，与外界温度一致，无温差，因此本项目无温排水或冷排水情况。</w:t>
      </w:r>
    </w:p>
    <w:p w14:paraId="54089C4F">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6</w:t>
      </w:r>
      <w:r>
        <w:rPr>
          <w:rFonts w:hint="eastAsia" w:cs="Times New Roman"/>
          <w:color w:val="000000" w:themeColor="text1"/>
          <w:sz w:val="24"/>
          <w:szCs w:val="24"/>
          <w:highlight w:val="none"/>
          <w:lang w:eastAsia="zh-CN"/>
          <w14:textFill>
            <w14:solidFill>
              <w14:schemeClr w14:val="tx1"/>
            </w14:solidFill>
          </w14:textFill>
        </w:rPr>
        <w:t>）输水洞</w:t>
      </w:r>
    </w:p>
    <w:p w14:paraId="131360D1">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cs="Times New Roman"/>
          <w:color w:val="000000" w:themeColor="text1"/>
          <w:sz w:val="24"/>
          <w:szCs w:val="24"/>
          <w:highlight w:val="none"/>
          <w:lang w:eastAsia="zh-CN"/>
          <w14:textFill>
            <w14:solidFill>
              <w14:schemeClr w14:val="tx1"/>
            </w14:solidFill>
          </w14:textFill>
        </w:rPr>
      </w:pPr>
      <w:r>
        <w:rPr>
          <w:rFonts w:hint="eastAsia" w:cs="Times New Roman" w:eastAsiaTheme="minorEastAsia"/>
          <w:color w:val="000000" w:themeColor="text1"/>
          <w:kern w:val="0"/>
          <w:sz w:val="24"/>
          <w:highlight w:val="none"/>
          <w:lang w:val="en-US" w:eastAsia="zh-CN"/>
          <w14:textFill>
            <w14:solidFill>
              <w14:schemeClr w14:val="tx1"/>
            </w14:solidFill>
          </w14:textFill>
        </w:rPr>
        <w:t>输水洞位于土坝左侧桩号</w:t>
      </w:r>
      <w:r>
        <w:rPr>
          <w:rFonts w:hint="default" w:cs="Times New Roman" w:eastAsiaTheme="minorEastAsia"/>
          <w:color w:val="000000" w:themeColor="text1"/>
          <w:kern w:val="0"/>
          <w:sz w:val="24"/>
          <w:highlight w:val="none"/>
          <w:lang w:val="en-US" w:eastAsia="zh-CN"/>
          <w14:textFill>
            <w14:solidFill>
              <w14:schemeClr w14:val="tx1"/>
            </w14:solidFill>
          </w14:textFill>
        </w:rPr>
        <w:t>0</w:t>
      </w:r>
      <w:r>
        <w:rPr>
          <w:rFonts w:hint="eastAsia" w:cs="Times New Roman" w:eastAsiaTheme="minorEastAsia"/>
          <w:color w:val="000000" w:themeColor="text1"/>
          <w:kern w:val="0"/>
          <w:sz w:val="24"/>
          <w:highlight w:val="none"/>
          <w:lang w:val="en-US" w:eastAsia="zh-CN"/>
          <w14:textFill>
            <w14:solidFill>
              <w14:schemeClr w14:val="tx1"/>
            </w14:solidFill>
          </w14:textFill>
        </w:rPr>
        <w:t>＋</w:t>
      </w:r>
      <w:r>
        <w:rPr>
          <w:rFonts w:hint="default" w:cs="Times New Roman" w:eastAsiaTheme="minorEastAsia"/>
          <w:color w:val="000000" w:themeColor="text1"/>
          <w:kern w:val="0"/>
          <w:sz w:val="24"/>
          <w:highlight w:val="none"/>
          <w:lang w:val="en-US" w:eastAsia="zh-CN"/>
          <w14:textFill>
            <w14:solidFill>
              <w14:schemeClr w14:val="tx1"/>
            </w14:solidFill>
          </w14:textFill>
        </w:rPr>
        <w:t>400</w:t>
      </w:r>
      <w:r>
        <w:rPr>
          <w:rFonts w:hint="eastAsia" w:cs="Times New Roman" w:eastAsiaTheme="minorEastAsia"/>
          <w:color w:val="000000" w:themeColor="text1"/>
          <w:kern w:val="0"/>
          <w:sz w:val="24"/>
          <w:highlight w:val="none"/>
          <w:lang w:val="en-US" w:eastAsia="zh-CN"/>
          <w14:textFill>
            <w14:solidFill>
              <w14:schemeClr w14:val="tx1"/>
            </w14:solidFill>
          </w14:textFill>
        </w:rPr>
        <w:t>处，为钢筋砼方涵，上游布置布置有钢闸门，进口底高程为</w:t>
      </w:r>
      <w:r>
        <w:rPr>
          <w:rFonts w:hint="default" w:cs="Times New Roman" w:eastAsiaTheme="minorEastAsia"/>
          <w:color w:val="000000" w:themeColor="text1"/>
          <w:kern w:val="0"/>
          <w:sz w:val="24"/>
          <w:highlight w:val="none"/>
          <w:lang w:val="en-US" w:eastAsia="zh-CN"/>
          <w14:textFill>
            <w14:solidFill>
              <w14:schemeClr w14:val="tx1"/>
            </w14:solidFill>
          </w14:textFill>
        </w:rPr>
        <w:t>172.00m</w:t>
      </w:r>
      <w:r>
        <w:rPr>
          <w:rFonts w:hint="eastAsia" w:cs="Times New Roman" w:eastAsiaTheme="minorEastAsia"/>
          <w:color w:val="000000" w:themeColor="text1"/>
          <w:kern w:val="0"/>
          <w:sz w:val="24"/>
          <w:highlight w:val="none"/>
          <w:lang w:val="en-US" w:eastAsia="zh-CN"/>
          <w14:textFill>
            <w14:solidFill>
              <w14:schemeClr w14:val="tx1"/>
            </w14:solidFill>
          </w14:textFill>
        </w:rPr>
        <w:t>，洞径为</w:t>
      </w:r>
      <w:r>
        <w:rPr>
          <w:rFonts w:hint="default" w:cs="Times New Roman" w:eastAsiaTheme="minorEastAsia"/>
          <w:color w:val="000000" w:themeColor="text1"/>
          <w:kern w:val="0"/>
          <w:sz w:val="24"/>
          <w:highlight w:val="none"/>
          <w:lang w:val="en-US" w:eastAsia="zh-CN"/>
          <w14:textFill>
            <w14:solidFill>
              <w14:schemeClr w14:val="tx1"/>
            </w14:solidFill>
          </w14:textFill>
        </w:rPr>
        <w:t>1.5mx1.8m</w:t>
      </w:r>
      <w:r>
        <w:rPr>
          <w:rFonts w:hint="eastAsia" w:cs="Times New Roman" w:eastAsiaTheme="minorEastAsia"/>
          <w:color w:val="000000" w:themeColor="text1"/>
          <w:kern w:val="0"/>
          <w:sz w:val="24"/>
          <w:highlight w:val="none"/>
          <w:lang w:val="en-US" w:eastAsia="zh-CN"/>
          <w14:textFill>
            <w14:solidFill>
              <w14:schemeClr w14:val="tx1"/>
            </w14:solidFill>
          </w14:textFill>
        </w:rPr>
        <w:t>，除险加固重建输水洞出口消力池及海漫段。</w:t>
      </w:r>
    </w:p>
    <w:p w14:paraId="722AEFEA">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本项目对输水洞输水能力进行复核，根据</w:t>
      </w:r>
      <w:r>
        <w:rPr>
          <w:rFonts w:hint="default"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t>《水利水电工程生态流量计算与泄放设计规范》（SL/T820-2023）与《水库生态流量泄放规程》（SL/T819-2023）</w:t>
      </w:r>
      <w:r>
        <w:rPr>
          <w:rFonts w:hint="eastAsia" w:cs="Times New Roman"/>
          <w:snapToGrid w:val="0"/>
          <w:color w:val="000000" w:themeColor="text1"/>
          <w:kern w:val="0"/>
          <w:sz w:val="24"/>
          <w:szCs w:val="24"/>
          <w:lang w:val="en-US" w:eastAsia="zh-CN" w:bidi="ar-SA"/>
          <w14:textFill>
            <w14:solidFill>
              <w14:schemeClr w14:val="tx1"/>
            </w14:solidFill>
          </w14:textFill>
        </w:rPr>
        <w:t>。</w:t>
      </w:r>
    </w:p>
    <w:p w14:paraId="4E96F2F1">
      <w:pPr>
        <w:keepNext w:val="0"/>
        <w:keepLines w:val="0"/>
        <w:pageBreakBefore w:val="0"/>
        <w:widowControl w:val="0"/>
        <w:kinsoku/>
        <w:wordWrap/>
        <w:overflowPunct/>
        <w:topLinePunct w:val="0"/>
        <w:autoSpaceDE/>
        <w:autoSpaceDN/>
        <w:bidi w:val="0"/>
        <w:adjustRightInd/>
        <w:snapToGrid/>
        <w:spacing w:line="360" w:lineRule="auto"/>
        <w:ind w:left="0" w:right="0" w:firstLine="420" w:firstLineChars="200"/>
        <w:jc w:val="center"/>
        <w:textAlignment w:val="auto"/>
        <w:rPr>
          <w:rFonts w:hint="default" w:ascii="Times New Roman" w:hAnsi="Times New Roman" w:eastAsia="宋体" w:cs="Times New Roman"/>
          <w:color w:val="000000" w:themeColor="text1"/>
          <w:sz w:val="24"/>
          <w:szCs w:val="24"/>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1574800" cy="458470"/>
            <wp:effectExtent l="0" t="0" r="6350" b="17780"/>
            <wp:docPr id="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2"/>
                    <pic:cNvPicPr>
                      <a:picLocks noChangeAspect="1"/>
                    </pic:cNvPicPr>
                  </pic:nvPicPr>
                  <pic:blipFill>
                    <a:blip r:embed="rId30"/>
                    <a:stretch>
                      <a:fillRect/>
                    </a:stretch>
                  </pic:blipFill>
                  <pic:spPr>
                    <a:xfrm>
                      <a:off x="0" y="0"/>
                      <a:ext cx="1574800" cy="458470"/>
                    </a:xfrm>
                    <a:prstGeom prst="rect">
                      <a:avLst/>
                    </a:prstGeom>
                    <a:noFill/>
                    <a:ln>
                      <a:noFill/>
                    </a:ln>
                  </pic:spPr>
                </pic:pic>
              </a:graphicData>
            </a:graphic>
          </wp:inline>
        </w:drawing>
      </w:r>
    </w:p>
    <w:p w14:paraId="658C5A1D">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式中：</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B</w:t>
      </w:r>
      <w:r>
        <w:rPr>
          <w:rFonts w:hint="eastAsia" w:ascii="宋体" w:hAnsi="宋体" w:eastAsia="宋体" w:cs="宋体"/>
          <w:color w:val="000000" w:themeColor="text1"/>
          <w:kern w:val="0"/>
          <w:sz w:val="24"/>
          <w:szCs w:val="24"/>
          <w:lang w:val="en-US" w:eastAsia="zh-CN" w:bidi="ar"/>
          <w14:textFill>
            <w14:solidFill>
              <w14:schemeClr w14:val="tx1"/>
            </w14:solidFill>
          </w14:textFill>
        </w:rPr>
        <w:t>—输水洞总净宽，</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1.5m</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0B52C53C">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H0</w:t>
      </w:r>
      <w:r>
        <w:rPr>
          <w:rFonts w:hint="eastAsia" w:ascii="宋体" w:hAnsi="宋体" w:eastAsia="宋体" w:cs="宋体"/>
          <w:color w:val="000000" w:themeColor="text1"/>
          <w:kern w:val="0"/>
          <w:sz w:val="24"/>
          <w:szCs w:val="24"/>
          <w:lang w:val="en-US" w:eastAsia="zh-CN" w:bidi="ar"/>
          <w14:textFill>
            <w14:solidFill>
              <w14:schemeClr w14:val="tx1"/>
            </w14:solidFill>
          </w14:textFill>
        </w:rPr>
        <w:t>—计入行近流速的堰上水头；</w:t>
      </w:r>
    </w:p>
    <w:p w14:paraId="0D25A86A">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000000" w:themeColor="text1"/>
          <w14:textFill>
            <w14:solidFill>
              <w14:schemeClr w14:val="tx1"/>
            </w14:solidFill>
          </w14:textFill>
        </w:rPr>
      </w:pPr>
      <w:r>
        <w:rPr>
          <w:rFonts w:ascii="Cambria Math" w:hAnsi="Cambria Math" w:eastAsia="Cambria Math" w:cs="Cambria Math"/>
          <w:color w:val="000000" w:themeColor="text1"/>
          <w:kern w:val="0"/>
          <w:sz w:val="24"/>
          <w:szCs w:val="24"/>
          <w:lang w:val="en-US" w:eastAsia="zh-CN" w:bidi="ar"/>
          <w14:textFill>
            <w14:solidFill>
              <w14:schemeClr w14:val="tx1"/>
            </w14:solidFill>
          </w14:textFill>
        </w:rPr>
        <w:t>𝜀</w:t>
      </w:r>
      <w:r>
        <w:rPr>
          <w:rFonts w:hint="eastAsia" w:ascii="宋体" w:hAnsi="宋体" w:eastAsia="宋体" w:cs="宋体"/>
          <w:color w:val="000000" w:themeColor="text1"/>
          <w:kern w:val="0"/>
          <w:sz w:val="24"/>
          <w:szCs w:val="24"/>
          <w:lang w:val="en-US" w:eastAsia="zh-CN" w:bidi="ar"/>
          <w14:textFill>
            <w14:solidFill>
              <w14:schemeClr w14:val="tx1"/>
            </w14:solidFill>
          </w14:textFill>
        </w:rPr>
        <w:t>—侧面收缩系数；</w:t>
      </w:r>
    </w:p>
    <w:p w14:paraId="69B9B62C">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w:t>
      </w:r>
      <w:r>
        <w:rPr>
          <w:rFonts w:hint="eastAsia" w:ascii="宋体" w:hAnsi="宋体" w:eastAsia="宋体" w:cs="宋体"/>
          <w:color w:val="000000" w:themeColor="text1"/>
          <w:kern w:val="0"/>
          <w:sz w:val="24"/>
          <w:szCs w:val="24"/>
          <w:lang w:val="en-US" w:eastAsia="zh-CN" w:bidi="ar"/>
          <w14:textFill>
            <w14:solidFill>
              <w14:schemeClr w14:val="tx1"/>
            </w14:solidFill>
          </w14:textFill>
        </w:rPr>
        <w:t>—流量系数；</w:t>
      </w:r>
    </w:p>
    <w:p w14:paraId="014011A0">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000000" w:themeColor="text1"/>
          <w14:textFill>
            <w14:solidFill>
              <w14:schemeClr w14:val="tx1"/>
            </w14:solidFill>
          </w14:textFill>
        </w:rPr>
      </w:pPr>
      <w:r>
        <w:rPr>
          <w:rFonts w:hint="default" w:ascii="Cambria Math" w:hAnsi="Cambria Math" w:eastAsia="Cambria Math" w:cs="Cambria Math"/>
          <w:color w:val="000000" w:themeColor="text1"/>
          <w:kern w:val="0"/>
          <w:sz w:val="24"/>
          <w:szCs w:val="24"/>
          <w:lang w:val="en-US" w:eastAsia="zh-CN" w:bidi="ar"/>
          <w14:textFill>
            <w14:solidFill>
              <w14:schemeClr w14:val="tx1"/>
            </w14:solidFill>
          </w14:textFill>
        </w:rPr>
        <w:t>σ</w:t>
      </w:r>
      <w:r>
        <w:rPr>
          <w:rFonts w:hint="default" w:ascii="Cambria Math" w:hAnsi="Cambria Math" w:eastAsia="Cambria Math" w:cs="Cambria Math"/>
          <w:color w:val="000000" w:themeColor="text1"/>
          <w:kern w:val="0"/>
          <w:sz w:val="18"/>
          <w:szCs w:val="18"/>
          <w:lang w:val="en-US" w:eastAsia="zh-CN" w:bidi="ar"/>
          <w14:textFill>
            <w14:solidFill>
              <w14:schemeClr w14:val="tx1"/>
            </w14:solidFill>
          </w14:textFill>
        </w:rPr>
        <w:t>s</w:t>
      </w:r>
      <w:r>
        <w:rPr>
          <w:rFonts w:hint="eastAsia" w:ascii="宋体" w:hAnsi="宋体" w:eastAsia="宋体" w:cs="宋体"/>
          <w:color w:val="000000" w:themeColor="text1"/>
          <w:kern w:val="0"/>
          <w:sz w:val="24"/>
          <w:szCs w:val="24"/>
          <w:lang w:val="en-US" w:eastAsia="zh-CN" w:bidi="ar"/>
          <w14:textFill>
            <w14:solidFill>
              <w14:schemeClr w14:val="tx1"/>
            </w14:solidFill>
          </w14:textFill>
        </w:rPr>
        <w:t>—淹没系数；</w:t>
      </w:r>
    </w:p>
    <w:p w14:paraId="6505CEBA">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000000" w:themeColor="text1"/>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w:t>
      </w:r>
      <w:r>
        <w:rPr>
          <w:rFonts w:hint="eastAsia" w:ascii="宋体" w:hAnsi="宋体" w:eastAsia="宋体" w:cs="宋体"/>
          <w:color w:val="000000" w:themeColor="text1"/>
          <w:kern w:val="0"/>
          <w:sz w:val="24"/>
          <w:szCs w:val="24"/>
          <w:lang w:val="en-US" w:eastAsia="zh-CN" w:bidi="ar"/>
          <w14:textFill>
            <w14:solidFill>
              <w14:schemeClr w14:val="tx1"/>
            </w14:solidFill>
          </w14:textFill>
        </w:rPr>
        <w:t>流量系数。</w:t>
      </w:r>
    </w:p>
    <w:p w14:paraId="1B9A8AE0">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eastAsia"/>
          <w:color w:val="000000" w:themeColor="text1"/>
          <w:kern w:val="0"/>
          <w:sz w:val="24"/>
          <w:szCs w:val="24"/>
          <w:lang w:val="en-US"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经计算正常水位情况下</w:t>
      </w:r>
      <w:r>
        <w:rPr>
          <w:rFonts w:hint="eastAsia" w:cs="Times New Roman"/>
          <w:color w:val="000000" w:themeColor="text1"/>
          <w:sz w:val="24"/>
          <w:szCs w:val="24"/>
          <w:highlight w:val="none"/>
          <w:lang w:val="en-US" w:eastAsia="zh-CN"/>
          <w14:textFill>
            <w14:solidFill>
              <w14:schemeClr w14:val="tx1"/>
            </w14:solidFill>
          </w14:textFill>
        </w:rPr>
        <w:t>177.50m，</w:t>
      </w:r>
      <w:r>
        <w:rPr>
          <w:rFonts w:hint="eastAsia" w:cs="Times New Roman"/>
          <w:color w:val="000000" w:themeColor="text1"/>
          <w:sz w:val="24"/>
          <w:szCs w:val="24"/>
          <w:highlight w:val="none"/>
          <w:lang w:eastAsia="zh-CN"/>
          <w14:textFill>
            <w14:solidFill>
              <w14:schemeClr w14:val="tx1"/>
            </w14:solidFill>
          </w14:textFill>
        </w:rPr>
        <w:t>现状输水洞过流能力为</w:t>
      </w:r>
      <w:r>
        <w:rPr>
          <w:rFonts w:hint="eastAsia" w:cs="Times New Roman"/>
          <w:color w:val="000000" w:themeColor="text1"/>
          <w:sz w:val="24"/>
          <w:szCs w:val="24"/>
          <w:highlight w:val="none"/>
          <w:lang w:val="en-US" w:eastAsia="zh-CN"/>
          <w14:textFill>
            <w14:solidFill>
              <w14:schemeClr w14:val="tx1"/>
            </w14:solidFill>
          </w14:textFill>
        </w:rPr>
        <w:t>Q=5.49m³/s，经过现场踏查，输水洞基本完好，具备相应输水能力。根据专项4.2章节可知，</w:t>
      </w:r>
      <w:r>
        <w:rPr>
          <w:rFonts w:hint="eastAsia"/>
          <w:color w:val="000000" w:themeColor="text1"/>
          <w:kern w:val="0"/>
          <w:sz w:val="24"/>
          <w:szCs w:val="24"/>
          <w:lang w:val="en-US" w:eastAsia="zh-CN"/>
          <w14:textFill>
            <w14:solidFill>
              <w14:schemeClr w14:val="tx1"/>
            </w14:solidFill>
          </w14:textFill>
        </w:rPr>
        <w:t>本项目丰水期生态流量为0.57m³/s，枯水期生态流量为0.345m³/s，以及多年平均流量为0.75m³/s，因此可满足水库下泄生态流量，且青山水库主要功能为灌溉，</w:t>
      </w:r>
      <w:r>
        <w:rPr>
          <w:rFonts w:hint="eastAsia" w:cs="Times New Roman"/>
          <w:color w:val="000000" w:themeColor="text1"/>
          <w:sz w:val="24"/>
          <w:szCs w:val="24"/>
          <w:highlight w:val="none"/>
          <w:lang w:eastAsia="zh-CN"/>
          <w14:textFill>
            <w14:solidFill>
              <w14:schemeClr w14:val="tx1"/>
            </w14:solidFill>
          </w14:textFill>
        </w:rPr>
        <w:t>根据</w:t>
      </w:r>
      <w:r>
        <w:rPr>
          <w:rFonts w:hint="default" w:ascii="Times New Roman" w:hAnsi="Times New Roman" w:eastAsia="宋体" w:cs="Times New Roman"/>
          <w:snapToGrid w:val="0"/>
          <w:color w:val="000000" w:themeColor="text1"/>
          <w:kern w:val="0"/>
          <w:sz w:val="24"/>
          <w:szCs w:val="24"/>
          <w:lang w:val="en-US" w:eastAsia="zh-CN" w:bidi="ar-SA"/>
          <w14:textFill>
            <w14:solidFill>
              <w14:schemeClr w14:val="tx1"/>
            </w14:solidFill>
          </w14:textFill>
        </w:rPr>
        <w:t>《水库生态流量泄放规程》（SL/T819-2023）</w:t>
      </w:r>
      <w:r>
        <w:rPr>
          <w:rFonts w:hint="eastAsia" w:cs="Times New Roman"/>
          <w:snapToGrid w:val="0"/>
          <w:color w:val="000000" w:themeColor="text1"/>
          <w:kern w:val="0"/>
          <w:sz w:val="24"/>
          <w:szCs w:val="24"/>
          <w:lang w:val="en-US" w:eastAsia="zh-CN" w:bidi="ar-SA"/>
          <w14:textFill>
            <w14:solidFill>
              <w14:schemeClr w14:val="tx1"/>
            </w14:solidFill>
          </w14:textFill>
        </w:rPr>
        <w:t>青山水库人员对水工建筑定期进行安全检查，具备泄水安全运行条件，因此现输水洞设置合理。</w:t>
      </w:r>
    </w:p>
    <w:p w14:paraId="36BC1D87">
      <w:pPr>
        <w:keepNext w:val="0"/>
        <w:keepLines w:val="0"/>
        <w:pageBreakBefore w:val="0"/>
        <w:widowControl w:val="0"/>
        <w:kinsoku/>
        <w:wordWrap/>
        <w:overflowPunct/>
        <w:topLinePunct w:val="0"/>
        <w:autoSpaceDE/>
        <w:autoSpaceDN/>
        <w:bidi w:val="0"/>
        <w:adjustRightInd/>
        <w:snapToGrid/>
        <w:spacing w:line="360" w:lineRule="auto"/>
        <w:ind w:left="0" w:right="0" w:firstLine="480" w:firstLineChars="200"/>
        <w:textAlignment w:val="auto"/>
        <w:rPr>
          <w:rFonts w:hint="default" w:ascii="Times New Roman" w:hAnsi="Times New Roman" w:cs="Times New Roman" w:eastAsiaTheme="majorEastAsia"/>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highlight w:val="none"/>
          <w14:textFill>
            <w14:solidFill>
              <w14:schemeClr w14:val="tx1"/>
            </w14:solidFill>
          </w14:textFill>
        </w:rPr>
        <w:t>水库所</w:t>
      </w:r>
      <w:r>
        <w:rPr>
          <w:rFonts w:hint="default" w:ascii="Times New Roman" w:hAnsi="Times New Roman" w:cs="Times New Roman" w:eastAsiaTheme="majorEastAsia"/>
          <w:color w:val="000000" w:themeColor="text1"/>
          <w:sz w:val="24"/>
          <w:highlight w:val="none"/>
          <w14:textFill>
            <w14:solidFill>
              <w14:schemeClr w14:val="tx1"/>
            </w14:solidFill>
          </w14:textFill>
        </w:rPr>
        <w:t>在流域水系分布图见图3.3-2。</w:t>
      </w:r>
    </w:p>
    <w:p w14:paraId="6C958A1A">
      <w:pPr>
        <w:pStyle w:val="28"/>
        <w:ind w:left="0" w:leftChars="0" w:firstLine="0" w:firstLineChars="0"/>
        <w:jc w:val="center"/>
        <w:rPr>
          <w:rFonts w:hint="default" w:ascii="Times New Roman" w:hAnsi="Times New Roman" w:cs="Times New Roman"/>
          <w:color w:val="000000" w:themeColor="text1"/>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5274310" cy="4109720"/>
            <wp:effectExtent l="0" t="0" r="2540" b="5080"/>
            <wp:docPr id="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
                    <pic:cNvPicPr>
                      <a:picLocks noChangeAspect="1"/>
                    </pic:cNvPicPr>
                  </pic:nvPicPr>
                  <pic:blipFill>
                    <a:blip r:embed="rId31"/>
                    <a:stretch>
                      <a:fillRect/>
                    </a:stretch>
                  </pic:blipFill>
                  <pic:spPr>
                    <a:xfrm>
                      <a:off x="0" y="0"/>
                      <a:ext cx="5274310" cy="4109720"/>
                    </a:xfrm>
                    <a:prstGeom prst="rect">
                      <a:avLst/>
                    </a:prstGeom>
                    <a:noFill/>
                    <a:ln>
                      <a:noFill/>
                    </a:ln>
                  </pic:spPr>
                </pic:pic>
              </a:graphicData>
            </a:graphic>
          </wp:inline>
        </w:drawing>
      </w:r>
    </w:p>
    <w:p w14:paraId="48F9FF6E">
      <w:pPr>
        <w:pStyle w:val="8"/>
        <w:tabs>
          <w:tab w:val="center" w:pos="4140"/>
        </w:tabs>
        <w:jc w:val="center"/>
        <w:rPr>
          <w:rFonts w:hint="default" w:ascii="Times New Roman" w:hAnsi="Times New Roman" w:cs="Times New Roman"/>
          <w:color w:val="000000" w:themeColor="text1"/>
          <w:spacing w:val="-3"/>
          <w:sz w:val="24"/>
          <w:szCs w:val="24"/>
          <w:highlight w:val="none"/>
          <w14:textFill>
            <w14:solidFill>
              <w14:schemeClr w14:val="tx1"/>
            </w14:solidFill>
          </w14:textFill>
        </w:rPr>
        <w:sectPr>
          <w:headerReference r:id="rId11" w:type="default"/>
          <w:footerReference r:id="rId12"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000000" w:themeColor="text1"/>
          <w:sz w:val="24"/>
          <w:szCs w:val="24"/>
          <w:highlight w:val="none"/>
          <w14:textFill>
            <w14:solidFill>
              <w14:schemeClr w14:val="tx1"/>
            </w14:solidFill>
          </w14:textFill>
        </w:rPr>
        <w:t>图</w:t>
      </w:r>
      <w:r>
        <w:rPr>
          <w:rFonts w:hint="eastAsia" w:cs="Times New Roman"/>
          <w:color w:val="000000" w:themeColor="text1"/>
          <w:sz w:val="24"/>
          <w:szCs w:val="24"/>
          <w:highlight w:val="none"/>
          <w:lang w:val="en-US" w:eastAsia="zh-CN"/>
          <w14:textFill>
            <w14:solidFill>
              <w14:schemeClr w14:val="tx1"/>
            </w14:solidFill>
          </w14:textFill>
        </w:rPr>
        <w:t xml:space="preserve">3-1 </w:t>
      </w:r>
      <w:r>
        <w:rPr>
          <w:rFonts w:hint="default" w:ascii="Times New Roman" w:hAnsi="Times New Roman" w:cs="Times New Roman"/>
          <w:color w:val="000000" w:themeColor="text1"/>
          <w:spacing w:val="-3"/>
          <w:sz w:val="24"/>
          <w:szCs w:val="24"/>
          <w:highlight w:val="none"/>
          <w14:textFill>
            <w14:solidFill>
              <w14:schemeClr w14:val="tx1"/>
            </w14:solidFill>
          </w14:textFill>
        </w:rPr>
        <w:t>水库所在流域水系分布图</w:t>
      </w:r>
    </w:p>
    <w:p w14:paraId="566B5CDE">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118" w:name="_Toc2454"/>
      <w:r>
        <w:rPr>
          <w:rFonts w:hint="default" w:ascii="Times New Roman" w:hAnsi="Times New Roman" w:cs="Times New Roman"/>
          <w:color w:val="000000" w:themeColor="text1"/>
          <w:highlight w:val="none"/>
          <w14:textFill>
            <w14:solidFill>
              <w14:schemeClr w14:val="tx1"/>
            </w14:solidFill>
          </w14:textFill>
        </w:rPr>
        <w:t>3.</w:t>
      </w:r>
      <w:r>
        <w:rPr>
          <w:rFonts w:hint="eastAsia" w:cs="Times New Roman"/>
          <w:color w:val="000000" w:themeColor="text1"/>
          <w:highlight w:val="none"/>
          <w:lang w:val="en-US" w:eastAsia="zh-CN"/>
          <w14:textFill>
            <w14:solidFill>
              <w14:schemeClr w14:val="tx1"/>
            </w14:solidFill>
          </w14:textFill>
        </w:rPr>
        <w:t>4</w:t>
      </w:r>
      <w:r>
        <w:rPr>
          <w:rFonts w:hint="default" w:ascii="Times New Roman" w:hAnsi="Times New Roman" w:cs="Times New Roman"/>
          <w:color w:val="000000" w:themeColor="text1"/>
          <w:highlight w:val="none"/>
          <w14:textFill>
            <w14:solidFill>
              <w14:schemeClr w14:val="tx1"/>
            </w14:solidFill>
          </w14:textFill>
        </w:rPr>
        <w:t>生态</w:t>
      </w:r>
      <w:r>
        <w:rPr>
          <w:rFonts w:hint="eastAsia" w:cs="Times New Roman"/>
          <w:color w:val="000000" w:themeColor="text1"/>
          <w:highlight w:val="none"/>
          <w:lang w:eastAsia="zh-CN"/>
          <w14:textFill>
            <w14:solidFill>
              <w14:schemeClr w14:val="tx1"/>
            </w14:solidFill>
          </w14:textFill>
        </w:rPr>
        <w:t>现状</w:t>
      </w:r>
      <w:r>
        <w:rPr>
          <w:rFonts w:hint="default" w:ascii="Times New Roman" w:hAnsi="Times New Roman" w:cs="Times New Roman"/>
          <w:color w:val="000000" w:themeColor="text1"/>
          <w:highlight w:val="none"/>
          <w14:textFill>
            <w14:solidFill>
              <w14:schemeClr w14:val="tx1"/>
            </w14:solidFill>
          </w14:textFill>
        </w:rPr>
        <w:t>调查</w:t>
      </w:r>
      <w:bookmarkEnd w:id="118"/>
    </w:p>
    <w:p w14:paraId="0B5E1A01">
      <w:pPr>
        <w:pStyle w:val="2"/>
        <w:keepNext w:val="0"/>
        <w:keepLines w:val="0"/>
        <w:pageBreakBefore w:val="0"/>
        <w:widowControl w:val="0"/>
        <w:kinsoku/>
        <w:wordWrap/>
        <w:overflowPunct/>
        <w:topLinePunct w:val="0"/>
        <w:bidi w:val="0"/>
        <w:snapToGrid/>
        <w:spacing w:line="360" w:lineRule="auto"/>
        <w:ind w:firstLine="480" w:firstLineChars="200"/>
        <w:jc w:val="both"/>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调查组于</w:t>
      </w:r>
      <w:r>
        <w:rPr>
          <w:rFonts w:hint="default"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202</w:t>
      </w:r>
      <w:r>
        <w:rPr>
          <w:rFonts w:hint="eastAsia" w:ascii="Times New Roman" w:hAnsi="Times New Roman" w:eastAsia="宋体" w:cs="Times New Roman"/>
          <w:color w:val="000000" w:themeColor="text1"/>
          <w:kern w:val="2"/>
          <w:sz w:val="24"/>
          <w:szCs w:val="24"/>
          <w:highlight w:val="none"/>
          <w:lang w:val="en-US" w:eastAsia="zh-CN" w:bidi="ar-SA"/>
          <w14:textFill>
            <w14:solidFill>
              <w14:schemeClr w14:val="tx1"/>
            </w14:solidFill>
          </w14:textFill>
        </w:rPr>
        <w:t>5年5月</w:t>
      </w:r>
      <w:r>
        <w:rPr>
          <w:rFonts w:hint="eastAsia" w:ascii="宋体" w:hAnsi="宋体" w:eastAsia="宋体" w:cs="宋体"/>
          <w:color w:val="000000" w:themeColor="text1"/>
          <w:kern w:val="0"/>
          <w:sz w:val="24"/>
          <w:szCs w:val="24"/>
          <w:lang w:val="en-US" w:eastAsia="zh-CN" w:bidi="ar"/>
          <w14:textFill>
            <w14:solidFill>
              <w14:schemeClr w14:val="tx1"/>
            </w14:solidFill>
          </w14:textFill>
        </w:rPr>
        <w:t>对项目沿线进行了水生生态调查。本次调查共布置</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了2</w:t>
      </w:r>
      <w:r>
        <w:rPr>
          <w:rFonts w:hint="eastAsia" w:ascii="宋体" w:hAnsi="宋体" w:eastAsia="宋体" w:cs="宋体"/>
          <w:color w:val="000000" w:themeColor="text1"/>
          <w:kern w:val="0"/>
          <w:sz w:val="24"/>
          <w:szCs w:val="24"/>
          <w:lang w:val="en-US" w:eastAsia="zh-CN" w:bidi="ar"/>
          <w14:textFill>
            <w14:solidFill>
              <w14:schemeClr w14:val="tx1"/>
            </w14:solidFill>
          </w14:textFill>
        </w:rPr>
        <w:t>个水生生态调查点位，水生生态调查点位的布设符合《环境影响评价技术导则</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生态影响》（</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HJ 19-2022</w:t>
      </w:r>
      <w:r>
        <w:rPr>
          <w:rFonts w:hint="eastAsia" w:ascii="宋体" w:hAnsi="宋体" w:eastAsia="宋体" w:cs="宋体"/>
          <w:color w:val="000000" w:themeColor="text1"/>
          <w:kern w:val="0"/>
          <w:sz w:val="24"/>
          <w:szCs w:val="24"/>
          <w:lang w:val="en-US" w:eastAsia="zh-CN" w:bidi="ar"/>
          <w14:textFill>
            <w14:solidFill>
              <w14:schemeClr w14:val="tx1"/>
            </w14:solidFill>
          </w14:textFill>
        </w:rPr>
        <w:t>）中水生生态的调查点位应涵盖评价范围内的湖库等的要求。</w:t>
      </w:r>
    </w:p>
    <w:p w14:paraId="74955FE3">
      <w:pPr>
        <w:keepNext w:val="0"/>
        <w:keepLines w:val="0"/>
        <w:widowControl/>
        <w:numPr>
          <w:ilvl w:val="0"/>
          <w:numId w:val="0"/>
        </w:numPr>
        <w:suppressLineNumbers w:val="0"/>
        <w:ind w:leftChars="0"/>
        <w:jc w:val="center"/>
        <w:rPr>
          <w:rFonts w:hint="eastAsia" w:ascii="Times New Roman" w:hAnsi="Times New Roman" w:eastAsia="宋体" w:cs="Times New Roman"/>
          <w:b/>
          <w:bCs/>
          <w:color w:val="000000" w:themeColor="text1"/>
          <w:sz w:val="24"/>
          <w:szCs w:val="32"/>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32"/>
          <w:highlight w:val="none"/>
          <w:lang w:val="en-US" w:eastAsia="zh-CN"/>
          <w14:textFill>
            <w14:solidFill>
              <w14:schemeClr w14:val="tx1"/>
            </w14:solidFill>
          </w14:textFill>
        </w:rPr>
        <w:t>表3-</w:t>
      </w:r>
      <w:r>
        <w:rPr>
          <w:rFonts w:hint="eastAsia" w:cs="Times New Roman"/>
          <w:b/>
          <w:bCs/>
          <w:color w:val="000000" w:themeColor="text1"/>
          <w:sz w:val="24"/>
          <w:szCs w:val="32"/>
          <w:highlight w:val="none"/>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szCs w:val="32"/>
          <w:highlight w:val="none"/>
          <w:lang w:val="en-US" w:eastAsia="zh-CN"/>
          <w14:textFill>
            <w14:solidFill>
              <w14:schemeClr w14:val="tx1"/>
            </w14:solidFill>
          </w14:textFill>
        </w:rPr>
        <w:t>水生生态调查样点一览表</w:t>
      </w:r>
    </w:p>
    <w:tbl>
      <w:tblPr>
        <w:tblStyle w:val="2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1"/>
        <w:gridCol w:w="745"/>
        <w:gridCol w:w="2134"/>
        <w:gridCol w:w="4642"/>
      </w:tblGrid>
      <w:tr w14:paraId="4DFE99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01" w:type="dxa"/>
            <w:tcBorders>
              <w:tl2br w:val="nil"/>
              <w:tr2bl w:val="nil"/>
            </w:tcBorders>
            <w:noWrap w:val="0"/>
            <w:vAlign w:val="center"/>
          </w:tcPr>
          <w:p w14:paraId="1F5CFA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序号</w:t>
            </w:r>
          </w:p>
        </w:tc>
        <w:tc>
          <w:tcPr>
            <w:tcW w:w="745" w:type="dxa"/>
            <w:tcBorders>
              <w:tl2br w:val="nil"/>
              <w:tr2bl w:val="nil"/>
            </w:tcBorders>
            <w:noWrap w:val="0"/>
            <w:vAlign w:val="center"/>
          </w:tcPr>
          <w:p w14:paraId="742E925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行政区</w:t>
            </w:r>
          </w:p>
        </w:tc>
        <w:tc>
          <w:tcPr>
            <w:tcW w:w="2134" w:type="dxa"/>
            <w:tcBorders>
              <w:tl2br w:val="nil"/>
              <w:tr2bl w:val="nil"/>
            </w:tcBorders>
            <w:noWrap w:val="0"/>
            <w:vAlign w:val="center"/>
          </w:tcPr>
          <w:p w14:paraId="23D6005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坐标</w:t>
            </w:r>
          </w:p>
        </w:tc>
        <w:tc>
          <w:tcPr>
            <w:tcW w:w="4642" w:type="dxa"/>
            <w:tcBorders>
              <w:tl2br w:val="nil"/>
              <w:tr2bl w:val="nil"/>
            </w:tcBorders>
            <w:noWrap w:val="0"/>
            <w:vAlign w:val="top"/>
          </w:tcPr>
          <w:p w14:paraId="2C4D049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点位图</w:t>
            </w:r>
          </w:p>
        </w:tc>
      </w:tr>
      <w:tr w14:paraId="2A2613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3" w:hRule="atLeast"/>
        </w:trPr>
        <w:tc>
          <w:tcPr>
            <w:tcW w:w="1001" w:type="dxa"/>
            <w:tcBorders>
              <w:tl2br w:val="nil"/>
              <w:tr2bl w:val="nil"/>
            </w:tcBorders>
            <w:noWrap w:val="0"/>
            <w:vAlign w:val="center"/>
          </w:tcPr>
          <w:p w14:paraId="5F22E9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水库坝前</w:t>
            </w:r>
          </w:p>
        </w:tc>
        <w:tc>
          <w:tcPr>
            <w:tcW w:w="745" w:type="dxa"/>
            <w:tcBorders>
              <w:tl2br w:val="nil"/>
              <w:tr2bl w:val="nil"/>
            </w:tcBorders>
            <w:noWrap w:val="0"/>
            <w:vAlign w:val="center"/>
          </w:tcPr>
          <w:p w14:paraId="198C07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密山市</w:t>
            </w:r>
          </w:p>
        </w:tc>
        <w:tc>
          <w:tcPr>
            <w:tcW w:w="2134" w:type="dxa"/>
            <w:tcBorders>
              <w:tl2br w:val="nil"/>
              <w:tr2bl w:val="nil"/>
            </w:tcBorders>
            <w:noWrap w:val="0"/>
            <w:vAlign w:val="center"/>
          </w:tcPr>
          <w:p w14:paraId="79E67E4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eastAsia="宋体"/>
                <w:color w:val="000000" w:themeColor="text1"/>
                <w:sz w:val="21"/>
                <w:szCs w:val="21"/>
                <w:vertAlign w:val="baseline"/>
                <w:lang w:eastAsia="zh-CN"/>
                <w14:textFill>
                  <w14:solidFill>
                    <w14:schemeClr w14:val="tx1"/>
                  </w14:solidFill>
                </w14:textFill>
              </w:rPr>
            </w:pPr>
            <w:r>
              <w:rPr>
                <w:rFonts w:hint="eastAsia" w:eastAsia="宋体"/>
                <w:color w:val="000000" w:themeColor="text1"/>
                <w:sz w:val="21"/>
                <w:szCs w:val="21"/>
                <w:vertAlign w:val="baseline"/>
                <w:lang w:eastAsia="zh-CN"/>
                <w14:textFill>
                  <w14:solidFill>
                    <w14:schemeClr w14:val="tx1"/>
                  </w14:solidFill>
                </w14:textFill>
              </w:rPr>
              <w:t>131.47546</w:t>
            </w:r>
            <w:r>
              <w:rPr>
                <w:rFonts w:hint="eastAsia"/>
                <w:color w:val="000000" w:themeColor="text1"/>
                <w:sz w:val="21"/>
                <w:szCs w:val="21"/>
                <w:vertAlign w:val="baseline"/>
                <w:lang w:eastAsia="zh-CN"/>
                <w14:textFill>
                  <w14:solidFill>
                    <w14:schemeClr w14:val="tx1"/>
                  </w14:solidFill>
                </w14:textFill>
              </w:rPr>
              <w:t>，</w:t>
            </w:r>
            <w:r>
              <w:rPr>
                <w:rFonts w:hint="eastAsia" w:eastAsia="宋体"/>
                <w:color w:val="000000" w:themeColor="text1"/>
                <w:sz w:val="21"/>
                <w:szCs w:val="21"/>
                <w:vertAlign w:val="baseline"/>
                <w:lang w:eastAsia="zh-CN"/>
                <w14:textFill>
                  <w14:solidFill>
                    <w14:schemeClr w14:val="tx1"/>
                  </w14:solidFill>
                </w14:textFill>
              </w:rPr>
              <w:t>45.430464</w:t>
            </w:r>
          </w:p>
        </w:tc>
        <w:tc>
          <w:tcPr>
            <w:tcW w:w="4642" w:type="dxa"/>
            <w:vMerge w:val="restart"/>
            <w:tcBorders>
              <w:tl2br w:val="nil"/>
              <w:tr2bl w:val="nil"/>
            </w:tcBorders>
            <w:noWrap w:val="0"/>
            <w:vAlign w:val="top"/>
          </w:tcPr>
          <w:p w14:paraId="197A09ED">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auto"/>
              <w:rPr>
                <w:color w:val="000000" w:themeColor="text1"/>
                <w:sz w:val="21"/>
                <w:szCs w:val="21"/>
                <w:vertAlign w:val="baseline"/>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1101725</wp:posOffset>
                      </wp:positionH>
                      <wp:positionV relativeFrom="paragraph">
                        <wp:posOffset>1048385</wp:posOffset>
                      </wp:positionV>
                      <wp:extent cx="76200" cy="81280"/>
                      <wp:effectExtent l="17780" t="22860" r="20320" b="29210"/>
                      <wp:wrapNone/>
                      <wp:docPr id="107" name="五角星 107"/>
                      <wp:cNvGraphicFramePr/>
                      <a:graphic xmlns:a="http://schemas.openxmlformats.org/drawingml/2006/main">
                        <a:graphicData uri="http://schemas.microsoft.com/office/word/2010/wordprocessingShape">
                          <wps:wsp>
                            <wps:cNvSpPr/>
                            <wps:spPr>
                              <a:xfrm>
                                <a:off x="0" y="0"/>
                                <a:ext cx="76200" cy="8128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86.75pt;margin-top:82.55pt;height:6.4pt;width:6pt;z-index:251698176;v-text-anchor:middle;mso-width-relative:page;mso-height-relative:page;" fillcolor="#FF0000" filled="t" stroked="t" coordsize="76200,81280" o:gfxdata="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n1bdX9YAAAALAQAADwAAAAAAAAABACAAAAAiAAAAZHJzL2Rvd25y&#10;ZXYueG1sUEsBAhQAFAAAAAgAh07iQLXSXv5yAgAA+QQAAA4AAAAAAAAAAQAgAAAAJQEAAGRycy9l&#10;Mm9Eb2MueG1sUEsFBgAAAAAGAAYAWQEAAAkGAAAAAA==&#10;" path="m0,31046l29105,31046,38100,0,47094,31046,76199,31046,52652,50233,61647,81279,38100,62091,14552,81279,23547,50233xe">
                      <v:path o:connectlocs="38100,0;0,31046;14552,81279;61647,81279;76199,31046" o:connectangles="247,164,82,82,0"/>
                      <v:fill on="t" focussize="0,0"/>
                      <v:stroke weight="1pt" color="#FF0000 [2404]" miterlimit="8" joinstyle="miter"/>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2470150" cy="1960880"/>
                  <wp:effectExtent l="0" t="0" r="6350" b="127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32"/>
                          <a:stretch>
                            <a:fillRect/>
                          </a:stretch>
                        </pic:blipFill>
                        <pic:spPr>
                          <a:xfrm>
                            <a:off x="0" y="0"/>
                            <a:ext cx="2470150" cy="1960880"/>
                          </a:xfrm>
                          <a:prstGeom prst="rect">
                            <a:avLst/>
                          </a:prstGeom>
                          <a:noFill/>
                          <a:ln>
                            <a:noFill/>
                          </a:ln>
                        </pic:spPr>
                      </pic:pic>
                    </a:graphicData>
                  </a:graphic>
                </wp:inline>
              </w:drawing>
            </w:r>
          </w:p>
        </w:tc>
      </w:tr>
      <w:tr w14:paraId="1F71FC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3" w:hRule="atLeast"/>
        </w:trPr>
        <w:tc>
          <w:tcPr>
            <w:tcW w:w="1001" w:type="dxa"/>
            <w:tcBorders>
              <w:tl2br w:val="nil"/>
              <w:tr2bl w:val="nil"/>
            </w:tcBorders>
            <w:noWrap w:val="0"/>
            <w:vAlign w:val="center"/>
          </w:tcPr>
          <w:p w14:paraId="295D006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水库下游</w:t>
            </w:r>
          </w:p>
        </w:tc>
        <w:tc>
          <w:tcPr>
            <w:tcW w:w="745" w:type="dxa"/>
            <w:tcBorders>
              <w:tl2br w:val="nil"/>
              <w:tr2bl w:val="nil"/>
            </w:tcBorders>
            <w:shd w:val="clear" w:color="auto" w:fill="auto"/>
            <w:noWrap w:val="0"/>
            <w:vAlign w:val="center"/>
          </w:tcPr>
          <w:p w14:paraId="109AAFA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密山市</w:t>
            </w:r>
          </w:p>
        </w:tc>
        <w:tc>
          <w:tcPr>
            <w:tcW w:w="2134" w:type="dxa"/>
            <w:tcBorders>
              <w:tl2br w:val="nil"/>
              <w:tr2bl w:val="nil"/>
            </w:tcBorders>
            <w:noWrap w:val="0"/>
            <w:vAlign w:val="center"/>
          </w:tcPr>
          <w:p w14:paraId="4DABCB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131.4764，45.42577</w:t>
            </w:r>
          </w:p>
        </w:tc>
        <w:tc>
          <w:tcPr>
            <w:tcW w:w="4642" w:type="dxa"/>
            <w:vMerge w:val="continue"/>
            <w:tcBorders>
              <w:tl2br w:val="nil"/>
              <w:tr2bl w:val="nil"/>
            </w:tcBorders>
            <w:noWrap w:val="0"/>
            <w:vAlign w:val="top"/>
          </w:tcPr>
          <w:p w14:paraId="723B09A2">
            <w:pPr>
              <w:keepNext w:val="0"/>
              <w:keepLines w:val="0"/>
              <w:pageBreakBefore w:val="0"/>
              <w:widowControl/>
              <w:suppressLineNumbers w:val="0"/>
              <w:kinsoku/>
              <w:wordWrap/>
              <w:overflowPunct/>
              <w:topLinePunct w:val="0"/>
              <w:autoSpaceDE/>
              <w:autoSpaceDN/>
              <w:bidi w:val="0"/>
              <w:adjustRightInd/>
              <w:snapToGrid/>
              <w:spacing w:line="360" w:lineRule="auto"/>
              <w:ind w:firstLine="0" w:firstLineChars="0"/>
              <w:jc w:val="center"/>
              <w:textAlignment w:val="auto"/>
              <w:rPr>
                <w:color w:val="000000" w:themeColor="text1"/>
                <w:sz w:val="21"/>
                <w14:textFill>
                  <w14:solidFill>
                    <w14:schemeClr w14:val="tx1"/>
                  </w14:solidFill>
                </w14:textFill>
              </w:rPr>
            </w:pPr>
          </w:p>
        </w:tc>
      </w:tr>
    </w:tbl>
    <w:p w14:paraId="39354125">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1</w:t>
      </w:r>
      <w:r>
        <w:rPr>
          <w:rFonts w:hint="eastAsia" w:ascii="Times New Roman" w:hAnsi="Times New Roman" w:eastAsia="宋体" w:cs="Times New Roman"/>
          <w:b w:val="0"/>
          <w:bCs w:val="0"/>
          <w:color w:val="000000" w:themeColor="text1"/>
          <w:sz w:val="24"/>
          <w:szCs w:val="24"/>
          <w:highlight w:val="none"/>
          <w:lang w:eastAsia="zh-CN"/>
          <w14:textFill>
            <w14:solidFill>
              <w14:schemeClr w14:val="tx1"/>
            </w14:solidFill>
          </w14:textFill>
        </w:rPr>
        <w:t>）</w:t>
      </w:r>
      <w:r>
        <w:rPr>
          <w:rFonts w:ascii="Times New Roman" w:hAnsi="Times New Roman" w:cs="Times New Roman" w:eastAsiaTheme="majorEastAsia"/>
          <w:b w:val="0"/>
          <w:bCs w:val="0"/>
          <w:color w:val="000000" w:themeColor="text1"/>
          <w:sz w:val="24"/>
          <w:szCs w:val="24"/>
          <w14:textFill>
            <w14:solidFill>
              <w14:schemeClr w14:val="tx1"/>
            </w14:solidFill>
          </w14:textFill>
        </w:rPr>
        <w:t>浮游藻类</w:t>
      </w:r>
    </w:p>
    <w:p w14:paraId="13AE680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cs="Times New Roman" w:eastAsiaTheme="majorEastAsia"/>
          <w:b w:val="0"/>
          <w:bCs w:val="0"/>
          <w:color w:val="000000" w:themeColor="text1"/>
          <w:kern w:val="0"/>
          <w:sz w:val="24"/>
          <w:szCs w:val="24"/>
          <w14:textFill>
            <w14:solidFill>
              <w14:schemeClr w14:val="tx1"/>
            </w14:solidFill>
          </w14:textFill>
        </w:rPr>
        <w:t>本次调查期间，在所有采样点中检出频率超过50%的常见浮游藻类主要有：硅藻门的舟形藻属（Navicula）、小环藻属（Cyclotella）、布纹藻属（Gyrosigma）、直链藻属（Melosira）、菱形藻属（Nitzschia）、桥弯藻属（Cymbella）、双菱藻属（Surirella），绿藻门的纤维藻属（Ankistrodesmus），裸藻门的裸藻属（Euglena），隐藻门的隐藻属（Cryptomonas）。其中硅藻门的舟形藻属、小环藻属、布纹藻属、直链藻属、菱形藻属检出频次均达到80%以上。</w:t>
      </w:r>
    </w:p>
    <w:p w14:paraId="77D6666D">
      <w:pPr>
        <w:spacing w:line="360" w:lineRule="auto"/>
        <w:jc w:val="center"/>
        <w:rPr>
          <w:rFonts w:ascii="Times New Roman" w:hAnsi="Times New Roman" w:cs="Times New Roman" w:eastAsiaTheme="majorEastAsia"/>
          <w:color w:val="000000" w:themeColor="text1"/>
          <w:sz w:val="21"/>
          <w14:textFill>
            <w14:solidFill>
              <w14:schemeClr w14:val="tx1"/>
            </w14:solidFill>
          </w14:textFill>
        </w:rPr>
      </w:pPr>
      <w:r>
        <w:rPr>
          <w:rFonts w:ascii="Times New Roman" w:hAnsi="Times New Roman" w:cs="Times New Roman" w:eastAsiaTheme="majorEastAsia"/>
          <w:color w:val="000000" w:themeColor="text1"/>
          <w:sz w:val="21"/>
          <w14:textFill>
            <w14:solidFill>
              <w14:schemeClr w14:val="tx1"/>
            </w14:solidFill>
          </w14:textFill>
        </w:rPr>
        <w:drawing>
          <wp:inline distT="0" distB="0" distL="0" distR="0">
            <wp:extent cx="2432050" cy="1907540"/>
            <wp:effectExtent l="0" t="0" r="6350" b="16510"/>
            <wp:docPr id="2" name="图片 2" descr="卵形隐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卵形隐藻"/>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432627" cy="1908000"/>
                    </a:xfrm>
                    <a:prstGeom prst="rect">
                      <a:avLst/>
                    </a:prstGeom>
                    <a:noFill/>
                    <a:ln>
                      <a:noFill/>
                    </a:ln>
                  </pic:spPr>
                </pic:pic>
              </a:graphicData>
            </a:graphic>
          </wp:inline>
        </w:drawing>
      </w:r>
      <w:r>
        <w:rPr>
          <w:rFonts w:ascii="Times New Roman" w:hAnsi="Times New Roman" w:cs="Times New Roman" w:eastAsiaTheme="majorEastAsia"/>
          <w:color w:val="000000" w:themeColor="text1"/>
          <w:sz w:val="21"/>
          <w14:textFill>
            <w14:solidFill>
              <w14:schemeClr w14:val="tx1"/>
            </w14:solidFill>
          </w14:textFill>
        </w:rPr>
        <w:drawing>
          <wp:inline distT="0" distB="0" distL="0" distR="0">
            <wp:extent cx="2763520" cy="1907540"/>
            <wp:effectExtent l="0" t="0" r="17780" b="16510"/>
            <wp:docPr id="34" name="图片 34" descr="脆杆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脆杆藻"/>
                    <pic:cNvPicPr>
                      <a:picLocks noChangeAspect="1" noChangeArrowheads="1"/>
                    </pic:cNvPicPr>
                  </pic:nvPicPr>
                  <pic:blipFill>
                    <a:blip r:embed="rId34" cstate="print">
                      <a:extLst>
                        <a:ext uri="{28A0092B-C50C-407E-A947-70E740481C1C}">
                          <a14:useLocalDpi xmlns:a14="http://schemas.microsoft.com/office/drawing/2010/main" val="0"/>
                        </a:ext>
                      </a:extLst>
                    </a:blip>
                    <a:srcRect t="12100"/>
                    <a:stretch>
                      <a:fillRect/>
                    </a:stretch>
                  </pic:blipFill>
                  <pic:spPr>
                    <a:xfrm>
                      <a:off x="0" y="0"/>
                      <a:ext cx="2763768" cy="1908000"/>
                    </a:xfrm>
                    <a:prstGeom prst="rect">
                      <a:avLst/>
                    </a:prstGeom>
                    <a:noFill/>
                    <a:ln>
                      <a:noFill/>
                    </a:ln>
                  </pic:spPr>
                </pic:pic>
              </a:graphicData>
            </a:graphic>
          </wp:inline>
        </w:drawing>
      </w:r>
    </w:p>
    <w:tbl>
      <w:tblPr>
        <w:tblStyle w:val="48"/>
        <w:tblW w:w="5000"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872"/>
        <w:gridCol w:w="4650"/>
      </w:tblGrid>
      <w:tr w14:paraId="45E0B3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0" w:hRule="atLeast"/>
        </w:trPr>
        <w:tc>
          <w:tcPr>
            <w:tcW w:w="2272" w:type="pct"/>
            <w:vAlign w:val="center"/>
          </w:tcPr>
          <w:p w14:paraId="77246106">
            <w:pPr>
              <w:jc w:val="center"/>
              <w:rPr>
                <w:rFonts w:ascii="Times New Roman" w:hAnsi="Times New Roman" w:cs="宋体" w:eastAsiaTheme="majorEastAsia"/>
                <w:color w:val="000000" w:themeColor="text1"/>
                <w:sz w:val="21"/>
                <w14:textFill>
                  <w14:solidFill>
                    <w14:schemeClr w14:val="tx1"/>
                  </w14:solidFill>
                </w14:textFill>
              </w:rPr>
            </w:pPr>
            <w:r>
              <w:rPr>
                <w:rFonts w:ascii="Times New Roman" w:hAnsi="Times New Roman" w:cs="宋体" w:eastAsiaTheme="majorEastAsia"/>
                <w:color w:val="000000" w:themeColor="text1"/>
                <w:sz w:val="21"/>
                <w14:textFill>
                  <w14:solidFill>
                    <w14:schemeClr w14:val="tx1"/>
                  </w14:solidFill>
                </w14:textFill>
              </w:rPr>
              <w:t>隐藻（</w:t>
            </w:r>
            <w:r>
              <w:rPr>
                <w:rFonts w:ascii="Times New Roman" w:hAnsi="Times New Roman" w:cs="宋体" w:eastAsiaTheme="majorEastAsia"/>
                <w:i/>
                <w:color w:val="000000" w:themeColor="text1"/>
                <w:sz w:val="21"/>
                <w14:textFill>
                  <w14:solidFill>
                    <w14:schemeClr w14:val="tx1"/>
                  </w14:solidFill>
                </w14:textFill>
              </w:rPr>
              <w:t xml:space="preserve">Cryptomonas </w:t>
            </w:r>
            <w:r>
              <w:rPr>
                <w:rFonts w:ascii="Times New Roman" w:hAnsi="Times New Roman" w:cs="宋体" w:eastAsiaTheme="majorEastAsia"/>
                <w:color w:val="000000" w:themeColor="text1"/>
                <w:sz w:val="21"/>
                <w14:textFill>
                  <w14:solidFill>
                    <w14:schemeClr w14:val="tx1"/>
                  </w14:solidFill>
                </w14:textFill>
              </w:rPr>
              <w:t>sp.）</w:t>
            </w:r>
          </w:p>
        </w:tc>
        <w:tc>
          <w:tcPr>
            <w:tcW w:w="2728" w:type="pct"/>
            <w:vAlign w:val="center"/>
          </w:tcPr>
          <w:p w14:paraId="49AB2614">
            <w:pPr>
              <w:jc w:val="center"/>
              <w:rPr>
                <w:rFonts w:ascii="Times New Roman" w:hAnsi="Times New Roman" w:cs="宋体" w:eastAsiaTheme="majorEastAsia"/>
                <w:color w:val="000000" w:themeColor="text1"/>
                <w:sz w:val="21"/>
                <w14:textFill>
                  <w14:solidFill>
                    <w14:schemeClr w14:val="tx1"/>
                  </w14:solidFill>
                </w14:textFill>
              </w:rPr>
            </w:pPr>
            <w:r>
              <w:rPr>
                <w:rFonts w:ascii="Times New Roman" w:hAnsi="Times New Roman" w:cs="宋体" w:eastAsiaTheme="majorEastAsia"/>
                <w:color w:val="000000" w:themeColor="text1"/>
                <w:sz w:val="21"/>
                <w14:textFill>
                  <w14:solidFill>
                    <w14:schemeClr w14:val="tx1"/>
                  </w14:solidFill>
                </w14:textFill>
              </w:rPr>
              <w:t>脆杆藻（</w:t>
            </w:r>
            <w:r>
              <w:rPr>
                <w:rFonts w:ascii="Times New Roman" w:hAnsi="Times New Roman" w:cs="宋体" w:eastAsiaTheme="majorEastAsia"/>
                <w:i/>
                <w:color w:val="000000" w:themeColor="text1"/>
                <w:sz w:val="21"/>
                <w14:textFill>
                  <w14:solidFill>
                    <w14:schemeClr w14:val="tx1"/>
                  </w14:solidFill>
                </w14:textFill>
              </w:rPr>
              <w:t xml:space="preserve">Fragilaria </w:t>
            </w:r>
            <w:r>
              <w:rPr>
                <w:rFonts w:ascii="Times New Roman" w:hAnsi="Times New Roman" w:cs="宋体" w:eastAsiaTheme="majorEastAsia"/>
                <w:color w:val="000000" w:themeColor="text1"/>
                <w:sz w:val="21"/>
                <w14:textFill>
                  <w14:solidFill>
                    <w14:schemeClr w14:val="tx1"/>
                  </w14:solidFill>
                </w14:textFill>
              </w:rPr>
              <w:t>sp.）</w:t>
            </w:r>
          </w:p>
        </w:tc>
      </w:tr>
    </w:tbl>
    <w:p w14:paraId="622AB2A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b w:val="0"/>
          <w:bCs w:val="0"/>
          <w:color w:val="000000" w:themeColor="text1"/>
          <w:sz w:val="24"/>
          <w:szCs w:val="24"/>
          <w:highlight w:val="none"/>
          <w:lang w:eastAsia="zh-CN"/>
          <w14:textFill>
            <w14:solidFill>
              <w14:schemeClr w14:val="tx1"/>
            </w14:solidFill>
          </w14:textFill>
        </w:rPr>
      </w:pPr>
    </w:p>
    <w:p w14:paraId="76E5E8E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ajorEastAsia"/>
          <w:b w:val="0"/>
          <w:bCs w:val="0"/>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b w:val="0"/>
          <w:bCs w:val="0"/>
          <w:color w:val="000000" w:themeColor="text1"/>
          <w:sz w:val="24"/>
          <w:szCs w:val="24"/>
          <w:highlight w:val="none"/>
          <w:lang w:eastAsia="zh-CN"/>
          <w14:textFill>
            <w14:solidFill>
              <w14:schemeClr w14:val="tx1"/>
            </w14:solidFill>
          </w14:textFill>
        </w:rPr>
        <w:t>（</w:t>
      </w:r>
      <w:r>
        <w:rPr>
          <w:rFonts w:hint="eastAsia" w:ascii="Times New Roman" w:hAnsi="Times New Roman" w:eastAsia="宋体" w:cs="Times New Roman"/>
          <w:b w:val="0"/>
          <w:bCs w:val="0"/>
          <w:color w:val="000000" w:themeColor="text1"/>
          <w:sz w:val="24"/>
          <w:szCs w:val="24"/>
          <w:highlight w:val="none"/>
          <w:lang w:val="en-US" w:eastAsia="zh-CN"/>
          <w14:textFill>
            <w14:solidFill>
              <w14:schemeClr w14:val="tx1"/>
            </w14:solidFill>
          </w14:textFill>
        </w:rPr>
        <w:t>2</w:t>
      </w:r>
      <w:r>
        <w:rPr>
          <w:rFonts w:hint="eastAsia" w:ascii="Times New Roman" w:hAnsi="Times New Roman" w:eastAsia="宋体" w:cs="Times New Roman"/>
          <w:b w:val="0"/>
          <w:bCs w:val="0"/>
          <w:color w:val="000000" w:themeColor="text1"/>
          <w:sz w:val="24"/>
          <w:szCs w:val="24"/>
          <w:highlight w:val="none"/>
          <w:lang w:eastAsia="zh-CN"/>
          <w14:textFill>
            <w14:solidFill>
              <w14:schemeClr w14:val="tx1"/>
            </w14:solidFill>
          </w14:textFill>
        </w:rPr>
        <w:t>）</w:t>
      </w:r>
      <w:r>
        <w:rPr>
          <w:rFonts w:ascii="Times New Roman" w:hAnsi="Times New Roman" w:cs="Times New Roman" w:eastAsiaTheme="majorEastAsia"/>
          <w:b w:val="0"/>
          <w:bCs w:val="0"/>
          <w:color w:val="000000" w:themeColor="text1"/>
          <w:sz w:val="24"/>
          <w:szCs w:val="24"/>
          <w14:textFill>
            <w14:solidFill>
              <w14:schemeClr w14:val="tx1"/>
            </w14:solidFill>
          </w14:textFill>
        </w:rPr>
        <w:t>浮游</w:t>
      </w:r>
      <w:r>
        <w:rPr>
          <w:rFonts w:hint="eastAsia" w:ascii="Times New Roman" w:hAnsi="Times New Roman" w:cs="Times New Roman" w:eastAsiaTheme="majorEastAsia"/>
          <w:b w:val="0"/>
          <w:bCs w:val="0"/>
          <w:color w:val="000000" w:themeColor="text1"/>
          <w:sz w:val="24"/>
          <w:szCs w:val="24"/>
          <w:lang w:eastAsia="zh-CN"/>
          <w14:textFill>
            <w14:solidFill>
              <w14:schemeClr w14:val="tx1"/>
            </w14:solidFill>
          </w14:textFill>
        </w:rPr>
        <w:t>动物</w:t>
      </w:r>
    </w:p>
    <w:p w14:paraId="3D74E7B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ascii="Times New Roman" w:hAnsi="Times New Roman" w:eastAsia="宋体" w:cs="Times New Roman"/>
          <w:color w:val="000000" w:themeColor="text1"/>
          <w:sz w:val="24"/>
          <w:szCs w:val="32"/>
          <w14:textFill>
            <w14:solidFill>
              <w14:schemeClr w14:val="tx1"/>
            </w14:solidFill>
          </w14:textFill>
        </w:rPr>
        <w:t>共采集到浮游动物8种，隶属3纲4目</w:t>
      </w:r>
      <w:r>
        <w:rPr>
          <w:rFonts w:ascii="Times New Roman" w:hAnsi="Times New Roman" w:eastAsia="宋体" w:cs="Times New Roman"/>
          <w:i w:val="0"/>
          <w:iCs w:val="0"/>
          <w:color w:val="000000" w:themeColor="text1"/>
          <w:sz w:val="24"/>
          <w:szCs w:val="32"/>
          <w14:textFill>
            <w14:solidFill>
              <w14:schemeClr w14:val="tx1"/>
            </w14:solidFill>
          </w14:textFill>
        </w:rPr>
        <w:t>4科。其中，软甲纲（Malacostraca）与鳃足纲（Branchiopoda）各仅有1种。颚足纲有2目2科6种，占到所有物种数量的75%。</w:t>
      </w:r>
      <w:bookmarkStart w:id="119" w:name="_Hlk488762605"/>
      <w:r>
        <w:rPr>
          <w:rFonts w:ascii="Times New Roman" w:hAnsi="Times New Roman" w:eastAsia="宋体" w:cs="Times New Roman"/>
          <w:i w:val="0"/>
          <w:iCs w:val="0"/>
          <w:color w:val="000000" w:themeColor="text1"/>
          <w:sz w:val="24"/>
          <w:szCs w:val="32"/>
          <w14:textFill>
            <w14:solidFill>
              <w14:schemeClr w14:val="tx1"/>
            </w14:solidFill>
          </w14:textFill>
        </w:rPr>
        <w:t>在调查中，大部分物种的出现率都较高（&gt; 60%）。出现率最高的物种有3个，为美女溞（Daphnia pulex），矮小刺剑水蚤（Cyclops vernalis）以及锯齿真剑水蚤（Eucyclops macruroides）</w:t>
      </w:r>
      <w:r>
        <w:rPr>
          <w:rFonts w:ascii="Times New Roman" w:hAnsi="Times New Roman" w:eastAsia="宋体" w:cs="Times New Roman"/>
          <w:color w:val="000000" w:themeColor="text1"/>
          <w:sz w:val="24"/>
          <w:szCs w:val="32"/>
          <w14:textFill>
            <w14:solidFill>
              <w14:schemeClr w14:val="tx1"/>
            </w14:solidFill>
          </w14:textFill>
        </w:rPr>
        <w:t>。</w:t>
      </w:r>
      <w:r>
        <w:rPr>
          <w:rFonts w:hint="eastAsia" w:ascii="Times New Roman" w:hAnsi="Times New Roman" w:eastAsia="宋体" w:cs="Times New Roman"/>
          <w:color w:val="000000" w:themeColor="text1"/>
          <w:sz w:val="24"/>
          <w:szCs w:val="32"/>
          <w:lang w:eastAsia="zh-CN"/>
          <w14:textFill>
            <w14:solidFill>
              <w14:schemeClr w14:val="tx1"/>
            </w14:solidFill>
          </w14:textFill>
        </w:rPr>
        <w:t>青山水库</w:t>
      </w:r>
      <w:r>
        <w:rPr>
          <w:rFonts w:ascii="Times New Roman" w:hAnsi="Times New Roman" w:eastAsia="宋体" w:cs="Times New Roman"/>
          <w:color w:val="000000" w:themeColor="text1"/>
          <w:sz w:val="24"/>
          <w:szCs w:val="32"/>
          <w14:textFill>
            <w14:solidFill>
              <w14:schemeClr w14:val="tx1"/>
            </w14:solidFill>
          </w14:textFill>
        </w:rPr>
        <w:t>浮游动物群落的优势种共有4种。</w:t>
      </w:r>
      <w:bookmarkEnd w:id="119"/>
      <w:bookmarkStart w:id="120" w:name="_Hlk488829276"/>
      <w:r>
        <w:rPr>
          <w:rFonts w:ascii="Times New Roman" w:hAnsi="Times New Roman" w:eastAsia="宋体" w:cs="Times New Roman"/>
          <w:color w:val="000000" w:themeColor="text1"/>
          <w:sz w:val="24"/>
          <w:szCs w:val="32"/>
          <w14:textFill>
            <w14:solidFill>
              <w14:schemeClr w14:val="tx1"/>
            </w14:solidFill>
          </w14:textFill>
        </w:rPr>
        <w:t>剑水蚤科是浮游动物中数量最多的类群，在大多数采样点都占到了总数量的50%以上。溞科是贡献度第二的类群。</w:t>
      </w:r>
      <w:bookmarkEnd w:id="120"/>
    </w:p>
    <w:p w14:paraId="4C81DB2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i w:val="0"/>
          <w:iCs w:val="0"/>
          <w:color w:val="000000" w:themeColor="text1"/>
          <w:sz w:val="24"/>
          <w:szCs w:val="32"/>
          <w:lang w:eastAsia="zh-CN"/>
          <w14:textFill>
            <w14:solidFill>
              <w14:schemeClr w14:val="tx1"/>
            </w14:solidFill>
          </w14:textFill>
        </w:rPr>
      </w:pPr>
      <w:r>
        <w:rPr>
          <w:rFonts w:hint="eastAsia" w:ascii="Times New Roman" w:hAnsi="Times New Roman" w:eastAsia="宋体" w:cs="Times New Roman"/>
          <w:i w:val="0"/>
          <w:iCs w:val="0"/>
          <w:color w:val="000000" w:themeColor="text1"/>
          <w:sz w:val="24"/>
          <w:szCs w:val="32"/>
          <w:lang w:eastAsia="zh-CN"/>
          <w14:textFill>
            <w14:solidFill>
              <w14:schemeClr w14:val="tx1"/>
            </w14:solidFill>
          </w14:textFill>
        </w:rPr>
        <w:t>（</w:t>
      </w:r>
      <w:r>
        <w:rPr>
          <w:rFonts w:hint="eastAsia" w:ascii="Times New Roman" w:hAnsi="Times New Roman" w:eastAsia="宋体" w:cs="Times New Roman"/>
          <w:i w:val="0"/>
          <w:iCs w:val="0"/>
          <w:color w:val="000000" w:themeColor="text1"/>
          <w:sz w:val="24"/>
          <w:szCs w:val="32"/>
          <w:lang w:val="en-US" w:eastAsia="zh-CN"/>
          <w14:textFill>
            <w14:solidFill>
              <w14:schemeClr w14:val="tx1"/>
            </w14:solidFill>
          </w14:textFill>
        </w:rPr>
        <w:t>3</w:t>
      </w:r>
      <w:r>
        <w:rPr>
          <w:rFonts w:hint="eastAsia" w:ascii="Times New Roman" w:hAnsi="Times New Roman" w:eastAsia="宋体" w:cs="Times New Roman"/>
          <w:i w:val="0"/>
          <w:iCs w:val="0"/>
          <w:color w:val="000000" w:themeColor="text1"/>
          <w:sz w:val="24"/>
          <w:szCs w:val="32"/>
          <w:lang w:eastAsia="zh-CN"/>
          <w14:textFill>
            <w14:solidFill>
              <w14:schemeClr w14:val="tx1"/>
            </w14:solidFill>
          </w14:textFill>
        </w:rPr>
        <w:t>）</w:t>
      </w:r>
      <w:bookmarkStart w:id="121" w:name="_Toc491445302"/>
      <w:r>
        <w:rPr>
          <w:rFonts w:ascii="Times New Roman" w:hAnsi="Times New Roman" w:eastAsia="宋体" w:cs="Times New Roman"/>
          <w:i w:val="0"/>
          <w:iCs w:val="0"/>
          <w:color w:val="000000" w:themeColor="text1"/>
          <w:sz w:val="24"/>
          <w:szCs w:val="32"/>
          <w14:textFill>
            <w14:solidFill>
              <w14:schemeClr w14:val="tx1"/>
            </w14:solidFill>
          </w14:textFill>
        </w:rPr>
        <w:t>维管束植物</w:t>
      </w:r>
      <w:bookmarkEnd w:id="121"/>
    </w:p>
    <w:p w14:paraId="0A916C67">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i w:val="0"/>
          <w:iCs w:val="0"/>
          <w:color w:val="000000" w:themeColor="text1"/>
          <w:sz w:val="24"/>
          <w:szCs w:val="24"/>
          <w:highlight w:val="none"/>
          <w:lang w:eastAsia="zh-CN"/>
          <w14:textFill>
            <w14:solidFill>
              <w14:schemeClr w14:val="tx1"/>
            </w14:solidFill>
          </w14:textFill>
        </w:rPr>
      </w:pPr>
      <w:r>
        <w:rPr>
          <w:rFonts w:hint="eastAsia" w:ascii="Times New Roman" w:hAnsi="Times New Roman" w:cs="Times New Roman"/>
          <w:color w:val="000000" w:themeColor="text1"/>
          <w:sz w:val="24"/>
          <w:szCs w:val="32"/>
          <w14:textFill>
            <w14:solidFill>
              <w14:schemeClr w14:val="tx1"/>
            </w14:solidFill>
          </w14:textFill>
        </w:rPr>
        <w:t>从上游向下游物种数量逐步降低。可能是由于上游地区人为干扰较小，保留物种数较多，下游人口密度更高，干扰更大，因此分布植物种类相对较低。以皱果薹草、芦苇和狗尾草为常见优势</w:t>
      </w:r>
      <w:r>
        <w:rPr>
          <w:rFonts w:hint="eastAsia" w:ascii="Times New Roman" w:hAnsi="Times New Roman" w:cs="Times New Roman"/>
          <w:i w:val="0"/>
          <w:iCs w:val="0"/>
          <w:color w:val="000000" w:themeColor="text1"/>
          <w:sz w:val="24"/>
          <w:szCs w:val="32"/>
          <w14:textFill>
            <w14:solidFill>
              <w14:schemeClr w14:val="tx1"/>
            </w14:solidFill>
          </w14:textFill>
        </w:rPr>
        <w:t>种，在所有样点中出现频率超过35%。总体而言，相对生物量较高的物种是酸模叶蓼、香蒲、狗尾草等植物。</w:t>
      </w:r>
    </w:p>
    <w:p w14:paraId="2EFECE8D">
      <w:pPr>
        <w:keepNext w:val="0"/>
        <w:keepLines w:val="0"/>
        <w:pageBreakBefore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i w:val="0"/>
          <w:iCs w:val="0"/>
          <w:color w:val="000000" w:themeColor="text1"/>
          <w:sz w:val="24"/>
          <w:szCs w:val="32"/>
          <w:lang w:eastAsia="zh-CN"/>
          <w14:textFill>
            <w14:solidFill>
              <w14:schemeClr w14:val="tx1"/>
            </w14:solidFill>
          </w14:textFill>
        </w:rPr>
      </w:pPr>
      <w:r>
        <w:rPr>
          <w:rFonts w:hint="eastAsia" w:ascii="Times New Roman" w:hAnsi="Times New Roman" w:eastAsia="宋体" w:cs="Times New Roman"/>
          <w:i w:val="0"/>
          <w:iCs w:val="0"/>
          <w:color w:val="000000" w:themeColor="text1"/>
          <w:sz w:val="24"/>
          <w:szCs w:val="32"/>
          <w:lang w:eastAsia="zh-CN"/>
          <w14:textFill>
            <w14:solidFill>
              <w14:schemeClr w14:val="tx1"/>
            </w14:solidFill>
          </w14:textFill>
        </w:rPr>
        <w:drawing>
          <wp:inline distT="0" distB="0" distL="114300" distR="114300">
            <wp:extent cx="3933825" cy="2095500"/>
            <wp:effectExtent l="0" t="0" r="9525" b="0"/>
            <wp:docPr id="37" name="图片 37" descr="75443dda2e2a98374c3dcce4cf261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75443dda2e2a98374c3dcce4cf261ec"/>
                    <pic:cNvPicPr>
                      <a:picLocks noChangeAspect="1"/>
                    </pic:cNvPicPr>
                  </pic:nvPicPr>
                  <pic:blipFill>
                    <a:blip r:embed="rId35"/>
                    <a:stretch>
                      <a:fillRect/>
                    </a:stretch>
                  </pic:blipFill>
                  <pic:spPr>
                    <a:xfrm>
                      <a:off x="0" y="0"/>
                      <a:ext cx="3933825" cy="2095500"/>
                    </a:xfrm>
                    <a:prstGeom prst="rect">
                      <a:avLst/>
                    </a:prstGeom>
                  </pic:spPr>
                </pic:pic>
              </a:graphicData>
            </a:graphic>
          </wp:inline>
        </w:drawing>
      </w:r>
    </w:p>
    <w:p w14:paraId="7E692DCD">
      <w:pPr>
        <w:jc w:val="center"/>
        <w:rPr>
          <w:rFonts w:hint="eastAsia" w:ascii="Times New Roman" w:hAnsi="Times New Roman" w:cs="宋体" w:eastAsiaTheme="majorEastAsia"/>
          <w:color w:val="000000" w:themeColor="text1"/>
          <w:sz w:val="21"/>
          <w:lang w:eastAsia="zh-CN"/>
          <w14:textFill>
            <w14:solidFill>
              <w14:schemeClr w14:val="tx1"/>
            </w14:solidFill>
          </w14:textFill>
        </w:rPr>
      </w:pPr>
      <w:r>
        <w:rPr>
          <w:rFonts w:ascii="Times New Roman" w:hAnsi="Times New Roman" w:cs="宋体" w:eastAsiaTheme="majorEastAsia"/>
          <w:color w:val="000000" w:themeColor="text1"/>
          <w:sz w:val="21"/>
          <w14:textFill>
            <w14:solidFill>
              <w14:schemeClr w14:val="tx1"/>
            </w14:solidFill>
          </w14:textFill>
        </w:rPr>
        <w:t>芦苇</w:t>
      </w:r>
      <w:r>
        <w:rPr>
          <w:rFonts w:ascii="Times New Roman" w:hAnsi="Times New Roman" w:cs="宋体" w:eastAsiaTheme="majorEastAsia"/>
          <w:i/>
          <w:iCs/>
          <w:color w:val="000000" w:themeColor="text1"/>
          <w:sz w:val="21"/>
          <w14:textFill>
            <w14:solidFill>
              <w14:schemeClr w14:val="tx1"/>
            </w14:solidFill>
          </w14:textFill>
        </w:rPr>
        <w:t xml:space="preserve"> Phragmites communis</w:t>
      </w:r>
    </w:p>
    <w:p w14:paraId="0ED159CA">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i w:val="0"/>
          <w:iCs w:val="0"/>
          <w:color w:val="000000" w:themeColor="text1"/>
          <w:sz w:val="24"/>
          <w:szCs w:val="32"/>
          <w:lang w:eastAsia="zh-CN"/>
          <w14:textFill>
            <w14:solidFill>
              <w14:schemeClr w14:val="tx1"/>
            </w14:solidFill>
          </w14:textFill>
        </w:rPr>
      </w:pPr>
      <w:r>
        <w:rPr>
          <w:rFonts w:hint="eastAsia" w:ascii="Times New Roman" w:hAnsi="Times New Roman" w:eastAsia="宋体" w:cs="Times New Roman"/>
          <w:i w:val="0"/>
          <w:iCs w:val="0"/>
          <w:color w:val="000000" w:themeColor="text1"/>
          <w:sz w:val="24"/>
          <w:szCs w:val="32"/>
          <w:lang w:eastAsia="zh-CN"/>
          <w14:textFill>
            <w14:solidFill>
              <w14:schemeClr w14:val="tx1"/>
            </w14:solidFill>
          </w14:textFill>
        </w:rPr>
        <w:t>（</w:t>
      </w:r>
      <w:r>
        <w:rPr>
          <w:rFonts w:hint="eastAsia" w:ascii="Times New Roman" w:hAnsi="Times New Roman" w:eastAsia="宋体" w:cs="Times New Roman"/>
          <w:i w:val="0"/>
          <w:iCs w:val="0"/>
          <w:color w:val="000000" w:themeColor="text1"/>
          <w:sz w:val="24"/>
          <w:szCs w:val="32"/>
          <w:lang w:val="en-US" w:eastAsia="zh-CN"/>
          <w14:textFill>
            <w14:solidFill>
              <w14:schemeClr w14:val="tx1"/>
            </w14:solidFill>
          </w14:textFill>
        </w:rPr>
        <w:t>4</w:t>
      </w:r>
      <w:r>
        <w:rPr>
          <w:rFonts w:hint="eastAsia" w:ascii="Times New Roman" w:hAnsi="Times New Roman" w:eastAsia="宋体" w:cs="Times New Roman"/>
          <w:i w:val="0"/>
          <w:iCs w:val="0"/>
          <w:color w:val="000000" w:themeColor="text1"/>
          <w:sz w:val="24"/>
          <w:szCs w:val="32"/>
          <w:lang w:eastAsia="zh-CN"/>
          <w14:textFill>
            <w14:solidFill>
              <w14:schemeClr w14:val="tx1"/>
            </w14:solidFill>
          </w14:textFill>
        </w:rPr>
        <w:t>）</w:t>
      </w:r>
      <w:bookmarkStart w:id="122" w:name="_Toc491445303"/>
      <w:r>
        <w:rPr>
          <w:rFonts w:ascii="Times New Roman" w:hAnsi="Times New Roman" w:eastAsia="宋体" w:cs="Times New Roman"/>
          <w:i w:val="0"/>
          <w:iCs w:val="0"/>
          <w:color w:val="000000" w:themeColor="text1"/>
          <w:sz w:val="24"/>
          <w:szCs w:val="32"/>
          <w14:textFill>
            <w14:solidFill>
              <w14:schemeClr w14:val="tx1"/>
            </w14:solidFill>
          </w14:textFill>
        </w:rPr>
        <w:t>鱼类</w:t>
      </w:r>
      <w:bookmarkEnd w:id="122"/>
    </w:p>
    <w:p w14:paraId="7D81276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i w:val="0"/>
          <w:iCs w:val="0"/>
          <w:color w:val="000000" w:themeColor="text1"/>
          <w:sz w:val="32"/>
          <w:szCs w:val="32"/>
          <w:highlight w:val="none"/>
          <w:lang w:eastAsia="zh-CN"/>
          <w14:textFill>
            <w14:solidFill>
              <w14:schemeClr w14:val="tx1"/>
            </w14:solidFill>
          </w14:textFill>
        </w:rPr>
      </w:pPr>
      <w:r>
        <w:rPr>
          <w:rFonts w:ascii="Times New Roman" w:hAnsi="Times New Roman" w:cs="Times New Roman" w:eastAsiaTheme="majorEastAsia"/>
          <w:i w:val="0"/>
          <w:iCs w:val="0"/>
          <w:color w:val="000000" w:themeColor="text1"/>
          <w:sz w:val="24"/>
          <w:szCs w:val="32"/>
          <w14:textFill>
            <w14:solidFill>
              <w14:schemeClr w14:val="tx1"/>
            </w14:solidFill>
          </w14:textFill>
        </w:rPr>
        <w:t>大部分鱼类的出现率都较低，有55.9%的鱼类的出现率都低于20%，只有8种鱼类的出现率超过了50%。其中鲤（Cyprinus carpio）的出现率最高，为85.7%。往后依次为翘嘴鲌（Culter alburnus）（78.6%），鲇（Silurus asotus）（71.4%），唇鲴（Hemibarbus labeo）（64.3%），以及蛇鮈（Saurogobio dabryi）（57.1%）。调查中的优势种为翘嘴鲌和黑龙江鳑鮍（Rhodeus amurensis）。</w:t>
      </w:r>
    </w:p>
    <w:p w14:paraId="301B02C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32"/>
          <w:szCs w:val="32"/>
          <w:highlight w:val="none"/>
          <w:lang w:eastAsia="zh-CN"/>
          <w14:textFill>
            <w14:solidFill>
              <w14:schemeClr w14:val="tx1"/>
            </w14:solidFill>
          </w14:textFill>
        </w:rPr>
      </w:pPr>
      <w:r>
        <w:rPr>
          <w:rFonts w:ascii="Times New Roman" w:hAnsi="Times New Roman" w:cs="Times New Roman" w:eastAsiaTheme="majorEastAsia"/>
          <w:color w:val="000000" w:themeColor="text1"/>
          <w:sz w:val="24"/>
          <w:szCs w:val="32"/>
          <w14:textFill>
            <w14:solidFill>
              <w14:schemeClr w14:val="tx1"/>
            </w14:solidFill>
          </w14:textFill>
        </w:rPr>
        <w:t>鱼类群落都以鲤科鱼类为主，表明鱼类群落具有较高的同质性。从调查的整体来看，鲤科鱼类都是数量最多的类群，占到了各样点渔获物比例的约50%。数量第二多的类群为鲇科，其余科鱼类的数量组成比例都不大。</w:t>
      </w:r>
    </w:p>
    <w:p w14:paraId="2FBFA8CD">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pPr>
      <w:r>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t>（</w:t>
      </w:r>
      <w:r>
        <w:rPr>
          <w:rFonts w:hint="eastAsia" w:ascii="Times New Roman" w:hAnsi="Times New Roman" w:cs="Times New Roman" w:eastAsiaTheme="majorEastAsia"/>
          <w:i w:val="0"/>
          <w:iCs w:val="0"/>
          <w:color w:val="000000" w:themeColor="text1"/>
          <w:sz w:val="24"/>
          <w:szCs w:val="32"/>
          <w:lang w:val="en-US" w:eastAsia="zh-CN"/>
          <w14:textFill>
            <w14:solidFill>
              <w14:schemeClr w14:val="tx1"/>
            </w14:solidFill>
          </w14:textFill>
        </w:rPr>
        <w:t>5</w:t>
      </w:r>
      <w:r>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t>）</w:t>
      </w:r>
      <w:r>
        <w:rPr>
          <w:rFonts w:ascii="Times New Roman" w:hAnsi="Times New Roman" w:cs="Times New Roman" w:eastAsiaTheme="majorEastAsia"/>
          <w:i w:val="0"/>
          <w:iCs w:val="0"/>
          <w:color w:val="000000" w:themeColor="text1"/>
          <w:sz w:val="24"/>
          <w:szCs w:val="32"/>
          <w14:textFill>
            <w14:solidFill>
              <w14:schemeClr w14:val="tx1"/>
            </w14:solidFill>
          </w14:textFill>
        </w:rPr>
        <w:t>鱼类“三场</w:t>
      </w:r>
      <w:r>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t>一通道</w:t>
      </w:r>
      <w:r>
        <w:rPr>
          <w:rFonts w:ascii="Times New Roman" w:hAnsi="Times New Roman" w:cs="Times New Roman" w:eastAsiaTheme="majorEastAsia"/>
          <w:i w:val="0"/>
          <w:iCs w:val="0"/>
          <w:color w:val="000000" w:themeColor="text1"/>
          <w:sz w:val="24"/>
          <w:szCs w:val="32"/>
          <w14:textFill>
            <w14:solidFill>
              <w14:schemeClr w14:val="tx1"/>
            </w14:solidFill>
          </w14:textFill>
        </w:rPr>
        <w:t>”</w:t>
      </w:r>
    </w:p>
    <w:p w14:paraId="5110B842">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pPr>
      <w:r>
        <w:rPr>
          <w:rFonts w:ascii="Times New Roman" w:hAnsi="Times New Roman" w:cs="Times New Roman" w:eastAsiaTheme="majorEastAsia"/>
          <w:i w:val="0"/>
          <w:iCs w:val="0"/>
          <w:color w:val="000000" w:themeColor="text1"/>
          <w:sz w:val="24"/>
          <w:szCs w:val="32"/>
          <w14:textFill>
            <w14:solidFill>
              <w14:schemeClr w14:val="tx1"/>
            </w14:solidFill>
          </w14:textFill>
        </w:rPr>
        <w:t>鱼类“三场”是指鱼类生存和繁殖等活动所必需的重要栖息地的总称，包括产卵场、</w:t>
      </w:r>
      <w:r>
        <w:rPr>
          <w:rFonts w:hint="eastAsia" w:cs="Times New Roman" w:eastAsiaTheme="majorEastAsia"/>
          <w:i w:val="0"/>
          <w:iCs w:val="0"/>
          <w:color w:val="000000" w:themeColor="text1"/>
          <w:sz w:val="24"/>
          <w:szCs w:val="32"/>
          <w:lang w:eastAsia="zh-CN"/>
          <w14:textFill>
            <w14:solidFill>
              <w14:schemeClr w14:val="tx1"/>
            </w14:solidFill>
          </w14:textFill>
        </w:rPr>
        <w:t>越冬场</w:t>
      </w:r>
      <w:r>
        <w:rPr>
          <w:rFonts w:ascii="Times New Roman" w:hAnsi="Times New Roman" w:cs="Times New Roman" w:eastAsiaTheme="majorEastAsia"/>
          <w:i w:val="0"/>
          <w:iCs w:val="0"/>
          <w:color w:val="000000" w:themeColor="text1"/>
          <w:sz w:val="24"/>
          <w:szCs w:val="32"/>
          <w14:textFill>
            <w14:solidFill>
              <w14:schemeClr w14:val="tx1"/>
            </w14:solidFill>
          </w14:textFill>
        </w:rPr>
        <w:t>以及索饵场。通过对流域内“三场”的变化进行分析，可以准确地确定</w:t>
      </w:r>
      <w:r>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t>本加固</w:t>
      </w:r>
      <w:r>
        <w:rPr>
          <w:rFonts w:ascii="Times New Roman" w:hAnsi="Times New Roman" w:cs="Times New Roman" w:eastAsiaTheme="majorEastAsia"/>
          <w:i w:val="0"/>
          <w:iCs w:val="0"/>
          <w:color w:val="000000" w:themeColor="text1"/>
          <w:sz w:val="24"/>
          <w:szCs w:val="32"/>
          <w14:textFill>
            <w14:solidFill>
              <w14:schemeClr w14:val="tx1"/>
            </w14:solidFill>
          </w14:textFill>
        </w:rPr>
        <w:t>工程建设对鱼类所必需栖息地的影响，并进一步探讨流域的水生态环境是否可以作为保护鱼类、重要经济鱼类以及特有鱼类的栖息环境。</w:t>
      </w:r>
    </w:p>
    <w:p w14:paraId="1AEE0D60">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pPr>
      <w:r>
        <w:rPr>
          <w:rFonts w:ascii="Times New Roman" w:hAnsi="Times New Roman" w:cs="Times New Roman" w:eastAsiaTheme="majorEastAsia"/>
          <w:i w:val="0"/>
          <w:iCs w:val="0"/>
          <w:color w:val="000000" w:themeColor="text1"/>
          <w:sz w:val="24"/>
          <w:szCs w:val="32"/>
          <w14:textFill>
            <w14:solidFill>
              <w14:schemeClr w14:val="tx1"/>
            </w14:solidFill>
          </w14:textFill>
        </w:rPr>
        <w:t>根据历史资料，了解不同季节鱼类主要集中地和鱼类种群组成，结合鱼类生物学特性和水文学特征，分析鱼类“三场”分布情况，并通过有经验的渔业工作者和捕捞人员进行验证，来确定鱼类产卵场。</w:t>
      </w:r>
    </w:p>
    <w:p w14:paraId="6800BA7F">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sz w:val="24"/>
          <w:szCs w:val="24"/>
          <w:highlight w:val="none"/>
          <w:lang w:eastAsia="zh-CN"/>
          <w14:textFill>
            <w14:solidFill>
              <w14:schemeClr w14:val="tx1"/>
            </w14:solidFill>
          </w14:textFill>
        </w:rPr>
      </w:pP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根据</w:t>
      </w:r>
      <w:r>
        <w:rPr>
          <w:rFonts w:hint="eastAsia" w:ascii="Times New Roman" w:hAnsi="Times New Roman" w:cs="Times New Roman"/>
          <w:color w:val="000000" w:themeColor="text1"/>
          <w:kern w:val="0"/>
          <w:sz w:val="24"/>
          <w:szCs w:val="21"/>
          <w:highlight w:val="none"/>
          <w:lang w:val="en-US" w:eastAsia="zh-CN" w:bidi="ar-SA"/>
          <w14:textFill>
            <w14:solidFill>
              <w14:schemeClr w14:val="tx1"/>
            </w14:solidFill>
          </w14:textFill>
        </w:rPr>
        <w:t>密山</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市水产技术推广总站咨询可知，</w:t>
      </w:r>
      <w:r>
        <w:rPr>
          <w:rFonts w:hint="eastAsia" w:ascii="Times New Roman" w:hAnsi="Times New Roman" w:cs="Times New Roman"/>
          <w:color w:val="000000" w:themeColor="text1"/>
          <w:kern w:val="0"/>
          <w:sz w:val="24"/>
          <w:szCs w:val="21"/>
          <w:highlight w:val="none"/>
          <w:lang w:val="en-US" w:eastAsia="zh-CN" w:bidi="ar-SA"/>
          <w14:textFill>
            <w14:solidFill>
              <w14:schemeClr w14:val="tx1"/>
            </w14:solidFill>
          </w14:textFill>
        </w:rPr>
        <w:t>青山水库</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无</w:t>
      </w:r>
      <w:r>
        <w:rPr>
          <w:rFonts w:hint="eastAsia" w:cs="Times New Roman"/>
          <w:color w:val="000000" w:themeColor="text1"/>
          <w:kern w:val="0"/>
          <w:sz w:val="24"/>
          <w:szCs w:val="21"/>
          <w:highlight w:val="none"/>
          <w:lang w:val="en-US" w:eastAsia="zh-CN" w:bidi="ar-SA"/>
          <w14:textFill>
            <w14:solidFill>
              <w14:schemeClr w14:val="tx1"/>
            </w14:solidFill>
          </w14:textFill>
        </w:rPr>
        <w:t>重要的</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鱼类“三场一通道”存在，水中鱼类资源较少，水生生态环境一般</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。调查范围内均无特殊保护水生动物，未发现</w:t>
      </w:r>
      <w:r>
        <w:rPr>
          <w:rFonts w:hint="eastAsia" w:cs="Times New Roman"/>
          <w:color w:val="000000" w:themeColor="text1"/>
          <w:kern w:val="0"/>
          <w:sz w:val="24"/>
          <w:szCs w:val="21"/>
          <w:highlight w:val="none"/>
          <w:lang w:val="en-US" w:eastAsia="zh-CN" w:bidi="ar-SA"/>
          <w14:textFill>
            <w14:solidFill>
              <w14:schemeClr w14:val="tx1"/>
            </w14:solidFill>
          </w14:textFill>
        </w:rPr>
        <w:t>重要的</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鱼类三场及洄游通道分布。</w:t>
      </w:r>
    </w:p>
    <w:p w14:paraId="39C7692C">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经调查：评价范围内不涉及</w:t>
      </w:r>
      <w:r>
        <w:rPr>
          <w:rFonts w:ascii="Times New Roman" w:hAnsi="Times New Roman" w:cs="Times New Roman" w:eastAsiaTheme="majorEastAsia"/>
          <w:i w:val="0"/>
          <w:iCs w:val="0"/>
          <w:color w:val="000000" w:themeColor="text1"/>
          <w:sz w:val="24"/>
          <w:szCs w:val="32"/>
          <w:lang w:val="en-US" w:eastAsia="zh-CN"/>
          <w14:textFill>
            <w14:solidFill>
              <w14:schemeClr w14:val="tx1"/>
            </w14:solidFill>
          </w14:textFill>
        </w:rPr>
        <w:t>国家公园、自然保护区、风景名胜区、世界文化和自然</w:t>
      </w:r>
      <w:r>
        <w:rPr>
          <w:rFonts w:hint="eastAsia" w:ascii="Times New Roman" w:hAnsi="Times New Roman" w:cs="Times New Roman" w:eastAsiaTheme="majorEastAsia"/>
          <w:i w:val="0"/>
          <w:iCs w:val="0"/>
          <w:color w:val="000000" w:themeColor="text1"/>
          <w:sz w:val="24"/>
          <w:szCs w:val="32"/>
          <w:lang w:val="en-US" w:eastAsia="zh-CN"/>
          <w14:textFill>
            <w14:solidFill>
              <w14:schemeClr w14:val="tx1"/>
            </w14:solidFill>
          </w14:textFill>
        </w:rPr>
        <w:t>遗产地、海洋特别保护区、饮用水水源保护区</w:t>
      </w:r>
      <w:r>
        <w:rPr>
          <w:rFonts w:hint="eastAsia" w:ascii="Times New Roman" w:hAnsi="Times New Roman" w:cs="Times New Roman" w:eastAsiaTheme="majorEastAsia"/>
          <w:i w:val="0"/>
          <w:iCs w:val="0"/>
          <w:color w:val="000000" w:themeColor="text1"/>
          <w:sz w:val="24"/>
          <w:szCs w:val="32"/>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水产种质资源保护区、自然保护区等环境敏感区。项目施工期采取</w:t>
      </w:r>
      <w:r>
        <w:rPr>
          <w:rFonts w:hint="eastAsia" w:ascii="Times New Roman" w:hAnsi="Times New Roman" w:cs="Times New Roman"/>
          <w:color w:val="000000" w:themeColor="text1"/>
          <w:kern w:val="0"/>
          <w:sz w:val="24"/>
          <w:szCs w:val="21"/>
          <w:highlight w:val="none"/>
          <w:lang w:val="en-US" w:eastAsia="zh-CN" w:bidi="ar-SA"/>
          <w14:textFill>
            <w14:solidFill>
              <w14:schemeClr w14:val="tx1"/>
            </w14:solidFill>
          </w14:textFill>
        </w:rPr>
        <w:t>降低水库水位的方式，</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对水体产生的扰动较小，且其影响随施工期结束影响消失，项目整体建设对水库河流生态环境及水质影响较小</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w:t>
      </w:r>
    </w:p>
    <w:p w14:paraId="33754009">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（6）生态系统调查</w:t>
      </w:r>
    </w:p>
    <w:p w14:paraId="4B8A3ED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根据《全国生态状况调查评估技术规范-生态系统遥感解译与野外核查》（HJ1166-2021）附录A中全国生态系统分类体系表，本项目涉及的生态系统包括农田生态系统、森林生态系统</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w:t>
      </w:r>
    </w:p>
    <w:p w14:paraId="7BCDD32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1）</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农田生态系统</w:t>
      </w:r>
    </w:p>
    <w:p w14:paraId="6D95CBB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pP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本工程下游主要为</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农田生态系统</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，主要</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多分布于水库左右两侧</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、下游</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及村落附近</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常见的粮食农作物有水稻、玉米等</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w:t>
      </w:r>
    </w:p>
    <w:p w14:paraId="0A7CB3CE">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cs="Times New Roman"/>
          <w:color w:val="000000" w:themeColor="text1"/>
          <w:kern w:val="0"/>
          <w:sz w:val="24"/>
          <w:szCs w:val="21"/>
          <w:highlight w:val="none"/>
          <w:lang w:val="en-US" w:eastAsia="zh-CN" w:bidi="ar-SA"/>
          <w14:textFill>
            <w14:solidFill>
              <w14:schemeClr w14:val="tx1"/>
            </w14:solidFill>
          </w14:textFill>
        </w:rPr>
      </w:pPr>
      <w:r>
        <w:rPr>
          <w:rFonts w:hint="eastAsia" w:cs="Times New Roman"/>
          <w:color w:val="000000" w:themeColor="text1"/>
          <w:kern w:val="0"/>
          <w:sz w:val="24"/>
          <w:szCs w:val="21"/>
          <w:highlight w:val="none"/>
          <w:lang w:val="en-US" w:eastAsia="zh-CN" w:bidi="ar-SA"/>
          <w14:textFill>
            <w14:solidFill>
              <w14:schemeClr w14:val="tx1"/>
            </w14:solidFill>
          </w14:textFill>
        </w:rPr>
        <w:t>2）森林生态系统</w:t>
      </w:r>
    </w:p>
    <w:p w14:paraId="0D1B8843">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eastAsia="宋体" w:cs="Times New Roman"/>
          <w:color w:val="000000" w:themeColor="text1"/>
          <w:kern w:val="0"/>
          <w:sz w:val="24"/>
          <w:szCs w:val="21"/>
          <w:highlight w:val="none"/>
          <w:lang w:val="en-US" w:eastAsia="zh-CN" w:bidi="ar-SA"/>
          <w14:textFill>
            <w14:solidFill>
              <w14:schemeClr w14:val="tx1"/>
            </w14:solidFill>
          </w14:textFill>
        </w:rPr>
      </w:pPr>
      <w:r>
        <w:rPr>
          <w:rFonts w:hint="eastAsia" w:cs="Times New Roman"/>
          <w:color w:val="000000" w:themeColor="text1"/>
          <w:kern w:val="0"/>
          <w:sz w:val="24"/>
          <w:szCs w:val="21"/>
          <w:highlight w:val="none"/>
          <w:lang w:val="en-US" w:eastAsia="zh-CN" w:bidi="ar-SA"/>
          <w14:textFill>
            <w14:solidFill>
              <w14:schemeClr w14:val="tx1"/>
            </w14:solidFill>
          </w14:textFill>
        </w:rPr>
        <w:t>根据附图10植被类型图，密山市青山水库</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位于黑龙江省</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东部，</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属北温带大陆性季风气候，区域气候温和，光照充足，自然环境良好，较有利于森林生态系统发育。</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根据“三调数据”</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区域森林生态系统广泛分布于水库</w:t>
      </w:r>
      <w:r>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西北与东北侧</w:t>
      </w:r>
      <w:r>
        <w:rPr>
          <w:rFonts w:hint="default"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t>。系统内植被以针叶林、阔叶林为主，包括落叶针叶林、落叶阔叶林。评价区内常见的落叶阔叶林有杨树林（PopulusL）、白桦林（Form.Betula platyphylla）等。</w:t>
      </w:r>
    </w:p>
    <w:p w14:paraId="3ADA0E3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000000" w:themeColor="text1"/>
          <w:kern w:val="0"/>
          <w:sz w:val="24"/>
          <w:szCs w:val="21"/>
          <w:highlight w:val="none"/>
          <w:lang w:val="en-US" w:eastAsia="zh-CN" w:bidi="ar-SA"/>
          <w14:textFill>
            <w14:solidFill>
              <w14:schemeClr w14:val="tx1"/>
            </w14:solidFill>
          </w14:textFill>
        </w:rPr>
      </w:pPr>
      <w:r>
        <w:rPr>
          <w:rFonts w:hint="eastAsia" w:cs="Times New Roman"/>
          <w:color w:val="000000" w:themeColor="text1"/>
          <w:kern w:val="0"/>
          <w:sz w:val="24"/>
          <w:szCs w:val="21"/>
          <w:highlight w:val="none"/>
          <w:lang w:val="en-US" w:eastAsia="zh-CN" w:bidi="ar-SA"/>
          <w14:textFill>
            <w14:solidFill>
              <w14:schemeClr w14:val="tx1"/>
            </w14:solidFill>
          </w14:textFill>
        </w:rPr>
        <w:t>（7）生态调查结论</w:t>
      </w:r>
    </w:p>
    <w:p w14:paraId="47C6081B">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pPr>
      <w:r>
        <w:rPr>
          <w:rFonts w:hint="eastAsia" w:eastAsia="宋体" w:cs="Times New Roman"/>
          <w:color w:val="000000" w:themeColor="text1"/>
          <w:sz w:val="24"/>
          <w:highlight w:val="none"/>
          <w:lang w:val="en-US" w:eastAsia="zh-CN"/>
          <w14:textFill>
            <w14:solidFill>
              <w14:schemeClr w14:val="tx1"/>
            </w14:solidFill>
          </w14:textFill>
        </w:rPr>
        <w:t>本工程主要涉及</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农田生态系统</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以及</w:t>
      </w:r>
      <w:r>
        <w:rPr>
          <w:rFonts w:hint="eastAsia" w:cs="Times New Roman"/>
          <w:color w:val="000000" w:themeColor="text1"/>
          <w:kern w:val="0"/>
          <w:sz w:val="24"/>
          <w:szCs w:val="21"/>
          <w:highlight w:val="none"/>
          <w:lang w:val="en-US" w:eastAsia="zh-CN" w:bidi="ar-SA"/>
          <w14:textFill>
            <w14:solidFill>
              <w14:schemeClr w14:val="tx1"/>
            </w14:solidFill>
          </w14:textFill>
        </w:rPr>
        <w:t>森林生态系统，</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由于农田为栽培植被，人工干预强，生态系统稳定，不易随周边环境的改变而改变，森林生态系统为当地优势种，抗干扰能力强，森林生态系统已与现状水库相协调；</w:t>
      </w:r>
    </w:p>
    <w:p w14:paraId="6BEA2AA1">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themeColor="text1"/>
          <w:sz w:val="24"/>
          <w:highlight w:val="none"/>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青山水库始建</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于1958年，后经1975、1979年2次续建，1988年竣工</w:t>
      </w:r>
      <w:r>
        <w:rPr>
          <w:rFonts w:hint="eastAsia" w:cs="Times New Roman" w:eastAsiaTheme="minorEastAsia"/>
          <w:color w:val="000000" w:themeColor="text1"/>
          <w:sz w:val="24"/>
          <w:szCs w:val="24"/>
          <w:highlight w:val="none"/>
          <w:lang w:val="en-US" w:eastAsia="zh-CN"/>
          <w14:textFill>
            <w14:solidFill>
              <w14:schemeClr w14:val="tx1"/>
            </w14:solidFill>
          </w14:textFill>
        </w:rPr>
        <w:t>，坝址以上集水面积31.1km</w:t>
      </w:r>
      <w:r>
        <w:rPr>
          <w:rFonts w:hint="eastAsia" w:cs="Times New Roman" w:eastAsiaTheme="minorEastAsia"/>
          <w:color w:val="000000" w:themeColor="text1"/>
          <w:sz w:val="24"/>
          <w:szCs w:val="24"/>
          <w:highlight w:val="none"/>
          <w:vertAlign w:val="superscript"/>
          <w:lang w:val="en-US" w:eastAsia="zh-CN"/>
          <w14:textFill>
            <w14:solidFill>
              <w14:schemeClr w14:val="tx1"/>
            </w14:solidFill>
          </w14:textFill>
        </w:rPr>
        <w:t>2</w:t>
      </w:r>
      <w:r>
        <w:rPr>
          <w:rFonts w:hint="eastAsia" w:cs="Times New Roman" w:eastAsiaTheme="minorEastAsia"/>
          <w:color w:val="000000" w:themeColor="text1"/>
          <w:sz w:val="24"/>
          <w:szCs w:val="24"/>
          <w:highlight w:val="none"/>
          <w:lang w:val="en-US" w:eastAsia="zh-CN"/>
          <w14:textFill>
            <w14:solidFill>
              <w14:schemeClr w14:val="tx1"/>
            </w14:solidFill>
          </w14:textFill>
        </w:rPr>
        <w:t>，建成已37年，原有鱼类的迁徙已经形成阻隔，经过多年的发展，水生生态已通过自然生态修复形成自然生态平衡，原有鱼类已适应阻隔效应，水生生态环境已经稳定，</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水库</w:t>
      </w:r>
      <w:r>
        <w:rPr>
          <w:rFonts w:hint="eastAsia" w:eastAsia="宋体" w:cs="Times New Roman"/>
          <w:color w:val="000000" w:themeColor="text1"/>
          <w:sz w:val="24"/>
          <w:highlight w:val="none"/>
          <w:lang w:val="en-US" w:eastAsia="zh-CN"/>
          <w14:textFill>
            <w14:solidFill>
              <w14:schemeClr w14:val="tx1"/>
            </w14:solidFill>
          </w14:textFill>
        </w:rPr>
        <w:t>已与周边环境区域稳定</w:t>
      </w:r>
      <w:r>
        <w:rPr>
          <w:rFonts w:hint="eastAsia" w:cs="Times New Roman"/>
          <w:color w:val="000000" w:themeColor="text1"/>
          <w:sz w:val="24"/>
          <w:highlight w:val="none"/>
          <w:lang w:val="en-US" w:eastAsia="zh-CN"/>
          <w14:textFill>
            <w14:solidFill>
              <w14:schemeClr w14:val="tx1"/>
            </w14:solidFill>
          </w14:textFill>
        </w:rPr>
        <w:t>，本次工程的实施不会进一步加剧或破坏现状水生生态系统，且本工程实施后保障了生态流量对下游生态环境存在正向改善，因此本工程实施后无需开展增殖放流等生态补救措施。</w:t>
      </w:r>
    </w:p>
    <w:p w14:paraId="71143886">
      <w:pPr>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eastAsia" w:cs="Times New Roman"/>
          <w:color w:val="000000" w:themeColor="text1"/>
          <w:kern w:val="0"/>
          <w:sz w:val="24"/>
          <w:szCs w:val="21"/>
          <w:highlight w:val="none"/>
          <w:lang w:val="en-US" w:eastAsia="zh-CN" w:bidi="ar-SA"/>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因此</w:t>
      </w:r>
      <w:r>
        <w:rPr>
          <w:rFonts w:hint="eastAsia" w:eastAsia="宋体" w:cs="Times New Roman"/>
          <w:color w:val="000000" w:themeColor="text1"/>
          <w:sz w:val="24"/>
          <w:highlight w:val="none"/>
          <w:lang w:val="en-US" w:eastAsia="zh-CN"/>
          <w14:textFill>
            <w14:solidFill>
              <w14:schemeClr w14:val="tx1"/>
            </w14:solidFill>
          </w14:textFill>
        </w:rPr>
        <w:t>本工程实施后水生生态与周边的生态环境无需重新构建新的生态平衡，</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本工程实施后不会恶化生态系统，对生态系统影响较小</w:t>
      </w:r>
      <w:r>
        <w:rPr>
          <w:rFonts w:hint="eastAsia" w:eastAsia="宋体" w:cs="Times New Roman"/>
          <w:color w:val="000000" w:themeColor="text1"/>
          <w:sz w:val="24"/>
          <w:highlight w:val="none"/>
          <w:lang w:val="en-US" w:eastAsia="zh-CN"/>
          <w14:textFill>
            <w14:solidFill>
              <w14:schemeClr w14:val="tx1"/>
            </w14:solidFill>
          </w14:textFill>
        </w:rPr>
        <w:t>。</w:t>
      </w:r>
    </w:p>
    <w:p w14:paraId="568AB238">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123" w:name="_Toc29714"/>
      <w:r>
        <w:rPr>
          <w:rFonts w:hint="default" w:ascii="Times New Roman" w:hAnsi="Times New Roman" w:cs="Times New Roman"/>
          <w:color w:val="000000" w:themeColor="text1"/>
          <w:highlight w:val="none"/>
          <w14:textFill>
            <w14:solidFill>
              <w14:schemeClr w14:val="tx1"/>
            </w14:solidFill>
          </w14:textFill>
        </w:rPr>
        <w:t>3.</w:t>
      </w:r>
      <w:r>
        <w:rPr>
          <w:rFonts w:hint="eastAsia"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color w:val="000000" w:themeColor="text1"/>
          <w:highlight w:val="none"/>
          <w14:textFill>
            <w14:solidFill>
              <w14:schemeClr w14:val="tx1"/>
            </w14:solidFill>
          </w14:textFill>
        </w:rPr>
        <w:t>水质管理目标</w:t>
      </w:r>
      <w:bookmarkEnd w:id="123"/>
    </w:p>
    <w:p w14:paraId="5CFD3E8D">
      <w:pPr>
        <w:spacing w:line="360" w:lineRule="auto"/>
        <w:ind w:firstLine="480" w:firstLineChars="200"/>
        <w:rPr>
          <w:rFonts w:hint="default" w:ascii="Times New Roman" w:hAnsi="Times New Roman" w:eastAsia="宋体" w:cs="Times New Roman"/>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lang w:eastAsia="zh-CN"/>
          <w14:textFill>
            <w14:solidFill>
              <w14:schemeClr w14:val="tx1"/>
            </w14:solidFill>
          </w14:textFill>
        </w:rPr>
        <w:t>青山</w:t>
      </w:r>
      <w:r>
        <w:rPr>
          <w:rFonts w:hint="default" w:ascii="Times New Roman" w:hAnsi="Times New Roman" w:eastAsia="宋体" w:cs="Times New Roman"/>
          <w:color w:val="000000" w:themeColor="text1"/>
          <w:sz w:val="24"/>
          <w:highlight w:val="none"/>
          <w14:textFill>
            <w14:solidFill>
              <w14:schemeClr w14:val="tx1"/>
            </w14:solidFill>
          </w14:textFill>
        </w:rPr>
        <w:t>水库所在支流并未划分水功能区，也并无国控水质监测断面。但其为</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穆棱</w:t>
      </w:r>
      <w:r>
        <w:rPr>
          <w:rFonts w:hint="default" w:ascii="Times New Roman" w:hAnsi="Times New Roman" w:eastAsia="宋体" w:cs="Times New Roman"/>
          <w:color w:val="000000" w:themeColor="text1"/>
          <w:sz w:val="24"/>
          <w:highlight w:val="none"/>
          <w14:textFill>
            <w14:solidFill>
              <w14:schemeClr w14:val="tx1"/>
            </w14:solidFill>
          </w14:textFill>
        </w:rPr>
        <w:t>河一级支流，所涉及的功能区为</w:t>
      </w:r>
      <w:r>
        <w:rPr>
          <w:rFonts w:hint="default" w:ascii="Times New Roman" w:hAnsi="Times New Roman" w:cs="Times New Roman" w:eastAsiaTheme="minorEastAsia"/>
          <w:color w:val="000000" w:themeColor="text1"/>
          <w:sz w:val="24"/>
          <w:highlight w:val="none"/>
          <w14:textFill>
            <w14:solidFill>
              <w14:schemeClr w14:val="tx1"/>
            </w14:solidFill>
          </w14:textFill>
        </w:rPr>
        <w:t>为穆棱河鸡西市开发利用区</w:t>
      </w:r>
      <w:r>
        <w:rPr>
          <w:rFonts w:hint="default" w:ascii="Times New Roman" w:hAnsi="Times New Roman" w:eastAsia="宋体" w:cs="Times New Roman"/>
          <w:color w:val="000000" w:themeColor="text1"/>
          <w:sz w:val="24"/>
          <w:highlight w:val="none"/>
          <w14:textFill>
            <w14:solidFill>
              <w14:schemeClr w14:val="tx1"/>
            </w14:solidFill>
          </w14:textFill>
        </w:rPr>
        <w:t>。按照支流不低于干流水质的原则，本次评价对</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青山</w:t>
      </w:r>
      <w:r>
        <w:rPr>
          <w:rFonts w:hint="default" w:ascii="Times New Roman" w:hAnsi="Times New Roman" w:eastAsia="宋体" w:cs="Times New Roman"/>
          <w:color w:val="000000" w:themeColor="text1"/>
          <w:sz w:val="24"/>
          <w:highlight w:val="none"/>
          <w14:textFill>
            <w14:solidFill>
              <w14:schemeClr w14:val="tx1"/>
            </w14:solidFill>
          </w14:textFill>
        </w:rPr>
        <w:t>水库水质按Ⅲ类标准执行。</w:t>
      </w:r>
    </w:p>
    <w:p w14:paraId="09068495">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124" w:name="_Toc3158"/>
      <w:r>
        <w:rPr>
          <w:rFonts w:hint="default" w:ascii="Times New Roman" w:hAnsi="Times New Roman" w:cs="Times New Roman"/>
          <w:color w:val="000000" w:themeColor="text1"/>
          <w:highlight w:val="none"/>
          <w14:textFill>
            <w14:solidFill>
              <w14:schemeClr w14:val="tx1"/>
            </w14:solidFill>
          </w14:textFill>
        </w:rPr>
        <w:t>3.</w:t>
      </w:r>
      <w:r>
        <w:rPr>
          <w:rFonts w:hint="eastAsia" w:cs="Times New Roman"/>
          <w:color w:val="000000" w:themeColor="text1"/>
          <w:highlight w:val="none"/>
          <w:lang w:val="en-US" w:eastAsia="zh-CN"/>
          <w14:textFill>
            <w14:solidFill>
              <w14:schemeClr w14:val="tx1"/>
            </w14:solidFill>
          </w14:textFill>
        </w:rPr>
        <w:t>6</w:t>
      </w:r>
      <w:r>
        <w:rPr>
          <w:rFonts w:hint="default" w:ascii="Times New Roman" w:hAnsi="Times New Roman" w:cs="Times New Roman"/>
          <w:color w:val="000000" w:themeColor="text1"/>
          <w:highlight w:val="none"/>
          <w14:textFill>
            <w14:solidFill>
              <w14:schemeClr w14:val="tx1"/>
            </w14:solidFill>
          </w14:textFill>
        </w:rPr>
        <w:t>水质现状</w:t>
      </w:r>
      <w:bookmarkEnd w:id="124"/>
    </w:p>
    <w:p w14:paraId="3D366A53">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1</w:t>
      </w:r>
      <w:r>
        <w:rPr>
          <w:rFonts w:hint="eastAsia" w:cs="Times New Roman"/>
          <w:color w:val="000000" w:themeColor="text1"/>
          <w:sz w:val="24"/>
          <w:highlight w:val="none"/>
          <w:lang w:eastAsia="zh-CN"/>
          <w14:textFill>
            <w14:solidFill>
              <w14:schemeClr w14:val="tx1"/>
            </w14:solidFill>
          </w14:textFill>
        </w:rPr>
        <w:t>）监测点位及监测因子</w:t>
      </w:r>
    </w:p>
    <w:p w14:paraId="5DC438CD">
      <w:pPr>
        <w:spacing w:line="360" w:lineRule="auto"/>
        <w:ind w:firstLine="480" w:firstLineChars="200"/>
        <w:rPr>
          <w:rFonts w:hint="eastAsia" w:cs="Times New Roman"/>
          <w:color w:val="000000" w:themeColor="text1"/>
          <w:kern w:val="2"/>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
          <w14:textFill>
            <w14:solidFill>
              <w14:schemeClr w14:val="tx1"/>
            </w14:solidFill>
          </w14:textFill>
        </w:rPr>
        <w:t>根据项目所在区域环境特征及项目特点，在</w:t>
      </w:r>
      <w:r>
        <w:rPr>
          <w:rFonts w:hint="eastAsia" w:cs="Times New Roman"/>
          <w:color w:val="000000" w:themeColor="text1"/>
          <w:kern w:val="2"/>
          <w:sz w:val="24"/>
          <w:szCs w:val="24"/>
          <w:lang w:val="en-US" w:eastAsia="zh-CN" w:bidi="ar"/>
          <w14:textFill>
            <w14:solidFill>
              <w14:schemeClr w14:val="tx1"/>
            </w14:solidFill>
          </w14:textFill>
        </w:rPr>
        <w:t>2个点位处进行地表水环境质量现状监测，详见表3-3.</w:t>
      </w:r>
    </w:p>
    <w:p w14:paraId="1ECB8BF7">
      <w:pPr>
        <w:spacing w:line="360" w:lineRule="auto"/>
        <w:jc w:val="center"/>
        <w:rPr>
          <w:rFonts w:hint="eastAsia" w:cs="Times New Roman"/>
          <w:b/>
          <w:bCs/>
          <w:color w:val="000000" w:themeColor="text1"/>
          <w:kern w:val="2"/>
          <w:sz w:val="24"/>
          <w:szCs w:val="24"/>
          <w:lang w:val="en-US" w:eastAsia="zh-CN" w:bidi="ar"/>
          <w14:textFill>
            <w14:solidFill>
              <w14:schemeClr w14:val="tx1"/>
            </w14:solidFill>
          </w14:textFill>
        </w:rPr>
      </w:pPr>
    </w:p>
    <w:p w14:paraId="15CC0616">
      <w:pPr>
        <w:spacing w:line="360" w:lineRule="auto"/>
        <w:jc w:val="center"/>
        <w:rPr>
          <w:rFonts w:hint="default" w:cs="Times New Roman"/>
          <w:b/>
          <w:bCs/>
          <w:color w:val="000000" w:themeColor="text1"/>
          <w:kern w:val="2"/>
          <w:sz w:val="24"/>
          <w:szCs w:val="24"/>
          <w:lang w:val="en-US" w:eastAsia="zh-CN" w:bidi="ar"/>
          <w14:textFill>
            <w14:solidFill>
              <w14:schemeClr w14:val="tx1"/>
            </w14:solidFill>
          </w14:textFill>
        </w:rPr>
      </w:pPr>
      <w:r>
        <w:rPr>
          <w:rFonts w:hint="eastAsia" w:cs="Times New Roman"/>
          <w:b/>
          <w:bCs/>
          <w:color w:val="000000" w:themeColor="text1"/>
          <w:kern w:val="2"/>
          <w:sz w:val="24"/>
          <w:szCs w:val="24"/>
          <w:lang w:val="en-US" w:eastAsia="zh-CN" w:bidi="ar"/>
          <w14:textFill>
            <w14:solidFill>
              <w14:schemeClr w14:val="tx1"/>
            </w14:solidFill>
          </w14:textFill>
        </w:rPr>
        <w:t>表3-3 监测点位监测因子一览表</w:t>
      </w:r>
    </w:p>
    <w:tbl>
      <w:tblPr>
        <w:tblStyle w:val="22"/>
        <w:tblW w:w="4716"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759"/>
        <w:gridCol w:w="1332"/>
        <w:gridCol w:w="2332"/>
        <w:gridCol w:w="2513"/>
        <w:gridCol w:w="1102"/>
      </w:tblGrid>
      <w:tr w14:paraId="59FEC82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562" w:hRule="atLeast"/>
          <w:tblHeader/>
          <w:jc w:val="center"/>
        </w:trPr>
        <w:tc>
          <w:tcPr>
            <w:tcW w:w="472" w:type="pct"/>
            <w:noWrap w:val="0"/>
            <w:vAlign w:val="center"/>
          </w:tcPr>
          <w:p w14:paraId="2EEEFEBA">
            <w:pPr>
              <w:pStyle w:val="47"/>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828" w:type="pct"/>
            <w:noWrap w:val="0"/>
            <w:vAlign w:val="center"/>
          </w:tcPr>
          <w:p w14:paraId="5EEC6B70">
            <w:pPr>
              <w:pStyle w:val="47"/>
              <w:rPr>
                <w:rFonts w:hint="eastAsia"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点位名称</w:t>
            </w:r>
          </w:p>
        </w:tc>
        <w:tc>
          <w:tcPr>
            <w:tcW w:w="1450" w:type="pct"/>
            <w:tcBorders>
              <w:right w:val="single" w:color="auto" w:sz="4" w:space="0"/>
            </w:tcBorders>
            <w:noWrap w:val="0"/>
            <w:vAlign w:val="center"/>
          </w:tcPr>
          <w:p w14:paraId="5D61C04C">
            <w:pPr>
              <w:pStyle w:val="47"/>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检测因子</w:t>
            </w:r>
          </w:p>
        </w:tc>
        <w:tc>
          <w:tcPr>
            <w:tcW w:w="1563" w:type="pct"/>
            <w:tcBorders>
              <w:left w:val="single" w:color="auto" w:sz="4" w:space="0"/>
            </w:tcBorders>
            <w:noWrap w:val="0"/>
            <w:vAlign w:val="center"/>
          </w:tcPr>
          <w:p w14:paraId="0E31DE7A">
            <w:pPr>
              <w:pStyle w:val="47"/>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频次</w:t>
            </w:r>
          </w:p>
        </w:tc>
        <w:tc>
          <w:tcPr>
            <w:tcW w:w="685" w:type="pct"/>
            <w:noWrap w:val="0"/>
            <w:vAlign w:val="center"/>
          </w:tcPr>
          <w:p w14:paraId="51F65E5B">
            <w:pPr>
              <w:pStyle w:val="47"/>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备注</w:t>
            </w:r>
          </w:p>
        </w:tc>
      </w:tr>
      <w:tr w14:paraId="28CD32D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13" w:hRule="atLeast"/>
          <w:jc w:val="center"/>
        </w:trPr>
        <w:tc>
          <w:tcPr>
            <w:tcW w:w="472" w:type="pct"/>
            <w:noWrap/>
            <w:vAlign w:val="center"/>
          </w:tcPr>
          <w:p w14:paraId="67B2B65F">
            <w:pPr>
              <w:pStyle w:val="47"/>
              <w:rPr>
                <w:rFonts w:hint="default"/>
                <w:color w:val="000000" w:themeColor="text1"/>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1#</w:t>
            </w:r>
          </w:p>
        </w:tc>
        <w:tc>
          <w:tcPr>
            <w:tcW w:w="828" w:type="pct"/>
            <w:noWrap/>
            <w:vAlign w:val="center"/>
          </w:tcPr>
          <w:p w14:paraId="2CCD5137">
            <w:pPr>
              <w:pStyle w:val="47"/>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青山水库坝前</w:t>
            </w:r>
          </w:p>
        </w:tc>
        <w:tc>
          <w:tcPr>
            <w:tcW w:w="1450" w:type="pct"/>
            <w:vMerge w:val="restart"/>
            <w:tcBorders>
              <w:right w:val="single" w:color="auto" w:sz="4" w:space="0"/>
            </w:tcBorders>
            <w:noWrap/>
            <w:vAlign w:val="center"/>
          </w:tcPr>
          <w:p w14:paraId="279498F6">
            <w:pPr>
              <w:pStyle w:val="47"/>
              <w:rPr>
                <w:rFonts w:hint="default"/>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透明度、</w:t>
            </w:r>
            <w:r>
              <w:rPr>
                <w:rFonts w:hint="eastAsia"/>
                <w:color w:val="000000" w:themeColor="text1"/>
                <w:lang w:val="en-US" w:eastAsia="zh-CN"/>
                <w14:textFill>
                  <w14:solidFill>
                    <w14:schemeClr w14:val="tx1"/>
                  </w14:solidFill>
                </w14:textFill>
              </w:rPr>
              <w:t>pH、悬浮物、高锰酸盐指数、化学需氧量、五日生化需氧量、氨氮、总磷、总氮、石油类、叶绿素a、铜、锌、氟化物、硒、砷、汞、镉、六价铬、氰化物、挥发酚、LAS、硫化物、粪大肠菌群</w:t>
            </w:r>
          </w:p>
        </w:tc>
        <w:tc>
          <w:tcPr>
            <w:tcW w:w="1563" w:type="pct"/>
            <w:vMerge w:val="restart"/>
            <w:tcBorders>
              <w:left w:val="single" w:color="auto" w:sz="4" w:space="0"/>
            </w:tcBorders>
            <w:noWrap/>
            <w:vAlign w:val="center"/>
          </w:tcPr>
          <w:p w14:paraId="278ADCE2">
            <w:pPr>
              <w:pStyle w:val="47"/>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检测3日，每日一次</w:t>
            </w:r>
          </w:p>
        </w:tc>
        <w:tc>
          <w:tcPr>
            <w:tcW w:w="685" w:type="pct"/>
            <w:vMerge w:val="restart"/>
            <w:noWrap/>
            <w:vAlign w:val="center"/>
          </w:tcPr>
          <w:p w14:paraId="6211BF45">
            <w:pPr>
              <w:pStyle w:val="47"/>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地表水检测布点图详见附图6</w:t>
            </w:r>
          </w:p>
        </w:tc>
      </w:tr>
      <w:tr w14:paraId="6DC39E3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cantSplit/>
          <w:trHeight w:val="813" w:hRule="atLeast"/>
          <w:jc w:val="center"/>
        </w:trPr>
        <w:tc>
          <w:tcPr>
            <w:tcW w:w="472" w:type="pct"/>
            <w:noWrap/>
            <w:vAlign w:val="center"/>
          </w:tcPr>
          <w:p w14:paraId="13D77FFC">
            <w:pPr>
              <w:pStyle w:val="47"/>
              <w:rPr>
                <w:rFonts w:hint="default" w:eastAsia="宋体"/>
                <w:color w:val="000000" w:themeColor="text1"/>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2#</w:t>
            </w:r>
          </w:p>
        </w:tc>
        <w:tc>
          <w:tcPr>
            <w:tcW w:w="828" w:type="pct"/>
            <w:noWrap/>
            <w:vAlign w:val="center"/>
          </w:tcPr>
          <w:p w14:paraId="59965E69">
            <w:pPr>
              <w:pStyle w:val="47"/>
              <w:rPr>
                <w:rFonts w:hint="default" w:ascii="Times New Roman" w:hAnsi="Times New Roman" w:eastAsia="宋体" w:cs="Times New Roman"/>
                <w:color w:val="000000" w:themeColor="text1"/>
                <w:highlight w:val="none"/>
                <w:lang w:val="en-US" w:eastAsia="zh-CN"/>
                <w14:textFill>
                  <w14:solidFill>
                    <w14:schemeClr w14:val="tx1"/>
                  </w14:solidFill>
                </w14:textFill>
              </w:rPr>
            </w:pPr>
            <w:r>
              <w:rPr>
                <w:rFonts w:hint="eastAsia" w:cs="Times New Roman"/>
                <w:color w:val="000000" w:themeColor="text1"/>
                <w:highlight w:val="none"/>
                <w:lang w:val="en-US" w:eastAsia="zh-CN"/>
                <w14:textFill>
                  <w14:solidFill>
                    <w14:schemeClr w14:val="tx1"/>
                  </w14:solidFill>
                </w14:textFill>
              </w:rPr>
              <w:t>水库下游1000m处</w:t>
            </w:r>
          </w:p>
        </w:tc>
        <w:tc>
          <w:tcPr>
            <w:tcW w:w="1450" w:type="pct"/>
            <w:vMerge w:val="continue"/>
            <w:tcBorders>
              <w:right w:val="single" w:color="auto" w:sz="4" w:space="0"/>
            </w:tcBorders>
            <w:noWrap/>
            <w:vAlign w:val="center"/>
          </w:tcPr>
          <w:p w14:paraId="26C94C06">
            <w:pPr>
              <w:keepNext w:val="0"/>
              <w:keepLines w:val="0"/>
              <w:widowControl/>
              <w:suppressLineNumbers w:val="0"/>
              <w:jc w:val="center"/>
              <w:rPr>
                <w:color w:val="000000" w:themeColor="text1"/>
                <w14:textFill>
                  <w14:solidFill>
                    <w14:schemeClr w14:val="tx1"/>
                  </w14:solidFill>
                </w14:textFill>
              </w:rPr>
            </w:pPr>
          </w:p>
        </w:tc>
        <w:tc>
          <w:tcPr>
            <w:tcW w:w="1563" w:type="pct"/>
            <w:vMerge w:val="continue"/>
            <w:tcBorders>
              <w:left w:val="single" w:color="auto" w:sz="4" w:space="0"/>
            </w:tcBorders>
            <w:shd w:val="clear" w:color="auto" w:fill="auto"/>
            <w:noWrap/>
            <w:vAlign w:val="center"/>
          </w:tcPr>
          <w:p w14:paraId="1E62C2F5">
            <w:pPr>
              <w:pStyle w:val="47"/>
              <w:ind w:firstLine="0" w:firstLineChars="0"/>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685" w:type="pct"/>
            <w:vMerge w:val="continue"/>
            <w:noWrap/>
            <w:vAlign w:val="center"/>
          </w:tcPr>
          <w:p w14:paraId="29A0584D">
            <w:pPr>
              <w:pStyle w:val="47"/>
              <w:rPr>
                <w:rFonts w:hint="eastAsia"/>
                <w:color w:val="000000" w:themeColor="text1"/>
                <w:lang w:val="en-US" w:eastAsia="zh-CN"/>
                <w14:textFill>
                  <w14:solidFill>
                    <w14:schemeClr w14:val="tx1"/>
                  </w14:solidFill>
                </w14:textFill>
              </w:rPr>
            </w:pPr>
          </w:p>
        </w:tc>
      </w:tr>
    </w:tbl>
    <w:p w14:paraId="6B07E3D8">
      <w:pPr>
        <w:spacing w:line="360" w:lineRule="auto"/>
        <w:jc w:val="center"/>
        <w:rPr>
          <w:rFonts w:hint="default" w:ascii="Times New Roman" w:hAnsi="Times New Roman" w:eastAsia="宋体" w:cs="Times New Roman"/>
          <w:b/>
          <w:bCs/>
          <w:color w:val="000000" w:themeColor="text1"/>
          <w:sz w:val="24"/>
          <w:highlight w:val="none"/>
          <w:lang w:val="en-US" w:eastAsia="zh-CN"/>
          <w14:textFill>
            <w14:solidFill>
              <w14:schemeClr w14:val="tx1"/>
            </w14:solidFill>
          </w14:textFill>
        </w:rPr>
      </w:pPr>
    </w:p>
    <w:p w14:paraId="0AA2F21B">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w:t>
      </w:r>
      <w:r>
        <w:rPr>
          <w:rFonts w:hint="eastAsia" w:ascii="Times New Roman" w:hAnsi="Times New Roman" w:cs="Times New Roman"/>
          <w:color w:val="000000" w:themeColor="text1"/>
          <w:sz w:val="24"/>
          <w:highlight w:val="none"/>
          <w:lang w:eastAsia="zh-CN"/>
          <w14:textFill>
            <w14:solidFill>
              <w14:schemeClr w14:val="tx1"/>
            </w14:solidFill>
          </w14:textFill>
        </w:rPr>
        <w:t>评价方法</w:t>
      </w:r>
    </w:p>
    <w:p w14:paraId="4EDE72C2">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采用水质指数法，一般性水质因子的指数计算公式：</w:t>
      </w:r>
    </w:p>
    <w:p w14:paraId="53069151">
      <w:pPr>
        <w:spacing w:line="360" w:lineRule="auto"/>
        <w:ind w:firstLine="42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1343025" cy="552450"/>
            <wp:effectExtent l="0" t="0" r="9525" b="0"/>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36"/>
                    <a:stretch>
                      <a:fillRect/>
                    </a:stretch>
                  </pic:blipFill>
                  <pic:spPr>
                    <a:xfrm>
                      <a:off x="0" y="0"/>
                      <a:ext cx="1343025" cy="552450"/>
                    </a:xfrm>
                    <a:prstGeom prst="rect">
                      <a:avLst/>
                    </a:prstGeom>
                    <a:noFill/>
                    <a:ln>
                      <a:noFill/>
                    </a:ln>
                  </pic:spPr>
                </pic:pic>
              </a:graphicData>
            </a:graphic>
          </wp:inline>
        </w:drawing>
      </w:r>
    </w:p>
    <w:p w14:paraId="797F0E1F">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Si，j——评价因子i的水质指数，大于1表明水质因子超标；</w:t>
      </w:r>
    </w:p>
    <w:p w14:paraId="2E2DF513">
      <w:pPr>
        <w:spacing w:line="360" w:lineRule="auto"/>
        <w:ind w:firstLine="480" w:firstLineChars="200"/>
        <w:rPr>
          <w:rFonts w:hint="eastAsia"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Ci，j——评价因子i在j点的实测统计代表值，mg/L；</w:t>
      </w:r>
    </w:p>
    <w:p w14:paraId="498E7A0C">
      <w:pPr>
        <w:spacing w:line="360" w:lineRule="auto"/>
        <w:ind w:firstLine="480" w:firstLineChars="200"/>
        <w:rPr>
          <w:rFonts w:hint="default"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Csi——评价因子i的水质评价标准限值，mg/L；</w:t>
      </w:r>
    </w:p>
    <w:p w14:paraId="03855B1E">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val="en-US" w:eastAsia="zh-CN"/>
          <w14:textFill>
            <w14:solidFill>
              <w14:schemeClr w14:val="tx1"/>
            </w14:solidFill>
          </w14:textFill>
        </w:rPr>
        <w:t>pH值的指数计算公式：</w:t>
      </w:r>
    </w:p>
    <w:p w14:paraId="66CB9495">
      <w:pPr>
        <w:spacing w:line="360" w:lineRule="auto"/>
        <w:ind w:firstLine="420" w:firstLineChars="200"/>
        <w:jc w:val="center"/>
        <w:rPr>
          <w:rFonts w:hint="default" w:ascii="Times New Roman" w:hAnsi="Times New Roman" w:cs="Times New Roman"/>
          <w:color w:val="000000" w:themeColor="text1"/>
          <w:sz w:val="24"/>
          <w:highlight w:val="none"/>
          <w14:textFill>
            <w14:solidFill>
              <w14:schemeClr w14:val="tx1"/>
            </w14:solidFill>
          </w14:textFill>
        </w:rPr>
      </w:pPr>
      <w:r>
        <w:rPr>
          <w:color w:val="000000" w:themeColor="text1"/>
          <w14:textFill>
            <w14:solidFill>
              <w14:schemeClr w14:val="tx1"/>
            </w14:solidFill>
          </w14:textFill>
        </w:rPr>
        <w:drawing>
          <wp:inline distT="0" distB="0" distL="114300" distR="114300">
            <wp:extent cx="3166745" cy="1259840"/>
            <wp:effectExtent l="0" t="0" r="14605" b="1651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37"/>
                    <a:stretch>
                      <a:fillRect/>
                    </a:stretch>
                  </pic:blipFill>
                  <pic:spPr>
                    <a:xfrm>
                      <a:off x="0" y="0"/>
                      <a:ext cx="3166745" cy="1259840"/>
                    </a:xfrm>
                    <a:prstGeom prst="rect">
                      <a:avLst/>
                    </a:prstGeom>
                    <a:noFill/>
                    <a:ln>
                      <a:noFill/>
                    </a:ln>
                  </pic:spPr>
                </pic:pic>
              </a:graphicData>
            </a:graphic>
          </wp:inline>
        </w:drawing>
      </w:r>
    </w:p>
    <w:p w14:paraId="21D683A8">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式中S</w:t>
      </w:r>
      <w:r>
        <w:rPr>
          <w:rFonts w:hint="default" w:ascii="Times New Roman" w:hAnsi="Times New Roman" w:cs="Times New Roman"/>
          <w:color w:val="000000" w:themeColor="text1"/>
          <w:sz w:val="24"/>
          <w:highlight w:val="none"/>
          <w:vertAlign w:val="subscript"/>
          <w14:textFill>
            <w14:solidFill>
              <w14:schemeClr w14:val="tx1"/>
            </w14:solidFill>
          </w14:textFill>
        </w:rPr>
        <w:t>pH</w:t>
      </w:r>
      <w:r>
        <w:rPr>
          <w:rFonts w:hint="default" w:ascii="Times New Roman" w:hAnsi="Times New Roman" w:cs="Times New Roman"/>
          <w:color w:val="000000" w:themeColor="text1"/>
          <w:sz w:val="24"/>
          <w:highlight w:val="none"/>
          <w14:textFill>
            <w14:solidFill>
              <w14:schemeClr w14:val="tx1"/>
            </w14:solidFill>
          </w14:textFill>
        </w:rPr>
        <w:t>,</w:t>
      </w:r>
      <w:r>
        <w:rPr>
          <w:rFonts w:hint="default" w:ascii="Times New Roman" w:hAnsi="Times New Roman" w:cs="Times New Roman"/>
          <w:color w:val="000000" w:themeColor="text1"/>
          <w:sz w:val="24"/>
          <w:highlight w:val="none"/>
          <w:vertAlign w:val="subscript"/>
          <w14:textFill>
            <w14:solidFill>
              <w14:schemeClr w14:val="tx1"/>
            </w14:solidFill>
          </w14:textFill>
        </w:rPr>
        <w:t>j</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pH值的指数，大于1表明该水质因子超标</w:t>
      </w:r>
      <w:r>
        <w:rPr>
          <w:rFonts w:hint="eastAsia" w:cs="Times New Roman"/>
          <w:color w:val="000000" w:themeColor="text1"/>
          <w:sz w:val="24"/>
          <w:highlight w:val="none"/>
          <w:lang w:eastAsia="zh-CN"/>
          <w14:textFill>
            <w14:solidFill>
              <w14:schemeClr w14:val="tx1"/>
            </w14:solidFill>
          </w14:textFill>
        </w:rPr>
        <w:t>；</w:t>
      </w:r>
    </w:p>
    <w:p w14:paraId="0B511791">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pH</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pH值实测统计代表值</w:t>
      </w:r>
      <w:r>
        <w:rPr>
          <w:rFonts w:hint="eastAsia" w:cs="Times New Roman"/>
          <w:color w:val="000000" w:themeColor="text1"/>
          <w:sz w:val="24"/>
          <w:highlight w:val="none"/>
          <w:lang w:eastAsia="zh-CN"/>
          <w14:textFill>
            <w14:solidFill>
              <w14:schemeClr w14:val="tx1"/>
            </w14:solidFill>
          </w14:textFill>
        </w:rPr>
        <w:t>；</w:t>
      </w:r>
    </w:p>
    <w:p w14:paraId="04EEF04B">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pH</w:t>
      </w:r>
      <w:r>
        <w:rPr>
          <w:rFonts w:hint="eastAsia" w:cs="Times New Roman"/>
          <w:color w:val="000000" w:themeColor="text1"/>
          <w:sz w:val="24"/>
          <w:highlight w:val="none"/>
          <w:lang w:val="en-US" w:eastAsia="zh-CN"/>
          <w14:textFill>
            <w14:solidFill>
              <w14:schemeClr w14:val="tx1"/>
            </w14:solidFill>
          </w14:textFill>
        </w:rPr>
        <w:t>s</w:t>
      </w:r>
      <w:r>
        <w:rPr>
          <w:rFonts w:hint="default" w:ascii="Times New Roman" w:hAnsi="Times New Roman" w:cs="Times New Roman"/>
          <w:color w:val="000000" w:themeColor="text1"/>
          <w:sz w:val="24"/>
          <w:highlight w:val="none"/>
          <w14:textFill>
            <w14:solidFill>
              <w14:schemeClr w14:val="tx1"/>
            </w14:solidFill>
          </w14:textFill>
        </w:rPr>
        <w:t>u</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评价标准中pH值的下限值</w:t>
      </w:r>
      <w:r>
        <w:rPr>
          <w:rFonts w:hint="eastAsia" w:cs="Times New Roman"/>
          <w:color w:val="000000" w:themeColor="text1"/>
          <w:sz w:val="24"/>
          <w:highlight w:val="none"/>
          <w:lang w:eastAsia="zh-CN"/>
          <w14:textFill>
            <w14:solidFill>
              <w14:schemeClr w14:val="tx1"/>
            </w14:solidFill>
          </w14:textFill>
        </w:rPr>
        <w:t>；</w:t>
      </w:r>
    </w:p>
    <w:p w14:paraId="1AEA0D78">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pH</w:t>
      </w:r>
      <w:r>
        <w:rPr>
          <w:rFonts w:hint="eastAsia" w:cs="Times New Roman"/>
          <w:color w:val="000000" w:themeColor="text1"/>
          <w:sz w:val="24"/>
          <w:highlight w:val="none"/>
          <w:lang w:val="en-US" w:eastAsia="zh-CN"/>
          <w14:textFill>
            <w14:solidFill>
              <w14:schemeClr w14:val="tx1"/>
            </w14:solidFill>
          </w14:textFill>
        </w:rPr>
        <w:t>sd</w:t>
      </w:r>
      <w:r>
        <w:rPr>
          <w:rFonts w:hint="eastAsia" w:cs="Times New Roman"/>
          <w:color w:val="000000" w:themeColor="text1"/>
          <w:sz w:val="24"/>
          <w:highlight w:val="none"/>
          <w:lang w:eastAsia="zh-CN"/>
          <w14:textFill>
            <w14:solidFill>
              <w14:schemeClr w14:val="tx1"/>
            </w14:solidFill>
          </w14:textFill>
        </w:rPr>
        <w:t>——</w:t>
      </w:r>
      <w:r>
        <w:rPr>
          <w:rFonts w:hint="default" w:ascii="Times New Roman" w:hAnsi="Times New Roman" w:cs="Times New Roman"/>
          <w:color w:val="000000" w:themeColor="text1"/>
          <w:sz w:val="24"/>
          <w:highlight w:val="none"/>
          <w14:textFill>
            <w14:solidFill>
              <w14:schemeClr w14:val="tx1"/>
            </w14:solidFill>
          </w14:textFill>
        </w:rPr>
        <w:t>评价标准中pH值的上限值。</w:t>
      </w:r>
    </w:p>
    <w:p w14:paraId="74836EAA">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若水质参数的标准指数&gt;1，表明该水质参数超过了规定的水质标准，已经不能满足使用要求。标准指数越大，污染程度越重;标准指数越小，说明水体受污染的程度越轻</w:t>
      </w:r>
      <w:r>
        <w:rPr>
          <w:rFonts w:hint="eastAsia" w:cs="Times New Roman"/>
          <w:color w:val="000000" w:themeColor="text1"/>
          <w:sz w:val="24"/>
          <w:highlight w:val="none"/>
          <w:lang w:eastAsia="zh-CN"/>
          <w14:textFill>
            <w14:solidFill>
              <w14:schemeClr w14:val="tx1"/>
            </w14:solidFill>
          </w14:textFill>
        </w:rPr>
        <w:t>。</w:t>
      </w:r>
    </w:p>
    <w:p w14:paraId="6D6C62C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14:textFill>
            <w14:solidFill>
              <w14:schemeClr w14:val="tx1"/>
            </w14:solidFill>
          </w14:textFill>
        </w:rPr>
        <w:t>）水质评价</w:t>
      </w:r>
    </w:p>
    <w:p w14:paraId="20460851">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本次水质评价委</w:t>
      </w:r>
      <w:r>
        <w:rPr>
          <w:rFonts w:hint="default" w:ascii="Times New Roman" w:hAnsi="Times New Roman" w:eastAsia="宋体" w:cs="Times New Roman"/>
          <w:color w:val="000000" w:themeColor="text1"/>
          <w:sz w:val="24"/>
          <w:highlight w:val="none"/>
          <w14:textFill>
            <w14:solidFill>
              <w14:schemeClr w14:val="tx1"/>
            </w14:solidFill>
          </w14:textFill>
        </w:rPr>
        <w:t>托了</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黑龙江汉风环境检测技术有限公司</w:t>
      </w:r>
      <w:r>
        <w:rPr>
          <w:rFonts w:hint="default" w:ascii="Times New Roman" w:hAnsi="Times New Roman" w:eastAsia="宋体" w:cs="Times New Roman"/>
          <w:color w:val="000000" w:themeColor="text1"/>
          <w:sz w:val="24"/>
          <w:highlight w:val="none"/>
          <w14:textFill>
            <w14:solidFill>
              <w14:schemeClr w14:val="tx1"/>
            </w14:solidFill>
          </w14:textFill>
        </w:rPr>
        <w:t>对</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青山</w:t>
      </w:r>
      <w:r>
        <w:rPr>
          <w:rFonts w:hint="default" w:ascii="Times New Roman" w:hAnsi="Times New Roman" w:eastAsia="宋体" w:cs="Times New Roman"/>
          <w:color w:val="000000" w:themeColor="text1"/>
          <w:sz w:val="24"/>
          <w:highlight w:val="none"/>
          <w14:textFill>
            <w14:solidFill>
              <w14:schemeClr w14:val="tx1"/>
            </w14:solidFill>
          </w14:textFill>
        </w:rPr>
        <w:t>水库进行检测，监测数据及评价结果</w:t>
      </w:r>
      <w:r>
        <w:rPr>
          <w:rFonts w:hint="default" w:ascii="Times New Roman" w:hAnsi="Times New Roman" w:cs="Times New Roman"/>
          <w:color w:val="000000" w:themeColor="text1"/>
          <w:sz w:val="24"/>
          <w:highlight w:val="none"/>
          <w14:textFill>
            <w14:solidFill>
              <w14:schemeClr w14:val="tx1"/>
            </w14:solidFill>
          </w14:textFill>
        </w:rPr>
        <w:t>见表3</w:t>
      </w:r>
      <w:r>
        <w:rPr>
          <w:rFonts w:hint="eastAsia" w:cs="Times New Roman"/>
          <w:color w:val="000000" w:themeColor="text1"/>
          <w:sz w:val="24"/>
          <w:highlight w:val="none"/>
          <w:lang w:val="en-US" w:eastAsia="zh-CN"/>
          <w14:textFill>
            <w14:solidFill>
              <w14:schemeClr w14:val="tx1"/>
            </w14:solidFill>
          </w14:textFill>
        </w:rPr>
        <w:t>-4</w:t>
      </w:r>
      <w:r>
        <w:rPr>
          <w:rFonts w:hint="default" w:ascii="Times New Roman" w:hAnsi="Times New Roman" w:cs="Times New Roman"/>
          <w:color w:val="000000" w:themeColor="text1"/>
          <w:sz w:val="24"/>
          <w:highlight w:val="none"/>
          <w14:textFill>
            <w14:solidFill>
              <w14:schemeClr w14:val="tx1"/>
            </w14:solidFill>
          </w14:textFill>
        </w:rPr>
        <w:t>。根据检测结果，</w:t>
      </w:r>
      <w:r>
        <w:rPr>
          <w:rFonts w:hint="eastAsia"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color w:val="000000" w:themeColor="text1"/>
          <w:sz w:val="24"/>
          <w:highlight w:val="none"/>
          <w14:textFill>
            <w14:solidFill>
              <w14:schemeClr w14:val="tx1"/>
            </w14:solidFill>
          </w14:textFill>
        </w:rPr>
        <w:t>水库现状水质满足Ⅲ类。</w:t>
      </w:r>
    </w:p>
    <w:p w14:paraId="4A26AC0B">
      <w:pPr>
        <w:spacing w:line="360" w:lineRule="auto"/>
        <w:jc w:val="center"/>
        <w:rPr>
          <w:rFonts w:hint="default" w:ascii="Times New Roman" w:hAnsi="Times New Roman" w:cs="Times New Roman"/>
          <w:b/>
          <w:bCs/>
          <w:color w:val="000000" w:themeColor="text1"/>
          <w:sz w:val="24"/>
          <w:highlight w:val="none"/>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表</w:t>
      </w:r>
      <w:r>
        <w:rPr>
          <w:rFonts w:hint="eastAsia" w:cs="Times New Roman"/>
          <w:b/>
          <w:bCs/>
          <w:color w:val="000000" w:themeColor="text1"/>
          <w:sz w:val="24"/>
          <w:highlight w:val="none"/>
          <w:lang w:val="en-US" w:eastAsia="zh-CN"/>
          <w14:textFill>
            <w14:solidFill>
              <w14:schemeClr w14:val="tx1"/>
            </w14:solidFill>
          </w14:textFill>
        </w:rPr>
        <w:t xml:space="preserve">3-4  </w:t>
      </w:r>
      <w:r>
        <w:rPr>
          <w:rFonts w:hint="eastAsia" w:cs="Times New Roman"/>
          <w:b/>
          <w:bCs/>
          <w:color w:val="000000" w:themeColor="text1"/>
          <w:sz w:val="24"/>
          <w:highlight w:val="none"/>
          <w:lang w:eastAsia="zh-CN"/>
          <w14:textFill>
            <w14:solidFill>
              <w14:schemeClr w14:val="tx1"/>
            </w14:solidFill>
          </w14:textFill>
        </w:rPr>
        <w:t>青山</w:t>
      </w:r>
      <w:r>
        <w:rPr>
          <w:rFonts w:hint="default" w:ascii="Times New Roman" w:hAnsi="Times New Roman" w:cs="Times New Roman"/>
          <w:b/>
          <w:bCs/>
          <w:color w:val="000000" w:themeColor="text1"/>
          <w:sz w:val="24"/>
          <w:highlight w:val="none"/>
          <w14:textFill>
            <w14:solidFill>
              <w14:schemeClr w14:val="tx1"/>
            </w14:solidFill>
          </w14:textFill>
        </w:rPr>
        <w:t>水库202</w:t>
      </w:r>
      <w:r>
        <w:rPr>
          <w:rFonts w:hint="eastAsia" w:cs="Times New Roman"/>
          <w:b/>
          <w:bCs/>
          <w:color w:val="000000" w:themeColor="text1"/>
          <w:sz w:val="24"/>
          <w:highlight w:val="none"/>
          <w:lang w:val="en-US" w:eastAsia="zh-CN"/>
          <w14:textFill>
            <w14:solidFill>
              <w14:schemeClr w14:val="tx1"/>
            </w14:solidFill>
          </w14:textFill>
        </w:rPr>
        <w:t>5</w:t>
      </w:r>
      <w:r>
        <w:rPr>
          <w:rFonts w:hint="default" w:ascii="Times New Roman" w:hAnsi="Times New Roman" w:cs="Times New Roman"/>
          <w:b/>
          <w:bCs/>
          <w:color w:val="000000" w:themeColor="text1"/>
          <w:sz w:val="24"/>
          <w:highlight w:val="none"/>
          <w14:textFill>
            <w14:solidFill>
              <w14:schemeClr w14:val="tx1"/>
            </w14:solidFill>
          </w14:textFill>
        </w:rPr>
        <w:t>年度水质监测结果单位：mg/L</w:t>
      </w:r>
    </w:p>
    <w:tbl>
      <w:tblPr>
        <w:tblStyle w:val="22"/>
        <w:tblW w:w="485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0"/>
        <w:gridCol w:w="1576"/>
        <w:gridCol w:w="1297"/>
        <w:gridCol w:w="1297"/>
        <w:gridCol w:w="1305"/>
        <w:gridCol w:w="1223"/>
      </w:tblGrid>
      <w:tr w14:paraId="76F23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949" w:type="pct"/>
            <w:vMerge w:val="restart"/>
            <w:noWrap w:val="0"/>
            <w:vAlign w:val="center"/>
          </w:tcPr>
          <w:p w14:paraId="6A5F939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采样时间</w:t>
            </w:r>
          </w:p>
        </w:tc>
        <w:tc>
          <w:tcPr>
            <w:tcW w:w="953" w:type="pct"/>
            <w:vMerge w:val="restart"/>
            <w:noWrap w:val="0"/>
            <w:vAlign w:val="center"/>
          </w:tcPr>
          <w:p w14:paraId="3A39DF1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检测项目</w:t>
            </w:r>
          </w:p>
        </w:tc>
        <w:tc>
          <w:tcPr>
            <w:tcW w:w="2357" w:type="pct"/>
            <w:gridSpan w:val="3"/>
            <w:noWrap w:val="0"/>
            <w:vAlign w:val="center"/>
          </w:tcPr>
          <w:p w14:paraId="62ED1A9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检测结果</w:t>
            </w:r>
          </w:p>
        </w:tc>
        <w:tc>
          <w:tcPr>
            <w:tcW w:w="739" w:type="pct"/>
            <w:vMerge w:val="restart"/>
            <w:noWrap w:val="0"/>
            <w:vAlign w:val="center"/>
          </w:tcPr>
          <w:p w14:paraId="7FEDCAD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单位</w:t>
            </w:r>
          </w:p>
        </w:tc>
      </w:tr>
      <w:tr w14:paraId="73E5E1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949" w:type="pct"/>
            <w:vMerge w:val="continue"/>
            <w:noWrap w:val="0"/>
            <w:vAlign w:val="center"/>
          </w:tcPr>
          <w:p w14:paraId="29A6827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53" w:type="pct"/>
            <w:vMerge w:val="continue"/>
            <w:noWrap w:val="0"/>
            <w:vAlign w:val="center"/>
          </w:tcPr>
          <w:p w14:paraId="49CDE93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784" w:type="pct"/>
            <w:noWrap w:val="0"/>
            <w:vAlign w:val="center"/>
          </w:tcPr>
          <w:p w14:paraId="560CBC3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202</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15</w:t>
            </w:r>
          </w:p>
        </w:tc>
        <w:tc>
          <w:tcPr>
            <w:tcW w:w="784" w:type="pct"/>
            <w:noWrap w:val="0"/>
            <w:vAlign w:val="center"/>
          </w:tcPr>
          <w:p w14:paraId="495324A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202</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16</w:t>
            </w:r>
          </w:p>
        </w:tc>
        <w:tc>
          <w:tcPr>
            <w:tcW w:w="789" w:type="pct"/>
            <w:noWrap w:val="0"/>
            <w:vAlign w:val="center"/>
          </w:tcPr>
          <w:p w14:paraId="44DD0A8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202</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17</w:t>
            </w:r>
          </w:p>
        </w:tc>
        <w:tc>
          <w:tcPr>
            <w:tcW w:w="739" w:type="pct"/>
            <w:vMerge w:val="continue"/>
            <w:noWrap w:val="0"/>
            <w:vAlign w:val="center"/>
          </w:tcPr>
          <w:p w14:paraId="00CBD20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2EB2E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restart"/>
            <w:noWrap w:val="0"/>
            <w:vAlign w:val="center"/>
          </w:tcPr>
          <w:p w14:paraId="43567BFD">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青山水库坝前</w:t>
            </w:r>
          </w:p>
        </w:tc>
        <w:tc>
          <w:tcPr>
            <w:tcW w:w="953" w:type="pct"/>
            <w:noWrap w:val="0"/>
            <w:vAlign w:val="center"/>
          </w:tcPr>
          <w:p w14:paraId="3038965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透明度</w:t>
            </w:r>
          </w:p>
        </w:tc>
        <w:tc>
          <w:tcPr>
            <w:tcW w:w="784" w:type="pct"/>
            <w:noWrap w:val="0"/>
            <w:vAlign w:val="center"/>
          </w:tcPr>
          <w:p w14:paraId="7609500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72</w:t>
            </w:r>
          </w:p>
        </w:tc>
        <w:tc>
          <w:tcPr>
            <w:tcW w:w="784" w:type="pct"/>
            <w:noWrap w:val="0"/>
            <w:vAlign w:val="center"/>
          </w:tcPr>
          <w:p w14:paraId="73BC52C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71</w:t>
            </w:r>
          </w:p>
        </w:tc>
        <w:tc>
          <w:tcPr>
            <w:tcW w:w="789" w:type="pct"/>
            <w:noWrap w:val="0"/>
            <w:vAlign w:val="center"/>
          </w:tcPr>
          <w:p w14:paraId="1E39EFD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68</w:t>
            </w:r>
          </w:p>
        </w:tc>
        <w:tc>
          <w:tcPr>
            <w:tcW w:w="739" w:type="pct"/>
            <w:noWrap w:val="0"/>
            <w:vAlign w:val="center"/>
          </w:tcPr>
          <w:p w14:paraId="03CEAC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spacing w:val="-11"/>
                <w:kern w:val="0"/>
                <w:sz w:val="21"/>
                <w:szCs w:val="21"/>
                <w:u w:val="none"/>
                <w:lang w:val="en-US" w:eastAsia="zh-CN" w:bidi="ar"/>
                <w14:textFill>
                  <w14:solidFill>
                    <w14:schemeClr w14:val="tx1"/>
                  </w14:solidFill>
                </w14:textFill>
              </w:rPr>
              <w:t>cm</w:t>
            </w:r>
          </w:p>
        </w:tc>
      </w:tr>
      <w:tr w14:paraId="2858A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262FE7C5">
            <w:pPr>
              <w:keepNext w:val="0"/>
              <w:keepLines w:val="0"/>
              <w:pageBreakBefore w:val="0"/>
              <w:shd w:val="clear" w:color="auto" w:fill="auto"/>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45F17DF">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pH</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值</w:t>
            </w:r>
          </w:p>
        </w:tc>
        <w:tc>
          <w:tcPr>
            <w:tcW w:w="784" w:type="pct"/>
            <w:noWrap w:val="0"/>
            <w:vAlign w:val="center"/>
          </w:tcPr>
          <w:p w14:paraId="04B5A27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7.4</w:t>
            </w:r>
          </w:p>
        </w:tc>
        <w:tc>
          <w:tcPr>
            <w:tcW w:w="784" w:type="pct"/>
            <w:noWrap w:val="0"/>
            <w:vAlign w:val="center"/>
          </w:tcPr>
          <w:p w14:paraId="591FC2F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7.3</w:t>
            </w:r>
          </w:p>
        </w:tc>
        <w:tc>
          <w:tcPr>
            <w:tcW w:w="789" w:type="pct"/>
            <w:noWrap w:val="0"/>
            <w:vAlign w:val="center"/>
          </w:tcPr>
          <w:p w14:paraId="6098E8D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7.1</w:t>
            </w:r>
          </w:p>
        </w:tc>
        <w:tc>
          <w:tcPr>
            <w:tcW w:w="739" w:type="pct"/>
            <w:noWrap w:val="0"/>
            <w:vAlign w:val="center"/>
          </w:tcPr>
          <w:p w14:paraId="2B9D7E3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无量纲</w:t>
            </w:r>
          </w:p>
        </w:tc>
      </w:tr>
      <w:tr w14:paraId="3497BB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0B538628">
            <w:pPr>
              <w:keepNext w:val="0"/>
              <w:keepLines w:val="0"/>
              <w:pageBreakBefore w:val="0"/>
              <w:shd w:val="clear" w:color="auto" w:fill="auto"/>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3DF48865">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悬浮物</w:t>
            </w:r>
          </w:p>
        </w:tc>
        <w:tc>
          <w:tcPr>
            <w:tcW w:w="784" w:type="pct"/>
            <w:noWrap w:val="0"/>
            <w:vAlign w:val="center"/>
          </w:tcPr>
          <w:p w14:paraId="36B2547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9</w:t>
            </w:r>
          </w:p>
        </w:tc>
        <w:tc>
          <w:tcPr>
            <w:tcW w:w="784" w:type="pct"/>
            <w:noWrap w:val="0"/>
            <w:vAlign w:val="center"/>
          </w:tcPr>
          <w:p w14:paraId="265D666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8</w:t>
            </w:r>
          </w:p>
        </w:tc>
        <w:tc>
          <w:tcPr>
            <w:tcW w:w="789" w:type="pct"/>
            <w:noWrap w:val="0"/>
            <w:vAlign w:val="center"/>
          </w:tcPr>
          <w:p w14:paraId="1FBD33A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6</w:t>
            </w:r>
          </w:p>
        </w:tc>
        <w:tc>
          <w:tcPr>
            <w:tcW w:w="739" w:type="pct"/>
            <w:noWrap w:val="0"/>
            <w:vAlign w:val="center"/>
          </w:tcPr>
          <w:p w14:paraId="2EF528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5334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06A96106">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53B4804">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高锰酸盐指数</w:t>
            </w:r>
          </w:p>
        </w:tc>
        <w:tc>
          <w:tcPr>
            <w:tcW w:w="784" w:type="pct"/>
            <w:noWrap w:val="0"/>
            <w:vAlign w:val="center"/>
          </w:tcPr>
          <w:p w14:paraId="2198731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5.5</w:t>
            </w:r>
          </w:p>
        </w:tc>
        <w:tc>
          <w:tcPr>
            <w:tcW w:w="784" w:type="pct"/>
            <w:noWrap w:val="0"/>
            <w:vAlign w:val="center"/>
          </w:tcPr>
          <w:p w14:paraId="16C1711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5.4</w:t>
            </w:r>
          </w:p>
        </w:tc>
        <w:tc>
          <w:tcPr>
            <w:tcW w:w="789" w:type="pct"/>
            <w:noWrap w:val="0"/>
            <w:vAlign w:val="center"/>
          </w:tcPr>
          <w:p w14:paraId="6599068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5.2</w:t>
            </w:r>
          </w:p>
        </w:tc>
        <w:tc>
          <w:tcPr>
            <w:tcW w:w="739" w:type="pct"/>
            <w:noWrap w:val="0"/>
            <w:vAlign w:val="center"/>
          </w:tcPr>
          <w:p w14:paraId="4B1E117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7C65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A8EA4F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205C883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化学需氧量</w:t>
            </w:r>
          </w:p>
        </w:tc>
        <w:tc>
          <w:tcPr>
            <w:tcW w:w="784" w:type="pct"/>
            <w:noWrap w:val="0"/>
            <w:vAlign w:val="center"/>
          </w:tcPr>
          <w:p w14:paraId="5F5D0C5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18</w:t>
            </w:r>
          </w:p>
        </w:tc>
        <w:tc>
          <w:tcPr>
            <w:tcW w:w="784" w:type="pct"/>
            <w:noWrap w:val="0"/>
            <w:vAlign w:val="center"/>
          </w:tcPr>
          <w:p w14:paraId="41953F7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16</w:t>
            </w:r>
          </w:p>
        </w:tc>
        <w:tc>
          <w:tcPr>
            <w:tcW w:w="789" w:type="pct"/>
            <w:noWrap w:val="0"/>
            <w:vAlign w:val="center"/>
          </w:tcPr>
          <w:p w14:paraId="431C565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15</w:t>
            </w:r>
          </w:p>
        </w:tc>
        <w:tc>
          <w:tcPr>
            <w:tcW w:w="739" w:type="pct"/>
            <w:noWrap w:val="0"/>
            <w:vAlign w:val="center"/>
          </w:tcPr>
          <w:p w14:paraId="47AF957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4B309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93AC73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735BE34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生化需氧量</w:t>
            </w:r>
          </w:p>
        </w:tc>
        <w:tc>
          <w:tcPr>
            <w:tcW w:w="784" w:type="pct"/>
            <w:noWrap w:val="0"/>
            <w:vAlign w:val="center"/>
          </w:tcPr>
          <w:p w14:paraId="294D869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3.6</w:t>
            </w:r>
          </w:p>
        </w:tc>
        <w:tc>
          <w:tcPr>
            <w:tcW w:w="784" w:type="pct"/>
            <w:noWrap w:val="0"/>
            <w:vAlign w:val="center"/>
          </w:tcPr>
          <w:p w14:paraId="3AA8E9A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3.3</w:t>
            </w:r>
          </w:p>
        </w:tc>
        <w:tc>
          <w:tcPr>
            <w:tcW w:w="789" w:type="pct"/>
            <w:noWrap w:val="0"/>
            <w:vAlign w:val="center"/>
          </w:tcPr>
          <w:p w14:paraId="19603F5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3.1</w:t>
            </w:r>
          </w:p>
        </w:tc>
        <w:tc>
          <w:tcPr>
            <w:tcW w:w="739" w:type="pct"/>
            <w:noWrap w:val="0"/>
            <w:vAlign w:val="center"/>
          </w:tcPr>
          <w:p w14:paraId="381E73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0E1F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141577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25B76A4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氨氮</w:t>
            </w:r>
          </w:p>
        </w:tc>
        <w:tc>
          <w:tcPr>
            <w:tcW w:w="784" w:type="pct"/>
            <w:noWrap w:val="0"/>
            <w:vAlign w:val="center"/>
          </w:tcPr>
          <w:p w14:paraId="6FA7CA5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0.446</w:t>
            </w:r>
          </w:p>
        </w:tc>
        <w:tc>
          <w:tcPr>
            <w:tcW w:w="784" w:type="pct"/>
            <w:noWrap w:val="0"/>
            <w:vAlign w:val="center"/>
          </w:tcPr>
          <w:p w14:paraId="0C1D834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0.432</w:t>
            </w:r>
          </w:p>
        </w:tc>
        <w:tc>
          <w:tcPr>
            <w:tcW w:w="789" w:type="pct"/>
            <w:noWrap w:val="0"/>
            <w:vAlign w:val="center"/>
          </w:tcPr>
          <w:p w14:paraId="01B05B1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0.419</w:t>
            </w:r>
          </w:p>
        </w:tc>
        <w:tc>
          <w:tcPr>
            <w:tcW w:w="739" w:type="pct"/>
            <w:noWrap w:val="0"/>
            <w:vAlign w:val="center"/>
          </w:tcPr>
          <w:p w14:paraId="52327E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209E9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B56197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3B03159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总磷</w:t>
            </w:r>
          </w:p>
        </w:tc>
        <w:tc>
          <w:tcPr>
            <w:tcW w:w="784" w:type="pct"/>
            <w:noWrap w:val="0"/>
            <w:vAlign w:val="center"/>
          </w:tcPr>
          <w:p w14:paraId="2D51AD5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0.09</w:t>
            </w:r>
          </w:p>
        </w:tc>
        <w:tc>
          <w:tcPr>
            <w:tcW w:w="784" w:type="pct"/>
            <w:noWrap w:val="0"/>
            <w:vAlign w:val="center"/>
          </w:tcPr>
          <w:p w14:paraId="5896C29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0.08</w:t>
            </w:r>
          </w:p>
        </w:tc>
        <w:tc>
          <w:tcPr>
            <w:tcW w:w="789" w:type="pct"/>
            <w:noWrap w:val="0"/>
            <w:vAlign w:val="center"/>
          </w:tcPr>
          <w:p w14:paraId="34E3B3D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0.07</w:t>
            </w:r>
          </w:p>
        </w:tc>
        <w:tc>
          <w:tcPr>
            <w:tcW w:w="739" w:type="pct"/>
            <w:noWrap w:val="0"/>
            <w:vAlign w:val="center"/>
          </w:tcPr>
          <w:p w14:paraId="404CD6C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14193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1D7758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334CD14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总氮</w:t>
            </w:r>
          </w:p>
        </w:tc>
        <w:tc>
          <w:tcPr>
            <w:tcW w:w="784" w:type="pct"/>
            <w:noWrap w:val="0"/>
            <w:vAlign w:val="center"/>
          </w:tcPr>
          <w:p w14:paraId="5C8296C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1.82</w:t>
            </w:r>
          </w:p>
        </w:tc>
        <w:tc>
          <w:tcPr>
            <w:tcW w:w="784" w:type="pct"/>
            <w:noWrap w:val="0"/>
            <w:vAlign w:val="center"/>
          </w:tcPr>
          <w:p w14:paraId="0EA2D63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1.74</w:t>
            </w:r>
          </w:p>
        </w:tc>
        <w:tc>
          <w:tcPr>
            <w:tcW w:w="789" w:type="pct"/>
            <w:noWrap w:val="0"/>
            <w:vAlign w:val="center"/>
          </w:tcPr>
          <w:p w14:paraId="6EA372A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1.66</w:t>
            </w:r>
          </w:p>
        </w:tc>
        <w:tc>
          <w:tcPr>
            <w:tcW w:w="739" w:type="pct"/>
            <w:noWrap w:val="0"/>
            <w:vAlign w:val="center"/>
          </w:tcPr>
          <w:p w14:paraId="3AA8F0C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A8B4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387747E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1E87596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石油类</w:t>
            </w:r>
          </w:p>
        </w:tc>
        <w:tc>
          <w:tcPr>
            <w:tcW w:w="784" w:type="pct"/>
            <w:noWrap w:val="0"/>
            <w:vAlign w:val="center"/>
          </w:tcPr>
          <w:p w14:paraId="330D46F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784" w:type="pct"/>
            <w:noWrap w:val="0"/>
            <w:vAlign w:val="center"/>
          </w:tcPr>
          <w:p w14:paraId="04A98C8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789" w:type="pct"/>
            <w:noWrap w:val="0"/>
            <w:vAlign w:val="center"/>
          </w:tcPr>
          <w:p w14:paraId="11DA2A9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739" w:type="pct"/>
            <w:noWrap w:val="0"/>
            <w:vAlign w:val="center"/>
          </w:tcPr>
          <w:p w14:paraId="45148F0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B8C1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4681556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0EE38F1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叶绿素a</w:t>
            </w:r>
          </w:p>
        </w:tc>
        <w:tc>
          <w:tcPr>
            <w:tcW w:w="784" w:type="pct"/>
            <w:noWrap w:val="0"/>
            <w:vAlign w:val="center"/>
          </w:tcPr>
          <w:p w14:paraId="183DDDF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784" w:type="pct"/>
            <w:noWrap w:val="0"/>
            <w:vAlign w:val="center"/>
          </w:tcPr>
          <w:p w14:paraId="1F38397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789" w:type="pct"/>
            <w:noWrap w:val="0"/>
            <w:vAlign w:val="center"/>
          </w:tcPr>
          <w:p w14:paraId="55601B1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739" w:type="pct"/>
            <w:noWrap w:val="0"/>
            <w:vAlign w:val="center"/>
          </w:tcPr>
          <w:p w14:paraId="33B1BB9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ADE8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76366B1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65074AD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铜</w:t>
            </w:r>
          </w:p>
        </w:tc>
        <w:tc>
          <w:tcPr>
            <w:tcW w:w="784" w:type="pct"/>
            <w:noWrap w:val="0"/>
            <w:vAlign w:val="center"/>
          </w:tcPr>
          <w:p w14:paraId="0E9B95F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84" w:type="pct"/>
            <w:noWrap w:val="0"/>
            <w:vAlign w:val="center"/>
          </w:tcPr>
          <w:p w14:paraId="13B1B7E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89" w:type="pct"/>
            <w:noWrap w:val="0"/>
            <w:vAlign w:val="center"/>
          </w:tcPr>
          <w:p w14:paraId="2295EBC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39" w:type="pct"/>
            <w:noWrap w:val="0"/>
            <w:vAlign w:val="center"/>
          </w:tcPr>
          <w:p w14:paraId="05B2DF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106C9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45B1541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0B7F1ED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锌</w:t>
            </w:r>
          </w:p>
        </w:tc>
        <w:tc>
          <w:tcPr>
            <w:tcW w:w="784" w:type="pct"/>
            <w:noWrap w:val="0"/>
            <w:vAlign w:val="center"/>
          </w:tcPr>
          <w:p w14:paraId="689B767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84" w:type="pct"/>
            <w:noWrap w:val="0"/>
            <w:vAlign w:val="center"/>
          </w:tcPr>
          <w:p w14:paraId="19BCB7D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89" w:type="pct"/>
            <w:noWrap w:val="0"/>
            <w:vAlign w:val="center"/>
          </w:tcPr>
          <w:p w14:paraId="46CE283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39" w:type="pct"/>
            <w:noWrap w:val="0"/>
            <w:vAlign w:val="center"/>
          </w:tcPr>
          <w:p w14:paraId="5DE408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38592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F547C2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790AE1B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氟化物</w:t>
            </w:r>
          </w:p>
        </w:tc>
        <w:tc>
          <w:tcPr>
            <w:tcW w:w="784" w:type="pct"/>
            <w:noWrap w:val="0"/>
            <w:vAlign w:val="center"/>
          </w:tcPr>
          <w:p w14:paraId="3EFCACD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 xml:space="preserve">0.39 </w:t>
            </w:r>
          </w:p>
        </w:tc>
        <w:tc>
          <w:tcPr>
            <w:tcW w:w="784" w:type="pct"/>
            <w:noWrap w:val="0"/>
            <w:vAlign w:val="center"/>
          </w:tcPr>
          <w:p w14:paraId="6F76879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0.35</w:t>
            </w:r>
          </w:p>
        </w:tc>
        <w:tc>
          <w:tcPr>
            <w:tcW w:w="789" w:type="pct"/>
            <w:noWrap w:val="0"/>
            <w:vAlign w:val="center"/>
          </w:tcPr>
          <w:p w14:paraId="4995F55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0.34</w:t>
            </w:r>
          </w:p>
        </w:tc>
        <w:tc>
          <w:tcPr>
            <w:tcW w:w="739" w:type="pct"/>
            <w:noWrap w:val="0"/>
            <w:vAlign w:val="center"/>
          </w:tcPr>
          <w:p w14:paraId="4A1B85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1B92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272C066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0870F82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硒</w:t>
            </w:r>
          </w:p>
        </w:tc>
        <w:tc>
          <w:tcPr>
            <w:tcW w:w="784" w:type="pct"/>
            <w:noWrap w:val="0"/>
            <w:vAlign w:val="center"/>
          </w:tcPr>
          <w:p w14:paraId="3711B4B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784" w:type="pct"/>
            <w:noWrap w:val="0"/>
            <w:vAlign w:val="center"/>
          </w:tcPr>
          <w:p w14:paraId="317F16B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789" w:type="pct"/>
            <w:noWrap w:val="0"/>
            <w:vAlign w:val="center"/>
          </w:tcPr>
          <w:p w14:paraId="7875D10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739" w:type="pct"/>
            <w:noWrap w:val="0"/>
            <w:vAlign w:val="center"/>
          </w:tcPr>
          <w:p w14:paraId="69B4DC9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56B9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202EDB2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113CC7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砷</w:t>
            </w:r>
          </w:p>
        </w:tc>
        <w:tc>
          <w:tcPr>
            <w:tcW w:w="784" w:type="pct"/>
            <w:noWrap w:val="0"/>
            <w:vAlign w:val="center"/>
          </w:tcPr>
          <w:p w14:paraId="230CC32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84" w:type="pct"/>
            <w:noWrap w:val="0"/>
            <w:vAlign w:val="center"/>
          </w:tcPr>
          <w:p w14:paraId="57B5B27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89" w:type="pct"/>
            <w:noWrap w:val="0"/>
            <w:vAlign w:val="center"/>
          </w:tcPr>
          <w:p w14:paraId="2D45C39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39" w:type="pct"/>
            <w:noWrap w:val="0"/>
            <w:vAlign w:val="center"/>
          </w:tcPr>
          <w:p w14:paraId="031AAF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F3CDC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959BE3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647D984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汞</w:t>
            </w:r>
          </w:p>
        </w:tc>
        <w:tc>
          <w:tcPr>
            <w:tcW w:w="784" w:type="pct"/>
            <w:noWrap w:val="0"/>
            <w:vAlign w:val="center"/>
          </w:tcPr>
          <w:p w14:paraId="7A2B86E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0.00004L</w:t>
            </w:r>
          </w:p>
        </w:tc>
        <w:tc>
          <w:tcPr>
            <w:tcW w:w="784" w:type="pct"/>
            <w:noWrap w:val="0"/>
            <w:vAlign w:val="center"/>
          </w:tcPr>
          <w:p w14:paraId="3C386A3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0.00004L</w:t>
            </w:r>
          </w:p>
        </w:tc>
        <w:tc>
          <w:tcPr>
            <w:tcW w:w="789" w:type="pct"/>
            <w:noWrap w:val="0"/>
            <w:vAlign w:val="center"/>
          </w:tcPr>
          <w:p w14:paraId="634EE65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0.00004L</w:t>
            </w:r>
          </w:p>
        </w:tc>
        <w:tc>
          <w:tcPr>
            <w:tcW w:w="739" w:type="pct"/>
            <w:noWrap w:val="0"/>
            <w:vAlign w:val="center"/>
          </w:tcPr>
          <w:p w14:paraId="2F9F6F2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BBAD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34B4C08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49A7781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镉</w:t>
            </w:r>
          </w:p>
        </w:tc>
        <w:tc>
          <w:tcPr>
            <w:tcW w:w="784" w:type="pct"/>
            <w:noWrap w:val="0"/>
            <w:vAlign w:val="center"/>
          </w:tcPr>
          <w:p w14:paraId="1A77BB7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0.001L</w:t>
            </w:r>
          </w:p>
        </w:tc>
        <w:tc>
          <w:tcPr>
            <w:tcW w:w="784" w:type="pct"/>
            <w:noWrap w:val="0"/>
            <w:vAlign w:val="center"/>
          </w:tcPr>
          <w:p w14:paraId="48FE7B2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0.001L</w:t>
            </w:r>
          </w:p>
        </w:tc>
        <w:tc>
          <w:tcPr>
            <w:tcW w:w="789" w:type="pct"/>
            <w:noWrap w:val="0"/>
            <w:vAlign w:val="center"/>
          </w:tcPr>
          <w:p w14:paraId="5A68BB4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0.001L</w:t>
            </w:r>
          </w:p>
        </w:tc>
        <w:tc>
          <w:tcPr>
            <w:tcW w:w="739" w:type="pct"/>
            <w:noWrap w:val="0"/>
            <w:vAlign w:val="center"/>
          </w:tcPr>
          <w:p w14:paraId="7E5F5D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D0CC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8FE34D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6B837E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六价铬</w:t>
            </w:r>
          </w:p>
        </w:tc>
        <w:tc>
          <w:tcPr>
            <w:tcW w:w="784" w:type="pct"/>
            <w:noWrap w:val="0"/>
            <w:vAlign w:val="center"/>
          </w:tcPr>
          <w:p w14:paraId="4F05786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84" w:type="pct"/>
            <w:noWrap w:val="0"/>
            <w:vAlign w:val="center"/>
          </w:tcPr>
          <w:p w14:paraId="66B4DA6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89" w:type="pct"/>
            <w:noWrap w:val="0"/>
            <w:vAlign w:val="center"/>
          </w:tcPr>
          <w:p w14:paraId="5B3B5A2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39" w:type="pct"/>
            <w:noWrap w:val="0"/>
            <w:vAlign w:val="center"/>
          </w:tcPr>
          <w:p w14:paraId="23B48F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1B2E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CFC7033">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6B8D46EE">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氰化物</w:t>
            </w:r>
          </w:p>
        </w:tc>
        <w:tc>
          <w:tcPr>
            <w:tcW w:w="784" w:type="pct"/>
            <w:noWrap w:val="0"/>
            <w:vAlign w:val="center"/>
          </w:tcPr>
          <w:p w14:paraId="624397A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84" w:type="pct"/>
            <w:noWrap w:val="0"/>
            <w:vAlign w:val="center"/>
          </w:tcPr>
          <w:p w14:paraId="7EFF087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89" w:type="pct"/>
            <w:noWrap w:val="0"/>
            <w:vAlign w:val="center"/>
          </w:tcPr>
          <w:p w14:paraId="1BB475D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39" w:type="pct"/>
            <w:noWrap w:val="0"/>
            <w:vAlign w:val="center"/>
          </w:tcPr>
          <w:p w14:paraId="382F676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AB6F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7384606">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1F3E4CF3">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挥发酚</w:t>
            </w:r>
          </w:p>
        </w:tc>
        <w:tc>
          <w:tcPr>
            <w:tcW w:w="784" w:type="pct"/>
            <w:noWrap w:val="0"/>
            <w:vAlign w:val="center"/>
          </w:tcPr>
          <w:p w14:paraId="5DA5361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84" w:type="pct"/>
            <w:noWrap w:val="0"/>
            <w:vAlign w:val="center"/>
          </w:tcPr>
          <w:p w14:paraId="61A69BD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89" w:type="pct"/>
            <w:noWrap w:val="0"/>
            <w:vAlign w:val="center"/>
          </w:tcPr>
          <w:p w14:paraId="3408BAE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39" w:type="pct"/>
            <w:noWrap w:val="0"/>
            <w:vAlign w:val="center"/>
          </w:tcPr>
          <w:p w14:paraId="1B052B8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DD8E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7AEFB22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4B5FC57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阴离子表</w:t>
            </w:r>
          </w:p>
          <w:p w14:paraId="1D5C98F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面活性剂</w:t>
            </w:r>
          </w:p>
        </w:tc>
        <w:tc>
          <w:tcPr>
            <w:tcW w:w="784" w:type="pct"/>
            <w:noWrap w:val="0"/>
            <w:vAlign w:val="center"/>
          </w:tcPr>
          <w:p w14:paraId="717949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784" w:type="pct"/>
            <w:noWrap w:val="0"/>
            <w:vAlign w:val="center"/>
          </w:tcPr>
          <w:p w14:paraId="522B0D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789" w:type="pct"/>
            <w:noWrap w:val="0"/>
            <w:vAlign w:val="center"/>
          </w:tcPr>
          <w:p w14:paraId="6BE45F9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739" w:type="pct"/>
            <w:noWrap w:val="0"/>
            <w:vAlign w:val="center"/>
          </w:tcPr>
          <w:p w14:paraId="253EFB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325BE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A19C05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34CEA9C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硫化物</w:t>
            </w:r>
          </w:p>
        </w:tc>
        <w:tc>
          <w:tcPr>
            <w:tcW w:w="784" w:type="pct"/>
            <w:noWrap w:val="0"/>
            <w:vAlign w:val="center"/>
          </w:tcPr>
          <w:p w14:paraId="5263BA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784" w:type="pct"/>
            <w:noWrap w:val="0"/>
            <w:vAlign w:val="center"/>
          </w:tcPr>
          <w:p w14:paraId="482601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789" w:type="pct"/>
            <w:noWrap w:val="0"/>
            <w:vAlign w:val="center"/>
          </w:tcPr>
          <w:p w14:paraId="0D85DC7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739" w:type="pct"/>
            <w:noWrap w:val="0"/>
            <w:vAlign w:val="center"/>
          </w:tcPr>
          <w:p w14:paraId="0786316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BECC9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B34D7C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22BCBD7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粪大肠菌群</w:t>
            </w:r>
          </w:p>
        </w:tc>
        <w:tc>
          <w:tcPr>
            <w:tcW w:w="784" w:type="pct"/>
            <w:noWrap w:val="0"/>
            <w:vAlign w:val="center"/>
          </w:tcPr>
          <w:p w14:paraId="03D82D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3.8</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784" w:type="pct"/>
            <w:noWrap w:val="0"/>
            <w:vAlign w:val="center"/>
          </w:tcPr>
          <w:p w14:paraId="79B564D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3.2</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789" w:type="pct"/>
            <w:noWrap w:val="0"/>
            <w:vAlign w:val="center"/>
          </w:tcPr>
          <w:p w14:paraId="30D1C92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2.9</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739" w:type="pct"/>
            <w:noWrap w:val="0"/>
            <w:vAlign w:val="center"/>
          </w:tcPr>
          <w:p w14:paraId="193FDE7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spacing w:val="-11"/>
                <w:kern w:val="0"/>
                <w:sz w:val="21"/>
                <w:szCs w:val="21"/>
                <w:highlight w:val="none"/>
                <w:u w:val="none"/>
                <w:lang w:val="en-US" w:eastAsia="zh-CN" w:bidi="ar"/>
                <w14:textFill>
                  <w14:solidFill>
                    <w14:schemeClr w14:val="tx1"/>
                  </w14:solidFill>
                </w14:textFill>
              </w:rPr>
              <w:t>MPN</w:t>
            </w: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/L</w:t>
            </w:r>
          </w:p>
        </w:tc>
      </w:tr>
      <w:tr w14:paraId="212CF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restart"/>
            <w:noWrap w:val="0"/>
            <w:vAlign w:val="center"/>
          </w:tcPr>
          <w:p w14:paraId="5887D74E">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2#</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水库下游1000m处</w:t>
            </w:r>
          </w:p>
        </w:tc>
        <w:tc>
          <w:tcPr>
            <w:tcW w:w="953" w:type="pct"/>
            <w:noWrap w:val="0"/>
            <w:vAlign w:val="center"/>
          </w:tcPr>
          <w:p w14:paraId="1B80207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透明度</w:t>
            </w:r>
          </w:p>
        </w:tc>
        <w:tc>
          <w:tcPr>
            <w:tcW w:w="784" w:type="pct"/>
            <w:noWrap w:val="0"/>
            <w:vAlign w:val="center"/>
          </w:tcPr>
          <w:p w14:paraId="686C4E1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85</w:t>
            </w:r>
          </w:p>
        </w:tc>
        <w:tc>
          <w:tcPr>
            <w:tcW w:w="784" w:type="pct"/>
            <w:noWrap w:val="0"/>
            <w:vAlign w:val="center"/>
          </w:tcPr>
          <w:p w14:paraId="157F86A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82</w:t>
            </w:r>
          </w:p>
        </w:tc>
        <w:tc>
          <w:tcPr>
            <w:tcW w:w="789" w:type="pct"/>
            <w:noWrap w:val="0"/>
            <w:vAlign w:val="center"/>
          </w:tcPr>
          <w:p w14:paraId="0897AF8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8</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w:t>
            </w:r>
          </w:p>
        </w:tc>
        <w:tc>
          <w:tcPr>
            <w:tcW w:w="739" w:type="pct"/>
            <w:noWrap w:val="0"/>
            <w:vAlign w:val="center"/>
          </w:tcPr>
          <w:p w14:paraId="174CC5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spacing w:val="-11"/>
                <w:kern w:val="0"/>
                <w:sz w:val="21"/>
                <w:szCs w:val="21"/>
                <w:u w:val="none"/>
                <w:lang w:val="en-US" w:eastAsia="zh-CN" w:bidi="ar"/>
                <w14:textFill>
                  <w14:solidFill>
                    <w14:schemeClr w14:val="tx1"/>
                  </w14:solidFill>
                </w14:textFill>
              </w:rPr>
              <w:t>cm</w:t>
            </w:r>
          </w:p>
        </w:tc>
      </w:tr>
      <w:tr w14:paraId="551A8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29D1DF50">
            <w:pPr>
              <w:keepNext w:val="0"/>
              <w:keepLines w:val="0"/>
              <w:pageBreakBefore w:val="0"/>
              <w:shd w:val="clear" w:color="auto" w:fill="auto"/>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4354B960">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pH</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值</w:t>
            </w:r>
          </w:p>
        </w:tc>
        <w:tc>
          <w:tcPr>
            <w:tcW w:w="784" w:type="pct"/>
            <w:noWrap w:val="0"/>
            <w:vAlign w:val="center"/>
          </w:tcPr>
          <w:p w14:paraId="308AF09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7.2</w:t>
            </w:r>
          </w:p>
        </w:tc>
        <w:tc>
          <w:tcPr>
            <w:tcW w:w="784" w:type="pct"/>
            <w:noWrap w:val="0"/>
            <w:vAlign w:val="center"/>
          </w:tcPr>
          <w:p w14:paraId="62384EF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7.0</w:t>
            </w:r>
          </w:p>
        </w:tc>
        <w:tc>
          <w:tcPr>
            <w:tcW w:w="789" w:type="pct"/>
            <w:noWrap w:val="0"/>
            <w:vAlign w:val="center"/>
          </w:tcPr>
          <w:p w14:paraId="20150EE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7.3</w:t>
            </w:r>
          </w:p>
        </w:tc>
        <w:tc>
          <w:tcPr>
            <w:tcW w:w="739" w:type="pct"/>
            <w:noWrap w:val="0"/>
            <w:vAlign w:val="center"/>
          </w:tcPr>
          <w:p w14:paraId="7B7723E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无量纲</w:t>
            </w:r>
          </w:p>
        </w:tc>
      </w:tr>
      <w:tr w14:paraId="35EE7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0D205F8E">
            <w:pPr>
              <w:keepNext w:val="0"/>
              <w:keepLines w:val="0"/>
              <w:pageBreakBefore w:val="0"/>
              <w:shd w:val="clear" w:color="auto" w:fill="auto"/>
              <w:kinsoku/>
              <w:wordWrap/>
              <w:overflowPunct/>
              <w:topLinePunct w:val="0"/>
              <w:autoSpaceDE/>
              <w:autoSpaceDN/>
              <w:bidi w:val="0"/>
              <w:adjustRightInd/>
              <w:snapToGrid/>
              <w:spacing w:line="240" w:lineRule="auto"/>
              <w:ind w:left="0" w:leftChars="0" w:right="0" w:rightChars="0" w:firstLine="0" w:firstLineChars="0"/>
              <w:jc w:val="center"/>
              <w:textAlignment w:val="auto"/>
              <w:outlineLvl w:val="9"/>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939EABF">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悬浮物</w:t>
            </w:r>
          </w:p>
        </w:tc>
        <w:tc>
          <w:tcPr>
            <w:tcW w:w="784" w:type="pct"/>
            <w:noWrap w:val="0"/>
            <w:vAlign w:val="center"/>
          </w:tcPr>
          <w:p w14:paraId="2ECBB06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w:t>
            </w:r>
          </w:p>
        </w:tc>
        <w:tc>
          <w:tcPr>
            <w:tcW w:w="784" w:type="pct"/>
            <w:noWrap w:val="0"/>
            <w:vAlign w:val="center"/>
          </w:tcPr>
          <w:p w14:paraId="4199AAE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6</w:t>
            </w:r>
          </w:p>
        </w:tc>
        <w:tc>
          <w:tcPr>
            <w:tcW w:w="789" w:type="pct"/>
            <w:noWrap w:val="0"/>
            <w:vAlign w:val="center"/>
          </w:tcPr>
          <w:p w14:paraId="31E7C11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7</w:t>
            </w:r>
          </w:p>
        </w:tc>
        <w:tc>
          <w:tcPr>
            <w:tcW w:w="739" w:type="pct"/>
            <w:noWrap w:val="0"/>
            <w:vAlign w:val="center"/>
          </w:tcPr>
          <w:p w14:paraId="0FF15D8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2668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24FF9D9C">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3443E334">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高锰酸盐指数</w:t>
            </w:r>
          </w:p>
        </w:tc>
        <w:tc>
          <w:tcPr>
            <w:tcW w:w="784" w:type="pct"/>
            <w:noWrap w:val="0"/>
            <w:vAlign w:val="center"/>
          </w:tcPr>
          <w:p w14:paraId="7E6A1B7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5.4</w:t>
            </w:r>
          </w:p>
        </w:tc>
        <w:tc>
          <w:tcPr>
            <w:tcW w:w="784" w:type="pct"/>
            <w:noWrap w:val="0"/>
            <w:vAlign w:val="center"/>
          </w:tcPr>
          <w:p w14:paraId="1F8F417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5.1</w:t>
            </w:r>
          </w:p>
        </w:tc>
        <w:tc>
          <w:tcPr>
            <w:tcW w:w="789" w:type="pct"/>
            <w:noWrap w:val="0"/>
            <w:vAlign w:val="center"/>
          </w:tcPr>
          <w:p w14:paraId="3D2011C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5.0</w:t>
            </w:r>
          </w:p>
        </w:tc>
        <w:tc>
          <w:tcPr>
            <w:tcW w:w="739" w:type="pct"/>
            <w:noWrap w:val="0"/>
            <w:vAlign w:val="center"/>
          </w:tcPr>
          <w:p w14:paraId="23F9824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01AC3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0F39C59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AA138B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化学需氧量</w:t>
            </w:r>
          </w:p>
        </w:tc>
        <w:tc>
          <w:tcPr>
            <w:tcW w:w="784" w:type="pct"/>
            <w:noWrap w:val="0"/>
            <w:vAlign w:val="center"/>
          </w:tcPr>
          <w:p w14:paraId="2A49E1E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16</w:t>
            </w:r>
          </w:p>
        </w:tc>
        <w:tc>
          <w:tcPr>
            <w:tcW w:w="784" w:type="pct"/>
            <w:noWrap w:val="0"/>
            <w:vAlign w:val="center"/>
          </w:tcPr>
          <w:p w14:paraId="7493964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14</w:t>
            </w:r>
          </w:p>
        </w:tc>
        <w:tc>
          <w:tcPr>
            <w:tcW w:w="789" w:type="pct"/>
            <w:noWrap w:val="0"/>
            <w:vAlign w:val="center"/>
          </w:tcPr>
          <w:p w14:paraId="616A664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13</w:t>
            </w:r>
          </w:p>
        </w:tc>
        <w:tc>
          <w:tcPr>
            <w:tcW w:w="739" w:type="pct"/>
            <w:noWrap w:val="0"/>
            <w:vAlign w:val="center"/>
          </w:tcPr>
          <w:p w14:paraId="641FAF0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EA1AC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EBFA6A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31E5794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生化需氧量</w:t>
            </w:r>
          </w:p>
        </w:tc>
        <w:tc>
          <w:tcPr>
            <w:tcW w:w="784" w:type="pct"/>
            <w:noWrap w:val="0"/>
            <w:vAlign w:val="center"/>
          </w:tcPr>
          <w:p w14:paraId="1547943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3.4</w:t>
            </w:r>
          </w:p>
        </w:tc>
        <w:tc>
          <w:tcPr>
            <w:tcW w:w="784" w:type="pct"/>
            <w:noWrap w:val="0"/>
            <w:vAlign w:val="center"/>
          </w:tcPr>
          <w:p w14:paraId="23D765D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2.9</w:t>
            </w:r>
          </w:p>
        </w:tc>
        <w:tc>
          <w:tcPr>
            <w:tcW w:w="789" w:type="pct"/>
            <w:noWrap w:val="0"/>
            <w:vAlign w:val="center"/>
          </w:tcPr>
          <w:p w14:paraId="4A0FB2A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2.8</w:t>
            </w:r>
          </w:p>
        </w:tc>
        <w:tc>
          <w:tcPr>
            <w:tcW w:w="739" w:type="pct"/>
            <w:noWrap w:val="0"/>
            <w:vAlign w:val="center"/>
          </w:tcPr>
          <w:p w14:paraId="014A3AF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4FA4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0A3B0C8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31858C0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氨氮</w:t>
            </w:r>
          </w:p>
        </w:tc>
        <w:tc>
          <w:tcPr>
            <w:tcW w:w="784" w:type="pct"/>
            <w:noWrap w:val="0"/>
            <w:vAlign w:val="center"/>
          </w:tcPr>
          <w:p w14:paraId="29887C1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0.504</w:t>
            </w:r>
          </w:p>
        </w:tc>
        <w:tc>
          <w:tcPr>
            <w:tcW w:w="784" w:type="pct"/>
            <w:noWrap w:val="0"/>
            <w:vAlign w:val="center"/>
          </w:tcPr>
          <w:p w14:paraId="26DEF37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0.495</w:t>
            </w:r>
          </w:p>
        </w:tc>
        <w:tc>
          <w:tcPr>
            <w:tcW w:w="789" w:type="pct"/>
            <w:noWrap w:val="0"/>
            <w:vAlign w:val="center"/>
          </w:tcPr>
          <w:p w14:paraId="02A48AF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0.473</w:t>
            </w:r>
          </w:p>
        </w:tc>
        <w:tc>
          <w:tcPr>
            <w:tcW w:w="739" w:type="pct"/>
            <w:noWrap w:val="0"/>
            <w:vAlign w:val="center"/>
          </w:tcPr>
          <w:p w14:paraId="76C878E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46EE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4CD93DD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18C377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总磷</w:t>
            </w:r>
          </w:p>
        </w:tc>
        <w:tc>
          <w:tcPr>
            <w:tcW w:w="784" w:type="pct"/>
            <w:noWrap w:val="0"/>
            <w:vAlign w:val="center"/>
          </w:tcPr>
          <w:p w14:paraId="49C1C8F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 xml:space="preserve">0.10 </w:t>
            </w:r>
          </w:p>
        </w:tc>
        <w:tc>
          <w:tcPr>
            <w:tcW w:w="784" w:type="pct"/>
            <w:noWrap w:val="0"/>
            <w:vAlign w:val="center"/>
          </w:tcPr>
          <w:p w14:paraId="3A40508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0.07</w:t>
            </w:r>
          </w:p>
        </w:tc>
        <w:tc>
          <w:tcPr>
            <w:tcW w:w="789" w:type="pct"/>
            <w:noWrap w:val="0"/>
            <w:vAlign w:val="center"/>
          </w:tcPr>
          <w:p w14:paraId="4BE8C45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w:t>
            </w:r>
          </w:p>
        </w:tc>
        <w:tc>
          <w:tcPr>
            <w:tcW w:w="739" w:type="pct"/>
            <w:noWrap w:val="0"/>
            <w:vAlign w:val="center"/>
          </w:tcPr>
          <w:p w14:paraId="62611B0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50D3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49A60C4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0A4C37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总氮</w:t>
            </w:r>
          </w:p>
        </w:tc>
        <w:tc>
          <w:tcPr>
            <w:tcW w:w="784" w:type="pct"/>
            <w:noWrap w:val="0"/>
            <w:vAlign w:val="center"/>
          </w:tcPr>
          <w:p w14:paraId="5FCA8D0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1.54</w:t>
            </w:r>
          </w:p>
        </w:tc>
        <w:tc>
          <w:tcPr>
            <w:tcW w:w="784" w:type="pct"/>
            <w:noWrap w:val="0"/>
            <w:vAlign w:val="center"/>
          </w:tcPr>
          <w:p w14:paraId="61A57A1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1.38</w:t>
            </w:r>
          </w:p>
        </w:tc>
        <w:tc>
          <w:tcPr>
            <w:tcW w:w="789" w:type="pct"/>
            <w:noWrap w:val="0"/>
            <w:vAlign w:val="center"/>
          </w:tcPr>
          <w:p w14:paraId="45C1325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1.29</w:t>
            </w:r>
          </w:p>
        </w:tc>
        <w:tc>
          <w:tcPr>
            <w:tcW w:w="739" w:type="pct"/>
            <w:noWrap w:val="0"/>
            <w:vAlign w:val="center"/>
          </w:tcPr>
          <w:p w14:paraId="7EDAFA1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339D2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E30CE3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404EF74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石油类</w:t>
            </w:r>
          </w:p>
        </w:tc>
        <w:tc>
          <w:tcPr>
            <w:tcW w:w="784" w:type="pct"/>
            <w:noWrap w:val="0"/>
            <w:vAlign w:val="center"/>
          </w:tcPr>
          <w:p w14:paraId="4D64EC2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784" w:type="pct"/>
            <w:noWrap w:val="0"/>
            <w:vAlign w:val="center"/>
          </w:tcPr>
          <w:p w14:paraId="190969A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789" w:type="pct"/>
            <w:noWrap w:val="0"/>
            <w:vAlign w:val="center"/>
          </w:tcPr>
          <w:p w14:paraId="3A3539F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0.01L</w:t>
            </w:r>
          </w:p>
        </w:tc>
        <w:tc>
          <w:tcPr>
            <w:tcW w:w="739" w:type="pct"/>
            <w:noWrap w:val="0"/>
            <w:vAlign w:val="center"/>
          </w:tcPr>
          <w:p w14:paraId="6BF5AF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9579D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4619317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1D3A202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叶绿素a</w:t>
            </w:r>
          </w:p>
        </w:tc>
        <w:tc>
          <w:tcPr>
            <w:tcW w:w="784" w:type="pct"/>
            <w:noWrap w:val="0"/>
            <w:vAlign w:val="center"/>
          </w:tcPr>
          <w:p w14:paraId="1288E52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784" w:type="pct"/>
            <w:noWrap w:val="0"/>
            <w:vAlign w:val="center"/>
          </w:tcPr>
          <w:p w14:paraId="6783BC9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789" w:type="pct"/>
            <w:noWrap w:val="0"/>
            <w:vAlign w:val="center"/>
          </w:tcPr>
          <w:p w14:paraId="0F258FB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0.002L</w:t>
            </w:r>
          </w:p>
        </w:tc>
        <w:tc>
          <w:tcPr>
            <w:tcW w:w="739" w:type="pct"/>
            <w:noWrap w:val="0"/>
            <w:vAlign w:val="center"/>
          </w:tcPr>
          <w:p w14:paraId="3BC4760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56638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163681F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0AB888C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铜</w:t>
            </w:r>
          </w:p>
        </w:tc>
        <w:tc>
          <w:tcPr>
            <w:tcW w:w="784" w:type="pct"/>
            <w:noWrap w:val="0"/>
            <w:vAlign w:val="center"/>
          </w:tcPr>
          <w:p w14:paraId="4B27D6D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84" w:type="pct"/>
            <w:noWrap w:val="0"/>
            <w:vAlign w:val="center"/>
          </w:tcPr>
          <w:p w14:paraId="3B770D3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89" w:type="pct"/>
            <w:noWrap w:val="0"/>
            <w:vAlign w:val="center"/>
          </w:tcPr>
          <w:p w14:paraId="77D3F1C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39" w:type="pct"/>
            <w:noWrap w:val="0"/>
            <w:vAlign w:val="center"/>
          </w:tcPr>
          <w:p w14:paraId="65E6BC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17431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BF8DE9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5A7D01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锌</w:t>
            </w:r>
          </w:p>
        </w:tc>
        <w:tc>
          <w:tcPr>
            <w:tcW w:w="784" w:type="pct"/>
            <w:noWrap w:val="0"/>
            <w:vAlign w:val="center"/>
          </w:tcPr>
          <w:p w14:paraId="3F345F0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84" w:type="pct"/>
            <w:noWrap w:val="0"/>
            <w:vAlign w:val="center"/>
          </w:tcPr>
          <w:p w14:paraId="2A8F02A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89" w:type="pct"/>
            <w:noWrap w:val="0"/>
            <w:vAlign w:val="center"/>
          </w:tcPr>
          <w:p w14:paraId="0DA2188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0.05L</w:t>
            </w:r>
          </w:p>
        </w:tc>
        <w:tc>
          <w:tcPr>
            <w:tcW w:w="739" w:type="pct"/>
            <w:noWrap w:val="0"/>
            <w:vAlign w:val="center"/>
          </w:tcPr>
          <w:p w14:paraId="7AD02E7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5296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84D4A0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BA8934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氟化物</w:t>
            </w:r>
          </w:p>
        </w:tc>
        <w:tc>
          <w:tcPr>
            <w:tcW w:w="784" w:type="pct"/>
            <w:noWrap w:val="0"/>
            <w:vAlign w:val="center"/>
          </w:tcPr>
          <w:p w14:paraId="05300DF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 xml:space="preserve">0.38 </w:t>
            </w:r>
          </w:p>
        </w:tc>
        <w:tc>
          <w:tcPr>
            <w:tcW w:w="784" w:type="pct"/>
            <w:noWrap w:val="0"/>
            <w:vAlign w:val="center"/>
          </w:tcPr>
          <w:p w14:paraId="48708B4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0.37</w:t>
            </w:r>
          </w:p>
        </w:tc>
        <w:tc>
          <w:tcPr>
            <w:tcW w:w="789" w:type="pct"/>
            <w:noWrap w:val="0"/>
            <w:vAlign w:val="center"/>
          </w:tcPr>
          <w:p w14:paraId="13E9A9F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0.33</w:t>
            </w:r>
          </w:p>
        </w:tc>
        <w:tc>
          <w:tcPr>
            <w:tcW w:w="739" w:type="pct"/>
            <w:noWrap w:val="0"/>
            <w:vAlign w:val="center"/>
          </w:tcPr>
          <w:p w14:paraId="2F7369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05AC2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4784619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017DF9A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硒</w:t>
            </w:r>
          </w:p>
        </w:tc>
        <w:tc>
          <w:tcPr>
            <w:tcW w:w="784" w:type="pct"/>
            <w:noWrap w:val="0"/>
            <w:vAlign w:val="center"/>
          </w:tcPr>
          <w:p w14:paraId="3284C1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784" w:type="pct"/>
            <w:noWrap w:val="0"/>
            <w:vAlign w:val="center"/>
          </w:tcPr>
          <w:p w14:paraId="6EA89E6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789" w:type="pct"/>
            <w:noWrap w:val="0"/>
            <w:vAlign w:val="center"/>
          </w:tcPr>
          <w:p w14:paraId="594ADA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color w:val="000000" w:themeColor="text1"/>
                <w:spacing w:val="0"/>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0.0004L</w:t>
            </w:r>
          </w:p>
        </w:tc>
        <w:tc>
          <w:tcPr>
            <w:tcW w:w="739" w:type="pct"/>
            <w:noWrap w:val="0"/>
            <w:vAlign w:val="center"/>
          </w:tcPr>
          <w:p w14:paraId="6340B9B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7F32F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596803C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6B44C5A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砷</w:t>
            </w:r>
          </w:p>
        </w:tc>
        <w:tc>
          <w:tcPr>
            <w:tcW w:w="784" w:type="pct"/>
            <w:noWrap w:val="0"/>
            <w:vAlign w:val="center"/>
          </w:tcPr>
          <w:p w14:paraId="00D3294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84" w:type="pct"/>
            <w:noWrap w:val="0"/>
            <w:vAlign w:val="center"/>
          </w:tcPr>
          <w:p w14:paraId="336BC1A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89" w:type="pct"/>
            <w:noWrap w:val="0"/>
            <w:vAlign w:val="center"/>
          </w:tcPr>
          <w:p w14:paraId="30A1AE5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39" w:type="pct"/>
            <w:noWrap w:val="0"/>
            <w:vAlign w:val="center"/>
          </w:tcPr>
          <w:p w14:paraId="49D42C5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97E1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8A57CB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466E4DB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汞</w:t>
            </w:r>
          </w:p>
        </w:tc>
        <w:tc>
          <w:tcPr>
            <w:tcW w:w="784" w:type="pct"/>
            <w:noWrap w:val="0"/>
            <w:vAlign w:val="center"/>
          </w:tcPr>
          <w:p w14:paraId="1BFF2FD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0.00004L</w:t>
            </w:r>
          </w:p>
        </w:tc>
        <w:tc>
          <w:tcPr>
            <w:tcW w:w="784" w:type="pct"/>
            <w:noWrap w:val="0"/>
            <w:vAlign w:val="center"/>
          </w:tcPr>
          <w:p w14:paraId="1FD45E3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0.00004L</w:t>
            </w:r>
          </w:p>
        </w:tc>
        <w:tc>
          <w:tcPr>
            <w:tcW w:w="789" w:type="pct"/>
            <w:noWrap w:val="0"/>
            <w:vAlign w:val="center"/>
          </w:tcPr>
          <w:p w14:paraId="72AC7B3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0.00004L</w:t>
            </w:r>
          </w:p>
        </w:tc>
        <w:tc>
          <w:tcPr>
            <w:tcW w:w="739" w:type="pct"/>
            <w:noWrap w:val="0"/>
            <w:vAlign w:val="center"/>
          </w:tcPr>
          <w:p w14:paraId="5FD5A28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0F98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2625D3C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6D32E67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镉</w:t>
            </w:r>
          </w:p>
        </w:tc>
        <w:tc>
          <w:tcPr>
            <w:tcW w:w="784" w:type="pct"/>
            <w:noWrap w:val="0"/>
            <w:vAlign w:val="center"/>
          </w:tcPr>
          <w:p w14:paraId="4310B36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0.001L</w:t>
            </w:r>
          </w:p>
        </w:tc>
        <w:tc>
          <w:tcPr>
            <w:tcW w:w="784" w:type="pct"/>
            <w:noWrap w:val="0"/>
            <w:vAlign w:val="center"/>
          </w:tcPr>
          <w:p w14:paraId="28FF29E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0.001L</w:t>
            </w:r>
          </w:p>
        </w:tc>
        <w:tc>
          <w:tcPr>
            <w:tcW w:w="789" w:type="pct"/>
            <w:noWrap w:val="0"/>
            <w:vAlign w:val="center"/>
          </w:tcPr>
          <w:p w14:paraId="1BA3071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0.001L</w:t>
            </w:r>
          </w:p>
        </w:tc>
        <w:tc>
          <w:tcPr>
            <w:tcW w:w="739" w:type="pct"/>
            <w:noWrap w:val="0"/>
            <w:vAlign w:val="center"/>
          </w:tcPr>
          <w:p w14:paraId="5F6952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4A7F5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CF6AD7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24EAFC7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六价铬</w:t>
            </w:r>
          </w:p>
        </w:tc>
        <w:tc>
          <w:tcPr>
            <w:tcW w:w="784" w:type="pct"/>
            <w:noWrap w:val="0"/>
            <w:vAlign w:val="center"/>
          </w:tcPr>
          <w:p w14:paraId="0CFA16D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84" w:type="pct"/>
            <w:noWrap w:val="0"/>
            <w:vAlign w:val="center"/>
          </w:tcPr>
          <w:p w14:paraId="0C03816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89" w:type="pct"/>
            <w:noWrap w:val="0"/>
            <w:vAlign w:val="center"/>
          </w:tcPr>
          <w:p w14:paraId="08B6683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39" w:type="pct"/>
            <w:noWrap w:val="0"/>
            <w:vAlign w:val="center"/>
          </w:tcPr>
          <w:p w14:paraId="077D3D6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548CF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41544790">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1EDE45C0">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氰化物</w:t>
            </w:r>
          </w:p>
        </w:tc>
        <w:tc>
          <w:tcPr>
            <w:tcW w:w="784" w:type="pct"/>
            <w:noWrap w:val="0"/>
            <w:vAlign w:val="center"/>
          </w:tcPr>
          <w:p w14:paraId="46D7D8D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84" w:type="pct"/>
            <w:noWrap w:val="0"/>
            <w:vAlign w:val="center"/>
          </w:tcPr>
          <w:p w14:paraId="3E2C532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89" w:type="pct"/>
            <w:noWrap w:val="0"/>
            <w:vAlign w:val="center"/>
          </w:tcPr>
          <w:p w14:paraId="46429F7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0.004L</w:t>
            </w:r>
          </w:p>
        </w:tc>
        <w:tc>
          <w:tcPr>
            <w:tcW w:w="739" w:type="pct"/>
            <w:noWrap w:val="0"/>
            <w:vAlign w:val="center"/>
          </w:tcPr>
          <w:p w14:paraId="022DDB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E1B7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1CF3B97">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5101D6DB">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挥发酚</w:t>
            </w:r>
          </w:p>
        </w:tc>
        <w:tc>
          <w:tcPr>
            <w:tcW w:w="784" w:type="pct"/>
            <w:noWrap w:val="0"/>
            <w:vAlign w:val="center"/>
          </w:tcPr>
          <w:p w14:paraId="1B4E66E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84" w:type="pct"/>
            <w:noWrap w:val="0"/>
            <w:vAlign w:val="center"/>
          </w:tcPr>
          <w:p w14:paraId="19F4BCA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89" w:type="pct"/>
            <w:noWrap w:val="0"/>
            <w:vAlign w:val="center"/>
          </w:tcPr>
          <w:p w14:paraId="5F19CF9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0.0003L</w:t>
            </w:r>
          </w:p>
        </w:tc>
        <w:tc>
          <w:tcPr>
            <w:tcW w:w="739" w:type="pct"/>
            <w:noWrap w:val="0"/>
            <w:vAlign w:val="center"/>
          </w:tcPr>
          <w:p w14:paraId="04C8B79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6A6B0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1592EE3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2EEFBC4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阴离子表</w:t>
            </w:r>
          </w:p>
          <w:p w14:paraId="105087D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面活性剂</w:t>
            </w:r>
          </w:p>
        </w:tc>
        <w:tc>
          <w:tcPr>
            <w:tcW w:w="784" w:type="pct"/>
            <w:noWrap w:val="0"/>
            <w:vAlign w:val="center"/>
          </w:tcPr>
          <w:p w14:paraId="1D1563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784" w:type="pct"/>
            <w:noWrap w:val="0"/>
            <w:vAlign w:val="center"/>
          </w:tcPr>
          <w:p w14:paraId="129037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789" w:type="pct"/>
            <w:noWrap w:val="0"/>
            <w:vAlign w:val="center"/>
          </w:tcPr>
          <w:p w14:paraId="74B340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0.050L</w:t>
            </w:r>
          </w:p>
        </w:tc>
        <w:tc>
          <w:tcPr>
            <w:tcW w:w="739" w:type="pct"/>
            <w:noWrap w:val="0"/>
            <w:vAlign w:val="center"/>
          </w:tcPr>
          <w:p w14:paraId="1528441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2D540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48AB92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7C1130B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硫化物</w:t>
            </w:r>
          </w:p>
        </w:tc>
        <w:tc>
          <w:tcPr>
            <w:tcW w:w="784" w:type="pct"/>
            <w:noWrap w:val="0"/>
            <w:vAlign w:val="center"/>
          </w:tcPr>
          <w:p w14:paraId="38433D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784" w:type="pct"/>
            <w:noWrap w:val="0"/>
            <w:vAlign w:val="center"/>
          </w:tcPr>
          <w:p w14:paraId="76EC941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789" w:type="pct"/>
            <w:noWrap w:val="0"/>
            <w:vAlign w:val="center"/>
          </w:tcPr>
          <w:p w14:paraId="6DA656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iCs w:val="0"/>
                <w:color w:val="000000" w:themeColor="text1"/>
                <w:kern w:val="0"/>
                <w:sz w:val="21"/>
                <w:szCs w:val="21"/>
                <w:highlight w:val="none"/>
                <w:u w:val="none"/>
                <w:lang w:val="en-US" w:eastAsia="zh-CN" w:bidi="ar"/>
                <w14:textFill>
                  <w14:solidFill>
                    <w14:schemeClr w14:val="tx1"/>
                  </w14:solidFill>
                </w14:textFill>
              </w:rPr>
              <w:t>0.01</w:t>
            </w:r>
            <w: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L</w:t>
            </w:r>
          </w:p>
        </w:tc>
        <w:tc>
          <w:tcPr>
            <w:tcW w:w="739" w:type="pct"/>
            <w:noWrap w:val="0"/>
            <w:vAlign w:val="center"/>
          </w:tcPr>
          <w:p w14:paraId="59A0C3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mg/L</w:t>
            </w:r>
          </w:p>
        </w:tc>
      </w:tr>
      <w:tr w14:paraId="12E9A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49" w:type="pct"/>
            <w:vMerge w:val="continue"/>
            <w:noWrap w:val="0"/>
            <w:vAlign w:val="center"/>
          </w:tcPr>
          <w:p w14:paraId="6B5B47D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53" w:type="pct"/>
            <w:noWrap w:val="0"/>
            <w:vAlign w:val="center"/>
          </w:tcPr>
          <w:p w14:paraId="0AF663B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粪大肠菌群</w:t>
            </w:r>
          </w:p>
        </w:tc>
        <w:tc>
          <w:tcPr>
            <w:tcW w:w="784" w:type="pct"/>
            <w:noWrap w:val="0"/>
            <w:vAlign w:val="center"/>
          </w:tcPr>
          <w:p w14:paraId="4A2A9F9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3.1</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784" w:type="pct"/>
            <w:noWrap w:val="0"/>
            <w:vAlign w:val="center"/>
          </w:tcPr>
          <w:p w14:paraId="1CE9A1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2.8</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789" w:type="pct"/>
            <w:noWrap w:val="0"/>
            <w:vAlign w:val="center"/>
          </w:tcPr>
          <w:p w14:paraId="539367B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val="0"/>
                <w:i w:val="0"/>
                <w:iCs w:val="0"/>
                <w:color w:val="000000" w:themeColor="text1"/>
                <w:kern w:val="0"/>
                <w:sz w:val="21"/>
                <w:szCs w:val="21"/>
                <w:highlight w:val="none"/>
                <w:u w:val="none"/>
                <w:lang w:val="en-US" w:eastAsia="zh-CN" w:bidi="ar"/>
                <w14:textFill>
                  <w14:solidFill>
                    <w14:schemeClr w14:val="tx1"/>
                  </w14:solidFill>
                </w14:textFill>
              </w:rPr>
              <w:t>2.6</w:t>
            </w:r>
            <w:r>
              <w:rPr>
                <w:rFonts w:hint="default" w:ascii="Times New Roman" w:hAnsi="Times New Roman" w:eastAsia="宋体" w:cs="Times New Roman"/>
                <w:i w:val="0"/>
                <w:color w:val="000000" w:themeColor="text1"/>
                <w:kern w:val="0"/>
                <w:sz w:val="21"/>
                <w:szCs w:val="21"/>
                <w:u w:val="none"/>
                <w:lang w:val="en-US" w:eastAsia="zh-CN" w:bidi="ar"/>
                <w14:textFill>
                  <w14:solidFill>
                    <w14:schemeClr w14:val="tx1"/>
                  </w14:solidFill>
                </w14:textFill>
              </w:rPr>
              <w:t>×10</w:t>
            </w:r>
            <w:r>
              <w:rPr>
                <w:rFonts w:hint="eastAsia" w:ascii="Times New Roman" w:hAnsi="Times New Roman" w:eastAsia="宋体" w:cs="Times New Roman"/>
                <w:i w:val="0"/>
                <w:color w:val="000000" w:themeColor="text1"/>
                <w:kern w:val="0"/>
                <w:sz w:val="21"/>
                <w:szCs w:val="21"/>
                <w:u w:val="none"/>
                <w:vertAlign w:val="superscript"/>
                <w:lang w:val="en-US" w:eastAsia="zh-CN" w:bidi="ar"/>
                <w14:textFill>
                  <w14:solidFill>
                    <w14:schemeClr w14:val="tx1"/>
                  </w14:solidFill>
                </w14:textFill>
              </w:rPr>
              <w:t>2</w:t>
            </w:r>
          </w:p>
        </w:tc>
        <w:tc>
          <w:tcPr>
            <w:tcW w:w="739" w:type="pct"/>
            <w:noWrap w:val="0"/>
            <w:vAlign w:val="center"/>
          </w:tcPr>
          <w:p w14:paraId="65FED4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default" w:ascii="Times New Roman" w:hAnsi="Times New Roman" w:eastAsia="宋体" w:cs="Times New Roman"/>
                <w:i w:val="0"/>
                <w:color w:val="000000" w:themeColor="text1"/>
                <w:spacing w:val="-11"/>
                <w:kern w:val="0"/>
                <w:sz w:val="21"/>
                <w:szCs w:val="21"/>
                <w:highlight w:val="none"/>
                <w:u w:val="none"/>
                <w:lang w:val="en-US" w:eastAsia="zh-CN" w:bidi="ar"/>
                <w14:textFill>
                  <w14:solidFill>
                    <w14:schemeClr w14:val="tx1"/>
                  </w14:solidFill>
                </w14:textFill>
              </w:rPr>
              <w:t>MPN</w:t>
            </w:r>
            <w: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t>/L</w:t>
            </w:r>
          </w:p>
        </w:tc>
      </w:tr>
    </w:tbl>
    <w:p w14:paraId="07C0EAFC">
      <w:pPr>
        <w:spacing w:line="360" w:lineRule="auto"/>
        <w:ind w:firstLine="480"/>
        <w:jc w:val="center"/>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b/>
          <w:bCs/>
          <w:color w:val="000000" w:themeColor="text1"/>
          <w:sz w:val="24"/>
          <w:highlight w:val="none"/>
          <w14:textFill>
            <w14:solidFill>
              <w14:schemeClr w14:val="tx1"/>
            </w14:solidFill>
          </w14:textFill>
        </w:rPr>
        <w:t>表</w:t>
      </w:r>
      <w:r>
        <w:rPr>
          <w:rFonts w:hint="eastAsia" w:cs="Times New Roman"/>
          <w:b/>
          <w:bCs/>
          <w:color w:val="000000" w:themeColor="text1"/>
          <w:sz w:val="24"/>
          <w:highlight w:val="none"/>
          <w:lang w:val="en-US" w:eastAsia="zh-CN"/>
          <w14:textFill>
            <w14:solidFill>
              <w14:schemeClr w14:val="tx1"/>
            </w14:solidFill>
          </w14:textFill>
        </w:rPr>
        <w:t xml:space="preserve">3-5 </w:t>
      </w:r>
      <w:r>
        <w:rPr>
          <w:rFonts w:hint="eastAsia" w:cs="Times New Roman"/>
          <w:b/>
          <w:bCs/>
          <w:color w:val="000000" w:themeColor="text1"/>
          <w:sz w:val="24"/>
          <w:highlight w:val="none"/>
          <w:lang w:eastAsia="zh-CN"/>
          <w14:textFill>
            <w14:solidFill>
              <w14:schemeClr w14:val="tx1"/>
            </w14:solidFill>
          </w14:textFill>
        </w:rPr>
        <w:t>青山</w:t>
      </w:r>
      <w:r>
        <w:rPr>
          <w:rFonts w:hint="default" w:ascii="Times New Roman" w:hAnsi="Times New Roman" w:cs="Times New Roman"/>
          <w:b/>
          <w:bCs/>
          <w:color w:val="000000" w:themeColor="text1"/>
          <w:sz w:val="24"/>
          <w:highlight w:val="none"/>
          <w14:textFill>
            <w14:solidFill>
              <w14:schemeClr w14:val="tx1"/>
            </w14:solidFill>
          </w14:textFill>
        </w:rPr>
        <w:t>水库水质</w:t>
      </w:r>
      <w:r>
        <w:rPr>
          <w:rFonts w:hint="eastAsia" w:ascii="Times New Roman" w:hAnsi="Times New Roman" w:cs="Times New Roman"/>
          <w:b/>
          <w:bCs/>
          <w:color w:val="000000" w:themeColor="text1"/>
          <w:sz w:val="24"/>
          <w:highlight w:val="none"/>
          <w:lang w:eastAsia="zh-CN"/>
          <w14:textFill>
            <w14:solidFill>
              <w14:schemeClr w14:val="tx1"/>
            </w14:solidFill>
          </w14:textFill>
        </w:rPr>
        <w:t>评价结果表</w:t>
      </w:r>
    </w:p>
    <w:tbl>
      <w:tblPr>
        <w:tblStyle w:val="22"/>
        <w:tblW w:w="48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8"/>
        <w:gridCol w:w="1513"/>
        <w:gridCol w:w="1425"/>
        <w:gridCol w:w="1232"/>
        <w:gridCol w:w="1437"/>
        <w:gridCol w:w="1160"/>
      </w:tblGrid>
      <w:tr w14:paraId="0475D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906" w:type="pct"/>
            <w:vMerge w:val="restart"/>
            <w:noWrap w:val="0"/>
            <w:vAlign w:val="center"/>
          </w:tcPr>
          <w:p w14:paraId="1079FC5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pPr>
            <w:r>
              <w:rPr>
                <w:rFonts w:hint="default" w:ascii="Times New Roman" w:hAnsi="Times New Roman" w:eastAsia="宋体" w:cs="Times New Roman"/>
                <w:bCs/>
                <w:color w:val="000000" w:themeColor="text1"/>
                <w:sz w:val="21"/>
                <w:szCs w:val="21"/>
                <w:highlight w:val="none"/>
                <w:lang w:val="en-US" w:eastAsia="zh-CN"/>
                <w14:textFill>
                  <w14:solidFill>
                    <w14:schemeClr w14:val="tx1"/>
                  </w14:solidFill>
                </w14:textFill>
              </w:rPr>
              <w:t>采样时间</w:t>
            </w:r>
          </w:p>
        </w:tc>
        <w:tc>
          <w:tcPr>
            <w:tcW w:w="915" w:type="pct"/>
            <w:vMerge w:val="restart"/>
            <w:noWrap w:val="0"/>
            <w:vAlign w:val="center"/>
          </w:tcPr>
          <w:p w14:paraId="201FFBF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Cs/>
                <w:color w:val="000000" w:themeColor="text1"/>
                <w:sz w:val="21"/>
                <w:szCs w:val="21"/>
                <w:highlight w:val="none"/>
                <w14:textFill>
                  <w14:solidFill>
                    <w14:schemeClr w14:val="tx1"/>
                  </w14:solidFill>
                </w14:textFill>
              </w:rPr>
            </w:pPr>
            <w:r>
              <w:rPr>
                <w:rFonts w:hint="default" w:ascii="Times New Roman" w:hAnsi="Times New Roman" w:eastAsia="宋体" w:cs="Times New Roman"/>
                <w:bCs/>
                <w:color w:val="000000" w:themeColor="text1"/>
                <w:sz w:val="21"/>
                <w:szCs w:val="21"/>
                <w:highlight w:val="none"/>
                <w14:textFill>
                  <w14:solidFill>
                    <w14:schemeClr w14:val="tx1"/>
                  </w14:solidFill>
                </w14:textFill>
              </w:rPr>
              <w:t>检测项目</w:t>
            </w:r>
          </w:p>
        </w:tc>
        <w:tc>
          <w:tcPr>
            <w:tcW w:w="2476" w:type="pct"/>
            <w:gridSpan w:val="3"/>
            <w:noWrap w:val="0"/>
            <w:vAlign w:val="center"/>
          </w:tcPr>
          <w:p w14:paraId="468D690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sz w:val="21"/>
                <w:szCs w:val="21"/>
                <w:highlight w:val="none"/>
                <w14:textFill>
                  <w14:solidFill>
                    <w14:schemeClr w14:val="tx1"/>
                  </w14:solidFill>
                </w14:textFill>
              </w:rPr>
              <w:t>检测结果</w:t>
            </w:r>
          </w:p>
        </w:tc>
        <w:tc>
          <w:tcPr>
            <w:tcW w:w="701" w:type="pct"/>
            <w:vMerge w:val="restart"/>
            <w:noWrap w:val="0"/>
            <w:vAlign w:val="center"/>
          </w:tcPr>
          <w:p w14:paraId="5B2350B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eastAsia" w:ascii="Times New Roman" w:hAnsi="Times New Roman" w:eastAsia="宋体" w:cs="Times New Roman"/>
                <w:bCs/>
                <w:color w:val="000000" w:themeColor="text1"/>
                <w:sz w:val="21"/>
                <w:szCs w:val="21"/>
                <w:highlight w:val="none"/>
                <w:lang w:eastAsia="zh-CN"/>
                <w14:textFill>
                  <w14:solidFill>
                    <w14:schemeClr w14:val="tx1"/>
                  </w14:solidFill>
                </w14:textFill>
              </w:rPr>
            </w:pPr>
            <w:r>
              <w:rPr>
                <w:rFonts w:hint="eastAsia" w:ascii="Times New Roman" w:hAnsi="Times New Roman" w:eastAsia="宋体" w:cs="Times New Roman"/>
                <w:bCs/>
                <w:color w:val="000000" w:themeColor="text1"/>
                <w:sz w:val="21"/>
                <w:szCs w:val="21"/>
                <w:highlight w:val="none"/>
                <w:lang w:eastAsia="zh-CN"/>
                <w14:textFill>
                  <w14:solidFill>
                    <w14:schemeClr w14:val="tx1"/>
                  </w14:solidFill>
                </w14:textFill>
              </w:rPr>
              <w:t>达标情况</w:t>
            </w:r>
          </w:p>
        </w:tc>
      </w:tr>
      <w:tr w14:paraId="25DFFA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tblHeader/>
          <w:jc w:val="center"/>
        </w:trPr>
        <w:tc>
          <w:tcPr>
            <w:tcW w:w="906" w:type="pct"/>
            <w:vMerge w:val="continue"/>
            <w:noWrap w:val="0"/>
            <w:vAlign w:val="center"/>
          </w:tcPr>
          <w:p w14:paraId="252D912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915" w:type="pct"/>
            <w:vMerge w:val="continue"/>
            <w:noWrap w:val="0"/>
            <w:vAlign w:val="center"/>
          </w:tcPr>
          <w:p w14:paraId="131A855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c>
          <w:tcPr>
            <w:tcW w:w="862" w:type="pct"/>
            <w:noWrap w:val="0"/>
            <w:vAlign w:val="center"/>
          </w:tcPr>
          <w:p w14:paraId="3EF27A5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202</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15</w:t>
            </w:r>
          </w:p>
        </w:tc>
        <w:tc>
          <w:tcPr>
            <w:tcW w:w="745" w:type="pct"/>
            <w:noWrap w:val="0"/>
            <w:vAlign w:val="center"/>
          </w:tcPr>
          <w:p w14:paraId="4E086A6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202</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16</w:t>
            </w:r>
          </w:p>
        </w:tc>
        <w:tc>
          <w:tcPr>
            <w:tcW w:w="869" w:type="pct"/>
            <w:noWrap w:val="0"/>
            <w:vAlign w:val="center"/>
          </w:tcPr>
          <w:p w14:paraId="6632BA2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b/>
                <w:bCs/>
                <w:color w:val="000000" w:themeColor="text1"/>
                <w:sz w:val="21"/>
                <w:szCs w:val="21"/>
                <w:highlight w:val="none"/>
                <w:lang w:val="en-US"/>
                <w14:textFill>
                  <w14:solidFill>
                    <w14:schemeClr w14:val="tx1"/>
                  </w14:solidFill>
                </w14:textFill>
              </w:rPr>
            </w:pP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202</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5</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.05.</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17</w:t>
            </w:r>
          </w:p>
        </w:tc>
        <w:tc>
          <w:tcPr>
            <w:tcW w:w="701" w:type="pct"/>
            <w:vMerge w:val="continue"/>
            <w:noWrap w:val="0"/>
            <w:vAlign w:val="center"/>
          </w:tcPr>
          <w:p w14:paraId="5DA9980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p>
        </w:tc>
      </w:tr>
      <w:tr w14:paraId="1E271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restart"/>
            <w:noWrap w:val="0"/>
            <w:vAlign w:val="center"/>
          </w:tcPr>
          <w:p w14:paraId="6A997FEF">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青山水库坝前</w:t>
            </w:r>
          </w:p>
        </w:tc>
        <w:tc>
          <w:tcPr>
            <w:tcW w:w="915" w:type="pct"/>
            <w:shd w:val="clear" w:color="auto" w:fill="auto"/>
            <w:noWrap w:val="0"/>
            <w:vAlign w:val="center"/>
          </w:tcPr>
          <w:p w14:paraId="3C6341CF">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pH</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值</w:t>
            </w:r>
          </w:p>
        </w:tc>
        <w:tc>
          <w:tcPr>
            <w:tcW w:w="862" w:type="pct"/>
            <w:shd w:val="clear" w:color="auto" w:fill="auto"/>
            <w:noWrap w:val="0"/>
            <w:vAlign w:val="center"/>
          </w:tcPr>
          <w:p w14:paraId="52EA633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0.20</w:t>
            </w:r>
          </w:p>
        </w:tc>
        <w:tc>
          <w:tcPr>
            <w:tcW w:w="745" w:type="pct"/>
            <w:shd w:val="clear" w:color="auto" w:fill="auto"/>
            <w:noWrap w:val="0"/>
            <w:vAlign w:val="center"/>
          </w:tcPr>
          <w:p w14:paraId="2BD7F89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0.15</w:t>
            </w:r>
          </w:p>
        </w:tc>
        <w:tc>
          <w:tcPr>
            <w:tcW w:w="869" w:type="pct"/>
            <w:shd w:val="clear" w:color="auto" w:fill="auto"/>
            <w:noWrap w:val="0"/>
            <w:vAlign w:val="center"/>
          </w:tcPr>
          <w:p w14:paraId="2BCD41B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0.05</w:t>
            </w:r>
          </w:p>
        </w:tc>
        <w:tc>
          <w:tcPr>
            <w:tcW w:w="701" w:type="pct"/>
            <w:noWrap w:val="0"/>
            <w:vAlign w:val="center"/>
          </w:tcPr>
          <w:p w14:paraId="48E59F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17ACA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67B2376D">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3BA4A485">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高锰酸盐指数</w:t>
            </w:r>
          </w:p>
        </w:tc>
        <w:tc>
          <w:tcPr>
            <w:tcW w:w="862" w:type="pct"/>
            <w:noWrap w:val="0"/>
            <w:vAlign w:val="center"/>
          </w:tcPr>
          <w:p w14:paraId="01FEF1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0.92</w:t>
            </w:r>
          </w:p>
        </w:tc>
        <w:tc>
          <w:tcPr>
            <w:tcW w:w="745" w:type="pct"/>
            <w:noWrap w:val="0"/>
            <w:vAlign w:val="center"/>
          </w:tcPr>
          <w:p w14:paraId="1F627B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0.90</w:t>
            </w:r>
          </w:p>
        </w:tc>
        <w:tc>
          <w:tcPr>
            <w:tcW w:w="869" w:type="pct"/>
            <w:noWrap w:val="0"/>
            <w:vAlign w:val="center"/>
          </w:tcPr>
          <w:p w14:paraId="298863E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0.87</w:t>
            </w:r>
          </w:p>
        </w:tc>
        <w:tc>
          <w:tcPr>
            <w:tcW w:w="701" w:type="pct"/>
            <w:noWrap w:val="0"/>
            <w:vAlign w:val="center"/>
          </w:tcPr>
          <w:p w14:paraId="2E33BA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0B802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4C419960">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2D8C83C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化学需氧量</w:t>
            </w:r>
          </w:p>
        </w:tc>
        <w:tc>
          <w:tcPr>
            <w:tcW w:w="862" w:type="pct"/>
            <w:noWrap w:val="0"/>
            <w:vAlign w:val="center"/>
          </w:tcPr>
          <w:p w14:paraId="3B72CF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0.90</w:t>
            </w:r>
          </w:p>
        </w:tc>
        <w:tc>
          <w:tcPr>
            <w:tcW w:w="745" w:type="pct"/>
            <w:noWrap w:val="0"/>
            <w:vAlign w:val="center"/>
          </w:tcPr>
          <w:p w14:paraId="5ECDD6F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0.80</w:t>
            </w:r>
          </w:p>
        </w:tc>
        <w:tc>
          <w:tcPr>
            <w:tcW w:w="869" w:type="pct"/>
            <w:noWrap w:val="0"/>
            <w:vAlign w:val="center"/>
          </w:tcPr>
          <w:p w14:paraId="0AD2DD9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0.75</w:t>
            </w:r>
          </w:p>
        </w:tc>
        <w:tc>
          <w:tcPr>
            <w:tcW w:w="701" w:type="pct"/>
            <w:noWrap w:val="0"/>
            <w:vAlign w:val="center"/>
          </w:tcPr>
          <w:p w14:paraId="50826D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4D238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348E6787">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0AFF8A0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生化需氧量</w:t>
            </w:r>
          </w:p>
        </w:tc>
        <w:tc>
          <w:tcPr>
            <w:tcW w:w="862" w:type="pct"/>
            <w:noWrap w:val="0"/>
            <w:vAlign w:val="center"/>
          </w:tcPr>
          <w:p w14:paraId="5488C83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0.90</w:t>
            </w:r>
          </w:p>
        </w:tc>
        <w:tc>
          <w:tcPr>
            <w:tcW w:w="745" w:type="pct"/>
            <w:noWrap w:val="0"/>
            <w:vAlign w:val="center"/>
          </w:tcPr>
          <w:p w14:paraId="7FABFA5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0.82</w:t>
            </w:r>
          </w:p>
        </w:tc>
        <w:tc>
          <w:tcPr>
            <w:tcW w:w="869" w:type="pct"/>
            <w:noWrap w:val="0"/>
            <w:vAlign w:val="center"/>
          </w:tcPr>
          <w:p w14:paraId="4BF1F2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0.77</w:t>
            </w:r>
          </w:p>
        </w:tc>
        <w:tc>
          <w:tcPr>
            <w:tcW w:w="701" w:type="pct"/>
            <w:noWrap w:val="0"/>
            <w:vAlign w:val="center"/>
          </w:tcPr>
          <w:p w14:paraId="649357E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121C0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23AFFE4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3760C48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氨氮</w:t>
            </w:r>
          </w:p>
        </w:tc>
        <w:tc>
          <w:tcPr>
            <w:tcW w:w="862" w:type="pct"/>
            <w:noWrap w:val="0"/>
            <w:vAlign w:val="center"/>
          </w:tcPr>
          <w:p w14:paraId="64E899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0.45</w:t>
            </w:r>
          </w:p>
        </w:tc>
        <w:tc>
          <w:tcPr>
            <w:tcW w:w="745" w:type="pct"/>
            <w:noWrap w:val="0"/>
            <w:vAlign w:val="center"/>
          </w:tcPr>
          <w:p w14:paraId="5E23A0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0.43</w:t>
            </w:r>
          </w:p>
        </w:tc>
        <w:tc>
          <w:tcPr>
            <w:tcW w:w="869" w:type="pct"/>
            <w:noWrap w:val="0"/>
            <w:vAlign w:val="center"/>
          </w:tcPr>
          <w:p w14:paraId="2F68AC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0.42</w:t>
            </w:r>
          </w:p>
        </w:tc>
        <w:tc>
          <w:tcPr>
            <w:tcW w:w="701" w:type="pct"/>
            <w:noWrap w:val="0"/>
            <w:vAlign w:val="center"/>
          </w:tcPr>
          <w:p w14:paraId="22BE7C4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4F0A2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4290CC3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47348AC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总磷</w:t>
            </w:r>
          </w:p>
        </w:tc>
        <w:tc>
          <w:tcPr>
            <w:tcW w:w="862" w:type="pct"/>
            <w:noWrap w:val="0"/>
            <w:vAlign w:val="center"/>
          </w:tcPr>
          <w:p w14:paraId="13FDA8F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0.45</w:t>
            </w:r>
          </w:p>
        </w:tc>
        <w:tc>
          <w:tcPr>
            <w:tcW w:w="745" w:type="pct"/>
            <w:noWrap w:val="0"/>
            <w:vAlign w:val="center"/>
          </w:tcPr>
          <w:p w14:paraId="75FDDFB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0.40</w:t>
            </w:r>
          </w:p>
        </w:tc>
        <w:tc>
          <w:tcPr>
            <w:tcW w:w="869" w:type="pct"/>
            <w:noWrap w:val="0"/>
            <w:vAlign w:val="center"/>
          </w:tcPr>
          <w:p w14:paraId="29F7BD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0.35</w:t>
            </w:r>
          </w:p>
        </w:tc>
        <w:tc>
          <w:tcPr>
            <w:tcW w:w="701" w:type="pct"/>
            <w:noWrap w:val="0"/>
            <w:vAlign w:val="center"/>
          </w:tcPr>
          <w:p w14:paraId="06EA6E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14FB1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1357C2A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733D718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总氮</w:t>
            </w:r>
          </w:p>
        </w:tc>
        <w:tc>
          <w:tcPr>
            <w:tcW w:w="862" w:type="pct"/>
            <w:noWrap w:val="0"/>
            <w:vAlign w:val="center"/>
          </w:tcPr>
          <w:p w14:paraId="6C1CD31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1.82</w:t>
            </w:r>
          </w:p>
        </w:tc>
        <w:tc>
          <w:tcPr>
            <w:tcW w:w="745" w:type="pct"/>
            <w:noWrap w:val="0"/>
            <w:vAlign w:val="center"/>
          </w:tcPr>
          <w:p w14:paraId="3CF6679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1.74</w:t>
            </w:r>
          </w:p>
        </w:tc>
        <w:tc>
          <w:tcPr>
            <w:tcW w:w="869" w:type="pct"/>
            <w:noWrap w:val="0"/>
            <w:vAlign w:val="center"/>
          </w:tcPr>
          <w:p w14:paraId="7D6597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1.66</w:t>
            </w:r>
          </w:p>
        </w:tc>
        <w:tc>
          <w:tcPr>
            <w:tcW w:w="701" w:type="pct"/>
            <w:noWrap w:val="0"/>
            <w:vAlign w:val="center"/>
          </w:tcPr>
          <w:p w14:paraId="138F77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34F5A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646FD85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7931A5C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石油类</w:t>
            </w:r>
          </w:p>
        </w:tc>
        <w:tc>
          <w:tcPr>
            <w:tcW w:w="862" w:type="pct"/>
            <w:noWrap w:val="0"/>
            <w:vAlign w:val="center"/>
          </w:tcPr>
          <w:p w14:paraId="014574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66AB9E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40AFA8A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3C62801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5BF39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12F1F81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01658C6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叶绿素a</w:t>
            </w:r>
          </w:p>
        </w:tc>
        <w:tc>
          <w:tcPr>
            <w:tcW w:w="862" w:type="pct"/>
            <w:noWrap w:val="0"/>
            <w:vAlign w:val="center"/>
          </w:tcPr>
          <w:p w14:paraId="79AFB0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2DADC9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304FEFC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00FC481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56210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38DA0ED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72929C8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铜</w:t>
            </w:r>
          </w:p>
        </w:tc>
        <w:tc>
          <w:tcPr>
            <w:tcW w:w="862" w:type="pct"/>
            <w:noWrap w:val="0"/>
            <w:vAlign w:val="center"/>
          </w:tcPr>
          <w:p w14:paraId="2AA53C9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29CEC70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321E7D1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0AB89D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01BCEB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294A459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7F2C4B1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锌</w:t>
            </w:r>
          </w:p>
        </w:tc>
        <w:tc>
          <w:tcPr>
            <w:tcW w:w="862" w:type="pct"/>
            <w:noWrap w:val="0"/>
            <w:vAlign w:val="center"/>
          </w:tcPr>
          <w:p w14:paraId="480B89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3B7A26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6D5064C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7A9568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5AF9A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197FABC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31FBB6A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氟化物</w:t>
            </w:r>
          </w:p>
        </w:tc>
        <w:tc>
          <w:tcPr>
            <w:tcW w:w="862" w:type="pct"/>
            <w:noWrap w:val="0"/>
            <w:vAlign w:val="center"/>
          </w:tcPr>
          <w:p w14:paraId="59B0AE3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4D6C562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345F211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560D9F9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43C9A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6587F26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7C32086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硒</w:t>
            </w:r>
          </w:p>
        </w:tc>
        <w:tc>
          <w:tcPr>
            <w:tcW w:w="862" w:type="pct"/>
            <w:noWrap w:val="0"/>
            <w:vAlign w:val="center"/>
          </w:tcPr>
          <w:p w14:paraId="488E69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2B4520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4D343B8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7D9BADE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21BA5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0723F5C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4DDBCBA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砷</w:t>
            </w:r>
          </w:p>
        </w:tc>
        <w:tc>
          <w:tcPr>
            <w:tcW w:w="862" w:type="pct"/>
            <w:noWrap w:val="0"/>
            <w:vAlign w:val="center"/>
          </w:tcPr>
          <w:p w14:paraId="0483BF5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5A7FA6F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40AD7C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5B1B192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49C59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3FECFC2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5F56987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汞</w:t>
            </w:r>
          </w:p>
        </w:tc>
        <w:tc>
          <w:tcPr>
            <w:tcW w:w="862" w:type="pct"/>
            <w:noWrap w:val="0"/>
            <w:vAlign w:val="center"/>
          </w:tcPr>
          <w:p w14:paraId="61B58B0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420B896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72CE78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0290A5C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4E0D0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01E2C8F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1824275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镉</w:t>
            </w:r>
          </w:p>
        </w:tc>
        <w:tc>
          <w:tcPr>
            <w:tcW w:w="862" w:type="pct"/>
            <w:noWrap w:val="0"/>
            <w:vAlign w:val="center"/>
          </w:tcPr>
          <w:p w14:paraId="706CDE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04B7221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43927D8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60657BB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1DA87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52AC45F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6B4ED49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六价铬</w:t>
            </w:r>
          </w:p>
        </w:tc>
        <w:tc>
          <w:tcPr>
            <w:tcW w:w="862" w:type="pct"/>
            <w:noWrap w:val="0"/>
            <w:vAlign w:val="center"/>
          </w:tcPr>
          <w:p w14:paraId="0D5B07C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169096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33C79C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70BCB0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0E600E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4015982C">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4A02F90D">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氰化物</w:t>
            </w:r>
          </w:p>
        </w:tc>
        <w:tc>
          <w:tcPr>
            <w:tcW w:w="862" w:type="pct"/>
            <w:noWrap w:val="0"/>
            <w:vAlign w:val="center"/>
          </w:tcPr>
          <w:p w14:paraId="5F3477F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2AD1EE1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166979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33F607D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06B2C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64A62604">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4A6531E2">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挥发酚</w:t>
            </w:r>
          </w:p>
        </w:tc>
        <w:tc>
          <w:tcPr>
            <w:tcW w:w="862" w:type="pct"/>
            <w:noWrap w:val="0"/>
            <w:vAlign w:val="center"/>
          </w:tcPr>
          <w:p w14:paraId="65D03F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765C3E8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43CA2B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5CCDE92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6F679F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2237995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0D49F67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阴离子表面活性剂</w:t>
            </w:r>
          </w:p>
        </w:tc>
        <w:tc>
          <w:tcPr>
            <w:tcW w:w="862" w:type="pct"/>
            <w:noWrap w:val="0"/>
            <w:vAlign w:val="center"/>
          </w:tcPr>
          <w:p w14:paraId="71BA7BB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15A474C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71CFB01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7A23901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2FB8F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5AAA7B2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1AF10E54">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硫化物</w:t>
            </w:r>
          </w:p>
        </w:tc>
        <w:tc>
          <w:tcPr>
            <w:tcW w:w="862" w:type="pct"/>
            <w:noWrap w:val="0"/>
            <w:vAlign w:val="center"/>
          </w:tcPr>
          <w:p w14:paraId="6E21EF9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3F844E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1557D98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41FBD8C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7E9D6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5A23688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1A4BBB3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粪大肠菌群</w:t>
            </w:r>
          </w:p>
        </w:tc>
        <w:tc>
          <w:tcPr>
            <w:tcW w:w="862" w:type="pct"/>
            <w:noWrap w:val="0"/>
            <w:vAlign w:val="center"/>
          </w:tcPr>
          <w:p w14:paraId="35EBB5A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0.04</w:t>
            </w:r>
          </w:p>
        </w:tc>
        <w:tc>
          <w:tcPr>
            <w:tcW w:w="745" w:type="pct"/>
            <w:noWrap w:val="0"/>
            <w:vAlign w:val="center"/>
          </w:tcPr>
          <w:p w14:paraId="480627B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0.03</w:t>
            </w:r>
          </w:p>
        </w:tc>
        <w:tc>
          <w:tcPr>
            <w:tcW w:w="869" w:type="pct"/>
            <w:noWrap w:val="0"/>
            <w:vAlign w:val="center"/>
          </w:tcPr>
          <w:p w14:paraId="32E64F6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0.03</w:t>
            </w:r>
          </w:p>
        </w:tc>
        <w:tc>
          <w:tcPr>
            <w:tcW w:w="701" w:type="pct"/>
            <w:noWrap w:val="0"/>
            <w:vAlign w:val="center"/>
          </w:tcPr>
          <w:p w14:paraId="440186B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41FDF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restart"/>
            <w:noWrap w:val="0"/>
            <w:vAlign w:val="center"/>
          </w:tcPr>
          <w:p w14:paraId="02E6988E">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b/>
                <w:bCs/>
                <w:color w:val="000000" w:themeColor="text1"/>
                <w:kern w:val="2"/>
                <w:sz w:val="21"/>
                <w:szCs w:val="21"/>
                <w:lang w:val="en-US" w:eastAsia="zh-CN" w:bidi="ar-SA"/>
                <w14:textFill>
                  <w14:solidFill>
                    <w14:schemeClr w14:val="tx1"/>
                  </w14:solidFill>
                </w14:textFill>
              </w:rPr>
              <w:t>★</w:t>
            </w:r>
            <w: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2#</w:t>
            </w: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水库下游1000m处</w:t>
            </w:r>
          </w:p>
        </w:tc>
        <w:tc>
          <w:tcPr>
            <w:tcW w:w="915" w:type="pct"/>
            <w:shd w:val="clear" w:color="auto" w:fill="auto"/>
            <w:noWrap w:val="0"/>
            <w:vAlign w:val="center"/>
          </w:tcPr>
          <w:p w14:paraId="3F929B8D">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pH</w:t>
            </w: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值</w:t>
            </w:r>
          </w:p>
        </w:tc>
        <w:tc>
          <w:tcPr>
            <w:tcW w:w="862" w:type="pct"/>
            <w:shd w:val="clear" w:color="auto" w:fill="auto"/>
            <w:noWrap w:val="0"/>
            <w:vAlign w:val="center"/>
          </w:tcPr>
          <w:p w14:paraId="0832F08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0.10</w:t>
            </w:r>
          </w:p>
        </w:tc>
        <w:tc>
          <w:tcPr>
            <w:tcW w:w="745" w:type="pct"/>
            <w:shd w:val="clear" w:color="auto" w:fill="auto"/>
            <w:noWrap w:val="0"/>
            <w:vAlign w:val="center"/>
          </w:tcPr>
          <w:p w14:paraId="5362D6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w:t>
            </w:r>
          </w:p>
        </w:tc>
        <w:tc>
          <w:tcPr>
            <w:tcW w:w="869" w:type="pct"/>
            <w:shd w:val="clear" w:color="auto" w:fill="auto"/>
            <w:noWrap w:val="0"/>
            <w:vAlign w:val="center"/>
          </w:tcPr>
          <w:p w14:paraId="7803B20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0.15</w:t>
            </w:r>
          </w:p>
        </w:tc>
        <w:tc>
          <w:tcPr>
            <w:tcW w:w="701" w:type="pct"/>
            <w:noWrap w:val="0"/>
            <w:vAlign w:val="center"/>
          </w:tcPr>
          <w:p w14:paraId="26F61F7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23BD2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41E414EE">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2CB911E8">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高锰酸盐指数</w:t>
            </w:r>
          </w:p>
        </w:tc>
        <w:tc>
          <w:tcPr>
            <w:tcW w:w="862" w:type="pct"/>
            <w:noWrap w:val="0"/>
            <w:vAlign w:val="center"/>
          </w:tcPr>
          <w:p w14:paraId="4F7ED3C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0.90</w:t>
            </w:r>
          </w:p>
        </w:tc>
        <w:tc>
          <w:tcPr>
            <w:tcW w:w="745" w:type="pct"/>
            <w:noWrap w:val="0"/>
            <w:vAlign w:val="center"/>
          </w:tcPr>
          <w:p w14:paraId="2D470E4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0.85</w:t>
            </w:r>
          </w:p>
        </w:tc>
        <w:tc>
          <w:tcPr>
            <w:tcW w:w="869" w:type="pct"/>
            <w:noWrap w:val="0"/>
            <w:vAlign w:val="center"/>
          </w:tcPr>
          <w:p w14:paraId="631D0C0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0.83</w:t>
            </w:r>
          </w:p>
        </w:tc>
        <w:tc>
          <w:tcPr>
            <w:tcW w:w="701" w:type="pct"/>
            <w:noWrap w:val="0"/>
            <w:vAlign w:val="center"/>
          </w:tcPr>
          <w:p w14:paraId="161AA4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35DB09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73AAC36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64714AC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化学需氧量</w:t>
            </w:r>
          </w:p>
        </w:tc>
        <w:tc>
          <w:tcPr>
            <w:tcW w:w="862" w:type="pct"/>
            <w:noWrap w:val="0"/>
            <w:vAlign w:val="center"/>
          </w:tcPr>
          <w:p w14:paraId="68E64E2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0.80</w:t>
            </w:r>
          </w:p>
        </w:tc>
        <w:tc>
          <w:tcPr>
            <w:tcW w:w="745" w:type="pct"/>
            <w:noWrap w:val="0"/>
            <w:vAlign w:val="center"/>
          </w:tcPr>
          <w:p w14:paraId="1545F0D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0.70</w:t>
            </w:r>
          </w:p>
        </w:tc>
        <w:tc>
          <w:tcPr>
            <w:tcW w:w="869" w:type="pct"/>
            <w:noWrap w:val="0"/>
            <w:vAlign w:val="center"/>
          </w:tcPr>
          <w:p w14:paraId="38B38F7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0.65</w:t>
            </w:r>
          </w:p>
        </w:tc>
        <w:tc>
          <w:tcPr>
            <w:tcW w:w="701" w:type="pct"/>
            <w:noWrap w:val="0"/>
            <w:vAlign w:val="center"/>
          </w:tcPr>
          <w:p w14:paraId="1B2A2C2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0BE564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416E25F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4B55D79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生化需氧量</w:t>
            </w:r>
          </w:p>
        </w:tc>
        <w:tc>
          <w:tcPr>
            <w:tcW w:w="862" w:type="pct"/>
            <w:noWrap w:val="0"/>
            <w:vAlign w:val="center"/>
          </w:tcPr>
          <w:p w14:paraId="5C038F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0.85</w:t>
            </w:r>
          </w:p>
        </w:tc>
        <w:tc>
          <w:tcPr>
            <w:tcW w:w="745" w:type="pct"/>
            <w:noWrap w:val="0"/>
            <w:vAlign w:val="center"/>
          </w:tcPr>
          <w:p w14:paraId="766B3A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0.72</w:t>
            </w:r>
          </w:p>
        </w:tc>
        <w:tc>
          <w:tcPr>
            <w:tcW w:w="869" w:type="pct"/>
            <w:noWrap w:val="0"/>
            <w:vAlign w:val="center"/>
          </w:tcPr>
          <w:p w14:paraId="0400974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0.70</w:t>
            </w:r>
          </w:p>
        </w:tc>
        <w:tc>
          <w:tcPr>
            <w:tcW w:w="701" w:type="pct"/>
            <w:noWrap w:val="0"/>
            <w:vAlign w:val="center"/>
          </w:tcPr>
          <w:p w14:paraId="7A2FA52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4645B6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3FB2BD3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09707EB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氨氮</w:t>
            </w:r>
          </w:p>
        </w:tc>
        <w:tc>
          <w:tcPr>
            <w:tcW w:w="862" w:type="pct"/>
            <w:noWrap w:val="0"/>
            <w:vAlign w:val="center"/>
          </w:tcPr>
          <w:p w14:paraId="0DA214B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0.50</w:t>
            </w:r>
          </w:p>
        </w:tc>
        <w:tc>
          <w:tcPr>
            <w:tcW w:w="745" w:type="pct"/>
            <w:noWrap w:val="0"/>
            <w:vAlign w:val="center"/>
          </w:tcPr>
          <w:p w14:paraId="484BBBD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0.49</w:t>
            </w:r>
          </w:p>
        </w:tc>
        <w:tc>
          <w:tcPr>
            <w:tcW w:w="869" w:type="pct"/>
            <w:noWrap w:val="0"/>
            <w:vAlign w:val="center"/>
          </w:tcPr>
          <w:p w14:paraId="36270B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0.47</w:t>
            </w:r>
          </w:p>
        </w:tc>
        <w:tc>
          <w:tcPr>
            <w:tcW w:w="701" w:type="pct"/>
            <w:noWrap w:val="0"/>
            <w:vAlign w:val="center"/>
          </w:tcPr>
          <w:p w14:paraId="68BFA5C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69D31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2DF1DD6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2D7A3315">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总磷</w:t>
            </w:r>
          </w:p>
        </w:tc>
        <w:tc>
          <w:tcPr>
            <w:tcW w:w="862" w:type="pct"/>
            <w:noWrap w:val="0"/>
            <w:vAlign w:val="center"/>
          </w:tcPr>
          <w:p w14:paraId="087A24D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0.50</w:t>
            </w:r>
          </w:p>
        </w:tc>
        <w:tc>
          <w:tcPr>
            <w:tcW w:w="745" w:type="pct"/>
            <w:noWrap w:val="0"/>
            <w:vAlign w:val="center"/>
          </w:tcPr>
          <w:p w14:paraId="6380CCC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0.35</w:t>
            </w:r>
          </w:p>
        </w:tc>
        <w:tc>
          <w:tcPr>
            <w:tcW w:w="869" w:type="pct"/>
            <w:noWrap w:val="0"/>
            <w:vAlign w:val="center"/>
          </w:tcPr>
          <w:p w14:paraId="1C68EB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0.25</w:t>
            </w:r>
          </w:p>
        </w:tc>
        <w:tc>
          <w:tcPr>
            <w:tcW w:w="701" w:type="pct"/>
            <w:noWrap w:val="0"/>
            <w:vAlign w:val="center"/>
          </w:tcPr>
          <w:p w14:paraId="6AA28D3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6E987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3C4020F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6813249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总氮</w:t>
            </w:r>
          </w:p>
        </w:tc>
        <w:tc>
          <w:tcPr>
            <w:tcW w:w="862" w:type="pct"/>
            <w:noWrap w:val="0"/>
            <w:vAlign w:val="center"/>
          </w:tcPr>
          <w:p w14:paraId="346B727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1.54</w:t>
            </w:r>
          </w:p>
        </w:tc>
        <w:tc>
          <w:tcPr>
            <w:tcW w:w="745" w:type="pct"/>
            <w:noWrap w:val="0"/>
            <w:vAlign w:val="center"/>
          </w:tcPr>
          <w:p w14:paraId="534B79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1.38</w:t>
            </w:r>
          </w:p>
        </w:tc>
        <w:tc>
          <w:tcPr>
            <w:tcW w:w="869" w:type="pct"/>
            <w:noWrap w:val="0"/>
            <w:vAlign w:val="center"/>
          </w:tcPr>
          <w:p w14:paraId="498E68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1.29</w:t>
            </w:r>
          </w:p>
        </w:tc>
        <w:tc>
          <w:tcPr>
            <w:tcW w:w="701" w:type="pct"/>
            <w:noWrap w:val="0"/>
            <w:vAlign w:val="center"/>
          </w:tcPr>
          <w:p w14:paraId="32DDA35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r w14:paraId="4B480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29969B5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05354A3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石油类</w:t>
            </w:r>
          </w:p>
        </w:tc>
        <w:tc>
          <w:tcPr>
            <w:tcW w:w="862" w:type="pct"/>
            <w:noWrap w:val="0"/>
            <w:vAlign w:val="center"/>
          </w:tcPr>
          <w:p w14:paraId="02998A6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06F492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1B4416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738443F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60034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3C8964BB">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19647C5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sz w:val="21"/>
                <w:szCs w:val="21"/>
                <w:lang w:eastAsia="zh-CN"/>
                <w14:textFill>
                  <w14:solidFill>
                    <w14:schemeClr w14:val="tx1"/>
                  </w14:solidFill>
                </w14:textFill>
              </w:rPr>
              <w:t>叶绿素a</w:t>
            </w:r>
          </w:p>
        </w:tc>
        <w:tc>
          <w:tcPr>
            <w:tcW w:w="862" w:type="pct"/>
            <w:noWrap w:val="0"/>
            <w:vAlign w:val="center"/>
          </w:tcPr>
          <w:p w14:paraId="0D62F2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4D03CF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71DB22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5CF4B27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07680B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14912EDC">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0480A74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铜</w:t>
            </w:r>
          </w:p>
        </w:tc>
        <w:tc>
          <w:tcPr>
            <w:tcW w:w="862" w:type="pct"/>
            <w:noWrap w:val="0"/>
            <w:vAlign w:val="center"/>
          </w:tcPr>
          <w:p w14:paraId="63E1326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7CD506D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5443A95F">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2D21D2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7BF86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46A96D1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00DEF5D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锌</w:t>
            </w:r>
          </w:p>
        </w:tc>
        <w:tc>
          <w:tcPr>
            <w:tcW w:w="862" w:type="pct"/>
            <w:noWrap w:val="0"/>
            <w:vAlign w:val="center"/>
          </w:tcPr>
          <w:p w14:paraId="5BBAAB8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10909D1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0B1F57A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540FA7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yellow"/>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26A446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5D7E2AD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750BCF99">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氟化物</w:t>
            </w:r>
          </w:p>
        </w:tc>
        <w:tc>
          <w:tcPr>
            <w:tcW w:w="862" w:type="pct"/>
            <w:noWrap w:val="0"/>
            <w:vAlign w:val="center"/>
          </w:tcPr>
          <w:p w14:paraId="76EE8CC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4F223C3D">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05C4B52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76CF361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3E189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55B4388E">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1ADBA60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sz w:val="21"/>
                <w:szCs w:val="21"/>
                <w:highlight w:val="none"/>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硒</w:t>
            </w:r>
          </w:p>
        </w:tc>
        <w:tc>
          <w:tcPr>
            <w:tcW w:w="862" w:type="pct"/>
            <w:noWrap w:val="0"/>
            <w:vAlign w:val="center"/>
          </w:tcPr>
          <w:p w14:paraId="6A3CC9A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0B8F1C4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2B5EE6E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354D01E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6B7A0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5DD327F2">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7E8C9E4F">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砷</w:t>
            </w:r>
          </w:p>
        </w:tc>
        <w:tc>
          <w:tcPr>
            <w:tcW w:w="862" w:type="pct"/>
            <w:noWrap w:val="0"/>
            <w:vAlign w:val="center"/>
          </w:tcPr>
          <w:p w14:paraId="741EAD3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0A07B9E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63BEAC8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079FE4B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7C4D0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7207F853">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05A8F17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汞</w:t>
            </w:r>
          </w:p>
        </w:tc>
        <w:tc>
          <w:tcPr>
            <w:tcW w:w="862" w:type="pct"/>
            <w:noWrap w:val="0"/>
            <w:vAlign w:val="center"/>
          </w:tcPr>
          <w:p w14:paraId="79B7915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6C5551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67EDAC7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548105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72104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4054D7F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54B9C5E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镉</w:t>
            </w:r>
          </w:p>
        </w:tc>
        <w:tc>
          <w:tcPr>
            <w:tcW w:w="862" w:type="pct"/>
            <w:noWrap w:val="0"/>
            <w:vAlign w:val="center"/>
          </w:tcPr>
          <w:p w14:paraId="6020D2A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1F1E971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7908CC5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095E99F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2B6BD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5E44BF6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059E554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六价铬</w:t>
            </w:r>
          </w:p>
        </w:tc>
        <w:tc>
          <w:tcPr>
            <w:tcW w:w="862" w:type="pct"/>
            <w:noWrap w:val="0"/>
            <w:vAlign w:val="center"/>
          </w:tcPr>
          <w:p w14:paraId="5BCC74AB">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17E82F37">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7646DC9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7CDD281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0B946E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0D97AB15">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44434243">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氰化物</w:t>
            </w:r>
          </w:p>
        </w:tc>
        <w:tc>
          <w:tcPr>
            <w:tcW w:w="862" w:type="pct"/>
            <w:noWrap w:val="0"/>
            <w:vAlign w:val="center"/>
          </w:tcPr>
          <w:p w14:paraId="42462DD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45884386">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428210D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2EB64AE1">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443E2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7F9CCB69">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61A2EEA4">
            <w:pPr>
              <w:keepNext w:val="0"/>
              <w:keepLines w:val="0"/>
              <w:pageBreakBefore w:val="0"/>
              <w:widowControl/>
              <w:shd w:val="clear" w:color="auto" w:fill="auto"/>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挥发酚</w:t>
            </w:r>
          </w:p>
        </w:tc>
        <w:tc>
          <w:tcPr>
            <w:tcW w:w="862" w:type="pct"/>
            <w:noWrap w:val="0"/>
            <w:vAlign w:val="center"/>
          </w:tcPr>
          <w:p w14:paraId="5B405B9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4A0E713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2A00C0DC">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6B18E68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4F6636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04BA9A2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4EDAAD81">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阴离子表面活性剂</w:t>
            </w:r>
          </w:p>
        </w:tc>
        <w:tc>
          <w:tcPr>
            <w:tcW w:w="862" w:type="pct"/>
            <w:noWrap w:val="0"/>
            <w:vAlign w:val="center"/>
          </w:tcPr>
          <w:p w14:paraId="51B8214A">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6B47E20E">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711291A2">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13128543">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6C5A57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0164A498">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4C7A580A">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硫化物</w:t>
            </w:r>
          </w:p>
        </w:tc>
        <w:tc>
          <w:tcPr>
            <w:tcW w:w="862" w:type="pct"/>
            <w:noWrap w:val="0"/>
            <w:vAlign w:val="center"/>
          </w:tcPr>
          <w:p w14:paraId="1E53676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45" w:type="pct"/>
            <w:noWrap w:val="0"/>
            <w:vAlign w:val="center"/>
          </w:tcPr>
          <w:p w14:paraId="0EE3F2E8">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869" w:type="pct"/>
            <w:noWrap w:val="0"/>
            <w:vAlign w:val="center"/>
          </w:tcPr>
          <w:p w14:paraId="67DA389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c>
          <w:tcPr>
            <w:tcW w:w="701" w:type="pct"/>
            <w:noWrap w:val="0"/>
            <w:vAlign w:val="center"/>
          </w:tcPr>
          <w:p w14:paraId="29D2AF00">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w:t>
            </w:r>
          </w:p>
        </w:tc>
      </w:tr>
      <w:tr w14:paraId="454E2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06" w:type="pct"/>
            <w:vMerge w:val="continue"/>
            <w:noWrap w:val="0"/>
            <w:vAlign w:val="center"/>
          </w:tcPr>
          <w:p w14:paraId="13096926">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915" w:type="pct"/>
            <w:noWrap w:val="0"/>
            <w:vAlign w:val="center"/>
          </w:tcPr>
          <w:p w14:paraId="409440AD">
            <w:pPr>
              <w:keepNext w:val="0"/>
              <w:keepLines w:val="0"/>
              <w:pageBreakBefore w:val="0"/>
              <w:kinsoku/>
              <w:wordWrap/>
              <w:overflowPunct/>
              <w:topLinePunct w:val="0"/>
              <w:autoSpaceDE/>
              <w:autoSpaceDN/>
              <w:bidi w:val="0"/>
              <w:adjustRightInd/>
              <w:snapToGrid/>
              <w:spacing w:line="240" w:lineRule="auto"/>
              <w:ind w:firstLine="0" w:firstLineChars="0"/>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粪大肠菌群</w:t>
            </w:r>
          </w:p>
        </w:tc>
        <w:tc>
          <w:tcPr>
            <w:tcW w:w="862" w:type="pct"/>
            <w:noWrap w:val="0"/>
            <w:vAlign w:val="center"/>
          </w:tcPr>
          <w:p w14:paraId="011E63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0.03</w:t>
            </w:r>
          </w:p>
        </w:tc>
        <w:tc>
          <w:tcPr>
            <w:tcW w:w="745" w:type="pct"/>
            <w:noWrap w:val="0"/>
            <w:vAlign w:val="center"/>
          </w:tcPr>
          <w:p w14:paraId="28657AE4">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0.03</w:t>
            </w:r>
          </w:p>
        </w:tc>
        <w:tc>
          <w:tcPr>
            <w:tcW w:w="869" w:type="pct"/>
            <w:noWrap w:val="0"/>
            <w:vAlign w:val="center"/>
          </w:tcPr>
          <w:p w14:paraId="797B29A9">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pPr>
            <w:r>
              <w:rPr>
                <w:rFonts w:hint="eastAsia" w:ascii="Times New Roman" w:hAnsi="Times New Roman" w:eastAsia="宋体" w:cs="Times New Roman"/>
                <w:b w:val="0"/>
                <w:bCs/>
                <w:color w:val="000000" w:themeColor="text1"/>
                <w:spacing w:val="0"/>
                <w:sz w:val="21"/>
                <w:szCs w:val="21"/>
                <w:highlight w:val="none"/>
                <w:lang w:val="en-US" w:eastAsia="zh-CN"/>
                <w14:textFill>
                  <w14:solidFill>
                    <w14:schemeClr w14:val="tx1"/>
                  </w14:solidFill>
                </w14:textFill>
              </w:rPr>
              <w:t>0.03</w:t>
            </w:r>
          </w:p>
        </w:tc>
        <w:tc>
          <w:tcPr>
            <w:tcW w:w="701" w:type="pct"/>
            <w:noWrap w:val="0"/>
            <w:vAlign w:val="center"/>
          </w:tcPr>
          <w:p w14:paraId="0EBDAAD5">
            <w:pPr>
              <w:keepNext w:val="0"/>
              <w:keepLines w:val="0"/>
              <w:pageBreakBefore w:val="0"/>
              <w:widowControl/>
              <w:suppressLineNumbers w:val="0"/>
              <w:kinsoku/>
              <w:wordWrap/>
              <w:overflowPunct/>
              <w:topLinePunct w:val="0"/>
              <w:autoSpaceDE/>
              <w:autoSpaceDN/>
              <w:bidi w:val="0"/>
              <w:adjustRightInd/>
              <w:snapToGrid/>
              <w:spacing w:line="240" w:lineRule="auto"/>
              <w:ind w:firstLine="0" w:firstLineChars="0"/>
              <w:jc w:val="center"/>
              <w:textAlignment w:val="center"/>
              <w:rPr>
                <w:rFonts w:hint="default" w:ascii="Times New Roman" w:hAnsi="Times New Roman" w:eastAsia="宋体" w:cs="Times New Roman"/>
                <w:b w:val="0"/>
                <w:bCs w:val="0"/>
                <w:i w:val="0"/>
                <w:color w:val="000000" w:themeColor="text1"/>
                <w:kern w:val="0"/>
                <w:sz w:val="21"/>
                <w:szCs w:val="21"/>
                <w:highlight w:val="none"/>
                <w:u w:val="none"/>
                <w:lang w:val="en-US" w:eastAsia="zh-CN" w:bidi="ar"/>
                <w14:textFill>
                  <w14:solidFill>
                    <w14:schemeClr w14:val="tx1"/>
                  </w14:solidFill>
                </w14:textFill>
              </w:rPr>
            </w:pPr>
            <w:r>
              <w:rPr>
                <w:rFonts w:hint="eastAsia" w:ascii="Times New Roman" w:hAnsi="Times New Roman" w:eastAsia="宋体" w:cs="Times New Roman"/>
                <w:i w:val="0"/>
                <w:color w:val="000000" w:themeColor="text1"/>
                <w:kern w:val="0"/>
                <w:sz w:val="21"/>
                <w:szCs w:val="21"/>
                <w:highlight w:val="none"/>
                <w:u w:val="none"/>
                <w:lang w:val="en-US" w:eastAsia="zh-CN" w:bidi="ar"/>
                <w14:textFill>
                  <w14:solidFill>
                    <w14:schemeClr w14:val="tx1"/>
                  </w14:solidFill>
                </w14:textFill>
              </w:rPr>
              <w:t>达标</w:t>
            </w:r>
          </w:p>
        </w:tc>
      </w:tr>
    </w:tbl>
    <w:p w14:paraId="1E6AC18F">
      <w:pPr>
        <w:spacing w:line="360" w:lineRule="auto"/>
        <w:ind w:firstLine="480"/>
        <w:rPr>
          <w:rFonts w:hint="eastAsia" w:cs="Times New Roman"/>
          <w:color w:val="000000" w:themeColor="text1"/>
          <w:sz w:val="24"/>
          <w:highlight w:val="none"/>
          <w:lang w:val="en-US" w:eastAsia="zh-CN"/>
          <w14:textFill>
            <w14:solidFill>
              <w14:schemeClr w14:val="tx1"/>
            </w14:solidFill>
          </w14:textFill>
        </w:rPr>
      </w:pPr>
      <w:r>
        <w:rPr>
          <w:rFonts w:hint="eastAsia" w:eastAsia="宋体" w:cs="Times New Roman"/>
          <w:color w:val="000000" w:themeColor="text1"/>
          <w:sz w:val="24"/>
          <w:highlight w:val="none"/>
          <w:lang w:val="en-US" w:eastAsia="zh-CN"/>
          <w14:textFill>
            <w14:solidFill>
              <w14:schemeClr w14:val="tx1"/>
            </w14:solidFill>
          </w14:textFill>
        </w:rPr>
        <w:t>根据</w:t>
      </w:r>
      <w:r>
        <w:rPr>
          <w:rFonts w:hint="default" w:eastAsia="宋体" w:cs="Times New Roman"/>
          <w:color w:val="000000" w:themeColor="text1"/>
          <w:sz w:val="24"/>
          <w:highlight w:val="none"/>
          <w:lang w:val="en-US" w:eastAsia="zh-CN"/>
          <w14:textFill>
            <w14:solidFill>
              <w14:schemeClr w14:val="tx1"/>
            </w14:solidFill>
          </w14:textFill>
        </w:rPr>
        <w:t>202</w:t>
      </w:r>
      <w:r>
        <w:rPr>
          <w:rFonts w:hint="eastAsia" w:eastAsia="宋体" w:cs="Times New Roman"/>
          <w:color w:val="000000" w:themeColor="text1"/>
          <w:sz w:val="24"/>
          <w:highlight w:val="none"/>
          <w:lang w:val="en-US" w:eastAsia="zh-CN"/>
          <w14:textFill>
            <w14:solidFill>
              <w14:schemeClr w14:val="tx1"/>
            </w14:solidFill>
          </w14:textFill>
        </w:rPr>
        <w:t>5</w:t>
      </w:r>
      <w:r>
        <w:rPr>
          <w:rFonts w:hint="default" w:eastAsia="宋体" w:cs="Times New Roman"/>
          <w:color w:val="000000" w:themeColor="text1"/>
          <w:sz w:val="24"/>
          <w:highlight w:val="none"/>
          <w:lang w:val="en-US" w:eastAsia="zh-CN"/>
          <w14:textFill>
            <w14:solidFill>
              <w14:schemeClr w14:val="tx1"/>
            </w14:solidFill>
          </w14:textFill>
        </w:rPr>
        <w:t>.05.</w:t>
      </w:r>
      <w:r>
        <w:rPr>
          <w:rFonts w:hint="eastAsia" w:eastAsia="宋体" w:cs="Times New Roman"/>
          <w:color w:val="000000" w:themeColor="text1"/>
          <w:sz w:val="24"/>
          <w:highlight w:val="none"/>
          <w:lang w:val="en-US" w:eastAsia="zh-CN"/>
          <w14:textFill>
            <w14:solidFill>
              <w14:schemeClr w14:val="tx1"/>
            </w14:solidFill>
          </w14:textFill>
        </w:rPr>
        <w:t>15-</w:t>
      </w:r>
      <w:r>
        <w:rPr>
          <w:rFonts w:hint="default" w:eastAsia="宋体" w:cs="Times New Roman"/>
          <w:color w:val="000000" w:themeColor="text1"/>
          <w:sz w:val="24"/>
          <w:highlight w:val="none"/>
          <w:lang w:val="en-US" w:eastAsia="zh-CN"/>
          <w14:textFill>
            <w14:solidFill>
              <w14:schemeClr w14:val="tx1"/>
            </w14:solidFill>
          </w14:textFill>
        </w:rPr>
        <w:t>202</w:t>
      </w:r>
      <w:r>
        <w:rPr>
          <w:rFonts w:hint="eastAsia" w:eastAsia="宋体" w:cs="Times New Roman"/>
          <w:color w:val="000000" w:themeColor="text1"/>
          <w:sz w:val="24"/>
          <w:highlight w:val="none"/>
          <w:lang w:val="en-US" w:eastAsia="zh-CN"/>
          <w14:textFill>
            <w14:solidFill>
              <w14:schemeClr w14:val="tx1"/>
            </w14:solidFill>
          </w14:textFill>
        </w:rPr>
        <w:t>5</w:t>
      </w:r>
      <w:r>
        <w:rPr>
          <w:rFonts w:hint="default" w:eastAsia="宋体" w:cs="Times New Roman"/>
          <w:color w:val="000000" w:themeColor="text1"/>
          <w:sz w:val="24"/>
          <w:highlight w:val="none"/>
          <w:lang w:val="en-US" w:eastAsia="zh-CN"/>
          <w14:textFill>
            <w14:solidFill>
              <w14:schemeClr w14:val="tx1"/>
            </w14:solidFill>
          </w14:textFill>
        </w:rPr>
        <w:t>.05.</w:t>
      </w:r>
      <w:r>
        <w:rPr>
          <w:rFonts w:hint="eastAsia" w:eastAsia="宋体" w:cs="Times New Roman"/>
          <w:color w:val="000000" w:themeColor="text1"/>
          <w:sz w:val="24"/>
          <w:highlight w:val="none"/>
          <w:lang w:val="en-US" w:eastAsia="zh-CN"/>
          <w14:textFill>
            <w14:solidFill>
              <w14:schemeClr w14:val="tx1"/>
            </w14:solidFill>
          </w14:textFill>
        </w:rPr>
        <w:t>17日的监测数据，</w:t>
      </w:r>
      <w:r>
        <w:rPr>
          <w:rFonts w:hint="eastAsia" w:cs="Times New Roman"/>
          <w:color w:val="000000" w:themeColor="text1"/>
          <w:sz w:val="24"/>
          <w:highlight w:val="none"/>
          <w:lang w:eastAsia="zh-CN"/>
          <w14:textFill>
            <w14:solidFill>
              <w14:schemeClr w14:val="tx1"/>
            </w14:solidFill>
          </w14:textFill>
        </w:rPr>
        <w:t>青山水库水质监测因子满足《地表水环境质量标准》（</w:t>
      </w:r>
      <w:r>
        <w:rPr>
          <w:rFonts w:hint="eastAsia" w:cs="Times New Roman"/>
          <w:color w:val="000000" w:themeColor="text1"/>
          <w:sz w:val="24"/>
          <w:highlight w:val="none"/>
          <w:lang w:val="en-US" w:eastAsia="zh-CN"/>
          <w14:textFill>
            <w14:solidFill>
              <w14:schemeClr w14:val="tx1"/>
            </w14:solidFill>
          </w14:textFill>
        </w:rPr>
        <w:t>GB3838-2002</w:t>
      </w:r>
      <w:r>
        <w:rPr>
          <w:rFonts w:hint="eastAsia" w:cs="Times New Roman"/>
          <w:color w:val="000000" w:themeColor="text1"/>
          <w:sz w:val="24"/>
          <w:highlight w:val="none"/>
          <w:lang w:eastAsia="zh-CN"/>
          <w14:textFill>
            <w14:solidFill>
              <w14:schemeClr w14:val="tx1"/>
            </w14:solidFill>
          </w14:textFill>
        </w:rPr>
        <w:t>）中的</w:t>
      </w:r>
      <w:r>
        <w:rPr>
          <w:rFonts w:hint="eastAsia" w:cs="Times New Roman"/>
          <w:color w:val="000000" w:themeColor="text1"/>
          <w:sz w:val="24"/>
          <w:highlight w:val="none"/>
          <w:lang w:val="en-US" w:eastAsia="zh-CN"/>
          <w14:textFill>
            <w14:solidFill>
              <w14:schemeClr w14:val="tx1"/>
            </w14:solidFill>
          </w14:textFill>
        </w:rPr>
        <w:t>III类标准，悬浮物无相应环境标准，仅列出监测值，且叶绿素a未检出，表明本水库不存在水体富营养化。</w:t>
      </w:r>
    </w:p>
    <w:p w14:paraId="3ECBCB4A">
      <w:pPr>
        <w:spacing w:line="360" w:lineRule="auto"/>
        <w:ind w:firstLine="480" w:firstLineChars="200"/>
        <w:rPr>
          <w:rFonts w:hint="eastAsia" w:eastAsia="宋体" w:cs="Times New Roman"/>
          <w:color w:val="000000" w:themeColor="text1"/>
          <w:sz w:val="24"/>
          <w:highlight w:val="none"/>
          <w:lang w:val="en-US" w:eastAsia="zh-CN"/>
          <w14:textFill>
            <w14:solidFill>
              <w14:schemeClr w14:val="tx1"/>
            </w14:solidFill>
          </w14:textFill>
        </w:rPr>
      </w:pPr>
      <w:r>
        <w:rPr>
          <w:rFonts w:hint="eastAsia" w:eastAsia="宋体" w:cs="Times New Roman"/>
          <w:color w:val="000000" w:themeColor="text1"/>
          <w:sz w:val="24"/>
          <w:highlight w:val="none"/>
          <w:lang w:val="en-US" w:eastAsia="zh-CN"/>
          <w14:textFill>
            <w14:solidFill>
              <w14:schemeClr w14:val="tx1"/>
            </w14:solidFill>
          </w14:textFill>
        </w:rPr>
        <w:t>青山水库项目周围无农药企业，农田均合理施肥，且农田为青山水库下游，无农药污染风险，因此可满足《渔业水质标注》（GB11607-89）满足渔业养殖功能。</w:t>
      </w:r>
    </w:p>
    <w:p w14:paraId="1F444A7D">
      <w:pPr>
        <w:spacing w:line="360" w:lineRule="auto"/>
        <w:ind w:firstLine="480" w:firstLineChars="200"/>
        <w:rPr>
          <w:rFonts w:hint="default" w:eastAsia="宋体" w:cs="Times New Roman"/>
          <w:color w:val="000000" w:themeColor="text1"/>
          <w:sz w:val="24"/>
          <w:highlight w:val="none"/>
          <w:lang w:val="en-US" w:eastAsia="zh-CN"/>
          <w14:textFill>
            <w14:solidFill>
              <w14:schemeClr w14:val="tx1"/>
            </w14:solidFill>
          </w14:textFill>
        </w:rPr>
      </w:pPr>
      <w:r>
        <w:rPr>
          <w:rFonts w:hint="eastAsia" w:eastAsia="宋体" w:cs="Times New Roman"/>
          <w:color w:val="000000" w:themeColor="text1"/>
          <w:sz w:val="24"/>
          <w:highlight w:val="none"/>
          <w:lang w:val="en-US" w:eastAsia="zh-CN"/>
          <w14:textFill>
            <w14:solidFill>
              <w14:schemeClr w14:val="tx1"/>
            </w14:solidFill>
          </w14:textFill>
        </w:rPr>
        <w:t>根据监测结果青山水库水质，可满足《农田灌溉水质标准》（GB 5084-2021）表1中的基本控制项目限制，满足灌溉功能要求。</w:t>
      </w:r>
    </w:p>
    <w:p w14:paraId="035B72CF">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eastAsia="宋体" w:cs="Times New Roman"/>
          <w:color w:val="000000" w:themeColor="text1"/>
          <w:sz w:val="24"/>
          <w:highlight w:val="none"/>
          <w:lang w:val="en-US" w:eastAsia="zh-CN"/>
          <w14:textFill>
            <w14:solidFill>
              <w14:schemeClr w14:val="tx1"/>
            </w14:solidFill>
          </w14:textFill>
        </w:rPr>
        <w:t>青山水库无长期监控断面，青山水库下游锅盔河汇入穆棱河，根据鸡西市地表水国控断面穆棱河段为穆棱河口内断面、知一桥断面，2024年1-12月考核断面信息，可满足</w:t>
      </w:r>
      <w:r>
        <w:rPr>
          <w:rFonts w:hint="eastAsia" w:cs="Times New Roman"/>
          <w:color w:val="000000" w:themeColor="text1"/>
          <w:sz w:val="24"/>
          <w:highlight w:val="none"/>
          <w:lang w:eastAsia="zh-CN"/>
          <w14:textFill>
            <w14:solidFill>
              <w14:schemeClr w14:val="tx1"/>
            </w14:solidFill>
          </w14:textFill>
        </w:rPr>
        <w:t>《地表水环境质量标准》（</w:t>
      </w:r>
      <w:r>
        <w:rPr>
          <w:rFonts w:hint="eastAsia" w:cs="Times New Roman"/>
          <w:color w:val="000000" w:themeColor="text1"/>
          <w:sz w:val="24"/>
          <w:highlight w:val="none"/>
          <w:lang w:val="en-US" w:eastAsia="zh-CN"/>
          <w14:textFill>
            <w14:solidFill>
              <w14:schemeClr w14:val="tx1"/>
            </w14:solidFill>
          </w14:textFill>
        </w:rPr>
        <w:t>GB3838-2002</w:t>
      </w:r>
      <w:r>
        <w:rPr>
          <w:rFonts w:hint="eastAsia" w:cs="Times New Roman"/>
          <w:color w:val="000000" w:themeColor="text1"/>
          <w:sz w:val="24"/>
          <w:highlight w:val="none"/>
          <w:lang w:eastAsia="zh-CN"/>
          <w14:textFill>
            <w14:solidFill>
              <w14:schemeClr w14:val="tx1"/>
            </w14:solidFill>
          </w14:textFill>
        </w:rPr>
        <w:t>）中的</w:t>
      </w:r>
      <w:r>
        <w:rPr>
          <w:rFonts w:hint="eastAsia" w:cs="Times New Roman"/>
          <w:color w:val="000000" w:themeColor="text1"/>
          <w:sz w:val="24"/>
          <w:highlight w:val="none"/>
          <w:lang w:val="en-US" w:eastAsia="zh-CN"/>
          <w14:textFill>
            <w14:solidFill>
              <w14:schemeClr w14:val="tx1"/>
            </w14:solidFill>
          </w14:textFill>
        </w:rPr>
        <w:t>III类标准。</w:t>
      </w:r>
    </w:p>
    <w:p w14:paraId="711F8726">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125" w:name="_Toc13967"/>
      <w:r>
        <w:rPr>
          <w:rFonts w:hint="default" w:ascii="Times New Roman" w:hAnsi="Times New Roman" w:cs="Times New Roman"/>
          <w:color w:val="000000" w:themeColor="text1"/>
          <w:highlight w:val="none"/>
          <w14:textFill>
            <w14:solidFill>
              <w14:schemeClr w14:val="tx1"/>
            </w14:solidFill>
          </w14:textFill>
        </w:rPr>
        <w:t>3.</w:t>
      </w:r>
      <w:r>
        <w:rPr>
          <w:rFonts w:hint="eastAsia" w:cs="Times New Roman"/>
          <w:color w:val="000000" w:themeColor="text1"/>
          <w:highlight w:val="none"/>
          <w:lang w:val="en-US" w:eastAsia="zh-CN"/>
          <w14:textFill>
            <w14:solidFill>
              <w14:schemeClr w14:val="tx1"/>
            </w14:solidFill>
          </w14:textFill>
        </w:rPr>
        <w:t>7</w:t>
      </w:r>
      <w:r>
        <w:rPr>
          <w:rFonts w:hint="default" w:ascii="Times New Roman" w:hAnsi="Times New Roman" w:cs="Times New Roman"/>
          <w:color w:val="000000" w:themeColor="text1"/>
          <w:highlight w:val="none"/>
          <w14:textFill>
            <w14:solidFill>
              <w14:schemeClr w14:val="tx1"/>
            </w14:solidFill>
          </w14:textFill>
        </w:rPr>
        <w:t>现状评价结论</w:t>
      </w:r>
      <w:bookmarkEnd w:id="125"/>
    </w:p>
    <w:p w14:paraId="6A0AD642">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根据地表水水质现状检测结果，</w:t>
      </w:r>
      <w:r>
        <w:rPr>
          <w:rFonts w:hint="eastAsia"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color w:val="000000" w:themeColor="text1"/>
          <w:sz w:val="24"/>
          <w:highlight w:val="none"/>
          <w14:textFill>
            <w14:solidFill>
              <w14:schemeClr w14:val="tx1"/>
            </w14:solidFill>
          </w14:textFill>
        </w:rPr>
        <w:t>水库现状水质为Ⅲ类，水库自投入运行以来，在灌溉、防洪及其他方面发挥了巨大的经济、社会效益。</w:t>
      </w:r>
    </w:p>
    <w:p w14:paraId="7C8E1FA4">
      <w:pPr>
        <w:spacing w:line="360" w:lineRule="auto"/>
        <w:ind w:firstLine="480"/>
        <w:rPr>
          <w:rFonts w:hint="default" w:ascii="Times New Roman" w:hAnsi="Times New Roman" w:cs="Times New Roman"/>
          <w:color w:val="000000" w:themeColor="text1"/>
          <w:sz w:val="24"/>
          <w:highlight w:val="none"/>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水库不存在富营养化情况，且无富营养化趋势。</w:t>
      </w:r>
    </w:p>
    <w:p w14:paraId="48DE0EE5">
      <w:pPr>
        <w:spacing w:line="360" w:lineRule="auto"/>
        <w:ind w:firstLine="480"/>
        <w:rPr>
          <w:rFonts w:hint="default" w:ascii="Times New Roman" w:hAnsi="Times New Roman" w:cs="Times New Roman"/>
          <w:color w:val="000000" w:themeColor="text1"/>
          <w:highlight w:val="none"/>
          <w14:textFill>
            <w14:solidFill>
              <w14:schemeClr w14:val="tx1"/>
            </w14:solidFill>
          </w14:textFill>
        </w:rPr>
      </w:pPr>
    </w:p>
    <w:p w14:paraId="62808885">
      <w:pPr>
        <w:ind w:firstLine="480"/>
        <w:rPr>
          <w:rFonts w:hint="default" w:ascii="Times New Roman" w:hAnsi="Times New Roman" w:cs="Times New Roman"/>
          <w:color w:val="000000" w:themeColor="text1"/>
          <w:highlight w:val="none"/>
          <w14:textFill>
            <w14:solidFill>
              <w14:schemeClr w14:val="tx1"/>
            </w14:solidFill>
          </w14:textFill>
        </w:rPr>
      </w:pPr>
    </w:p>
    <w:p w14:paraId="2C47A449">
      <w:pPr>
        <w:ind w:firstLine="480"/>
        <w:rPr>
          <w:rFonts w:hint="default" w:ascii="Times New Roman" w:hAnsi="Times New Roman" w:cs="Times New Roman"/>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1750FCC">
      <w:pPr>
        <w:pStyle w:val="4"/>
        <w:ind w:left="0" w:firstLine="0"/>
        <w:rPr>
          <w:rFonts w:hint="default" w:ascii="Times New Roman" w:hAnsi="Times New Roman" w:cs="Times New Roman"/>
          <w:color w:val="000000" w:themeColor="text1"/>
          <w:highlight w:val="none"/>
          <w14:textFill>
            <w14:solidFill>
              <w14:schemeClr w14:val="tx1"/>
            </w14:solidFill>
          </w14:textFill>
        </w:rPr>
      </w:pPr>
      <w:bookmarkStart w:id="126" w:name="_Toc10392"/>
      <w:bookmarkStart w:id="127" w:name="_Toc12357"/>
      <w:bookmarkStart w:id="128" w:name="_Toc9227"/>
      <w:r>
        <w:rPr>
          <w:rFonts w:hint="default" w:ascii="Times New Roman" w:hAnsi="Times New Roman" w:cs="Times New Roman"/>
          <w:color w:val="000000" w:themeColor="text1"/>
          <w:highlight w:val="none"/>
          <w14:textFill>
            <w14:solidFill>
              <w14:schemeClr w14:val="tx1"/>
            </w14:solidFill>
          </w14:textFill>
        </w:rPr>
        <w:t>4地表水环境影响预测与评价</w:t>
      </w:r>
      <w:bookmarkEnd w:id="126"/>
      <w:bookmarkEnd w:id="127"/>
      <w:bookmarkEnd w:id="128"/>
    </w:p>
    <w:p w14:paraId="781DAB74">
      <w:pPr>
        <w:pStyle w:val="5"/>
        <w:numPr>
          <w:ilvl w:val="1"/>
          <w:numId w:val="0"/>
        </w:numPr>
        <w:rPr>
          <w:rFonts w:hint="eastAsia" w:ascii="Times New Roman" w:hAnsi="Times New Roman" w:eastAsia="宋体" w:cs="Times New Roman"/>
          <w:color w:val="000000" w:themeColor="text1"/>
          <w:highlight w:val="none"/>
          <w:lang w:eastAsia="zh-CN"/>
          <w14:textFill>
            <w14:solidFill>
              <w14:schemeClr w14:val="tx1"/>
            </w14:solidFill>
          </w14:textFill>
        </w:rPr>
      </w:pPr>
      <w:bookmarkStart w:id="129" w:name="_Toc9653"/>
      <w:r>
        <w:rPr>
          <w:rFonts w:hint="default" w:ascii="Times New Roman" w:hAnsi="Times New Roman" w:cs="Times New Roman"/>
          <w:color w:val="000000" w:themeColor="text1"/>
          <w:highlight w:val="none"/>
          <w14:textFill>
            <w14:solidFill>
              <w14:schemeClr w14:val="tx1"/>
            </w14:solidFill>
          </w14:textFill>
        </w:rPr>
        <w:t>4.1</w:t>
      </w:r>
      <w:r>
        <w:rPr>
          <w:rFonts w:hint="eastAsia" w:cs="Times New Roman"/>
          <w:color w:val="000000" w:themeColor="text1"/>
          <w:highlight w:val="none"/>
          <w:lang w:eastAsia="zh-CN"/>
          <w14:textFill>
            <w14:solidFill>
              <w14:schemeClr w14:val="tx1"/>
            </w14:solidFill>
          </w14:textFill>
        </w:rPr>
        <w:t>施工期环境影响分析</w:t>
      </w:r>
      <w:bookmarkEnd w:id="129"/>
    </w:p>
    <w:p w14:paraId="33B73DD5">
      <w:pPr>
        <w:pStyle w:val="6"/>
        <w:bidi w:val="0"/>
        <w:rPr>
          <w:rFonts w:hint="eastAsia"/>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4.1</w:t>
      </w:r>
      <w:r>
        <w:rPr>
          <w:rFonts w:hint="eastAsia"/>
          <w:color w:val="000000" w:themeColor="text1"/>
          <w:lang w:val="en-US" w:eastAsia="zh-CN"/>
          <w14:textFill>
            <w14:solidFill>
              <w14:schemeClr w14:val="tx1"/>
            </w14:solidFill>
          </w14:textFill>
        </w:rPr>
        <w:t>.1</w:t>
      </w:r>
      <w:r>
        <w:rPr>
          <w:rFonts w:hint="eastAsia"/>
          <w:color w:val="000000" w:themeColor="text1"/>
          <w:lang w:eastAsia="zh-CN"/>
          <w14:textFill>
            <w14:solidFill>
              <w14:schemeClr w14:val="tx1"/>
            </w14:solidFill>
          </w14:textFill>
        </w:rPr>
        <w:t>水文情势影响分析</w:t>
      </w:r>
    </w:p>
    <w:p w14:paraId="01CEF5D8">
      <w:pPr>
        <w:spacing w:line="360" w:lineRule="auto"/>
        <w:ind w:firstLine="480"/>
        <w:rPr>
          <w:rFonts w:hint="eastAsia"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本工程为除险加固工程，不涉及水库扩容建设，主要在现有工程的基础上对水库加固建设，不改变原有水位，施工期对水文情势的影响主要施工对河道的阻隔作用，施工组织设计，本次加固施工对水库下部分工程采用下调水位后再施工，枯水期利用大坝旧输水洞下调水位后，进行施工，施工库区水位维持在</w:t>
      </w:r>
      <w:r>
        <w:rPr>
          <w:rFonts w:hint="eastAsia" w:cs="Times New Roman" w:eastAsiaTheme="minorEastAsia"/>
          <w:color w:val="000000" w:themeColor="text1"/>
          <w:sz w:val="24"/>
          <w:highlight w:val="none"/>
          <w:lang w:val="en-US" w:eastAsia="zh-CN"/>
          <w14:textFill>
            <w14:solidFill>
              <w14:schemeClr w14:val="tx1"/>
            </w14:solidFill>
          </w14:textFill>
        </w:rPr>
        <w:t>177.50m以下，无需施工围堰</w:t>
      </w:r>
      <w:r>
        <w:rPr>
          <w:rFonts w:hint="eastAsia" w:cs="Times New Roman" w:eastAsiaTheme="minorEastAsia"/>
          <w:color w:val="000000" w:themeColor="text1"/>
          <w:sz w:val="24"/>
          <w:highlight w:val="none"/>
          <w:lang w:eastAsia="zh-CN"/>
          <w14:textFill>
            <w14:solidFill>
              <w14:schemeClr w14:val="tx1"/>
            </w14:solidFill>
          </w14:textFill>
        </w:rPr>
        <w:t>，如在枯水期遭遇大量来水，水库水位上涨影响施工时，可暂停大坝坝体、输水洞、</w:t>
      </w:r>
      <w:r>
        <w:rPr>
          <w:rFonts w:hint="default" w:cs="Times New Roman" w:eastAsiaTheme="minorEastAsia"/>
          <w:color w:val="000000" w:themeColor="text1"/>
          <w:sz w:val="24"/>
          <w:highlight w:val="none"/>
          <w:lang w:eastAsia="zh-CN"/>
          <w14:textFill>
            <w14:solidFill>
              <w14:schemeClr w14:val="tx1"/>
            </w14:solidFill>
          </w14:textFill>
        </w:rPr>
        <w:t>溢洪道</w:t>
      </w:r>
      <w:r>
        <w:rPr>
          <w:rFonts w:hint="eastAsia" w:cs="Times New Roman" w:eastAsiaTheme="minorEastAsia"/>
          <w:color w:val="000000" w:themeColor="text1"/>
          <w:sz w:val="24"/>
          <w:highlight w:val="none"/>
          <w:lang w:eastAsia="zh-CN"/>
          <w14:textFill>
            <w14:solidFill>
              <w14:schemeClr w14:val="tx1"/>
            </w14:solidFill>
          </w14:textFill>
        </w:rPr>
        <w:t>的施工，短时间内待水库水位下降后，再继续施工。</w:t>
      </w:r>
    </w:p>
    <w:p w14:paraId="3C90FEA6">
      <w:pPr>
        <w:pStyle w:val="6"/>
        <w:bidi w:val="0"/>
        <w:rPr>
          <w:rFonts w:hint="eastAsia"/>
          <w:color w:val="000000" w:themeColor="text1"/>
          <w:lang w:eastAsia="zh-CN"/>
          <w14:textFill>
            <w14:solidFill>
              <w14:schemeClr w14:val="tx1"/>
            </w14:solidFill>
          </w14:textFill>
        </w:rPr>
      </w:pPr>
      <w:r>
        <w:rPr>
          <w:rFonts w:hint="default"/>
          <w:color w:val="000000" w:themeColor="text1"/>
          <w14:textFill>
            <w14:solidFill>
              <w14:schemeClr w14:val="tx1"/>
            </w14:solidFill>
          </w14:textFill>
        </w:rPr>
        <w:t>4.1</w:t>
      </w:r>
      <w:r>
        <w:rPr>
          <w:rFonts w:hint="eastAsia"/>
          <w:color w:val="000000" w:themeColor="text1"/>
          <w:lang w:val="en-US" w:eastAsia="zh-CN"/>
          <w14:textFill>
            <w14:solidFill>
              <w14:schemeClr w14:val="tx1"/>
            </w14:solidFill>
          </w14:textFill>
        </w:rPr>
        <w:t>.2</w:t>
      </w:r>
      <w:r>
        <w:rPr>
          <w:rFonts w:hint="eastAsia"/>
          <w:color w:val="000000" w:themeColor="text1"/>
          <w:lang w:eastAsia="zh-CN"/>
          <w14:textFill>
            <w14:solidFill>
              <w14:schemeClr w14:val="tx1"/>
            </w14:solidFill>
          </w14:textFill>
        </w:rPr>
        <w:t>水污染影响分析</w:t>
      </w:r>
    </w:p>
    <w:p w14:paraId="0BA58652">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本工程施工期的水污染源主要包括施工生产废水和生活污水排放两大部分。本工程所需砂石料从市场购买，不存在砂石料冲洗废水。因此，</w:t>
      </w:r>
      <w:r>
        <w:rPr>
          <w:rFonts w:hint="eastAsia" w:ascii="Times New Roman" w:hAnsi="Times New Roman" w:eastAsia="宋体" w:cs="Times New Roman"/>
          <w:color w:val="000000" w:themeColor="text1"/>
          <w:sz w:val="24"/>
          <w:highlight w:val="none"/>
          <w:lang w:eastAsia="zh-CN"/>
          <w14:textFill>
            <w14:solidFill>
              <w14:schemeClr w14:val="tx1"/>
            </w14:solidFill>
          </w14:textFill>
        </w:rPr>
        <w:t>施工期水污染源主要有施工人员的生活污水、</w:t>
      </w:r>
      <w:r>
        <w:rPr>
          <w:rFonts w:hint="default" w:ascii="Times New Roman" w:hAnsi="Times New Roman" w:cs="Times New Roman"/>
          <w:color w:val="000000" w:themeColor="text1"/>
          <w:sz w:val="24"/>
          <w:highlight w:val="none"/>
          <w:lang w:val="en-US" w:eastAsia="zh-CN"/>
          <w14:textFill>
            <w14:solidFill>
              <w14:schemeClr w14:val="tx1"/>
            </w14:solidFill>
          </w14:textFill>
        </w:rPr>
        <w:t>混凝土废水</w:t>
      </w:r>
      <w:r>
        <w:rPr>
          <w:rFonts w:hint="default" w:ascii="Times New Roman" w:hAnsi="Times New Roman" w:cs="Times New Roman" w:eastAsiaTheme="minorEastAsia"/>
          <w:color w:val="000000" w:themeColor="text1"/>
          <w:sz w:val="24"/>
          <w:highlight w:val="none"/>
          <w14:textFill>
            <w14:solidFill>
              <w14:schemeClr w14:val="tx1"/>
            </w14:solidFill>
          </w14:textFill>
        </w:rPr>
        <w:t>。施工废水污染源的影响是暂时的，施工结束将随之结束。</w:t>
      </w:r>
    </w:p>
    <w:p w14:paraId="158C4AD7">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ascii="Times New Roman" w:hAnsi="Times New Roman" w:cs="Times New Roman" w:eastAsiaTheme="minorEastAsia"/>
          <w:snapToGrid w:val="0"/>
          <w:color w:val="000000" w:themeColor="text1"/>
          <w:spacing w:val="0"/>
          <w:kern w:val="0"/>
          <w:position w:val="0"/>
          <w:sz w:val="24"/>
          <w:highlight w:val="none"/>
          <w:lang w:val="en-US" w:eastAsia="zh-CN"/>
          <w14:textFill>
            <w14:solidFill>
              <w14:schemeClr w14:val="tx1"/>
            </w14:solidFill>
          </w14:textFill>
        </w:rPr>
        <w:t>（1）</w:t>
      </w:r>
      <w:r>
        <w:rPr>
          <w:rFonts w:hint="default" w:ascii="Times New Roman" w:hAnsi="Times New Roman" w:cs="Times New Roman" w:eastAsiaTheme="minorEastAsia"/>
          <w:snapToGrid w:val="0"/>
          <w:color w:val="000000" w:themeColor="text1"/>
          <w:spacing w:val="0"/>
          <w:kern w:val="0"/>
          <w:position w:val="0"/>
          <w:sz w:val="24"/>
          <w:highlight w:val="none"/>
          <w14:textFill>
            <w14:solidFill>
              <w14:schemeClr w14:val="tx1"/>
            </w14:solidFill>
          </w14:textFill>
        </w:rPr>
        <w:t>生活污水</w:t>
      </w:r>
    </w:p>
    <w:p w14:paraId="1544F56E">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生活污水来自施工人员日常生活产生的污水，施工期生活污水主要污染物为</w:t>
      </w:r>
      <w:r>
        <w:rPr>
          <w:rFonts w:hint="eastAsia" w:cs="Times New Roman" w:eastAsiaTheme="minorEastAsia"/>
          <w:color w:val="000000" w:themeColor="text1"/>
          <w:sz w:val="24"/>
          <w:highlight w:val="none"/>
          <w:lang w:val="en-US" w:eastAsia="zh-CN"/>
          <w14:textFill>
            <w14:solidFill>
              <w14:schemeClr w14:val="tx1"/>
            </w14:solidFill>
          </w14:textFill>
        </w:rPr>
        <w:t>COD、BOD、氨氮等，生活污水产生量较少，周围农田较多，可完全消纳生活污水，因此施工期生活污水经过防渗旱厕的储存，定期清掏还田可行，不外排。</w:t>
      </w:r>
    </w:p>
    <w:p w14:paraId="6451B4C3">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ascii="Times New Roman" w:hAnsi="Times New Roman" w:cs="Times New Roman" w:eastAsiaTheme="minorEastAsia"/>
          <w:snapToGrid w:val="0"/>
          <w:color w:val="000000" w:themeColor="text1"/>
          <w:spacing w:val="0"/>
          <w:position w:val="0"/>
          <w:sz w:val="24"/>
          <w:highlight w:val="none"/>
          <w:lang w:val="en-US" w:eastAsia="zh-CN"/>
          <w14:textFill>
            <w14:solidFill>
              <w14:schemeClr w14:val="tx1"/>
            </w14:solidFill>
          </w14:textFill>
        </w:rPr>
        <w:t>（2）</w:t>
      </w:r>
      <w:r>
        <w:rPr>
          <w:rFonts w:hint="default" w:ascii="Times New Roman" w:hAnsi="Times New Roman" w:cs="Times New Roman"/>
          <w:color w:val="000000" w:themeColor="text1"/>
          <w:sz w:val="24"/>
          <w:highlight w:val="none"/>
          <w:lang w:val="en-US" w:eastAsia="zh-CN"/>
          <w14:textFill>
            <w14:solidFill>
              <w14:schemeClr w14:val="tx1"/>
            </w14:solidFill>
          </w14:textFill>
        </w:rPr>
        <w:t>混凝土废水</w:t>
      </w:r>
    </w:p>
    <w:p w14:paraId="2A5FAB7D">
      <w:pPr>
        <w:spacing w:line="360" w:lineRule="auto"/>
        <w:ind w:firstLine="480"/>
        <w:rPr>
          <w:rFonts w:hint="eastAsia"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为处理施工冲洗废水，拟在各施工区修建1套混凝土搅拌机冲洗废水处理系统。根据施工总布置规划，由于混凝土搅拌机冲洗废水的污染物单一，其废水处理系统拟在施工区设置1座10m³沉淀池，废水自流入沉淀池，沉淀废水中的泥沙，静止2h后，</w:t>
      </w:r>
      <w:r>
        <w:rPr>
          <w:rFonts w:hint="eastAsia" w:cs="Times New Roman" w:eastAsiaTheme="minorEastAsia"/>
          <w:color w:val="000000" w:themeColor="text1"/>
          <w:sz w:val="24"/>
          <w:highlight w:val="none"/>
          <w:lang w:eastAsia="zh-CN"/>
          <w14:textFill>
            <w14:solidFill>
              <w14:schemeClr w14:val="tx1"/>
            </w14:solidFill>
          </w14:textFill>
        </w:rPr>
        <w:t>上层清水可回用于生产</w:t>
      </w:r>
      <w:r>
        <w:rPr>
          <w:rFonts w:hint="default" w:ascii="Times New Roman" w:hAnsi="Times New Roman" w:cs="Times New Roman" w:eastAsiaTheme="minorEastAsia"/>
          <w:color w:val="000000" w:themeColor="text1"/>
          <w:sz w:val="24"/>
          <w:highlight w:val="none"/>
          <w14:textFill>
            <w14:solidFill>
              <w14:schemeClr w14:val="tx1"/>
            </w14:solidFill>
          </w14:textFill>
        </w:rPr>
        <w:t>，可经水泵加压回用，每天泵抽回用于混凝土拌和系统的冲洗或场地、道路抑尘洒水。混凝土拌和系统废水经过沉淀处理后回用废水不外排，对周边地表水体环境影响不大</w:t>
      </w:r>
      <w:r>
        <w:rPr>
          <w:rFonts w:hint="eastAsia" w:cs="Times New Roman" w:eastAsiaTheme="minorEastAsia"/>
          <w:color w:val="000000" w:themeColor="text1"/>
          <w:sz w:val="24"/>
          <w:highlight w:val="none"/>
          <w:lang w:eastAsia="zh-CN"/>
          <w14:textFill>
            <w14:solidFill>
              <w14:schemeClr w14:val="tx1"/>
            </w14:solidFill>
          </w14:textFill>
        </w:rPr>
        <w:t>。</w:t>
      </w:r>
    </w:p>
    <w:p w14:paraId="7520A018">
      <w:pPr>
        <w:spacing w:line="360" w:lineRule="auto"/>
        <w:ind w:firstLine="480"/>
        <w:rPr>
          <w:rFonts w:hint="eastAsia" w:cs="Times New Roman" w:eastAsiaTheme="minorEastAsia"/>
          <w:color w:val="000000" w:themeColor="text1"/>
          <w:sz w:val="24"/>
          <w:highlight w:val="none"/>
          <w:lang w:eastAsia="zh-CN"/>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3</w:t>
      </w:r>
      <w:r>
        <w:rPr>
          <w:rFonts w:hint="eastAsia" w:cs="Times New Roman" w:eastAsiaTheme="minorEastAsia"/>
          <w:color w:val="000000" w:themeColor="text1"/>
          <w:sz w:val="24"/>
          <w:highlight w:val="none"/>
          <w:lang w:eastAsia="zh-CN"/>
          <w14:textFill>
            <w14:solidFill>
              <w14:schemeClr w14:val="tx1"/>
            </w14:solidFill>
          </w14:textFill>
        </w:rPr>
        <w:t>）含油废水</w:t>
      </w:r>
    </w:p>
    <w:p w14:paraId="3536A745">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本项目所使用的大型机械要求在入场前完成养护及维修，本施工厂区内不维修所使用的大型机械，产生故障灯闪亮后发生故障前要求前往密山市大型机械设备维修养护处维修养护，因此本项目无含油废水产生</w:t>
      </w:r>
      <w:r>
        <w:rPr>
          <w:rFonts w:hint="default" w:ascii="Times New Roman" w:hAnsi="Times New Roman" w:cs="Times New Roman" w:eastAsiaTheme="minorEastAsia"/>
          <w:color w:val="000000" w:themeColor="text1"/>
          <w:sz w:val="24"/>
          <w:highlight w:val="none"/>
          <w14:textFill>
            <w14:solidFill>
              <w14:schemeClr w14:val="tx1"/>
            </w14:solidFill>
          </w14:textFill>
        </w:rPr>
        <w:t>。</w:t>
      </w:r>
    </w:p>
    <w:p w14:paraId="2EA27B57">
      <w:pPr>
        <w:pStyle w:val="5"/>
        <w:numPr>
          <w:ilvl w:val="1"/>
          <w:numId w:val="0"/>
        </w:numPr>
        <w:spacing w:line="360" w:lineRule="auto"/>
        <w:rPr>
          <w:rFonts w:hint="default" w:ascii="Times New Roman" w:hAnsi="Times New Roman" w:cs="Times New Roman"/>
          <w:color w:val="000000" w:themeColor="text1"/>
          <w:highlight w:val="none"/>
          <w14:textFill>
            <w14:solidFill>
              <w14:schemeClr w14:val="tx1"/>
            </w14:solidFill>
          </w14:textFill>
        </w:rPr>
      </w:pPr>
      <w:bookmarkStart w:id="130" w:name="_Toc31389"/>
      <w:r>
        <w:rPr>
          <w:rFonts w:hint="default" w:ascii="Times New Roman" w:hAnsi="Times New Roman" w:cs="Times New Roman"/>
          <w:color w:val="000000" w:themeColor="text1"/>
          <w:highlight w:val="none"/>
          <w14:textFill>
            <w14:solidFill>
              <w14:schemeClr w14:val="tx1"/>
            </w14:solidFill>
          </w14:textFill>
        </w:rPr>
        <w:t>4.2运行期影响分析</w:t>
      </w:r>
      <w:bookmarkEnd w:id="130"/>
    </w:p>
    <w:p w14:paraId="618357DE">
      <w:pPr>
        <w:pStyle w:val="6"/>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4.2.1水文情势影响</w:t>
      </w:r>
    </w:p>
    <w:p w14:paraId="1C7C5099">
      <w:pPr>
        <w:spacing w:line="360" w:lineRule="auto"/>
        <w:ind w:firstLine="480"/>
        <w:rPr>
          <w:rFonts w:hint="eastAsia" w:eastAsia="宋体" w:cs="Times New Roman"/>
          <w:color w:val="000000" w:themeColor="text1"/>
          <w:sz w:val="24"/>
          <w:szCs w:val="24"/>
          <w:highlight w:val="none"/>
          <w:lang w:eastAsia="zh-CN"/>
          <w14:textFill>
            <w14:solidFill>
              <w14:schemeClr w14:val="tx1"/>
            </w14:solidFill>
          </w14:textFill>
        </w:rPr>
      </w:pPr>
      <w:r>
        <w:rPr>
          <w:rFonts w:hint="eastAsia" w:eastAsia="宋体" w:cs="Times New Roman"/>
          <w:color w:val="000000" w:themeColor="text1"/>
          <w:sz w:val="24"/>
          <w:szCs w:val="24"/>
          <w:highlight w:val="none"/>
          <w:lang w:eastAsia="zh-CN"/>
          <w14:textFill>
            <w14:solidFill>
              <w14:schemeClr w14:val="tx1"/>
            </w14:solidFill>
          </w14:textFill>
        </w:rPr>
        <w:t>（</w:t>
      </w:r>
      <w:r>
        <w:rPr>
          <w:rFonts w:hint="eastAsia" w:eastAsia="宋体" w:cs="Times New Roman"/>
          <w:color w:val="000000" w:themeColor="text1"/>
          <w:sz w:val="24"/>
          <w:szCs w:val="24"/>
          <w:highlight w:val="none"/>
          <w:lang w:val="en-US" w:eastAsia="zh-CN"/>
          <w14:textFill>
            <w14:solidFill>
              <w14:schemeClr w14:val="tx1"/>
            </w14:solidFill>
          </w14:textFill>
        </w:rPr>
        <w:t>1</w:t>
      </w:r>
      <w:r>
        <w:rPr>
          <w:rFonts w:hint="eastAsia" w:eastAsia="宋体" w:cs="Times New Roman"/>
          <w:color w:val="000000" w:themeColor="text1"/>
          <w:sz w:val="24"/>
          <w:szCs w:val="24"/>
          <w:highlight w:val="none"/>
          <w:lang w:eastAsia="zh-CN"/>
          <w14:textFill>
            <w14:solidFill>
              <w14:schemeClr w14:val="tx1"/>
            </w14:solidFill>
          </w14:textFill>
        </w:rPr>
        <w:t>）水文情势影响</w:t>
      </w:r>
    </w:p>
    <w:p w14:paraId="6F70AE08">
      <w:pPr>
        <w:spacing w:line="360" w:lineRule="auto"/>
        <w:ind w:firstLine="480"/>
        <w:rPr>
          <w:rFonts w:hint="default" w:ascii="Times New Roman" w:hAnsi="Times New Roman" w:cs="Times New Roman"/>
          <w:color w:val="000000" w:themeColor="text1"/>
          <w:kern w:val="0"/>
          <w:sz w:val="24"/>
          <w:highlight w:val="none"/>
          <w14:textFill>
            <w14:solidFill>
              <w14:schemeClr w14:val="tx1"/>
            </w14:solidFill>
          </w14:textFill>
        </w:rPr>
      </w:pPr>
      <w:r>
        <w:rPr>
          <w:rFonts w:eastAsia="宋体" w:cs="Times New Roman"/>
          <w:color w:val="000000" w:themeColor="text1"/>
          <w:sz w:val="24"/>
          <w:szCs w:val="24"/>
          <w:highlight w:val="none"/>
          <w14:textFill>
            <w14:solidFill>
              <w14:schemeClr w14:val="tx1"/>
            </w14:solidFill>
          </w14:textFill>
        </w:rPr>
        <w:t>本次</w:t>
      </w:r>
      <w:r>
        <w:rPr>
          <w:rFonts w:ascii="Times New Roman" w:hAnsi="Times New Roman" w:eastAsia="宋体" w:cs="Times New Roman"/>
          <w:color w:val="000000" w:themeColor="text1"/>
          <w:sz w:val="24"/>
          <w:szCs w:val="24"/>
          <w:highlight w:val="none"/>
          <w14:textFill>
            <w14:solidFill>
              <w14:schemeClr w14:val="tx1"/>
            </w14:solidFill>
          </w14:textFill>
        </w:rPr>
        <w:t>除险加固</w:t>
      </w:r>
      <w:r>
        <w:rPr>
          <w:rFonts w:eastAsia="宋体" w:cs="Times New Roman"/>
          <w:color w:val="000000" w:themeColor="text1"/>
          <w:sz w:val="24"/>
          <w:szCs w:val="24"/>
          <w:highlight w:val="none"/>
          <w14:textFill>
            <w14:solidFill>
              <w14:schemeClr w14:val="tx1"/>
            </w14:solidFill>
          </w14:textFill>
        </w:rPr>
        <w:t>工程的主要任务是通过</w:t>
      </w:r>
      <w:r>
        <w:rPr>
          <w:rFonts w:hint="eastAsia" w:eastAsia="宋体" w:cs="Times New Roman"/>
          <w:color w:val="000000" w:themeColor="text1"/>
          <w:sz w:val="24"/>
          <w:szCs w:val="24"/>
          <w:highlight w:val="none"/>
          <w:lang w:val="en-US" w:eastAsia="zh-CN"/>
          <w14:textFill>
            <w14:solidFill>
              <w14:schemeClr w14:val="tx1"/>
            </w14:solidFill>
          </w14:textFill>
        </w:rPr>
        <w:t>维修重建</w:t>
      </w:r>
      <w:r>
        <w:rPr>
          <w:rFonts w:eastAsia="宋体" w:cs="Times New Roman"/>
          <w:color w:val="000000" w:themeColor="text1"/>
          <w:sz w:val="24"/>
          <w:szCs w:val="24"/>
          <w:highlight w:val="none"/>
          <w14:textFill>
            <w14:solidFill>
              <w14:schemeClr w14:val="tx1"/>
            </w14:solidFill>
          </w14:textFill>
        </w:rPr>
        <w:t>，对土坝</w:t>
      </w:r>
      <w:r>
        <w:rPr>
          <w:rFonts w:hint="eastAsia" w:eastAsia="宋体" w:cs="Times New Roman"/>
          <w:color w:val="000000" w:themeColor="text1"/>
          <w:sz w:val="24"/>
          <w:szCs w:val="24"/>
          <w:highlight w:val="none"/>
          <w:lang w:val="en-US" w:eastAsia="zh-CN"/>
          <w14:textFill>
            <w14:solidFill>
              <w14:schemeClr w14:val="tx1"/>
            </w14:solidFill>
          </w14:textFill>
        </w:rPr>
        <w:t>和</w:t>
      </w:r>
      <w:r>
        <w:rPr>
          <w:rFonts w:hint="eastAsia" w:ascii="Times New Roman" w:hAnsi="Times New Roman" w:eastAsia="宋体" w:cs="Times New Roman"/>
          <w:color w:val="000000" w:themeColor="text1"/>
          <w:sz w:val="24"/>
          <w:szCs w:val="24"/>
          <w:highlight w:val="none"/>
          <w14:textFill>
            <w14:solidFill>
              <w14:schemeClr w14:val="tx1"/>
            </w14:solidFill>
          </w14:textFill>
        </w:rPr>
        <w:t>灌溉泄洪洞</w:t>
      </w:r>
      <w:r>
        <w:rPr>
          <w:rFonts w:eastAsia="宋体" w:cs="Times New Roman"/>
          <w:color w:val="000000" w:themeColor="text1"/>
          <w:sz w:val="24"/>
          <w:szCs w:val="24"/>
          <w:highlight w:val="none"/>
          <w14:textFill>
            <w14:solidFill>
              <w14:schemeClr w14:val="tx1"/>
            </w14:solidFill>
          </w14:textFill>
        </w:rPr>
        <w:t>存在的问题进行消险，增强水库抵御超标准洪水的能力，使水库的防灾减灾能力全面提升。</w:t>
      </w:r>
      <w:r>
        <w:rPr>
          <w:rFonts w:hint="eastAsia" w:eastAsia="宋体" w:cs="Times New Roman"/>
          <w:color w:val="000000" w:themeColor="text1"/>
          <w:sz w:val="24"/>
          <w:szCs w:val="24"/>
          <w:highlight w:val="none"/>
          <w:lang w:val="en-US" w:eastAsia="zh-CN"/>
          <w14:textFill>
            <w14:solidFill>
              <w14:schemeClr w14:val="tx1"/>
            </w14:solidFill>
          </w14:textFill>
        </w:rPr>
        <w:t>根据水库规模复核及调度方案，水库基本维持原规模不变，项目建成后仅在发生超标准洪水时坝下下泄流量随洪水变化，其余时间均与现状相同，因此工程建设运行期对水文情势基本不产生影响</w:t>
      </w:r>
      <w:r>
        <w:rPr>
          <w:rFonts w:hint="default" w:ascii="Times New Roman" w:hAnsi="Times New Roman" w:cs="Times New Roman"/>
          <w:color w:val="000000" w:themeColor="text1"/>
          <w:kern w:val="0"/>
          <w:sz w:val="24"/>
          <w:highlight w:val="none"/>
          <w14:textFill>
            <w14:solidFill>
              <w14:schemeClr w14:val="tx1"/>
            </w14:solidFill>
          </w14:textFill>
        </w:rPr>
        <w:t>。</w:t>
      </w:r>
    </w:p>
    <w:p w14:paraId="0CB9ACB5">
      <w:pPr>
        <w:spacing w:line="360" w:lineRule="auto"/>
        <w:ind w:firstLine="480"/>
        <w:rPr>
          <w:rFonts w:hint="eastAsia" w:cs="Times New Roman" w:eastAsiaTheme="minorEastAsia"/>
          <w:color w:val="000000" w:themeColor="text1"/>
          <w:sz w:val="24"/>
          <w:highlight w:val="none"/>
          <w:lang w:eastAsia="zh-CN"/>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w:t>
      </w:r>
      <w:r>
        <w:rPr>
          <w:rFonts w:hint="eastAsia" w:cs="Times New Roman" w:eastAsiaTheme="minorEastAsia"/>
          <w:color w:val="000000" w:themeColor="text1"/>
          <w:sz w:val="24"/>
          <w:highlight w:val="none"/>
          <w:lang w:val="en-US" w:eastAsia="zh-CN"/>
          <w14:textFill>
            <w14:solidFill>
              <w14:schemeClr w14:val="tx1"/>
            </w14:solidFill>
          </w14:textFill>
        </w:rPr>
        <w:t>2</w:t>
      </w:r>
      <w:r>
        <w:rPr>
          <w:rFonts w:hint="eastAsia" w:cs="Times New Roman" w:eastAsiaTheme="minorEastAsia"/>
          <w:color w:val="000000" w:themeColor="text1"/>
          <w:sz w:val="24"/>
          <w:highlight w:val="none"/>
          <w:lang w:eastAsia="zh-CN"/>
          <w14:textFill>
            <w14:solidFill>
              <w14:schemeClr w14:val="tx1"/>
            </w14:solidFill>
          </w14:textFill>
        </w:rPr>
        <w:t>）水位影响</w:t>
      </w:r>
    </w:p>
    <w:p w14:paraId="3B220F11">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 w:val="24"/>
          <w:highlight w:val="none"/>
          <w14:textFill>
            <w14:solidFill>
              <w14:schemeClr w14:val="tx1"/>
            </w14:solidFill>
          </w14:textFill>
        </w:rPr>
        <w:t>水库目前运用死水位为</w:t>
      </w:r>
      <w:r>
        <w:rPr>
          <w:rFonts w:hint="eastAsia" w:cs="Times New Roman" w:eastAsiaTheme="minorEastAsia"/>
          <w:color w:val="000000" w:themeColor="text1"/>
          <w:sz w:val="24"/>
          <w:highlight w:val="none"/>
          <w:lang w:val="en-US" w:eastAsia="zh-CN"/>
          <w14:textFill>
            <w14:solidFill>
              <w14:schemeClr w14:val="tx1"/>
            </w14:solidFill>
          </w14:textFill>
        </w:rPr>
        <w:t>172.50</w:t>
      </w:r>
      <w:r>
        <w:rPr>
          <w:rFonts w:hint="default" w:ascii="Times New Roman" w:hAnsi="Times New Roman" w:cs="Times New Roman" w:eastAsiaTheme="minorEastAsia"/>
          <w:color w:val="000000" w:themeColor="text1"/>
          <w:sz w:val="24"/>
          <w:highlight w:val="none"/>
          <w14:textFill>
            <w14:solidFill>
              <w14:schemeClr w14:val="tx1"/>
            </w14:solidFill>
          </w14:textFill>
        </w:rPr>
        <w:t>m，死库容为</w:t>
      </w:r>
      <w:r>
        <w:rPr>
          <w:rFonts w:hint="eastAsia" w:cs="Times New Roman" w:eastAsiaTheme="minorEastAsia"/>
          <w:color w:val="000000" w:themeColor="text1"/>
          <w:sz w:val="24"/>
          <w:highlight w:val="none"/>
          <w:lang w:val="en-US" w:eastAsia="zh-CN"/>
          <w14:textFill>
            <w14:solidFill>
              <w14:schemeClr w14:val="tx1"/>
            </w14:solidFill>
          </w14:textFill>
        </w:rPr>
        <w:t>8.45</w:t>
      </w:r>
      <w:r>
        <w:rPr>
          <w:rFonts w:hint="default" w:ascii="Times New Roman" w:hAnsi="Times New Roman" w:cs="Times New Roman" w:eastAsiaTheme="minorEastAsia"/>
          <w:color w:val="000000" w:themeColor="text1"/>
          <w:sz w:val="24"/>
          <w:highlight w:val="none"/>
          <w14:textFill>
            <w14:solidFill>
              <w14:schemeClr w14:val="tx1"/>
            </w14:solidFill>
          </w14:textFill>
        </w:rPr>
        <w:t>×10</w:t>
      </w:r>
      <w:r>
        <w:rPr>
          <w:rFonts w:hint="default" w:ascii="Times New Roman" w:hAnsi="Times New Roman" w:cs="Times New Roman" w:eastAsiaTheme="minorEastAsia"/>
          <w:color w:val="000000" w:themeColor="text1"/>
          <w:sz w:val="24"/>
          <w:highlight w:val="none"/>
          <w:vertAlign w:val="superscript"/>
          <w14:textFill>
            <w14:solidFill>
              <w14:schemeClr w14:val="tx1"/>
            </w14:solidFill>
          </w14:textFill>
        </w:rPr>
        <w:t>4</w:t>
      </w:r>
      <w:r>
        <w:rPr>
          <w:rFonts w:hint="default" w:ascii="Times New Roman" w:hAnsi="Times New Roman" w:cs="Times New Roman" w:eastAsiaTheme="minorEastAsia"/>
          <w:color w:val="000000" w:themeColor="text1"/>
          <w:sz w:val="24"/>
          <w:highlight w:val="none"/>
          <w14:textFill>
            <w14:solidFill>
              <w14:schemeClr w14:val="tx1"/>
            </w14:solidFill>
          </w14:textFill>
        </w:rPr>
        <w:t>m</w:t>
      </w:r>
      <w:r>
        <w:rPr>
          <w:rFonts w:hint="default" w:ascii="Times New Roman" w:hAnsi="Times New Roman" w:cs="Times New Roman" w:eastAsiaTheme="minorEastAsia"/>
          <w:color w:val="000000" w:themeColor="text1"/>
          <w:sz w:val="24"/>
          <w:highlight w:val="none"/>
          <w:vertAlign w:val="superscript"/>
          <w14:textFill>
            <w14:solidFill>
              <w14:schemeClr w14:val="tx1"/>
            </w14:solidFill>
          </w14:textFill>
        </w:rPr>
        <w:t>3</w:t>
      </w:r>
      <w:r>
        <w:rPr>
          <w:rFonts w:hint="default" w:ascii="Times New Roman" w:hAnsi="Times New Roman" w:cs="Times New Roman" w:eastAsiaTheme="minorEastAsia"/>
          <w:color w:val="000000" w:themeColor="text1"/>
          <w:sz w:val="24"/>
          <w:highlight w:val="none"/>
          <w14:textFill>
            <w14:solidFill>
              <w14:schemeClr w14:val="tx1"/>
            </w14:solidFill>
          </w14:textFill>
        </w:rPr>
        <w:t>。由于</w:t>
      </w:r>
      <w:r>
        <w:rPr>
          <w:rFonts w:hint="eastAsia" w:cs="Times New Roman" w:eastAsiaTheme="minorEastAsia"/>
          <w:color w:val="000000" w:themeColor="text1"/>
          <w:sz w:val="24"/>
          <w:highlight w:val="none"/>
          <w:lang w:eastAsia="zh-CN"/>
          <w14:textFill>
            <w14:solidFill>
              <w14:schemeClr w14:val="tx1"/>
            </w14:solidFill>
          </w14:textFill>
        </w:rPr>
        <w:t>青山</w:t>
      </w:r>
      <w:r>
        <w:rPr>
          <w:rFonts w:hint="default" w:ascii="Times New Roman" w:hAnsi="Times New Roman" w:cs="Times New Roman" w:eastAsiaTheme="minorEastAsia"/>
          <w:color w:val="000000" w:themeColor="text1"/>
          <w:sz w:val="24"/>
          <w:highlight w:val="none"/>
          <w14:textFill>
            <w14:solidFill>
              <w14:schemeClr w14:val="tx1"/>
            </w14:solidFill>
          </w14:textFill>
        </w:rPr>
        <w:t>水库坝址以上流域内植被良好，年输沙量不大，水库设计死水位能满足正常运用要求，可维持现状死水位</w:t>
      </w:r>
      <w:r>
        <w:rPr>
          <w:rFonts w:hint="eastAsia" w:cs="Times New Roman" w:eastAsiaTheme="minorEastAsia"/>
          <w:color w:val="000000" w:themeColor="text1"/>
          <w:sz w:val="24"/>
          <w:highlight w:val="none"/>
          <w:lang w:val="en-US" w:eastAsia="zh-CN"/>
          <w14:textFill>
            <w14:solidFill>
              <w14:schemeClr w14:val="tx1"/>
            </w14:solidFill>
          </w14:textFill>
        </w:rPr>
        <w:t>172.50</w:t>
      </w:r>
      <w:r>
        <w:rPr>
          <w:rFonts w:hint="default" w:ascii="Times New Roman" w:hAnsi="Times New Roman" w:cs="Times New Roman" w:eastAsiaTheme="minorEastAsia"/>
          <w:color w:val="000000" w:themeColor="text1"/>
          <w:sz w:val="24"/>
          <w:highlight w:val="none"/>
          <w14:textFill>
            <w14:solidFill>
              <w14:schemeClr w14:val="tx1"/>
            </w14:solidFill>
          </w14:textFill>
        </w:rPr>
        <w:t>m不变。</w:t>
      </w:r>
    </w:p>
    <w:p w14:paraId="49515470">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当库水位在正常蓄水位与农业供水限制线之间时，属于正常供水区，农业灌溉按需水量供水；</w:t>
      </w:r>
    </w:p>
    <w:p w14:paraId="039B7452">
      <w:pPr>
        <w:spacing w:line="360" w:lineRule="auto"/>
        <w:ind w:firstLine="48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当库水位低于农业供水限制线，即落于限制供水区时，农业灌溉按正常需水量的50%供水。调节过程中，库水位不低于死水位。</w:t>
      </w:r>
    </w:p>
    <w:p w14:paraId="11254A99">
      <w:pPr>
        <w:spacing w:line="360" w:lineRule="auto"/>
        <w:ind w:firstLine="480"/>
        <w:rPr>
          <w:rFonts w:hint="default" w:eastAsia="宋体"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w:t>
      </w:r>
      <w:r>
        <w:rPr>
          <w:rFonts w:hint="eastAsia" w:cs="Times New Roman"/>
          <w:color w:val="000000" w:themeColor="text1"/>
          <w:sz w:val="24"/>
          <w:szCs w:val="24"/>
          <w:highlight w:val="none"/>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最小下泄生态流量</w:t>
      </w:r>
    </w:p>
    <w:p w14:paraId="093F5744">
      <w:pPr>
        <w:spacing w:line="360" w:lineRule="auto"/>
        <w:ind w:firstLine="480"/>
        <w:rPr>
          <w:rFonts w:hint="eastAsia" w:eastAsia="宋体" w:cs="Times New Roman"/>
          <w:color w:val="000000" w:themeColor="text1"/>
          <w:sz w:val="24"/>
          <w:szCs w:val="24"/>
          <w:highlight w:val="none"/>
          <w:lang w:eastAsia="zh-CN"/>
          <w14:textFill>
            <w14:solidFill>
              <w14:schemeClr w14:val="tx1"/>
            </w14:solidFill>
          </w14:textFill>
        </w:rPr>
      </w:pPr>
      <w:r>
        <w:rPr>
          <w:rFonts w:hint="eastAsia"/>
          <w:color w:val="000000" w:themeColor="text1"/>
          <w:kern w:val="0"/>
          <w:sz w:val="24"/>
          <w:szCs w:val="24"/>
          <w14:textFill>
            <w14:solidFill>
              <w14:schemeClr w14:val="tx1"/>
            </w14:solidFill>
          </w14:textFill>
        </w:rPr>
        <w:t>根据《中华人民共和国水法》(2016年7月2日修正) 中*第二十一条开发、利用水资源，应当首先满足城乡居民生活用水，并兼顾农业、工业、生态环境用水以及航运等需要。在干旱和半干旱地区开发、利用水资源，应当充分考虑生态环境用水需要”</w:t>
      </w:r>
      <w:r>
        <w:rPr>
          <w:rFonts w:hint="eastAsia"/>
          <w:color w:val="000000" w:themeColor="text1"/>
          <w:kern w:val="0"/>
          <w:sz w:val="24"/>
          <w:szCs w:val="24"/>
          <w:lang w:eastAsia="zh-CN"/>
          <w14:textFill>
            <w14:solidFill>
              <w14:schemeClr w14:val="tx1"/>
            </w14:solidFill>
          </w14:textFill>
        </w:rPr>
        <w:t>。</w:t>
      </w:r>
    </w:p>
    <w:p w14:paraId="1A1041C0">
      <w:pPr>
        <w:spacing w:line="360" w:lineRule="auto"/>
        <w:ind w:firstLine="480"/>
        <w:rPr>
          <w:rFonts w:hint="eastAsia" w:eastAsia="宋体" w:cs="Times New Roman"/>
          <w:color w:val="000000" w:themeColor="text1"/>
          <w:sz w:val="24"/>
          <w:szCs w:val="24"/>
          <w:highlight w:val="none"/>
          <w:lang w:eastAsia="zh-CN"/>
          <w14:textFill>
            <w14:solidFill>
              <w14:schemeClr w14:val="tx1"/>
            </w14:solidFill>
          </w14:textFill>
        </w:rPr>
      </w:pPr>
      <w:r>
        <w:rPr>
          <w:rFonts w:hint="eastAsia" w:cs="Times New Roman"/>
          <w:color w:val="000000" w:themeColor="text1"/>
          <w:sz w:val="24"/>
          <w:szCs w:val="24"/>
          <w:highlight w:val="none"/>
          <w:lang w:eastAsia="zh-CN"/>
          <w14:textFill>
            <w14:solidFill>
              <w14:schemeClr w14:val="tx1"/>
            </w14:solidFill>
          </w14:textFill>
        </w:rPr>
        <w:t>青山水库</w:t>
      </w:r>
      <w:r>
        <w:rPr>
          <w:rFonts w:hint="eastAsia"/>
          <w:color w:val="000000" w:themeColor="text1"/>
          <w:kern w:val="0"/>
          <w:sz w:val="24"/>
          <w:szCs w:val="24"/>
          <w14:textFill>
            <w14:solidFill>
              <w14:schemeClr w14:val="tx1"/>
            </w14:solidFill>
          </w14:textFill>
        </w:rPr>
        <w:t>是一座以灌溉为主，兼有防洪、养殖等综合效益的</w:t>
      </w:r>
      <w:r>
        <w:rPr>
          <w:color w:val="000000" w:themeColor="text1"/>
          <w:sz w:val="24"/>
          <w:szCs w:val="24"/>
          <w14:textFill>
            <w14:solidFill>
              <w14:schemeClr w14:val="tx1"/>
            </w14:solidFill>
          </w14:textFill>
        </w:rPr>
        <w:t>小（</w:t>
      </w:r>
      <w:r>
        <w:rPr>
          <w:rFonts w:hint="eastAsia"/>
          <w:color w:val="000000" w:themeColor="text1"/>
          <w:sz w:val="24"/>
          <w:szCs w:val="24"/>
          <w:lang w:val="en-US" w:eastAsia="zh-CN"/>
          <w14:textFill>
            <w14:solidFill>
              <w14:schemeClr w14:val="tx1"/>
            </w14:solidFill>
          </w14:textFill>
        </w:rPr>
        <w:t>I</w:t>
      </w:r>
      <w:r>
        <w:rPr>
          <w:color w:val="000000" w:themeColor="text1"/>
          <w:sz w:val="24"/>
          <w:szCs w:val="24"/>
          <w14:textFill>
            <w14:solidFill>
              <w14:schemeClr w14:val="tx1"/>
            </w14:solidFill>
          </w14:textFill>
        </w:rPr>
        <w:t>）型水库</w:t>
      </w:r>
      <w:r>
        <w:rPr>
          <w:rFonts w:hint="eastAsia"/>
          <w:color w:val="000000" w:themeColor="text1"/>
          <w:kern w:val="0"/>
          <w:sz w:val="24"/>
          <w:szCs w:val="24"/>
          <w14:textFill>
            <w14:solidFill>
              <w14:schemeClr w14:val="tx1"/>
            </w14:solidFill>
          </w14:textFill>
        </w:rPr>
        <w:t>。为了满足下游最低生态用水的需要，需要下放一定的水量作为生态用水。本项目</w:t>
      </w:r>
      <w:r>
        <w:rPr>
          <w:rFonts w:hint="eastAsia"/>
          <w:color w:val="000000" w:themeColor="text1"/>
          <w:kern w:val="0"/>
          <w:sz w:val="24"/>
          <w:szCs w:val="24"/>
          <w:lang w:eastAsia="zh-CN"/>
          <w14:textFill>
            <w14:solidFill>
              <w14:schemeClr w14:val="tx1"/>
            </w14:solidFill>
          </w14:textFill>
        </w:rPr>
        <w:t>多年径流量为</w:t>
      </w:r>
      <w:r>
        <w:rPr>
          <w:rFonts w:hint="eastAsia" w:eastAsia="宋体"/>
          <w:color w:val="000000" w:themeColor="text1"/>
          <w:kern w:val="0"/>
          <w:sz w:val="24"/>
          <w:szCs w:val="24"/>
          <w:lang w:val="en-US" w:eastAsia="zh-CN"/>
          <w14:textFill>
            <w14:solidFill>
              <w14:schemeClr w14:val="tx1"/>
            </w14:solidFill>
          </w14:textFill>
        </w:rPr>
        <w:t>370×</w:t>
      </w:r>
      <w:r>
        <w:rPr>
          <w:rFonts w:hint="eastAsia"/>
          <w:color w:val="000000" w:themeColor="text1"/>
          <w:kern w:val="0"/>
          <w:sz w:val="24"/>
          <w:szCs w:val="24"/>
          <w:lang w:val="en-US" w:eastAsia="zh-CN"/>
          <w14:textFill>
            <w14:solidFill>
              <w14:schemeClr w14:val="tx1"/>
            </w14:solidFill>
          </w14:textFill>
        </w:rPr>
        <w:t>10</w:t>
      </w:r>
      <w:r>
        <w:rPr>
          <w:rFonts w:hint="eastAsia"/>
          <w:color w:val="000000" w:themeColor="text1"/>
          <w:kern w:val="0"/>
          <w:sz w:val="24"/>
          <w:szCs w:val="24"/>
          <w:vertAlign w:val="superscript"/>
          <w:lang w:val="en-US" w:eastAsia="zh-CN"/>
          <w14:textFill>
            <w14:solidFill>
              <w14:schemeClr w14:val="tx1"/>
            </w14:solidFill>
          </w14:textFill>
        </w:rPr>
        <w:t>4</w:t>
      </w:r>
      <w:r>
        <w:rPr>
          <w:rFonts w:hint="eastAsia" w:cs="Times New Roman" w:eastAsiaTheme="minorEastAsia"/>
          <w:b w:val="0"/>
          <w:bCs w:val="0"/>
          <w:color w:val="000000" w:themeColor="text1"/>
          <w:sz w:val="24"/>
          <w:highlight w:val="none"/>
          <w:lang w:val="en-US" w:eastAsia="zh-CN"/>
          <w14:textFill>
            <w14:solidFill>
              <w14:schemeClr w14:val="tx1"/>
            </w14:solidFill>
          </w14:textFill>
        </w:rPr>
        <w:t>m³/a（</w:t>
      </w:r>
      <w:r>
        <w:rPr>
          <w:rFonts w:hint="eastAsia" w:cs="Times New Roman"/>
          <w:color w:val="000000" w:themeColor="text1"/>
          <w:sz w:val="24"/>
          <w:szCs w:val="24"/>
          <w:highlight w:val="none"/>
          <w:lang w:val="en-US" w:eastAsia="zh-CN"/>
          <w14:textFill>
            <w14:solidFill>
              <w14:schemeClr w14:val="tx1"/>
            </w14:solidFill>
          </w14:textFill>
        </w:rPr>
        <w:t>收集1988-2023年共计35年</w:t>
      </w:r>
      <w:r>
        <w:rPr>
          <w:rFonts w:hint="eastAsia" w:cs="Times New Roman" w:eastAsiaTheme="minorEastAsia"/>
          <w:b w:val="0"/>
          <w:bCs w:val="0"/>
          <w:color w:val="000000" w:themeColor="text1"/>
          <w:sz w:val="24"/>
          <w:highlight w:val="none"/>
          <w:lang w:val="en-US" w:eastAsia="zh-CN"/>
          <w14:textFill>
            <w14:solidFill>
              <w14:schemeClr w14:val="tx1"/>
            </w14:solidFill>
          </w14:textFill>
        </w:rPr>
        <w:t>）。</w:t>
      </w:r>
    </w:p>
    <w:p w14:paraId="7CE70F04">
      <w:pPr>
        <w:spacing w:line="360" w:lineRule="auto"/>
        <w:ind w:firstLine="480"/>
        <w:rPr>
          <w:rFonts w:hint="eastAsia" w:cs="Times New Roman" w:eastAsiaTheme="minorEastAsia"/>
          <w:color w:val="000000" w:themeColor="text1"/>
          <w:sz w:val="24"/>
          <w:highlight w:val="none"/>
          <w:lang w:eastAsia="zh-CN"/>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根据《水利水电工程生态流量计算与泄放设计规范》（SL/T820-2023）以及《水库生态流量泄放规程》（SL</w:t>
      </w:r>
      <w:r>
        <w:rPr>
          <w:rFonts w:hint="eastAsia" w:cs="Times New Roman" w:eastAsiaTheme="minorEastAsia"/>
          <w:color w:val="000000" w:themeColor="text1"/>
          <w:sz w:val="24"/>
          <w:highlight w:val="none"/>
          <w:lang w:val="en-US" w:eastAsia="zh-CN"/>
          <w14:textFill>
            <w14:solidFill>
              <w14:schemeClr w14:val="tx1"/>
            </w14:solidFill>
          </w14:textFill>
        </w:rPr>
        <w:t>/</w:t>
      </w:r>
      <w:r>
        <w:rPr>
          <w:rFonts w:hint="eastAsia" w:cs="Times New Roman" w:eastAsiaTheme="minorEastAsia"/>
          <w:color w:val="000000" w:themeColor="text1"/>
          <w:sz w:val="24"/>
          <w:highlight w:val="none"/>
          <w:lang w:eastAsia="zh-CN"/>
          <w14:textFill>
            <w14:solidFill>
              <w14:schemeClr w14:val="tx1"/>
            </w14:solidFill>
          </w14:textFill>
        </w:rPr>
        <w:t>T 819-2023）生态流量的组成应满足河流基流量表征，生态流量的计算应包括河湖基本形态维护、基本水生生境的维持计算。</w:t>
      </w:r>
    </w:p>
    <w:p w14:paraId="27D6FD88">
      <w:pPr>
        <w:spacing w:line="360" w:lineRule="auto"/>
        <w:ind w:firstLine="480"/>
        <w:rPr>
          <w:rFonts w:hint="default"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本环评综合上述情况，选择《水利水电工程生态流量计算与泄放设计规范》（SL/T820-2023）附录</w:t>
      </w:r>
      <w:r>
        <w:rPr>
          <w:rFonts w:hint="eastAsia" w:cs="Times New Roman" w:eastAsiaTheme="minorEastAsia"/>
          <w:color w:val="000000" w:themeColor="text1"/>
          <w:sz w:val="24"/>
          <w:highlight w:val="none"/>
          <w:lang w:val="en-US" w:eastAsia="zh-CN"/>
          <w14:textFill>
            <w14:solidFill>
              <w14:schemeClr w14:val="tx1"/>
            </w14:solidFill>
          </w14:textFill>
        </w:rPr>
        <w:t>A与附录B进行计算。</w:t>
      </w:r>
    </w:p>
    <w:p w14:paraId="31C0DC67">
      <w:pPr>
        <w:spacing w:line="360" w:lineRule="auto"/>
        <w:ind w:firstLine="480"/>
        <w:rPr>
          <w:rFonts w:hint="default"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1）生态基流</w:t>
      </w:r>
    </w:p>
    <w:p w14:paraId="47F4B860">
      <w:pPr>
        <w:spacing w:line="360" w:lineRule="auto"/>
        <w:ind w:firstLine="480" w:firstLineChars="200"/>
        <w:rPr>
          <w:rFonts w:hint="eastAsia"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本项目选取Qp法，以河流控制断面长系列天然月平均流量(系列长度不小于30年，对于系列长度小于30年的代表段应开展径流系列代表性分析)、月平均水位或径流量为基础，用每年的最枯月排频，选择不同频率下的最枯月平均流量、月平均水位或径流量作为河流控制断面的生态基流。</w:t>
      </w:r>
    </w:p>
    <w:p w14:paraId="1AA782A1">
      <w:pPr>
        <w:spacing w:line="360" w:lineRule="auto"/>
        <w:ind w:firstLine="480" w:firstLineChars="200"/>
        <w:rPr>
          <w:rFonts w:hint="eastAsia"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青山水库所在锅盔河流域属穆棱河左岸支流，</w:t>
      </w:r>
      <w:r>
        <w:rPr>
          <w:rFonts w:hint="eastAsia"/>
          <w:color w:val="000000" w:themeColor="text1"/>
          <w:kern w:val="0"/>
          <w:sz w:val="24"/>
          <w:szCs w:val="24"/>
          <w14:textFill>
            <w14:solidFill>
              <w14:schemeClr w14:val="tx1"/>
            </w14:solidFill>
          </w14:textFill>
        </w:rPr>
        <w:t>本项目</w:t>
      </w:r>
      <w:r>
        <w:rPr>
          <w:rFonts w:hint="eastAsia"/>
          <w:color w:val="000000" w:themeColor="text1"/>
          <w:kern w:val="0"/>
          <w:sz w:val="24"/>
          <w:szCs w:val="24"/>
          <w:lang w:val="en-US" w:eastAsia="zh-CN"/>
          <w14:textFill>
            <w14:solidFill>
              <w14:schemeClr w14:val="tx1"/>
            </w14:solidFill>
          </w14:textFill>
        </w:rPr>
        <w:t>1988年建成至2023年共35年，</w:t>
      </w:r>
      <w:r>
        <w:rPr>
          <w:rFonts w:hint="eastAsia" w:cs="Times New Roman" w:eastAsiaTheme="minorEastAsia"/>
          <w:color w:val="000000" w:themeColor="text1"/>
          <w:sz w:val="24"/>
          <w:highlight w:val="none"/>
          <w:lang w:val="en-US" w:eastAsia="zh-CN"/>
          <w14:textFill>
            <w14:solidFill>
              <w14:schemeClr w14:val="tx1"/>
            </w14:solidFill>
          </w14:textFill>
        </w:rPr>
        <w:t>青山水库频率曲线图详见下图。</w:t>
      </w:r>
    </w:p>
    <w:p w14:paraId="5B8B8309">
      <w:pPr>
        <w:pStyle w:val="2"/>
        <w:rPr>
          <w:rFonts w:hint="eastAsia"/>
          <w:color w:val="000000" w:themeColor="text1"/>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4361180" cy="3392170"/>
            <wp:effectExtent l="0" t="0" r="0" b="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38"/>
                    <a:srcRect t="6918"/>
                    <a:stretch>
                      <a:fillRect/>
                    </a:stretch>
                  </pic:blipFill>
                  <pic:spPr>
                    <a:xfrm>
                      <a:off x="0" y="0"/>
                      <a:ext cx="4361180" cy="3392170"/>
                    </a:xfrm>
                    <a:prstGeom prst="rect">
                      <a:avLst/>
                    </a:prstGeom>
                    <a:noFill/>
                    <a:ln>
                      <a:noFill/>
                    </a:ln>
                  </pic:spPr>
                </pic:pic>
              </a:graphicData>
            </a:graphic>
          </wp:inline>
        </w:drawing>
      </w:r>
    </w:p>
    <w:p w14:paraId="7AD780F0">
      <w:pPr>
        <w:spacing w:line="360" w:lineRule="auto"/>
        <w:ind w:firstLine="480"/>
        <w:jc w:val="center"/>
        <w:rPr>
          <w:rFonts w:hint="default"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b/>
          <w:bCs/>
          <w:color w:val="000000" w:themeColor="text1"/>
          <w:sz w:val="24"/>
          <w:highlight w:val="none"/>
          <w:lang w:val="en-US" w:eastAsia="zh-CN"/>
          <w14:textFill>
            <w14:solidFill>
              <w14:schemeClr w14:val="tx1"/>
            </w14:solidFill>
          </w14:textFill>
        </w:rPr>
        <w:t>图4.2-1 青山水库频率曲线图</w:t>
      </w:r>
    </w:p>
    <w:p w14:paraId="532A0DCB">
      <w:pPr>
        <w:spacing w:line="360" w:lineRule="auto"/>
        <w:ind w:firstLine="480"/>
        <w:rPr>
          <w:rFonts w:hint="default"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本项目P选取90%作为生态基流，为0.12</w:t>
      </w:r>
      <w:r>
        <w:rPr>
          <w:rFonts w:hint="eastAsia" w:cs="Times New Roman"/>
          <w:b w:val="0"/>
          <w:bCs w:val="0"/>
          <w:color w:val="000000" w:themeColor="text1"/>
          <w:sz w:val="24"/>
          <w:szCs w:val="24"/>
          <w:highlight w:val="none"/>
          <w:lang w:val="en-US" w:eastAsia="zh-CN"/>
          <w14:textFill>
            <w14:solidFill>
              <w14:schemeClr w14:val="tx1"/>
            </w14:solidFill>
          </w14:textFill>
        </w:rPr>
        <w:t>m³/s（</w:t>
      </w:r>
      <w:r>
        <w:rPr>
          <w:rFonts w:hint="eastAsia" w:cs="Times New Roman" w:eastAsiaTheme="minorEastAsia"/>
          <w:color w:val="000000" w:themeColor="text1"/>
          <w:sz w:val="24"/>
          <w:highlight w:val="none"/>
          <w:lang w:eastAsia="zh-CN"/>
          <w14:textFill>
            <w14:solidFill>
              <w14:schemeClr w14:val="tx1"/>
            </w14:solidFill>
          </w14:textFill>
        </w:rPr>
        <w:t>河湖基本形态</w:t>
      </w:r>
      <w:r>
        <w:rPr>
          <w:rFonts w:hint="eastAsia" w:cs="Times New Roman"/>
          <w:b w:val="0"/>
          <w:bCs w:val="0"/>
          <w:color w:val="000000" w:themeColor="text1"/>
          <w:sz w:val="24"/>
          <w:szCs w:val="24"/>
          <w:highlight w:val="none"/>
          <w:lang w:val="en-US" w:eastAsia="zh-CN"/>
          <w14:textFill>
            <w14:solidFill>
              <w14:schemeClr w14:val="tx1"/>
            </w14:solidFill>
          </w14:textFill>
        </w:rPr>
        <w:t>流量）。</w:t>
      </w:r>
    </w:p>
    <w:p w14:paraId="38CB5C7C">
      <w:pPr>
        <w:spacing w:line="360" w:lineRule="auto"/>
        <w:ind w:firstLine="480"/>
        <w:rPr>
          <w:rFonts w:hint="default"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2）</w:t>
      </w:r>
      <w:r>
        <w:rPr>
          <w:rFonts w:hint="eastAsia" w:cs="Times New Roman" w:eastAsiaTheme="minorEastAsia"/>
          <w:color w:val="000000" w:themeColor="text1"/>
          <w:sz w:val="24"/>
          <w:highlight w:val="none"/>
          <w:lang w:eastAsia="zh-CN"/>
          <w14:textFill>
            <w14:solidFill>
              <w14:schemeClr w14:val="tx1"/>
            </w14:solidFill>
          </w14:textFill>
        </w:rPr>
        <w:t>基本水生生境</w:t>
      </w:r>
    </w:p>
    <w:p w14:paraId="375FC2DE">
      <w:pPr>
        <w:spacing w:line="360" w:lineRule="auto"/>
        <w:ind w:firstLine="480"/>
        <w:rPr>
          <w:rFonts w:hint="eastAsia" w:cs="Times New Roman" w:eastAsiaTheme="minorEastAsia"/>
          <w:color w:val="000000" w:themeColor="text1"/>
          <w:sz w:val="24"/>
          <w:highlight w:val="none"/>
          <w:lang w:eastAsia="zh-CN"/>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根据《水利水电工程生态流量计算与泄放设计规范》（SL/T820-2023）以及《水库生态流量泄放规程》（SL</w:t>
      </w:r>
      <w:r>
        <w:rPr>
          <w:rFonts w:hint="eastAsia" w:cs="Times New Roman" w:eastAsiaTheme="minorEastAsia"/>
          <w:color w:val="000000" w:themeColor="text1"/>
          <w:sz w:val="24"/>
          <w:highlight w:val="none"/>
          <w:lang w:val="en-US" w:eastAsia="zh-CN"/>
          <w14:textFill>
            <w14:solidFill>
              <w14:schemeClr w14:val="tx1"/>
            </w14:solidFill>
          </w14:textFill>
        </w:rPr>
        <w:t>/</w:t>
      </w:r>
      <w:r>
        <w:rPr>
          <w:rFonts w:hint="eastAsia" w:cs="Times New Roman" w:eastAsiaTheme="minorEastAsia"/>
          <w:color w:val="000000" w:themeColor="text1"/>
          <w:sz w:val="24"/>
          <w:highlight w:val="none"/>
          <w:lang w:eastAsia="zh-CN"/>
          <w14:textFill>
            <w14:solidFill>
              <w14:schemeClr w14:val="tx1"/>
            </w14:solidFill>
          </w14:textFill>
        </w:rPr>
        <w:t>T 819-2023）本项目采用生境分析法进行计算：</w:t>
      </w:r>
    </w:p>
    <w:p w14:paraId="5992F797">
      <w:pPr>
        <w:spacing w:line="360" w:lineRule="auto"/>
        <w:ind w:firstLine="480"/>
        <w:rPr>
          <w:rFonts w:hint="eastAsia" w:eastAsia="宋体" w:cs="Times New Roman"/>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WUA=</w:t>
      </w:r>
      <m:oMath>
        <m:nary>
          <m:naryPr>
            <m:chr m:val="∑"/>
            <m:grow m:val="1"/>
            <m:limLoc m:val="undOvr"/>
            <m:ctrlPr>
              <w:rPr>
                <w:rFonts w:ascii="Cambria Math" w:hAnsi="Cambria Math" w:cs="Times New Roman"/>
                <w:i/>
                <w:color w:val="000000" w:themeColor="text1"/>
                <w:sz w:val="28"/>
                <w:szCs w:val="28"/>
                <w:highlight w:val="none"/>
                <w:lang w:val="en-US"/>
                <w14:textFill>
                  <w14:solidFill>
                    <w14:schemeClr w14:val="tx1"/>
                  </w14:solidFill>
                </w14:textFill>
              </w:rPr>
            </m:ctrlPr>
          </m:naryPr>
          <m:sub>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i</m:t>
            </m:r>
            <m:r>
              <m:rPr/>
              <w:rPr>
                <w:rFonts w:ascii="Cambria Math" w:hAnsi="Cambria Math" w:cs="Times New Roman"/>
                <w:color w:val="000000" w:themeColor="text1"/>
                <w:sz w:val="28"/>
                <w:szCs w:val="28"/>
                <w:highlight w:val="none"/>
                <w:lang w:val="en-US"/>
                <w14:textFill>
                  <w14:solidFill>
                    <w14:schemeClr w14:val="tx1"/>
                  </w14:solidFill>
                </w14:textFill>
              </w:rPr>
              <m:t>=</m:t>
            </m:r>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1</m:t>
            </m:r>
            <m:ctrlPr>
              <w:rPr>
                <w:rFonts w:ascii="Cambria Math" w:hAnsi="Cambria Math" w:cs="Times New Roman"/>
                <w:i/>
                <w:color w:val="000000" w:themeColor="text1"/>
                <w:sz w:val="28"/>
                <w:szCs w:val="28"/>
                <w:highlight w:val="none"/>
                <w:lang w:val="en-US"/>
                <w14:textFill>
                  <w14:solidFill>
                    <w14:schemeClr w14:val="tx1"/>
                  </w14:solidFill>
                </w14:textFill>
              </w:rPr>
            </m:ctrlPr>
          </m:sub>
          <m:sup>
            <m:r>
              <m:rPr/>
              <w:rPr>
                <w:rFonts w:ascii="Cambria Math" w:hAnsi="Cambria Math" w:cs="Times New Roman"/>
                <w:color w:val="000000" w:themeColor="text1"/>
                <w:sz w:val="28"/>
                <w:szCs w:val="28"/>
                <w:highlight w:val="none"/>
                <w:lang w:val="en-US"/>
                <w14:textFill>
                  <w14:solidFill>
                    <w14:schemeClr w14:val="tx1"/>
                  </w14:solidFill>
                </w14:textFill>
              </w:rPr>
              <m:t>n</m:t>
            </m:r>
            <m:ctrlPr>
              <w:rPr>
                <w:rFonts w:ascii="Cambria Math" w:hAnsi="Cambria Math" w:cs="Times New Roman"/>
                <w:i/>
                <w:color w:val="000000" w:themeColor="text1"/>
                <w:sz w:val="28"/>
                <w:szCs w:val="28"/>
                <w:highlight w:val="none"/>
                <w:lang w:val="en-US"/>
                <w14:textFill>
                  <w14:solidFill>
                    <w14:schemeClr w14:val="tx1"/>
                  </w14:solidFill>
                </w14:textFill>
              </w:rPr>
            </m:ctrlPr>
          </m:sup>
          <m:e>
            <m:r>
              <m:rPr/>
              <w:rPr>
                <w:rFonts w:hint="default" w:ascii="Cambria Math" w:hAnsi="Cambria Math" w:cs="Times New Roman"/>
                <w:color w:val="000000" w:themeColor="text1"/>
                <w:sz w:val="28"/>
                <w:szCs w:val="28"/>
                <w:highlight w:val="none"/>
                <w:lang w:val="en-US" w:eastAsia="zh-CN"/>
                <w14:textFill>
                  <w14:solidFill>
                    <w14:schemeClr w14:val="tx1"/>
                  </w14:solidFill>
                </w14:textFill>
              </w:rPr>
              <m:t>HSIi×Ai</m:t>
            </m:r>
            <m:ctrlPr>
              <w:rPr>
                <w:rFonts w:ascii="Cambria Math" w:hAnsi="Cambria Math" w:cs="Times New Roman"/>
                <w:i/>
                <w:color w:val="000000" w:themeColor="text1"/>
                <w:sz w:val="28"/>
                <w:szCs w:val="28"/>
                <w:highlight w:val="none"/>
                <w:lang w:val="en-US"/>
                <w14:textFill>
                  <w14:solidFill>
                    <w14:schemeClr w14:val="tx1"/>
                  </w14:solidFill>
                </w14:textFill>
              </w:rPr>
            </m:ctrlPr>
          </m:e>
        </m:nary>
      </m:oMath>
      <w:r>
        <w:rPr>
          <w:rFonts w:hint="eastAsia" w:hAnsi="Cambria Math" w:cs="Times New Roman"/>
          <w:i w:val="0"/>
          <w:color w:val="000000" w:themeColor="text1"/>
          <w:sz w:val="28"/>
          <w:szCs w:val="28"/>
          <w:highlight w:val="none"/>
          <w:lang w:val="en-US" w:eastAsia="zh-CN"/>
          <w14:textFill>
            <w14:solidFill>
              <w14:schemeClr w14:val="tx1"/>
            </w14:solidFill>
          </w14:textFill>
        </w:rPr>
        <w:t>——</w:t>
      </w:r>
      <w:r>
        <w:rPr>
          <w:rFonts w:hint="eastAsia" w:cs="Times New Roman" w:eastAsiaTheme="minorEastAsia"/>
          <w:color w:val="000000" w:themeColor="text1"/>
          <w:sz w:val="24"/>
          <w:highlight w:val="none"/>
          <w:lang w:eastAsia="zh-CN"/>
          <w14:textFill>
            <w14:solidFill>
              <w14:schemeClr w14:val="tx1"/>
            </w14:solidFill>
          </w14:textFill>
        </w:rPr>
        <w:t>公式</w:t>
      </w:r>
      <w:r>
        <w:rPr>
          <w:rFonts w:hint="eastAsia" w:hAnsi="Cambria Math" w:cs="Times New Roman"/>
          <w:i w:val="0"/>
          <w:color w:val="000000" w:themeColor="text1"/>
          <w:sz w:val="28"/>
          <w:szCs w:val="28"/>
          <w:highlight w:val="none"/>
          <w:lang w:val="en-US" w:eastAsia="zh-CN"/>
          <w14:textFill>
            <w14:solidFill>
              <w14:schemeClr w14:val="tx1"/>
            </w14:solidFill>
          </w14:textFill>
        </w:rPr>
        <w:t>①</w:t>
      </w:r>
    </w:p>
    <w:p w14:paraId="30ED5124">
      <w:pPr>
        <w:spacing w:line="360" w:lineRule="auto"/>
        <w:ind w:firstLine="480"/>
        <w:rPr>
          <w:rFonts w:hint="default"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HSIi——各单元环境因子的适宜指数</w:t>
      </w:r>
    </w:p>
    <w:p w14:paraId="071F01B1">
      <w:pPr>
        <w:spacing w:line="360" w:lineRule="auto"/>
        <w:ind w:firstLine="480"/>
        <w:rPr>
          <w:rFonts w:hint="default"/>
          <w:color w:val="000000" w:themeColor="text1"/>
          <w:lang w:val="en-US"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Ai——生境计算单元面积</w:t>
      </w:r>
    </w:p>
    <w:p w14:paraId="45F489B7">
      <w:pPr>
        <w:spacing w:line="360" w:lineRule="auto"/>
        <w:ind w:firstLine="480"/>
        <w:rPr>
          <w:rFonts w:hint="eastAsia" w:cs="Times New Roman" w:eastAsiaTheme="minorEastAsia"/>
          <w:color w:val="000000" w:themeColor="text1"/>
          <w:sz w:val="24"/>
          <w:highlight w:val="none"/>
          <w:lang w:eastAsia="zh-CN"/>
          <w14:textFill>
            <w14:solidFill>
              <w14:schemeClr w14:val="tx1"/>
            </w14:solidFill>
          </w14:textFill>
        </w:rPr>
      </w:pPr>
      <w:r>
        <w:rPr>
          <w:rFonts w:hint="eastAsia" w:cs="Times New Roman" w:eastAsiaTheme="minorEastAsia"/>
          <w:color w:val="000000" w:themeColor="text1"/>
          <w:sz w:val="24"/>
          <w:highlight w:val="none"/>
          <w:lang w:val="en-US" w:eastAsia="zh-CN"/>
          <w14:textFill>
            <w14:solidFill>
              <w14:schemeClr w14:val="tx1"/>
            </w14:solidFill>
          </w14:textFill>
        </w:rPr>
        <w:t>生境模拟法的基本原理是根据指示物种所需的水力条件的模拟，确定河流流量。假设水深、流速、基质和覆盖物是流量变化对物种数量和分布造成影响的主要因素。分析指示物种对水深、流速等的适宜要求，绘制水深、流速等环境参数与喜好度</w:t>
      </w:r>
      <w:r>
        <w:rPr>
          <w:rFonts w:hint="default" w:cs="Times New Roman" w:eastAsiaTheme="minorEastAsia"/>
          <w:color w:val="000000" w:themeColor="text1"/>
          <w:sz w:val="24"/>
          <w:highlight w:val="none"/>
          <w:lang w:val="en-US" w:eastAsia="zh-CN"/>
          <w14:textFill>
            <w14:solidFill>
              <w14:schemeClr w14:val="tx1"/>
            </w14:solidFill>
          </w14:textFill>
        </w:rPr>
        <w:t>(被表示为0～1之间的值)之间的适宜性曲线。计算不同流量下的可利用面积(WUA)，绘制流量与WUA曲线，WUA越大，表明生物在该流量下对生境越适宜。生境模拟法适用于主要生态功能为保护某些生物物种的河流。</w:t>
      </w:r>
    </w:p>
    <w:p w14:paraId="1C4C09E8">
      <w:pPr>
        <w:spacing w:line="360" w:lineRule="auto"/>
        <w:ind w:firstLine="480"/>
        <w:rPr>
          <w:rFonts w:hint="eastAsia" w:cs="Times New Roman" w:eastAsiaTheme="minorEastAsia"/>
          <w:color w:val="000000" w:themeColor="text1"/>
          <w:sz w:val="24"/>
          <w:highlight w:val="none"/>
          <w:lang w:eastAsia="zh-CN"/>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本项目位于黑龙江省鸡西市密山市，根据生态调查优势种</w:t>
      </w:r>
      <w:r>
        <w:rPr>
          <w:rFonts w:hint="eastAsia" w:cs="Times New Roman" w:eastAsiaTheme="minorEastAsia"/>
          <w:color w:val="000000" w:themeColor="text1"/>
          <w:sz w:val="24"/>
          <w:highlight w:val="none"/>
          <w:lang w:val="en-US" w:eastAsia="zh-CN"/>
          <w14:textFill>
            <w14:solidFill>
              <w14:schemeClr w14:val="tx1"/>
            </w14:solidFill>
          </w14:textFill>
        </w:rPr>
        <w:t>为</w:t>
      </w:r>
      <w:r>
        <w:rPr>
          <w:rFonts w:hint="default" w:cs="Times New Roman" w:eastAsiaTheme="minorEastAsia"/>
          <w:color w:val="000000" w:themeColor="text1"/>
          <w:sz w:val="24"/>
          <w:highlight w:val="none"/>
          <w:lang w:val="en-US" w:eastAsia="zh-CN"/>
          <w14:textFill>
            <w14:solidFill>
              <w14:schemeClr w14:val="tx1"/>
            </w14:solidFill>
          </w14:textFill>
        </w:rPr>
        <w:t>黑龙江鳑鮍</w:t>
      </w:r>
      <w:r>
        <w:rPr>
          <w:rFonts w:hint="eastAsia" w:cs="Times New Roman" w:eastAsiaTheme="minorEastAsia"/>
          <w:color w:val="000000" w:themeColor="text1"/>
          <w:sz w:val="24"/>
          <w:highlight w:val="none"/>
          <w:lang w:val="en-US" w:eastAsia="zh-CN"/>
          <w14:textFill>
            <w14:solidFill>
              <w14:schemeClr w14:val="tx1"/>
            </w14:solidFill>
          </w14:textFill>
        </w:rPr>
        <w:t>，</w:t>
      </w:r>
      <w:r>
        <w:rPr>
          <w:rFonts w:hint="default" w:cs="Times New Roman" w:eastAsiaTheme="minorEastAsia"/>
          <w:color w:val="000000" w:themeColor="text1"/>
          <w:sz w:val="24"/>
          <w:highlight w:val="none"/>
          <w:lang w:val="en-US" w:eastAsia="zh-CN"/>
          <w14:textFill>
            <w14:solidFill>
              <w14:schemeClr w14:val="tx1"/>
            </w14:solidFill>
          </w14:textFill>
        </w:rPr>
        <w:t>鳑鮍</w:t>
      </w:r>
      <w:r>
        <w:rPr>
          <w:rFonts w:hint="eastAsia" w:cs="Times New Roman" w:eastAsiaTheme="minorEastAsia"/>
          <w:color w:val="000000" w:themeColor="text1"/>
          <w:sz w:val="24"/>
          <w:highlight w:val="none"/>
          <w:lang w:val="en-US" w:eastAsia="zh-CN"/>
          <w14:textFill>
            <w14:solidFill>
              <w14:schemeClr w14:val="tx1"/>
            </w14:solidFill>
          </w14:textFill>
        </w:rPr>
        <w:t>体型较小，群居，适应性较强不属于重要物种。</w:t>
      </w:r>
    </w:p>
    <w:p w14:paraId="282FA3BE">
      <w:pPr>
        <w:spacing w:line="360" w:lineRule="auto"/>
        <w:rPr>
          <w:rFonts w:hint="default" w:cs="Times New Roman" w:eastAsiaTheme="minorEastAsia"/>
          <w:color w:val="000000" w:themeColor="text1"/>
          <w:sz w:val="24"/>
          <w:highlight w:val="no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268595" cy="2439670"/>
            <wp:effectExtent l="0" t="0" r="8255" b="17780"/>
            <wp:docPr id="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5"/>
                    <pic:cNvPicPr>
                      <a:picLocks noChangeAspect="1"/>
                    </pic:cNvPicPr>
                  </pic:nvPicPr>
                  <pic:blipFill>
                    <a:blip r:embed="rId39"/>
                    <a:stretch>
                      <a:fillRect/>
                    </a:stretch>
                  </pic:blipFill>
                  <pic:spPr>
                    <a:xfrm>
                      <a:off x="0" y="0"/>
                      <a:ext cx="5268595" cy="2439670"/>
                    </a:xfrm>
                    <a:prstGeom prst="rect">
                      <a:avLst/>
                    </a:prstGeom>
                    <a:noFill/>
                    <a:ln>
                      <a:noFill/>
                    </a:ln>
                  </pic:spPr>
                </pic:pic>
              </a:graphicData>
            </a:graphic>
          </wp:inline>
        </w:drawing>
      </w:r>
    </w:p>
    <w:p w14:paraId="3D6C462D">
      <w:pPr>
        <w:spacing w:line="360" w:lineRule="auto"/>
        <w:ind w:firstLine="480"/>
        <w:rPr>
          <w:rFonts w:hint="default" w:cs="Times New Roman" w:eastAsiaTheme="minorEastAsia"/>
          <w:color w:val="000000" w:themeColor="text1"/>
          <w:sz w:val="24"/>
          <w:highlight w:val="none"/>
          <w:lang w:val="en-US" w:eastAsia="zh-CN"/>
          <w14:textFill>
            <w14:solidFill>
              <w14:schemeClr w14:val="tx1"/>
            </w14:solidFill>
          </w14:textFill>
        </w:rPr>
      </w:pPr>
      <w:r>
        <w:rPr>
          <w:rFonts w:hint="eastAsia" w:cs="Times New Roman" w:eastAsiaTheme="minorEastAsia"/>
          <w:color w:val="000000" w:themeColor="text1"/>
          <w:sz w:val="24"/>
          <w:highlight w:val="none"/>
          <w:lang w:eastAsia="zh-CN"/>
          <w14:textFill>
            <w14:solidFill>
              <w14:schemeClr w14:val="tx1"/>
            </w14:solidFill>
          </w14:textFill>
        </w:rPr>
        <w:t>根据上图</w:t>
      </w:r>
      <w:r>
        <w:rPr>
          <w:rFonts w:hint="eastAsia" w:cs="Times New Roman" w:eastAsiaTheme="minorEastAsia"/>
          <w:color w:val="000000" w:themeColor="text1"/>
          <w:sz w:val="24"/>
          <w:highlight w:val="none"/>
          <w:lang w:val="en-US" w:eastAsia="zh-CN"/>
          <w14:textFill>
            <w14:solidFill>
              <w14:schemeClr w14:val="tx1"/>
            </w14:solidFill>
          </w14:textFill>
        </w:rPr>
        <w:t>17%-60%流量范围内WUA达到适宜生境面积的70%以上，根据密山市青山水库特性，10月-次年4月为枯水期，其中1月-3月为冰封期，选择0.225m³/s，5月-9月为丰水期，选择0.45m³/s。</w:t>
      </w:r>
    </w:p>
    <w:p w14:paraId="6CC6DFB1">
      <w:pPr>
        <w:spacing w:line="360" w:lineRule="auto"/>
        <w:ind w:firstLine="480"/>
        <w:rPr>
          <w:rFonts w:hint="eastAsia"/>
          <w:color w:val="000000" w:themeColor="text1"/>
          <w:kern w:val="0"/>
          <w:sz w:val="24"/>
          <w:szCs w:val="24"/>
          <w:lang w:val="en-US" w:eastAsia="zh-CN"/>
          <w14:textFill>
            <w14:solidFill>
              <w14:schemeClr w14:val="tx1"/>
            </w14:solidFill>
          </w14:textFill>
        </w:rPr>
      </w:pPr>
      <w:r>
        <w:rPr>
          <w:rFonts w:hint="eastAsia" w:cs="Times New Roman" w:eastAsiaTheme="minorEastAsia"/>
          <w:b w:val="0"/>
          <w:bCs w:val="0"/>
          <w:color w:val="000000" w:themeColor="text1"/>
          <w:sz w:val="24"/>
          <w:highlight w:val="none"/>
          <w:lang w:val="en-US" w:eastAsia="zh-CN"/>
          <w14:textFill>
            <w14:solidFill>
              <w14:schemeClr w14:val="tx1"/>
            </w14:solidFill>
          </w14:textFill>
        </w:rPr>
        <w:t>则下泄流量制度详见下表。</w:t>
      </w:r>
    </w:p>
    <w:p w14:paraId="05A7589D">
      <w:pPr>
        <w:spacing w:line="360" w:lineRule="auto"/>
        <w:ind w:firstLine="480"/>
        <w:jc w:val="center"/>
        <w:rPr>
          <w:rFonts w:hint="eastAsia"/>
          <w:color w:val="000000" w:themeColor="text1"/>
          <w:kern w:val="0"/>
          <w:sz w:val="24"/>
          <w:szCs w:val="24"/>
          <w:lang w:val="en-US" w:eastAsia="zh-CN"/>
          <w14:textFill>
            <w14:solidFill>
              <w14:schemeClr w14:val="tx1"/>
            </w14:solidFill>
          </w14:textFill>
        </w:rPr>
      </w:pPr>
      <w:r>
        <w:rPr>
          <w:rFonts w:hint="eastAsia" w:cs="Times New Roman" w:eastAsiaTheme="minorEastAsia"/>
          <w:b/>
          <w:bCs/>
          <w:color w:val="000000" w:themeColor="text1"/>
          <w:sz w:val="24"/>
          <w:highlight w:val="none"/>
          <w:lang w:eastAsia="zh-CN"/>
          <w14:textFill>
            <w14:solidFill>
              <w14:schemeClr w14:val="tx1"/>
            </w14:solidFill>
          </w14:textFill>
        </w:rPr>
        <w:t>表</w:t>
      </w:r>
      <w:r>
        <w:rPr>
          <w:rFonts w:hint="eastAsia" w:cs="Times New Roman" w:eastAsiaTheme="minorEastAsia"/>
          <w:b/>
          <w:bCs/>
          <w:color w:val="000000" w:themeColor="text1"/>
          <w:sz w:val="24"/>
          <w:highlight w:val="none"/>
          <w:lang w:val="en-US" w:eastAsia="zh-CN"/>
          <w14:textFill>
            <w14:solidFill>
              <w14:schemeClr w14:val="tx1"/>
            </w14:solidFill>
          </w14:textFill>
        </w:rPr>
        <w:t xml:space="preserve">4.2-1 </w:t>
      </w:r>
      <w:r>
        <w:rPr>
          <w:rFonts w:hint="eastAsia" w:cs="Times New Roman" w:eastAsiaTheme="minorEastAsia"/>
          <w:b/>
          <w:bCs/>
          <w:color w:val="000000" w:themeColor="text1"/>
          <w:sz w:val="24"/>
          <w:highlight w:val="none"/>
          <w:lang w:eastAsia="zh-CN"/>
          <w14:textFill>
            <w14:solidFill>
              <w14:schemeClr w14:val="tx1"/>
            </w14:solidFill>
          </w14:textFill>
        </w:rPr>
        <w:t>青山水库下泄制度（</w:t>
      </w:r>
      <w:r>
        <w:rPr>
          <w:rFonts w:hint="eastAsia" w:cs="Times New Roman" w:eastAsiaTheme="minorEastAsia"/>
          <w:b/>
          <w:bCs/>
          <w:color w:val="000000" w:themeColor="text1"/>
          <w:sz w:val="24"/>
          <w:highlight w:val="none"/>
          <w:lang w:val="en-US" w:eastAsia="zh-CN"/>
          <w14:textFill>
            <w14:solidFill>
              <w14:schemeClr w14:val="tx1"/>
            </w14:solidFill>
          </w14:textFill>
        </w:rPr>
        <w:t>m³/s</w:t>
      </w:r>
      <w:r>
        <w:rPr>
          <w:rFonts w:hint="eastAsia" w:cs="Times New Roman" w:eastAsiaTheme="minorEastAsia"/>
          <w:b/>
          <w:bCs/>
          <w:color w:val="000000" w:themeColor="text1"/>
          <w:sz w:val="24"/>
          <w:highlight w:val="none"/>
          <w:lang w:eastAsia="zh-CN"/>
          <w14:textFill>
            <w14:solidFill>
              <w14:schemeClr w14:val="tx1"/>
            </w14:solidFill>
          </w14:textFill>
        </w:rPr>
        <w:t>）</w:t>
      </w:r>
    </w:p>
    <w:tbl>
      <w:tblPr>
        <w:tblStyle w:val="23"/>
        <w:tblW w:w="86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6"/>
        <w:gridCol w:w="408"/>
        <w:gridCol w:w="425"/>
        <w:gridCol w:w="437"/>
        <w:gridCol w:w="670"/>
        <w:gridCol w:w="670"/>
        <w:gridCol w:w="670"/>
        <w:gridCol w:w="670"/>
        <w:gridCol w:w="670"/>
        <w:gridCol w:w="670"/>
        <w:gridCol w:w="670"/>
        <w:gridCol w:w="670"/>
        <w:gridCol w:w="670"/>
        <w:gridCol w:w="678"/>
      </w:tblGrid>
      <w:tr w14:paraId="3B6031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656" w:type="dxa"/>
            <w:vAlign w:val="center"/>
          </w:tcPr>
          <w:p w14:paraId="3C4D06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eastAsia="zh-CN"/>
                <w14:textFill>
                  <w14:solidFill>
                    <w14:schemeClr w14:val="tx1"/>
                  </w14:solidFill>
                </w14:textFill>
              </w:rPr>
              <w:t>月</w:t>
            </w:r>
          </w:p>
        </w:tc>
        <w:tc>
          <w:tcPr>
            <w:tcW w:w="408" w:type="dxa"/>
            <w:vAlign w:val="center"/>
          </w:tcPr>
          <w:p w14:paraId="4C9ACF18">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1</w:t>
            </w:r>
          </w:p>
        </w:tc>
        <w:tc>
          <w:tcPr>
            <w:tcW w:w="425" w:type="dxa"/>
            <w:vAlign w:val="center"/>
          </w:tcPr>
          <w:p w14:paraId="21578001">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2</w:t>
            </w:r>
          </w:p>
        </w:tc>
        <w:tc>
          <w:tcPr>
            <w:tcW w:w="437" w:type="dxa"/>
            <w:vAlign w:val="center"/>
          </w:tcPr>
          <w:p w14:paraId="70DB137F">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3</w:t>
            </w:r>
          </w:p>
        </w:tc>
        <w:tc>
          <w:tcPr>
            <w:tcW w:w="670" w:type="dxa"/>
            <w:vAlign w:val="center"/>
          </w:tcPr>
          <w:p w14:paraId="49CF8E61">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4</w:t>
            </w:r>
          </w:p>
        </w:tc>
        <w:tc>
          <w:tcPr>
            <w:tcW w:w="670" w:type="dxa"/>
            <w:vAlign w:val="center"/>
          </w:tcPr>
          <w:p w14:paraId="7F822BAE">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5</w:t>
            </w:r>
          </w:p>
        </w:tc>
        <w:tc>
          <w:tcPr>
            <w:tcW w:w="670" w:type="dxa"/>
            <w:vAlign w:val="center"/>
          </w:tcPr>
          <w:p w14:paraId="46D1B4B4">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6</w:t>
            </w:r>
          </w:p>
        </w:tc>
        <w:tc>
          <w:tcPr>
            <w:tcW w:w="670" w:type="dxa"/>
            <w:vAlign w:val="center"/>
          </w:tcPr>
          <w:p w14:paraId="099A2B93">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7</w:t>
            </w:r>
          </w:p>
        </w:tc>
        <w:tc>
          <w:tcPr>
            <w:tcW w:w="670" w:type="dxa"/>
            <w:vAlign w:val="center"/>
          </w:tcPr>
          <w:p w14:paraId="4D3DDAD0">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8</w:t>
            </w:r>
          </w:p>
        </w:tc>
        <w:tc>
          <w:tcPr>
            <w:tcW w:w="670" w:type="dxa"/>
            <w:vAlign w:val="center"/>
          </w:tcPr>
          <w:p w14:paraId="789452F6">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9</w:t>
            </w:r>
          </w:p>
        </w:tc>
        <w:tc>
          <w:tcPr>
            <w:tcW w:w="670" w:type="dxa"/>
            <w:vAlign w:val="center"/>
          </w:tcPr>
          <w:p w14:paraId="12D298B6">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10</w:t>
            </w:r>
          </w:p>
        </w:tc>
        <w:tc>
          <w:tcPr>
            <w:tcW w:w="670" w:type="dxa"/>
            <w:vAlign w:val="center"/>
          </w:tcPr>
          <w:p w14:paraId="6DB05F99">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11</w:t>
            </w:r>
          </w:p>
        </w:tc>
        <w:tc>
          <w:tcPr>
            <w:tcW w:w="670" w:type="dxa"/>
            <w:vAlign w:val="center"/>
          </w:tcPr>
          <w:p w14:paraId="56D6D05B">
            <w:pPr>
              <w:spacing w:line="360" w:lineRule="auto"/>
              <w:jc w:val="center"/>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12</w:t>
            </w:r>
          </w:p>
        </w:tc>
        <w:tc>
          <w:tcPr>
            <w:tcW w:w="678" w:type="dxa"/>
            <w:vAlign w:val="center"/>
          </w:tcPr>
          <w:p w14:paraId="31076D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eastAsia="zh-CN"/>
                <w14:textFill>
                  <w14:solidFill>
                    <w14:schemeClr w14:val="tx1"/>
                  </w14:solidFill>
                </w14:textFill>
              </w:rPr>
              <w:t>均值</w:t>
            </w:r>
          </w:p>
        </w:tc>
      </w:tr>
      <w:tr w14:paraId="42ACF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8" w:hRule="atLeast"/>
          <w:jc w:val="center"/>
        </w:trPr>
        <w:tc>
          <w:tcPr>
            <w:tcW w:w="656" w:type="dxa"/>
            <w:vAlign w:val="center"/>
          </w:tcPr>
          <w:p w14:paraId="3B7AEC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eastAsia="zh-CN"/>
                <w14:textFill>
                  <w14:solidFill>
                    <w14:schemeClr w14:val="tx1"/>
                  </w14:solidFill>
                </w14:textFill>
              </w:rPr>
              <w:t>生态基流</w:t>
            </w:r>
          </w:p>
        </w:tc>
        <w:tc>
          <w:tcPr>
            <w:tcW w:w="408" w:type="dxa"/>
            <w:vAlign w:val="center"/>
          </w:tcPr>
          <w:p w14:paraId="5F7E0A5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425" w:type="dxa"/>
            <w:vAlign w:val="center"/>
          </w:tcPr>
          <w:p w14:paraId="092AFA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437" w:type="dxa"/>
            <w:vAlign w:val="center"/>
          </w:tcPr>
          <w:p w14:paraId="2CCD26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670" w:type="dxa"/>
            <w:vAlign w:val="center"/>
          </w:tcPr>
          <w:p w14:paraId="70ADEA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0.12</w:t>
            </w:r>
          </w:p>
        </w:tc>
        <w:tc>
          <w:tcPr>
            <w:tcW w:w="670" w:type="dxa"/>
            <w:vAlign w:val="center"/>
          </w:tcPr>
          <w:p w14:paraId="0D372BD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0.12</w:t>
            </w:r>
          </w:p>
        </w:tc>
        <w:tc>
          <w:tcPr>
            <w:tcW w:w="670" w:type="dxa"/>
            <w:vAlign w:val="center"/>
          </w:tcPr>
          <w:p w14:paraId="4D227A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0.12</w:t>
            </w:r>
          </w:p>
        </w:tc>
        <w:tc>
          <w:tcPr>
            <w:tcW w:w="670" w:type="dxa"/>
            <w:vAlign w:val="center"/>
          </w:tcPr>
          <w:p w14:paraId="153DCF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0.12</w:t>
            </w:r>
          </w:p>
        </w:tc>
        <w:tc>
          <w:tcPr>
            <w:tcW w:w="670" w:type="dxa"/>
            <w:vAlign w:val="center"/>
          </w:tcPr>
          <w:p w14:paraId="326767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0.12</w:t>
            </w:r>
          </w:p>
        </w:tc>
        <w:tc>
          <w:tcPr>
            <w:tcW w:w="670" w:type="dxa"/>
            <w:vAlign w:val="center"/>
          </w:tcPr>
          <w:p w14:paraId="134A3E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0.12</w:t>
            </w:r>
          </w:p>
        </w:tc>
        <w:tc>
          <w:tcPr>
            <w:tcW w:w="670" w:type="dxa"/>
            <w:vAlign w:val="center"/>
          </w:tcPr>
          <w:p w14:paraId="00EA2C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0.12</w:t>
            </w:r>
          </w:p>
        </w:tc>
        <w:tc>
          <w:tcPr>
            <w:tcW w:w="670" w:type="dxa"/>
            <w:vAlign w:val="center"/>
          </w:tcPr>
          <w:p w14:paraId="593A96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0.12</w:t>
            </w:r>
          </w:p>
        </w:tc>
        <w:tc>
          <w:tcPr>
            <w:tcW w:w="670" w:type="dxa"/>
            <w:vAlign w:val="center"/>
          </w:tcPr>
          <w:p w14:paraId="0A801FA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0.12</w:t>
            </w:r>
          </w:p>
        </w:tc>
        <w:tc>
          <w:tcPr>
            <w:tcW w:w="678" w:type="dxa"/>
            <w:vAlign w:val="center"/>
          </w:tcPr>
          <w:p w14:paraId="54AFBCF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 xml:space="preserve">0.120 </w:t>
            </w:r>
          </w:p>
        </w:tc>
      </w:tr>
      <w:tr w14:paraId="16CC9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656" w:type="dxa"/>
            <w:vAlign w:val="center"/>
          </w:tcPr>
          <w:p w14:paraId="688AC6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WUA流量</w:t>
            </w:r>
          </w:p>
        </w:tc>
        <w:tc>
          <w:tcPr>
            <w:tcW w:w="408" w:type="dxa"/>
            <w:shd w:val="clear" w:color="auto" w:fill="auto"/>
            <w:vAlign w:val="center"/>
          </w:tcPr>
          <w:p w14:paraId="3F06126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425" w:type="dxa"/>
            <w:shd w:val="clear" w:color="auto" w:fill="auto"/>
            <w:vAlign w:val="center"/>
          </w:tcPr>
          <w:p w14:paraId="670232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437" w:type="dxa"/>
            <w:shd w:val="clear" w:color="auto" w:fill="auto"/>
            <w:vAlign w:val="center"/>
          </w:tcPr>
          <w:p w14:paraId="4E752F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w:t>
            </w:r>
          </w:p>
        </w:tc>
        <w:tc>
          <w:tcPr>
            <w:tcW w:w="670" w:type="dxa"/>
            <w:shd w:val="clear" w:color="auto" w:fill="auto"/>
            <w:vAlign w:val="center"/>
          </w:tcPr>
          <w:p w14:paraId="2810CBE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0.225</w:t>
            </w:r>
          </w:p>
        </w:tc>
        <w:tc>
          <w:tcPr>
            <w:tcW w:w="670" w:type="dxa"/>
            <w:shd w:val="clear" w:color="auto" w:fill="auto"/>
            <w:vAlign w:val="center"/>
          </w:tcPr>
          <w:p w14:paraId="740650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0.45</w:t>
            </w:r>
          </w:p>
        </w:tc>
        <w:tc>
          <w:tcPr>
            <w:tcW w:w="670" w:type="dxa"/>
            <w:shd w:val="clear" w:color="auto" w:fill="auto"/>
            <w:vAlign w:val="center"/>
          </w:tcPr>
          <w:p w14:paraId="484693E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0.45</w:t>
            </w:r>
          </w:p>
        </w:tc>
        <w:tc>
          <w:tcPr>
            <w:tcW w:w="670" w:type="dxa"/>
            <w:shd w:val="clear" w:color="auto" w:fill="auto"/>
            <w:vAlign w:val="center"/>
          </w:tcPr>
          <w:p w14:paraId="72DDD3B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0.45</w:t>
            </w:r>
          </w:p>
        </w:tc>
        <w:tc>
          <w:tcPr>
            <w:tcW w:w="670" w:type="dxa"/>
            <w:shd w:val="clear" w:color="auto" w:fill="auto"/>
            <w:vAlign w:val="center"/>
          </w:tcPr>
          <w:p w14:paraId="13701C4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0.45</w:t>
            </w:r>
          </w:p>
        </w:tc>
        <w:tc>
          <w:tcPr>
            <w:tcW w:w="670" w:type="dxa"/>
            <w:shd w:val="clear" w:color="auto" w:fill="auto"/>
            <w:vAlign w:val="center"/>
          </w:tcPr>
          <w:p w14:paraId="7B5778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0.45</w:t>
            </w:r>
          </w:p>
        </w:tc>
        <w:tc>
          <w:tcPr>
            <w:tcW w:w="670" w:type="dxa"/>
            <w:shd w:val="clear" w:color="auto" w:fill="auto"/>
            <w:vAlign w:val="center"/>
          </w:tcPr>
          <w:p w14:paraId="37BE87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0.225</w:t>
            </w:r>
          </w:p>
        </w:tc>
        <w:tc>
          <w:tcPr>
            <w:tcW w:w="670" w:type="dxa"/>
            <w:shd w:val="clear" w:color="auto" w:fill="auto"/>
            <w:vAlign w:val="center"/>
          </w:tcPr>
          <w:p w14:paraId="50F1FF8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0.225</w:t>
            </w:r>
          </w:p>
        </w:tc>
        <w:tc>
          <w:tcPr>
            <w:tcW w:w="670" w:type="dxa"/>
            <w:shd w:val="clear" w:color="auto" w:fill="auto"/>
            <w:vAlign w:val="center"/>
          </w:tcPr>
          <w:p w14:paraId="753FA6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0.225</w:t>
            </w:r>
          </w:p>
        </w:tc>
        <w:tc>
          <w:tcPr>
            <w:tcW w:w="678" w:type="dxa"/>
            <w:vAlign w:val="center"/>
          </w:tcPr>
          <w:p w14:paraId="651CBE2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 xml:space="preserve">0.350 </w:t>
            </w:r>
          </w:p>
        </w:tc>
      </w:tr>
      <w:tr w14:paraId="18B1FB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656" w:type="dxa"/>
            <w:vAlign w:val="center"/>
          </w:tcPr>
          <w:p w14:paraId="755B16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合计</w:t>
            </w:r>
          </w:p>
        </w:tc>
        <w:tc>
          <w:tcPr>
            <w:tcW w:w="408" w:type="dxa"/>
            <w:vAlign w:val="center"/>
          </w:tcPr>
          <w:p w14:paraId="371F20B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w:t>
            </w:r>
          </w:p>
        </w:tc>
        <w:tc>
          <w:tcPr>
            <w:tcW w:w="425" w:type="dxa"/>
            <w:vAlign w:val="center"/>
          </w:tcPr>
          <w:p w14:paraId="3EF4A2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w:t>
            </w:r>
          </w:p>
        </w:tc>
        <w:tc>
          <w:tcPr>
            <w:tcW w:w="437" w:type="dxa"/>
            <w:vAlign w:val="center"/>
          </w:tcPr>
          <w:p w14:paraId="6DD96B7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w:t>
            </w:r>
          </w:p>
        </w:tc>
        <w:tc>
          <w:tcPr>
            <w:tcW w:w="670" w:type="dxa"/>
            <w:vAlign w:val="center"/>
          </w:tcPr>
          <w:p w14:paraId="67C6B2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0.345</w:t>
            </w:r>
          </w:p>
        </w:tc>
        <w:tc>
          <w:tcPr>
            <w:tcW w:w="670" w:type="dxa"/>
            <w:vAlign w:val="center"/>
          </w:tcPr>
          <w:p w14:paraId="319EA4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0.57</w:t>
            </w:r>
          </w:p>
        </w:tc>
        <w:tc>
          <w:tcPr>
            <w:tcW w:w="670" w:type="dxa"/>
            <w:vAlign w:val="center"/>
          </w:tcPr>
          <w:p w14:paraId="775EA6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0.57</w:t>
            </w:r>
          </w:p>
        </w:tc>
        <w:tc>
          <w:tcPr>
            <w:tcW w:w="670" w:type="dxa"/>
            <w:vAlign w:val="center"/>
          </w:tcPr>
          <w:p w14:paraId="32F429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0.57</w:t>
            </w:r>
          </w:p>
        </w:tc>
        <w:tc>
          <w:tcPr>
            <w:tcW w:w="670" w:type="dxa"/>
            <w:vAlign w:val="center"/>
          </w:tcPr>
          <w:p w14:paraId="7315D3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0.57</w:t>
            </w:r>
          </w:p>
        </w:tc>
        <w:tc>
          <w:tcPr>
            <w:tcW w:w="670" w:type="dxa"/>
            <w:vAlign w:val="center"/>
          </w:tcPr>
          <w:p w14:paraId="50022A8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1"/>
                <w:szCs w:val="21"/>
                <w:highlight w:val="none"/>
                <w:vertAlign w:val="baseline"/>
                <w:lang w:val="en-US" w:eastAsia="zh-CN"/>
                <w14:textFill>
                  <w14:solidFill>
                    <w14:schemeClr w14:val="tx1"/>
                  </w14:solidFill>
                </w14:textFill>
              </w:rPr>
            </w:pPr>
            <w:r>
              <w:rPr>
                <w:rFonts w:hint="eastAsia" w:cs="Times New Roman" w:eastAsiaTheme="minorEastAsia"/>
                <w:color w:val="000000" w:themeColor="text1"/>
                <w:sz w:val="21"/>
                <w:szCs w:val="21"/>
                <w:highlight w:val="none"/>
                <w:vertAlign w:val="baseline"/>
                <w:lang w:val="en-US" w:eastAsia="zh-CN"/>
                <w14:textFill>
                  <w14:solidFill>
                    <w14:schemeClr w14:val="tx1"/>
                  </w14:solidFill>
                </w14:textFill>
              </w:rPr>
              <w:t>0.57</w:t>
            </w:r>
          </w:p>
        </w:tc>
        <w:tc>
          <w:tcPr>
            <w:tcW w:w="670" w:type="dxa"/>
            <w:vAlign w:val="center"/>
          </w:tcPr>
          <w:p w14:paraId="70E7E6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0.345</w:t>
            </w:r>
          </w:p>
        </w:tc>
        <w:tc>
          <w:tcPr>
            <w:tcW w:w="670" w:type="dxa"/>
            <w:vAlign w:val="center"/>
          </w:tcPr>
          <w:p w14:paraId="627EA8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0.345</w:t>
            </w:r>
          </w:p>
        </w:tc>
        <w:tc>
          <w:tcPr>
            <w:tcW w:w="670" w:type="dxa"/>
            <w:vAlign w:val="center"/>
          </w:tcPr>
          <w:p w14:paraId="26F02B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0.345</w:t>
            </w:r>
          </w:p>
        </w:tc>
        <w:tc>
          <w:tcPr>
            <w:tcW w:w="678" w:type="dxa"/>
            <w:vAlign w:val="center"/>
          </w:tcPr>
          <w:p w14:paraId="3FBF66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000000" w:themeColor="text1"/>
                <w:sz w:val="20"/>
                <w:szCs w:val="20"/>
                <w:highlight w:val="none"/>
                <w:vertAlign w:val="baseline"/>
                <w:lang w:val="en-US" w:eastAsia="zh-CN"/>
                <w14:textFill>
                  <w14:solidFill>
                    <w14:schemeClr w14:val="tx1"/>
                  </w14:solidFill>
                </w14:textFill>
              </w:rPr>
            </w:pPr>
            <w:r>
              <w:rPr>
                <w:rFonts w:hint="eastAsia" w:cs="Times New Roman" w:eastAsiaTheme="minorEastAsia"/>
                <w:color w:val="000000" w:themeColor="text1"/>
                <w:sz w:val="20"/>
                <w:szCs w:val="20"/>
                <w:highlight w:val="none"/>
                <w:vertAlign w:val="baseline"/>
                <w:lang w:val="en-US" w:eastAsia="zh-CN"/>
                <w14:textFill>
                  <w14:solidFill>
                    <w14:schemeClr w14:val="tx1"/>
                  </w14:solidFill>
                </w14:textFill>
              </w:rPr>
              <w:t xml:space="preserve">0.470 </w:t>
            </w:r>
          </w:p>
        </w:tc>
      </w:tr>
    </w:tbl>
    <w:p w14:paraId="509044CE">
      <w:pPr>
        <w:spacing w:line="360" w:lineRule="auto"/>
        <w:ind w:firstLine="480"/>
        <w:rPr>
          <w:rFonts w:hint="eastAsia" w:cs="Times New Roman"/>
          <w:color w:val="000000" w:themeColor="text1"/>
          <w:sz w:val="24"/>
          <w:szCs w:val="24"/>
          <w:lang w:val="en-US" w:eastAsia="zh-CN"/>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从上表可以看出，本项目丰水期生态流量为0.57m³/s，枯水期生态流量为0.345m³/s，在保证生态流量的情况下，</w:t>
      </w:r>
      <w:r>
        <w:rPr>
          <w:rFonts w:hint="eastAsia" w:eastAsia="宋体"/>
          <w:color w:val="000000" w:themeColor="text1"/>
          <w:kern w:val="0"/>
          <w:sz w:val="24"/>
          <w:szCs w:val="24"/>
          <w:lang w:val="en-US" w:eastAsia="zh-CN"/>
          <w14:textFill>
            <w14:solidFill>
              <w14:schemeClr w14:val="tx1"/>
            </w14:solidFill>
          </w14:textFill>
        </w:rPr>
        <w:t>可靠保证下游</w:t>
      </w:r>
      <w:r>
        <w:rPr>
          <w:rFonts w:hint="default" w:ascii="Times New Roman" w:hAnsi="Times New Roman" w:cs="Times New Roman"/>
          <w:color w:val="000000" w:themeColor="text1"/>
          <w:sz w:val="24"/>
          <w:szCs w:val="24"/>
          <w:lang w:val="en-US" w:eastAsia="zh-CN"/>
          <w14:textFill>
            <w14:solidFill>
              <w14:schemeClr w14:val="tx1"/>
            </w14:solidFill>
          </w14:textFill>
        </w:rPr>
        <w:t>减水</w:t>
      </w:r>
      <w:r>
        <w:rPr>
          <w:rFonts w:hint="eastAsia" w:ascii="Times New Roman" w:hAnsi="Times New Roman" w:cs="Times New Roman"/>
          <w:color w:val="000000" w:themeColor="text1"/>
          <w:sz w:val="24"/>
          <w:szCs w:val="24"/>
          <w:lang w:val="en-US" w:eastAsia="zh-CN"/>
          <w14:textFill>
            <w14:solidFill>
              <w14:schemeClr w14:val="tx1"/>
            </w14:solidFill>
          </w14:textFill>
        </w:rPr>
        <w:t>、脱水</w:t>
      </w:r>
      <w:r>
        <w:rPr>
          <w:rFonts w:hint="default" w:ascii="Times New Roman" w:hAnsi="Times New Roman" w:cs="Times New Roman"/>
          <w:color w:val="000000" w:themeColor="text1"/>
          <w:sz w:val="24"/>
          <w:szCs w:val="24"/>
          <w:lang w:val="en-US" w:eastAsia="zh-CN"/>
          <w14:textFill>
            <w14:solidFill>
              <w14:schemeClr w14:val="tx1"/>
            </w14:solidFill>
          </w14:textFill>
        </w:rPr>
        <w:t>段</w:t>
      </w:r>
      <w:r>
        <w:rPr>
          <w:rFonts w:hint="eastAsia" w:cs="Times New Roman"/>
          <w:color w:val="000000" w:themeColor="text1"/>
          <w:sz w:val="24"/>
          <w:szCs w:val="24"/>
          <w:lang w:val="en-US" w:eastAsia="zh-CN"/>
          <w14:textFill>
            <w14:solidFill>
              <w14:schemeClr w14:val="tx1"/>
            </w14:solidFill>
          </w14:textFill>
        </w:rPr>
        <w:t>不</w:t>
      </w:r>
      <w:r>
        <w:rPr>
          <w:rFonts w:hint="eastAsia" w:ascii="Times New Roman" w:hAnsi="Times New Roman" w:cs="Times New Roman"/>
          <w:color w:val="000000" w:themeColor="text1"/>
          <w:sz w:val="24"/>
          <w:szCs w:val="24"/>
          <w:lang w:val="en-US" w:eastAsia="zh-CN"/>
          <w14:textFill>
            <w14:solidFill>
              <w14:schemeClr w14:val="tx1"/>
            </w14:solidFill>
          </w14:textFill>
        </w:rPr>
        <w:t>会断流</w:t>
      </w:r>
      <w:r>
        <w:rPr>
          <w:rFonts w:hint="eastAsia" w:cs="Times New Roman"/>
          <w:color w:val="000000" w:themeColor="text1"/>
          <w:sz w:val="24"/>
          <w:szCs w:val="24"/>
          <w:lang w:val="en-US" w:eastAsia="zh-CN"/>
          <w14:textFill>
            <w14:solidFill>
              <w14:schemeClr w14:val="tx1"/>
            </w14:solidFill>
          </w14:textFill>
        </w:rPr>
        <w:t>。</w:t>
      </w:r>
    </w:p>
    <w:p w14:paraId="7A0716DD">
      <w:pPr>
        <w:pStyle w:val="6"/>
        <w:bidi w:val="0"/>
        <w:rPr>
          <w:rFonts w:hint="default"/>
          <w:color w:val="000000" w:themeColor="text1"/>
          <w14:textFill>
            <w14:solidFill>
              <w14:schemeClr w14:val="tx1"/>
            </w14:solidFill>
          </w14:textFill>
        </w:rPr>
      </w:pPr>
      <w:r>
        <w:rPr>
          <w:rFonts w:hint="default"/>
          <w:color w:val="000000" w:themeColor="text1"/>
          <w14:textFill>
            <w14:solidFill>
              <w14:schemeClr w14:val="tx1"/>
            </w14:solidFill>
          </w14:textFill>
        </w:rPr>
        <w:t>4.2.</w:t>
      </w:r>
      <w:r>
        <w:rPr>
          <w:rFonts w:hint="eastAsia"/>
          <w:color w:val="000000" w:themeColor="text1"/>
          <w:lang w:val="en-US" w:eastAsia="zh-CN"/>
          <w14:textFill>
            <w14:solidFill>
              <w14:schemeClr w14:val="tx1"/>
            </w14:solidFill>
          </w14:textFill>
        </w:rPr>
        <w:t>2</w:t>
      </w:r>
      <w:r>
        <w:rPr>
          <w:rFonts w:hint="default"/>
          <w:color w:val="000000" w:themeColor="text1"/>
          <w14:textFill>
            <w14:solidFill>
              <w14:schemeClr w14:val="tx1"/>
            </w14:solidFill>
          </w14:textFill>
        </w:rPr>
        <w:t>地表水环境影响</w:t>
      </w:r>
    </w:p>
    <w:p w14:paraId="35D02A03">
      <w:pPr>
        <w:spacing w:line="360" w:lineRule="auto"/>
        <w:ind w:firstLine="480"/>
        <w:rPr>
          <w:rFonts w:hint="default" w:ascii="Times New Roman" w:hAnsi="Times New Roman"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（1）</w:t>
      </w:r>
      <w:r>
        <w:rPr>
          <w:rFonts w:hint="default" w:ascii="Times New Roman" w:hAnsi="Times New Roman" w:cs="Times New Roman"/>
          <w:color w:val="000000" w:themeColor="text1"/>
          <w:kern w:val="0"/>
          <w:sz w:val="24"/>
          <w:highlight w:val="none"/>
          <w14:textFill>
            <w14:solidFill>
              <w14:schemeClr w14:val="tx1"/>
            </w14:solidFill>
          </w14:textFill>
        </w:rPr>
        <w:t>富营养化</w:t>
      </w:r>
    </w:p>
    <w:p w14:paraId="372DD560">
      <w:pPr>
        <w:spacing w:line="360" w:lineRule="auto"/>
        <w:ind w:firstLine="480"/>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水体富营养化是指在人类活动影响下，生物所需的氮、磷等营养物质大量进入湖泊、河口、海湾等缓流水体，引起藻类及其他浮游生物迅速繁殖，水体溶解氧量下降，水质恶化，鱼类及其他生物大量死亡的现象。在自然条件下，湖泊也会逐渐从贫营养向营养状态过渡，不过这种自然过程非常缓慢，而人为排放含营养物质或由水利建设造成水文情势变化所引起的水体富营养化则易在较短时间内出现。</w:t>
      </w:r>
    </w:p>
    <w:p w14:paraId="38F151AD">
      <w:pPr>
        <w:spacing w:line="360" w:lineRule="auto"/>
        <w:ind w:firstLine="480" w:firstLineChars="200"/>
        <w:rPr>
          <w:rFonts w:hint="default" w:ascii="Times New Roman" w:hAnsi="Times New Roman"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青山</w:t>
      </w:r>
      <w:r>
        <w:rPr>
          <w:rFonts w:hint="default" w:ascii="Times New Roman" w:hAnsi="Times New Roman" w:cs="Times New Roman"/>
          <w:color w:val="000000" w:themeColor="text1"/>
          <w:kern w:val="0"/>
          <w:sz w:val="24"/>
          <w:highlight w:val="none"/>
          <w14:textFill>
            <w14:solidFill>
              <w14:schemeClr w14:val="tx1"/>
            </w14:solidFill>
          </w14:textFill>
        </w:rPr>
        <w:t>水库自建成运行以来，由于水库蓄水改变了河流原来的流态，通过对水库的富营养化状态进行评估，参照《地表水资源质量评价技术规程》SL395-2007湖库营养状态评价标准进行，</w:t>
      </w:r>
      <w:r>
        <w:rPr>
          <w:rFonts w:hint="eastAsia" w:cs="Times New Roman"/>
          <w:color w:val="000000" w:themeColor="text1"/>
          <w:kern w:val="0"/>
          <w:sz w:val="24"/>
          <w:highlight w:val="none"/>
          <w:lang w:eastAsia="zh-CN"/>
          <w14:textFill>
            <w14:solidFill>
              <w14:schemeClr w14:val="tx1"/>
            </w14:solidFill>
          </w14:textFill>
        </w:rPr>
        <w:t>青山</w:t>
      </w:r>
      <w:r>
        <w:rPr>
          <w:rFonts w:hint="default" w:ascii="Times New Roman" w:hAnsi="Times New Roman" w:cs="Times New Roman"/>
          <w:color w:val="000000" w:themeColor="text1"/>
          <w:kern w:val="0"/>
          <w:sz w:val="24"/>
          <w:highlight w:val="none"/>
          <w14:textFill>
            <w14:solidFill>
              <w14:schemeClr w14:val="tx1"/>
            </w14:solidFill>
          </w14:textFill>
        </w:rPr>
        <w:t>水库现状</w:t>
      </w:r>
      <w:r>
        <w:rPr>
          <w:rFonts w:hint="eastAsia" w:cs="Times New Roman"/>
          <w:color w:val="000000" w:themeColor="text1"/>
          <w:kern w:val="0"/>
          <w:sz w:val="24"/>
          <w:highlight w:val="none"/>
          <w:lang w:eastAsia="zh-CN"/>
          <w14:textFill>
            <w14:solidFill>
              <w14:schemeClr w14:val="tx1"/>
            </w14:solidFill>
          </w14:textFill>
        </w:rPr>
        <w:t>无</w:t>
      </w:r>
      <w:r>
        <w:rPr>
          <w:rFonts w:hint="default" w:ascii="Times New Roman" w:hAnsi="Times New Roman" w:cs="Times New Roman"/>
          <w:color w:val="000000" w:themeColor="text1"/>
          <w:kern w:val="0"/>
          <w:sz w:val="24"/>
          <w:highlight w:val="none"/>
          <w14:textFill>
            <w14:solidFill>
              <w14:schemeClr w14:val="tx1"/>
            </w14:solidFill>
          </w14:textFill>
        </w:rPr>
        <w:t>富营养</w:t>
      </w:r>
      <w:r>
        <w:rPr>
          <w:rFonts w:hint="eastAsia" w:cs="Times New Roman"/>
          <w:color w:val="000000" w:themeColor="text1"/>
          <w:kern w:val="0"/>
          <w:sz w:val="24"/>
          <w:highlight w:val="none"/>
          <w:lang w:eastAsia="zh-CN"/>
          <w14:textFill>
            <w14:solidFill>
              <w14:schemeClr w14:val="tx1"/>
            </w14:solidFill>
          </w14:textFill>
        </w:rPr>
        <w:t>情况</w:t>
      </w:r>
      <w:r>
        <w:rPr>
          <w:rFonts w:hint="default" w:ascii="Times New Roman" w:hAnsi="Times New Roman" w:cs="Times New Roman"/>
          <w:color w:val="000000" w:themeColor="text1"/>
          <w:kern w:val="0"/>
          <w:sz w:val="24"/>
          <w:highlight w:val="none"/>
          <w14:textFill>
            <w14:solidFill>
              <w14:schemeClr w14:val="tx1"/>
            </w14:solidFill>
          </w14:textFill>
        </w:rPr>
        <w:t>，本次除险加固后库区范围没有发生改变，只要库区范围内不新增污染源，来水水质不会发生大的变化，水库水质的营养状况通过水体交换可以改善水质。现状没有出现水质明显恶化、藻类异常增殖等现象。除险加固实施后水库管理部门应持续控制库区范围内污染源排放，并采取监管措施，确保水库水质安全。</w:t>
      </w:r>
    </w:p>
    <w:p w14:paraId="1B11EBCD">
      <w:pPr>
        <w:spacing w:line="360" w:lineRule="auto"/>
        <w:ind w:firstLine="480" w:firstLineChars="200"/>
        <w:rPr>
          <w:rFonts w:hint="default" w:ascii="Times New Roman" w:hAnsi="Times New Roman"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val="en-US" w:eastAsia="zh-CN"/>
          <w14:textFill>
            <w14:solidFill>
              <w14:schemeClr w14:val="tx1"/>
            </w14:solidFill>
          </w14:textFill>
        </w:rPr>
        <w:t>（2）</w:t>
      </w:r>
      <w:r>
        <w:rPr>
          <w:rFonts w:hint="default" w:ascii="Times New Roman" w:hAnsi="Times New Roman" w:cs="Times New Roman"/>
          <w:color w:val="000000" w:themeColor="text1"/>
          <w:kern w:val="0"/>
          <w:sz w:val="24"/>
          <w:highlight w:val="none"/>
          <w14:textFill>
            <w14:solidFill>
              <w14:schemeClr w14:val="tx1"/>
            </w14:solidFill>
          </w14:textFill>
        </w:rPr>
        <w:t>地表水水质</w:t>
      </w:r>
    </w:p>
    <w:p w14:paraId="540FB728">
      <w:pPr>
        <w:spacing w:line="360" w:lineRule="auto"/>
        <w:ind w:firstLine="480"/>
        <w:rPr>
          <w:rFonts w:hint="eastAsia" w:cs="Times New Roman"/>
          <w:color w:val="000000" w:themeColor="text1"/>
          <w:kern w:val="0"/>
          <w:sz w:val="24"/>
          <w:highlight w:val="none"/>
          <w:lang w:eastAsia="zh-CN"/>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水库除险加固实施后，水库运行本身不产生水污染物，运行期污废水主要是水库管理人员日常生活产生的生活污水。管理站配套</w:t>
      </w:r>
      <w:r>
        <w:rPr>
          <w:rFonts w:hint="eastAsia" w:cs="Times New Roman"/>
          <w:color w:val="000000" w:themeColor="text1"/>
          <w:kern w:val="0"/>
          <w:sz w:val="24"/>
          <w:highlight w:val="none"/>
          <w:lang w:eastAsia="zh-CN"/>
          <w14:textFill>
            <w14:solidFill>
              <w14:schemeClr w14:val="tx1"/>
            </w14:solidFill>
          </w14:textFill>
        </w:rPr>
        <w:t>防渗旱厕，管理站不新增劳动定员</w:t>
      </w:r>
      <w:r>
        <w:rPr>
          <w:rFonts w:hint="default" w:ascii="Times New Roman" w:hAnsi="Times New Roman" w:cs="Times New Roman"/>
          <w:color w:val="000000" w:themeColor="text1"/>
          <w:kern w:val="0"/>
          <w:sz w:val="24"/>
          <w:highlight w:val="none"/>
          <w14:textFill>
            <w14:solidFill>
              <w14:schemeClr w14:val="tx1"/>
            </w14:solidFill>
          </w14:textFill>
        </w:rPr>
        <w:t>，管理人员生活污水经</w:t>
      </w:r>
      <w:r>
        <w:rPr>
          <w:rFonts w:hint="eastAsia" w:ascii="Times New Roman" w:hAnsi="Times New Roman" w:cs="Times New Roman"/>
          <w:color w:val="000000" w:themeColor="text1"/>
          <w:kern w:val="0"/>
          <w:sz w:val="24"/>
          <w:highlight w:val="none"/>
          <w:lang w:eastAsia="zh-CN"/>
          <w14:textFill>
            <w14:solidFill>
              <w14:schemeClr w14:val="tx1"/>
            </w14:solidFill>
          </w14:textFill>
        </w:rPr>
        <w:t>防渗旱厕收集</w:t>
      </w:r>
      <w:r>
        <w:rPr>
          <w:rFonts w:hint="default" w:ascii="Times New Roman" w:hAnsi="Times New Roman" w:cs="Times New Roman"/>
          <w:color w:val="000000" w:themeColor="text1"/>
          <w:kern w:val="0"/>
          <w:sz w:val="24"/>
          <w:highlight w:val="none"/>
          <w14:textFill>
            <w14:solidFill>
              <w14:schemeClr w14:val="tx1"/>
            </w14:solidFill>
          </w14:textFill>
        </w:rPr>
        <w:t>、</w:t>
      </w:r>
      <w:r>
        <w:rPr>
          <w:rFonts w:hint="eastAsia" w:ascii="Times New Roman" w:hAnsi="Times New Roman" w:cs="Times New Roman"/>
          <w:color w:val="000000" w:themeColor="text1"/>
          <w:kern w:val="0"/>
          <w:sz w:val="24"/>
          <w:highlight w:val="none"/>
          <w:lang w:eastAsia="zh-CN"/>
          <w14:textFill>
            <w14:solidFill>
              <w14:schemeClr w14:val="tx1"/>
            </w14:solidFill>
          </w14:textFill>
        </w:rPr>
        <w:t>暂存</w:t>
      </w:r>
      <w:r>
        <w:rPr>
          <w:rFonts w:hint="default" w:ascii="Times New Roman" w:hAnsi="Times New Roman" w:cs="Times New Roman"/>
          <w:color w:val="000000" w:themeColor="text1"/>
          <w:kern w:val="0"/>
          <w:sz w:val="24"/>
          <w:highlight w:val="none"/>
          <w14:textFill>
            <w14:solidFill>
              <w14:schemeClr w14:val="tx1"/>
            </w14:solidFill>
          </w14:textFill>
        </w:rPr>
        <w:t>后，定期清掏、外运用作</w:t>
      </w:r>
      <w:r>
        <w:rPr>
          <w:rFonts w:hint="eastAsia" w:ascii="Times New Roman" w:hAnsi="Times New Roman" w:cs="Times New Roman"/>
          <w:color w:val="000000" w:themeColor="text1"/>
          <w:kern w:val="0"/>
          <w:sz w:val="24"/>
          <w:highlight w:val="none"/>
          <w:lang w:eastAsia="zh-CN"/>
          <w14:textFill>
            <w14:solidFill>
              <w14:schemeClr w14:val="tx1"/>
            </w14:solidFill>
          </w14:textFill>
        </w:rPr>
        <w:t>还田</w:t>
      </w:r>
      <w:r>
        <w:rPr>
          <w:rFonts w:hint="default" w:ascii="Times New Roman" w:hAnsi="Times New Roman" w:cs="Times New Roman"/>
          <w:color w:val="000000" w:themeColor="text1"/>
          <w:kern w:val="0"/>
          <w:sz w:val="24"/>
          <w:highlight w:val="none"/>
          <w14:textFill>
            <w14:solidFill>
              <w14:schemeClr w14:val="tx1"/>
            </w14:solidFill>
          </w14:textFill>
        </w:rPr>
        <w:t>农肥，不会对外环境产生影响</w:t>
      </w:r>
      <w:r>
        <w:rPr>
          <w:rFonts w:hint="eastAsia" w:ascii="Times New Roman" w:hAnsi="Times New Roman" w:cs="Times New Roman"/>
          <w:color w:val="000000" w:themeColor="text1"/>
          <w:kern w:val="0"/>
          <w:sz w:val="24"/>
          <w:highlight w:val="none"/>
          <w:lang w:eastAsia="zh-CN"/>
          <w14:textFill>
            <w14:solidFill>
              <w14:schemeClr w14:val="tx1"/>
            </w14:solidFill>
          </w14:textFill>
        </w:rPr>
        <w:t>，因此本项目运行期对水库水质以及水库下游锅盔河水质不会产生影响</w:t>
      </w:r>
      <w:r>
        <w:rPr>
          <w:rFonts w:hint="eastAsia" w:cs="Times New Roman"/>
          <w:color w:val="000000" w:themeColor="text1"/>
          <w:kern w:val="0"/>
          <w:sz w:val="24"/>
          <w:highlight w:val="none"/>
          <w:lang w:eastAsia="zh-CN"/>
          <w14:textFill>
            <w14:solidFill>
              <w14:schemeClr w14:val="tx1"/>
            </w14:solidFill>
          </w14:textFill>
        </w:rPr>
        <w:t>。</w:t>
      </w:r>
    </w:p>
    <w:p w14:paraId="0B83265B">
      <w:pPr>
        <w:spacing w:line="360" w:lineRule="auto"/>
        <w:ind w:firstLine="480"/>
        <w:rPr>
          <w:rFonts w:hint="eastAsia" w:cs="Times New Roman"/>
          <w:color w:val="000000" w:themeColor="text1"/>
          <w:kern w:val="0"/>
          <w:sz w:val="24"/>
          <w:highlight w:val="none"/>
          <w:lang w:eastAsia="zh-CN"/>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w:t>
      </w:r>
      <w:r>
        <w:rPr>
          <w:rFonts w:hint="eastAsia" w:cs="Times New Roman"/>
          <w:color w:val="000000" w:themeColor="text1"/>
          <w:kern w:val="0"/>
          <w:sz w:val="24"/>
          <w:highlight w:val="none"/>
          <w:lang w:val="en-US" w:eastAsia="zh-CN"/>
          <w14:textFill>
            <w14:solidFill>
              <w14:schemeClr w14:val="tx1"/>
            </w14:solidFill>
          </w14:textFill>
        </w:rPr>
        <w:t>3</w:t>
      </w:r>
      <w:r>
        <w:rPr>
          <w:rFonts w:hint="eastAsia" w:cs="Times New Roman"/>
          <w:color w:val="000000" w:themeColor="text1"/>
          <w:kern w:val="0"/>
          <w:sz w:val="24"/>
          <w:highlight w:val="none"/>
          <w:lang w:eastAsia="zh-CN"/>
          <w14:textFill>
            <w14:solidFill>
              <w14:schemeClr w14:val="tx1"/>
            </w14:solidFill>
          </w14:textFill>
        </w:rPr>
        <w:t>）地表构筑物影响</w:t>
      </w:r>
    </w:p>
    <w:p w14:paraId="42407403">
      <w:pPr>
        <w:spacing w:line="360" w:lineRule="auto"/>
        <w:ind w:firstLine="480"/>
        <w:rPr>
          <w:rFonts w:hint="default" w:ascii="Times New Roman" w:hAnsi="Times New Roman" w:cs="Times New Roman"/>
          <w:color w:val="000000" w:themeColor="text1"/>
          <w:kern w:val="0"/>
          <w:sz w:val="24"/>
          <w:highlight w:val="none"/>
          <w14:textFill>
            <w14:solidFill>
              <w14:schemeClr w14:val="tx1"/>
            </w14:solidFill>
          </w14:textFill>
        </w:rPr>
      </w:pPr>
      <w:r>
        <w:rPr>
          <w:rFonts w:hint="eastAsia" w:cs="Times New Roman"/>
          <w:color w:val="000000" w:themeColor="text1"/>
          <w:kern w:val="0"/>
          <w:sz w:val="24"/>
          <w:highlight w:val="none"/>
          <w:lang w:eastAsia="zh-CN"/>
          <w14:textFill>
            <w14:solidFill>
              <w14:schemeClr w14:val="tx1"/>
            </w14:solidFill>
          </w14:textFill>
        </w:rPr>
        <w:t>本工程为改建项目，水库除险加固建设过程中利用现有大坝进行施工，不增加占地面积，不扩大汇水范围，</w:t>
      </w:r>
      <w:r>
        <w:rPr>
          <w:rFonts w:hint="default" w:ascii="Times New Roman" w:hAnsi="Times New Roman" w:cs="Times New Roman" w:eastAsiaTheme="minorEastAsia"/>
          <w:color w:val="000000" w:themeColor="text1"/>
          <w:sz w:val="24"/>
          <w:highlight w:val="none"/>
          <w:lang w:val="en-US" w:eastAsia="zh-CN"/>
          <w14:textFill>
            <w14:solidFill>
              <w14:schemeClr w14:val="tx1"/>
            </w14:solidFill>
          </w14:textFill>
        </w:rPr>
        <w:t>青山水库始建</w:t>
      </w:r>
      <w:r>
        <w:rPr>
          <w:rFonts w:hint="default"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于1958年，后经1975、1979年2次续建，1988年竣工</w:t>
      </w:r>
      <w:r>
        <w:rPr>
          <w:rFonts w:hint="eastAsia" w:cs="Times New Roman" w:eastAsiaTheme="minorEastAsia"/>
          <w:color w:val="000000" w:themeColor="text1"/>
          <w:sz w:val="24"/>
          <w:szCs w:val="24"/>
          <w:highlight w:val="none"/>
          <w:lang w:val="en-US" w:eastAsia="zh-CN"/>
          <w14:textFill>
            <w14:solidFill>
              <w14:schemeClr w14:val="tx1"/>
            </w14:solidFill>
          </w14:textFill>
        </w:rPr>
        <w:t>，建成已37年，区域生态环境已经稳定，水生生态无需重建，森林生态系统、农田生态系统已经稳定，项目运行，不会恶化项目周边的生态系统，根据地表水监测结果，</w:t>
      </w:r>
      <w:r>
        <w:rPr>
          <w:rFonts w:hint="eastAsia" w:ascii="Times New Roman" w:hAnsi="Times New Roman" w:cs="Times New Roman" w:eastAsiaTheme="minorEastAsia"/>
          <w:color w:val="000000" w:themeColor="text1"/>
          <w:sz w:val="24"/>
          <w:szCs w:val="24"/>
          <w:highlight w:val="none"/>
          <w:lang w:val="en-US" w:eastAsia="zh-CN"/>
          <w14:textFill>
            <w14:solidFill>
              <w14:schemeClr w14:val="tx1"/>
            </w14:solidFill>
          </w14:textFill>
        </w:rPr>
        <w:t>水质现状不存在富营养化情况，且无富营养化趋势</w:t>
      </w:r>
      <w:r>
        <w:rPr>
          <w:rFonts w:hint="eastAsia" w:cs="Times New Roman" w:eastAsiaTheme="minorEastAsia"/>
          <w:color w:val="000000" w:themeColor="text1"/>
          <w:sz w:val="24"/>
          <w:szCs w:val="24"/>
          <w:highlight w:val="none"/>
          <w:lang w:val="en-US" w:eastAsia="zh-CN"/>
          <w14:textFill>
            <w14:solidFill>
              <w14:schemeClr w14:val="tx1"/>
            </w14:solidFill>
          </w14:textFill>
        </w:rPr>
        <w:t>；且青山水库重要鱼类的无洄游通道。</w:t>
      </w:r>
    </w:p>
    <w:p w14:paraId="3DC4A3E0">
      <w:pPr>
        <w:ind w:firstLine="480"/>
        <w:rPr>
          <w:rFonts w:hint="default" w:ascii="Times New Roman" w:hAnsi="Times New Roman" w:cs="Times New Roman"/>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74D7BA7D">
      <w:pPr>
        <w:pStyle w:val="4"/>
        <w:ind w:left="0" w:firstLine="0"/>
        <w:rPr>
          <w:rFonts w:hint="default" w:ascii="Times New Roman" w:hAnsi="Times New Roman" w:cs="Times New Roman"/>
          <w:color w:val="000000" w:themeColor="text1"/>
          <w:highlight w:val="none"/>
          <w14:textFill>
            <w14:solidFill>
              <w14:schemeClr w14:val="tx1"/>
            </w14:solidFill>
          </w14:textFill>
        </w:rPr>
      </w:pPr>
      <w:bookmarkStart w:id="131" w:name="_Toc1386"/>
      <w:bookmarkStart w:id="132" w:name="_Toc8228"/>
      <w:bookmarkStart w:id="133" w:name="_Toc4649"/>
      <w:r>
        <w:rPr>
          <w:rFonts w:hint="default" w:ascii="Times New Roman" w:hAnsi="Times New Roman" w:cs="Times New Roman"/>
          <w:color w:val="000000" w:themeColor="text1"/>
          <w:highlight w:val="none"/>
          <w14:textFill>
            <w14:solidFill>
              <w14:schemeClr w14:val="tx1"/>
            </w14:solidFill>
          </w14:textFill>
        </w:rPr>
        <w:t>5地表水环境保护措施</w:t>
      </w:r>
      <w:bookmarkEnd w:id="131"/>
      <w:bookmarkEnd w:id="132"/>
      <w:bookmarkEnd w:id="133"/>
    </w:p>
    <w:p w14:paraId="085AE45C">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134" w:name="_Toc3297"/>
      <w:r>
        <w:rPr>
          <w:rFonts w:hint="default" w:ascii="Times New Roman" w:hAnsi="Times New Roman" w:cs="Times New Roman"/>
          <w:color w:val="000000" w:themeColor="text1"/>
          <w:highlight w:val="none"/>
          <w14:textFill>
            <w14:solidFill>
              <w14:schemeClr w14:val="tx1"/>
            </w14:solidFill>
          </w14:textFill>
        </w:rPr>
        <w:t>5.1施工期保护措施</w:t>
      </w:r>
      <w:bookmarkEnd w:id="134"/>
    </w:p>
    <w:p w14:paraId="6E09A605">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生活污水</w:t>
      </w:r>
    </w:p>
    <w:p w14:paraId="30F47C8A">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施工高峰期人数</w:t>
      </w:r>
      <w:r>
        <w:rPr>
          <w:rFonts w:hint="eastAsia" w:cs="Times New Roman" w:eastAsiaTheme="minorEastAsia"/>
          <w:color w:val="000000" w:themeColor="text1"/>
          <w:sz w:val="24"/>
          <w:highlight w:val="none"/>
          <w:lang w:val="en-US" w:eastAsia="zh-CN"/>
          <w14:textFill>
            <w14:solidFill>
              <w14:schemeClr w14:val="tx1"/>
            </w14:solidFill>
          </w14:textFill>
        </w:rPr>
        <w:t>60</w:t>
      </w:r>
      <w:r>
        <w:rPr>
          <w:rFonts w:hint="default" w:ascii="Times New Roman" w:hAnsi="Times New Roman" w:cs="Times New Roman" w:eastAsiaTheme="minorEastAsia"/>
          <w:color w:val="000000" w:themeColor="text1"/>
          <w:sz w:val="24"/>
          <w:highlight w:val="none"/>
          <w14:textFill>
            <w14:solidFill>
              <w14:schemeClr w14:val="tx1"/>
            </w14:solidFill>
          </w14:textFill>
        </w:rPr>
        <w:t>人，拟在生产生活区设置1处</w:t>
      </w:r>
      <w:r>
        <w:rPr>
          <w:rFonts w:hint="eastAsia" w:cs="Times New Roman" w:eastAsiaTheme="minorEastAsia"/>
          <w:color w:val="000000" w:themeColor="text1"/>
          <w:sz w:val="24"/>
          <w:highlight w:val="none"/>
          <w:lang w:eastAsia="zh-CN"/>
          <w14:textFill>
            <w14:solidFill>
              <w14:schemeClr w14:val="tx1"/>
            </w14:solidFill>
          </w14:textFill>
        </w:rPr>
        <w:t>防渗旱厕</w:t>
      </w:r>
      <w:r>
        <w:rPr>
          <w:rFonts w:hint="default" w:ascii="Times New Roman" w:hAnsi="Times New Roman" w:cs="Times New Roman" w:eastAsiaTheme="minorEastAsia"/>
          <w:color w:val="000000" w:themeColor="text1"/>
          <w:sz w:val="24"/>
          <w:highlight w:val="none"/>
          <w14:textFill>
            <w14:solidFill>
              <w14:schemeClr w14:val="tx1"/>
            </w14:solidFill>
          </w14:textFill>
        </w:rPr>
        <w:t>。集中收集施工人员产生的生活污水，定期清掏、外运，严禁将生活污水外排和随意泼洒。施工人数较少。施工人员日常生活过程中产生的生活污水排放到环保厕所后进入化粪池，厕所定期消毒，化粪池用吸粪车定期抽出外运。</w:t>
      </w:r>
    </w:p>
    <w:p w14:paraId="1931991F">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生产废水</w:t>
      </w:r>
    </w:p>
    <w:p w14:paraId="6256A197">
      <w:pPr>
        <w:spacing w:line="360" w:lineRule="auto"/>
        <w:ind w:firstLine="480" w:firstLineChars="200"/>
        <w:rPr>
          <w:rFonts w:hint="default" w:ascii="Times New Roman" w:hAnsi="Times New Roman" w:cs="Times New Roman" w:eastAsiaTheme="minorEastAsia"/>
          <w:color w:val="000000" w:themeColor="text1"/>
          <w:sz w:val="24"/>
          <w:highlight w:val="none"/>
          <w14:textFill>
            <w14:solidFill>
              <w14:schemeClr w14:val="tx1"/>
            </w14:solidFill>
          </w14:textFill>
        </w:rPr>
      </w:pPr>
      <w:r>
        <w:rPr>
          <w:rFonts w:hint="default" w:ascii="Times New Roman" w:hAnsi="Times New Roman" w:cs="Times New Roman" w:eastAsiaTheme="minorEastAsia"/>
          <w:color w:val="000000" w:themeColor="text1"/>
          <w:sz w:val="24"/>
          <w:highlight w:val="none"/>
          <w14:textFill>
            <w14:solidFill>
              <w14:schemeClr w14:val="tx1"/>
            </w14:solidFill>
          </w14:textFill>
        </w:rPr>
        <w:t>为处理施工冲洗废水，拟在各施工区修建1套混凝土搅拌机冲洗废水处理系统。根据施工总布置规划，由于混凝土搅拌机冲洗废水的污染物单一，其废水处理系统拟在施工区设置1座10m³沉淀池尺寸为2.0m（长）×2.0m（宽）×</w:t>
      </w:r>
      <w:r>
        <w:rPr>
          <w:rFonts w:hint="eastAsia" w:cs="Times New Roman" w:eastAsiaTheme="minorEastAsia"/>
          <w:color w:val="000000" w:themeColor="text1"/>
          <w:sz w:val="24"/>
          <w:highlight w:val="none"/>
          <w:lang w:val="en-US" w:eastAsia="zh-CN"/>
          <w14:textFill>
            <w14:solidFill>
              <w14:schemeClr w14:val="tx1"/>
            </w14:solidFill>
          </w14:textFill>
        </w:rPr>
        <w:t>2</w:t>
      </w:r>
      <w:r>
        <w:rPr>
          <w:rFonts w:hint="default" w:ascii="Times New Roman" w:hAnsi="Times New Roman" w:cs="Times New Roman" w:eastAsiaTheme="minorEastAsia"/>
          <w:color w:val="000000" w:themeColor="text1"/>
          <w:sz w:val="24"/>
          <w:highlight w:val="none"/>
          <w14:textFill>
            <w14:solidFill>
              <w14:schemeClr w14:val="tx1"/>
            </w14:solidFill>
          </w14:textFill>
        </w:rPr>
        <w:t>.5m（高），废水自流入沉淀池，沉淀废水中的泥沙，静止2h后，</w:t>
      </w:r>
      <w:r>
        <w:rPr>
          <w:rFonts w:hint="eastAsia" w:cs="Times New Roman" w:eastAsiaTheme="minorEastAsia"/>
          <w:color w:val="000000" w:themeColor="text1"/>
          <w:sz w:val="24"/>
          <w:highlight w:val="none"/>
          <w:lang w:eastAsia="zh-CN"/>
          <w14:textFill>
            <w14:solidFill>
              <w14:schemeClr w14:val="tx1"/>
            </w14:solidFill>
          </w14:textFill>
        </w:rPr>
        <w:t>上层清水可回用于生产</w:t>
      </w:r>
      <w:r>
        <w:rPr>
          <w:rFonts w:hint="default" w:ascii="Times New Roman" w:hAnsi="Times New Roman" w:cs="Times New Roman" w:eastAsiaTheme="minorEastAsia"/>
          <w:color w:val="000000" w:themeColor="text1"/>
          <w:sz w:val="24"/>
          <w:highlight w:val="none"/>
          <w14:textFill>
            <w14:solidFill>
              <w14:schemeClr w14:val="tx1"/>
            </w14:solidFill>
          </w14:textFill>
        </w:rPr>
        <w:t>，可经水泵加压回用，每天泵抽回用于混凝土拌和系统的冲洗或场地、道路抑尘洒水。混凝土拌和系统废水经过沉淀处理后回用废水不外排，对周边地表水体环境影响不大。</w:t>
      </w:r>
    </w:p>
    <w:p w14:paraId="3C1FB117">
      <w:pPr>
        <w:pStyle w:val="5"/>
        <w:numPr>
          <w:ilvl w:val="1"/>
          <w:numId w:val="0"/>
        </w:numPr>
        <w:rPr>
          <w:rFonts w:hint="default" w:ascii="Times New Roman" w:hAnsi="Times New Roman" w:cs="Times New Roman"/>
          <w:color w:val="000000" w:themeColor="text1"/>
          <w:highlight w:val="none"/>
          <w14:textFill>
            <w14:solidFill>
              <w14:schemeClr w14:val="tx1"/>
            </w14:solidFill>
          </w14:textFill>
        </w:rPr>
      </w:pPr>
      <w:bookmarkStart w:id="135" w:name="_Toc29077"/>
      <w:r>
        <w:rPr>
          <w:rFonts w:hint="default" w:ascii="Times New Roman" w:hAnsi="Times New Roman" w:cs="Times New Roman"/>
          <w:color w:val="000000" w:themeColor="text1"/>
          <w:highlight w:val="none"/>
          <w14:textFill>
            <w14:solidFill>
              <w14:schemeClr w14:val="tx1"/>
            </w14:solidFill>
          </w14:textFill>
        </w:rPr>
        <w:t>5.2运行期保护措施</w:t>
      </w:r>
      <w:bookmarkEnd w:id="135"/>
    </w:p>
    <w:p w14:paraId="691EBC9D">
      <w:pPr>
        <w:spacing w:line="360" w:lineRule="auto"/>
        <w:ind w:firstLine="480" w:firstLineChars="200"/>
        <w:rPr>
          <w:rFonts w:hint="eastAsia" w:cs="Times New Roman"/>
          <w:color w:val="000000" w:themeColor="text1"/>
          <w:sz w:val="24"/>
          <w:highlight w:val="none"/>
          <w:lang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一、下泄</w:t>
      </w:r>
      <w:r>
        <w:rPr>
          <w:rFonts w:hint="default" w:ascii="Times New Roman" w:hAnsi="Times New Roman" w:cs="Times New Roman"/>
          <w:color w:val="000000" w:themeColor="text1"/>
          <w:sz w:val="24"/>
          <w:highlight w:val="none"/>
          <w14:textFill>
            <w14:solidFill>
              <w14:schemeClr w14:val="tx1"/>
            </w14:solidFill>
          </w14:textFill>
        </w:rPr>
        <w:t>生态流量保障措施</w:t>
      </w:r>
      <w:r>
        <w:rPr>
          <w:rFonts w:hint="eastAsia" w:cs="Times New Roman"/>
          <w:color w:val="000000" w:themeColor="text1"/>
          <w:sz w:val="24"/>
          <w:highlight w:val="none"/>
          <w:lang w:eastAsia="zh-CN"/>
          <w14:textFill>
            <w14:solidFill>
              <w14:schemeClr w14:val="tx1"/>
            </w14:solidFill>
          </w14:textFill>
        </w:rPr>
        <w:t>：</w:t>
      </w:r>
    </w:p>
    <w:p w14:paraId="0561B84B">
      <w:pPr>
        <w:spacing w:line="360" w:lineRule="auto"/>
        <w:ind w:firstLine="480" w:firstLineChars="200"/>
        <w:rPr>
          <w:rFonts w:hint="eastAsia" w:ascii="Times New Roman" w:hAnsi="Times New Roman" w:eastAsia="宋体" w:cs="Times New Roman"/>
          <w:color w:val="000000" w:themeColor="text1"/>
          <w:sz w:val="24"/>
          <w:highlight w:val="none"/>
          <w:lang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1</w:t>
      </w: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kern w:val="0"/>
          <w:sz w:val="24"/>
          <w:highlight w:val="none"/>
          <w:lang w:eastAsia="zh-CN"/>
          <w14:textFill>
            <w14:solidFill>
              <w14:schemeClr w14:val="tx1"/>
            </w14:solidFill>
          </w14:textFill>
        </w:rPr>
        <w:t>青山</w:t>
      </w:r>
      <w:r>
        <w:rPr>
          <w:rFonts w:hint="default" w:ascii="Times New Roman" w:hAnsi="Times New Roman" w:cs="Times New Roman"/>
          <w:color w:val="000000" w:themeColor="text1"/>
          <w:kern w:val="0"/>
          <w:sz w:val="24"/>
          <w:highlight w:val="none"/>
          <w14:textFill>
            <w14:solidFill>
              <w14:schemeClr w14:val="tx1"/>
            </w14:solidFill>
          </w14:textFill>
        </w:rPr>
        <w:t>水库在调度时，采用现有输水洞进行生态流量下泄，严格按照《水库</w:t>
      </w:r>
      <w:r>
        <w:rPr>
          <w:rFonts w:hint="default" w:ascii="Times New Roman" w:hAnsi="Times New Roman" w:cs="Times New Roman"/>
          <w:color w:val="000000" w:themeColor="text1"/>
          <w:sz w:val="24"/>
          <w:highlight w:val="none"/>
          <w14:textFill>
            <w14:solidFill>
              <w14:schemeClr w14:val="tx1"/>
            </w14:solidFill>
          </w14:textFill>
        </w:rPr>
        <w:t>调度设计规范》（GB/T50587-2010）要求，基本的水库调度原则为：水库调度设计应遵循保护生态和环境的原则，优先满足河道内生态和环境的基本用水要求，合理制定运用控制条件和水库调度方式</w:t>
      </w:r>
      <w:r>
        <w:rPr>
          <w:rFonts w:hint="eastAsia" w:cs="Times New Roman"/>
          <w:color w:val="000000" w:themeColor="text1"/>
          <w:sz w:val="24"/>
          <w:highlight w:val="none"/>
          <w:lang w:eastAsia="zh-CN"/>
          <w14:textFill>
            <w14:solidFill>
              <w14:schemeClr w14:val="tx1"/>
            </w14:solidFill>
          </w14:textFill>
        </w:rPr>
        <w:t>。</w:t>
      </w:r>
    </w:p>
    <w:p w14:paraId="00331B9E">
      <w:pPr>
        <w:spacing w:line="360" w:lineRule="auto"/>
        <w:ind w:firstLine="480" w:firstLineChars="200"/>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w:t>
      </w:r>
      <w:r>
        <w:rPr>
          <w:rFonts w:hint="eastAsia" w:cs="Times New Roman"/>
          <w:color w:val="000000" w:themeColor="text1"/>
          <w:sz w:val="24"/>
          <w:highlight w:val="none"/>
          <w:lang w:val="en-US" w:eastAsia="zh-CN"/>
          <w14:textFill>
            <w14:solidFill>
              <w14:schemeClr w14:val="tx1"/>
            </w14:solidFill>
          </w14:textFill>
        </w:rPr>
        <w:t>2</w:t>
      </w:r>
      <w:r>
        <w:rPr>
          <w:rFonts w:hint="eastAsia" w:cs="Times New Roman"/>
          <w:color w:val="000000" w:themeColor="text1"/>
          <w:sz w:val="24"/>
          <w:highlight w:val="none"/>
          <w:lang w:eastAsia="zh-CN"/>
          <w14:textFill>
            <w14:solidFill>
              <w14:schemeClr w14:val="tx1"/>
            </w14:solidFill>
          </w14:textFill>
        </w:rPr>
        <w:t>）根据《水库生态流量泄放规程》（</w:t>
      </w:r>
      <w:r>
        <w:rPr>
          <w:rFonts w:hint="eastAsia" w:cs="Times New Roman"/>
          <w:color w:val="000000" w:themeColor="text1"/>
          <w:sz w:val="24"/>
          <w:highlight w:val="none"/>
          <w:lang w:val="en-US" w:eastAsia="zh-CN"/>
          <w14:textFill>
            <w14:solidFill>
              <w14:schemeClr w14:val="tx1"/>
            </w14:solidFill>
          </w14:textFill>
        </w:rPr>
        <w:t>SL/T819-2023</w:t>
      </w:r>
      <w:r>
        <w:rPr>
          <w:rFonts w:hint="eastAsia" w:cs="Times New Roman"/>
          <w:color w:val="000000" w:themeColor="text1"/>
          <w:sz w:val="24"/>
          <w:highlight w:val="none"/>
          <w:lang w:eastAsia="zh-CN"/>
          <w14:textFill>
            <w14:solidFill>
              <w14:schemeClr w14:val="tx1"/>
            </w14:solidFill>
          </w14:textFill>
        </w:rPr>
        <w:t>）应服从流域统一调度和防洪抗旱总体安排，保障基本生态用水；本水库调度实施流程应包括流量调度计划报送、调整、调度指令下达和执行；</w:t>
      </w:r>
    </w:p>
    <w:p w14:paraId="540BFECF">
      <w:pPr>
        <w:spacing w:line="360" w:lineRule="auto"/>
        <w:ind w:firstLine="480" w:firstLineChars="200"/>
        <w:rPr>
          <w:rFonts w:hint="default" w:ascii="Times New Roman" w:hAnsi="Times New Roman" w:cs="Times New Roman"/>
          <w:color w:val="000000" w:themeColor="text1"/>
          <w:sz w:val="24"/>
          <w:highlight w:val="none"/>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本项目丰水期生态流量为0.57m³/s，枯水期生态流量为0.345m³/s，运行期需对水库下泄流量进行监测，生态流量泄放监测断面布设应具有控制性和代表性，且能反映水库泄放全部生态流量及过程，并避免其他建筑物运行的干扰；监测频次应结合流量保障要求和水文观测的要求，应及时对生态流量泄放监测数据进行整编，定期对监测数据分析并妥善保管与归档。</w:t>
      </w:r>
    </w:p>
    <w:p w14:paraId="5CCFC05B">
      <w:pPr>
        <w:spacing w:line="360" w:lineRule="auto"/>
        <w:ind w:firstLine="480" w:firstLineChars="200"/>
        <w:rPr>
          <w:rFonts w:hint="eastAsia" w:cs="Times New Roman"/>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4"/>
          <w:highlight w:val="none"/>
          <w14:textFill>
            <w14:solidFill>
              <w14:schemeClr w14:val="tx1"/>
            </w14:solidFill>
          </w14:textFill>
        </w:rPr>
        <w:t>满足下游生态流量要求</w:t>
      </w:r>
      <w:r>
        <w:rPr>
          <w:rFonts w:hint="eastAsia" w:cs="Times New Roman"/>
          <w:color w:val="000000" w:themeColor="text1"/>
          <w:sz w:val="24"/>
          <w:highlight w:val="none"/>
          <w:lang w:eastAsia="zh-CN"/>
          <w14:textFill>
            <w14:solidFill>
              <w14:schemeClr w14:val="tx1"/>
            </w14:solidFill>
          </w14:textFill>
        </w:rPr>
        <w:t>。</w:t>
      </w:r>
    </w:p>
    <w:p w14:paraId="063DB38B">
      <w:pPr>
        <w:spacing w:line="360" w:lineRule="auto"/>
        <w:ind w:firstLine="480" w:firstLineChars="200"/>
        <w:rPr>
          <w:rFonts w:hint="eastAsia" w:cs="Times New Roman"/>
          <w:color w:val="000000" w:themeColor="text1"/>
          <w:sz w:val="24"/>
          <w:highlight w:val="none"/>
          <w:lang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二、控制农业面源</w:t>
      </w:r>
    </w:p>
    <w:p w14:paraId="1B3FA72D">
      <w:pPr>
        <w:spacing w:line="360" w:lineRule="auto"/>
        <w:ind w:firstLine="480" w:firstLineChars="200"/>
        <w:rPr>
          <w:rFonts w:hint="eastAsia" w:cs="Times New Roman"/>
          <w:color w:val="000000" w:themeColor="text1"/>
          <w:sz w:val="24"/>
          <w:highlight w:val="none"/>
          <w:lang w:eastAsia="zh-CN"/>
          <w14:textFill>
            <w14:solidFill>
              <w14:schemeClr w14:val="tx1"/>
            </w14:solidFill>
          </w14:textFill>
        </w:rPr>
      </w:pPr>
      <w:r>
        <w:rPr>
          <w:rFonts w:hint="eastAsia" w:cs="Times New Roman"/>
          <w:color w:val="000000" w:themeColor="text1"/>
          <w:sz w:val="24"/>
          <w:highlight w:val="none"/>
          <w:lang w:eastAsia="zh-CN"/>
          <w14:textFill>
            <w14:solidFill>
              <w14:schemeClr w14:val="tx1"/>
            </w14:solidFill>
          </w14:textFill>
        </w:rPr>
        <w:t>青山水库在运行过程中应加大库区上游农业面源污染防治力度，大力发展生态农业，提高农业生产科学技术水平，科学合理使用农业投入品，提高使用效率，扩大绿色和有机农业种植面积，全面加强农业面源污染控制，减轻区内面源污染。</w:t>
      </w:r>
    </w:p>
    <w:p w14:paraId="537020DF">
      <w:pPr>
        <w:ind w:firstLine="480"/>
        <w:rPr>
          <w:rFonts w:hint="default" w:ascii="Times New Roman" w:hAnsi="Times New Roman" w:cs="Times New Roman"/>
          <w:color w:val="000000" w:themeColor="text1"/>
          <w:highlight w:val="none"/>
          <w14:textFill>
            <w14:solidFill>
              <w14:schemeClr w14:val="tx1"/>
            </w14:solidFill>
          </w14:textFill>
        </w:rPr>
      </w:pPr>
    </w:p>
    <w:p w14:paraId="625DC80B">
      <w:pPr>
        <w:ind w:firstLine="480"/>
        <w:rPr>
          <w:rFonts w:hint="default" w:ascii="Times New Roman" w:hAnsi="Times New Roman" w:cs="Times New Roman"/>
          <w:color w:val="000000" w:themeColor="text1"/>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p>
    <w:p w14:paraId="5448DE42">
      <w:pPr>
        <w:pStyle w:val="4"/>
        <w:ind w:left="0" w:firstLine="0"/>
        <w:rPr>
          <w:rFonts w:hint="default" w:ascii="Times New Roman" w:hAnsi="Times New Roman" w:cs="Times New Roman"/>
          <w:color w:val="000000" w:themeColor="text1"/>
          <w:highlight w:val="none"/>
          <w14:textFill>
            <w14:solidFill>
              <w14:schemeClr w14:val="tx1"/>
            </w14:solidFill>
          </w14:textFill>
        </w:rPr>
      </w:pPr>
      <w:bookmarkStart w:id="136" w:name="_Toc14878"/>
      <w:bookmarkStart w:id="137" w:name="_Toc4756"/>
      <w:bookmarkStart w:id="138" w:name="_Toc5612"/>
      <w:r>
        <w:rPr>
          <w:rFonts w:hint="default" w:ascii="Times New Roman" w:hAnsi="Times New Roman" w:cs="Times New Roman"/>
          <w:color w:val="000000" w:themeColor="text1"/>
          <w:highlight w:val="none"/>
          <w14:textFill>
            <w14:solidFill>
              <w14:schemeClr w14:val="tx1"/>
            </w14:solidFill>
          </w14:textFill>
        </w:rPr>
        <w:t>6评价结论</w:t>
      </w:r>
      <w:bookmarkEnd w:id="136"/>
      <w:bookmarkEnd w:id="137"/>
      <w:bookmarkEnd w:id="138"/>
    </w:p>
    <w:p w14:paraId="05E7F30D">
      <w:pPr>
        <w:spacing w:before="156" w:beforeLines="50" w:line="360" w:lineRule="auto"/>
        <w:ind w:firstLine="480" w:firstLineChars="200"/>
        <w:rPr>
          <w:rFonts w:hint="default" w:ascii="Times New Roman" w:hAnsi="Times New Roman" w:cs="Times New Roman"/>
          <w:color w:val="000000" w:themeColor="text1"/>
          <w:kern w:val="0"/>
          <w:sz w:val="24"/>
          <w:highlight w:val="none"/>
          <w14:textFill>
            <w14:solidFill>
              <w14:schemeClr w14:val="tx1"/>
            </w14:solidFill>
          </w14:textFill>
        </w:rPr>
      </w:pPr>
      <w:r>
        <w:rPr>
          <w:rFonts w:hint="default" w:ascii="Times New Roman" w:hAnsi="Times New Roman" w:cs="Times New Roman"/>
          <w:color w:val="000000" w:themeColor="text1"/>
          <w:kern w:val="0"/>
          <w:sz w:val="24"/>
          <w:highlight w:val="none"/>
          <w14:textFill>
            <w14:solidFill>
              <w14:schemeClr w14:val="tx1"/>
            </w14:solidFill>
          </w14:textFill>
        </w:rPr>
        <w:t>工程实施后，可消除</w:t>
      </w:r>
      <w:r>
        <w:rPr>
          <w:rFonts w:hint="eastAsia" w:cs="Times New Roman"/>
          <w:color w:val="000000" w:themeColor="text1"/>
          <w:kern w:val="0"/>
          <w:sz w:val="24"/>
          <w:highlight w:val="none"/>
          <w:lang w:eastAsia="zh-CN"/>
          <w14:textFill>
            <w14:solidFill>
              <w14:schemeClr w14:val="tx1"/>
            </w14:solidFill>
          </w14:textFill>
        </w:rPr>
        <w:t>青山</w:t>
      </w:r>
      <w:r>
        <w:rPr>
          <w:rFonts w:hint="default" w:ascii="Times New Roman" w:hAnsi="Times New Roman" w:cs="Times New Roman"/>
          <w:color w:val="000000" w:themeColor="text1"/>
          <w:kern w:val="0"/>
          <w:sz w:val="24"/>
          <w:highlight w:val="none"/>
          <w14:textFill>
            <w14:solidFill>
              <w14:schemeClr w14:val="tx1"/>
            </w14:solidFill>
          </w14:textFill>
        </w:rPr>
        <w:t>水库安全隐患，使得水库正常运行，持续发挥水库灌溉和防洪功能。</w:t>
      </w:r>
      <w:r>
        <w:rPr>
          <w:rFonts w:hint="default" w:ascii="Times New Roman" w:hAnsi="Times New Roman" w:cs="Times New Roman"/>
          <w:color w:val="000000" w:themeColor="text1"/>
          <w:sz w:val="24"/>
          <w:highlight w:val="none"/>
          <w14:textFill>
            <w14:solidFill>
              <w14:schemeClr w14:val="tx1"/>
            </w14:solidFill>
          </w14:textFill>
        </w:rPr>
        <w:t>保护下游农田免遭洪水侵袭，可避免因洪水灾害而污染河流水质的情况发生，对区域水环境将起到一定的保护作用。</w:t>
      </w:r>
      <w:r>
        <w:rPr>
          <w:rFonts w:hint="default" w:ascii="Times New Roman" w:hAnsi="Times New Roman" w:cs="Times New Roman"/>
          <w:color w:val="000000" w:themeColor="text1"/>
          <w:kern w:val="0"/>
          <w:sz w:val="24"/>
          <w:highlight w:val="none"/>
          <w14:textFill>
            <w14:solidFill>
              <w14:schemeClr w14:val="tx1"/>
            </w14:solidFill>
          </w14:textFill>
        </w:rPr>
        <w:t>工程建设不涉及环境敏感区，不存在环境制约因素，施工期对环境带来的不利影响可以通过本报告提出的环境保护措施予以减免。</w:t>
      </w:r>
    </w:p>
    <w:p w14:paraId="6A56880E">
      <w:pPr>
        <w:spacing w:line="360" w:lineRule="auto"/>
        <w:ind w:firstLine="480"/>
        <w:rPr>
          <w:rFonts w:hint="default" w:ascii="Times New Roman" w:hAnsi="Times New Roman" w:cs="Times New Roman"/>
          <w:color w:val="000000" w:themeColor="text1"/>
          <w:kern w:val="0"/>
          <w:sz w:val="24"/>
          <w:highlight w:val="none"/>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rFonts w:hint="default" w:ascii="Times New Roman" w:hAnsi="Times New Roman" w:cs="Times New Roman"/>
          <w:color w:val="000000" w:themeColor="text1"/>
          <w:kern w:val="0"/>
          <w:sz w:val="24"/>
          <w:highlight w:val="none"/>
          <w14:textFill>
            <w14:solidFill>
              <w14:schemeClr w14:val="tx1"/>
            </w14:solidFill>
          </w14:textFill>
        </w:rPr>
        <w:t>从环境角度分析，工程建设是可行的。</w:t>
      </w:r>
    </w:p>
    <w:p w14:paraId="06B85016">
      <w:pPr>
        <w:pStyle w:val="5"/>
        <w:numPr>
          <w:ilvl w:val="1"/>
          <w:numId w:val="0"/>
        </w:numPr>
        <w:jc w:val="center"/>
        <w:rPr>
          <w:rFonts w:hint="default" w:ascii="Times New Roman" w:hAnsi="Times New Roman" w:cs="Times New Roman"/>
          <w:color w:val="000000" w:themeColor="text1"/>
          <w:highlight w:val="none"/>
          <w14:textFill>
            <w14:solidFill>
              <w14:schemeClr w14:val="tx1"/>
            </w14:solidFill>
          </w14:textFill>
        </w:rPr>
      </w:pPr>
      <w:bookmarkStart w:id="139" w:name="_Toc1223"/>
      <w:r>
        <w:rPr>
          <w:rFonts w:hint="default" w:ascii="Times New Roman" w:hAnsi="Times New Roman" w:cs="Times New Roman"/>
          <w:color w:val="000000" w:themeColor="text1"/>
          <w:highlight w:val="none"/>
          <w14:textFill>
            <w14:solidFill>
              <w14:schemeClr w14:val="tx1"/>
            </w14:solidFill>
          </w14:textFill>
        </w:rPr>
        <w:t>地表水环境影响评价自查表</w:t>
      </w:r>
      <w:bookmarkEnd w:id="139"/>
    </w:p>
    <w:tbl>
      <w:tblPr>
        <w:tblStyle w:val="23"/>
        <w:tblW w:w="877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66"/>
        <w:gridCol w:w="1741"/>
        <w:gridCol w:w="1253"/>
        <w:gridCol w:w="1254"/>
        <w:gridCol w:w="1255"/>
        <w:gridCol w:w="1126"/>
        <w:gridCol w:w="1384"/>
      </w:tblGrid>
      <w:tr w14:paraId="1905972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2507" w:type="dxa"/>
            <w:gridSpan w:val="2"/>
            <w:vAlign w:val="center"/>
          </w:tcPr>
          <w:p w14:paraId="1D47E47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工作内容</w:t>
            </w:r>
          </w:p>
        </w:tc>
        <w:tc>
          <w:tcPr>
            <w:tcW w:w="6272" w:type="dxa"/>
            <w:gridSpan w:val="5"/>
            <w:vAlign w:val="center"/>
          </w:tcPr>
          <w:p w14:paraId="2922C52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自查项目</w:t>
            </w:r>
          </w:p>
        </w:tc>
      </w:tr>
      <w:tr w14:paraId="3D14AE2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restart"/>
            <w:vAlign w:val="center"/>
          </w:tcPr>
          <w:p w14:paraId="48AF2FB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影响识别</w:t>
            </w:r>
          </w:p>
        </w:tc>
        <w:tc>
          <w:tcPr>
            <w:tcW w:w="1741" w:type="dxa"/>
            <w:vAlign w:val="center"/>
          </w:tcPr>
          <w:p w14:paraId="4734D07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影响类型</w:t>
            </w:r>
          </w:p>
        </w:tc>
        <w:tc>
          <w:tcPr>
            <w:tcW w:w="6272" w:type="dxa"/>
            <w:gridSpan w:val="5"/>
            <w:vAlign w:val="center"/>
          </w:tcPr>
          <w:p w14:paraId="1CE7D477">
            <w:pPr>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水污染影响型</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；水文要素影响型</w:t>
            </w:r>
            <w:r>
              <w:rPr>
                <w:rFonts w:hint="eastAsia" w:cs="Times New Roman"/>
                <w:color w:val="000000" w:themeColor="text1"/>
                <w:szCs w:val="21"/>
                <w:highlight w:val="none"/>
                <w:lang w:eastAsia="zh-CN"/>
                <w14:textFill>
                  <w14:solidFill>
                    <w14:schemeClr w14:val="tx1"/>
                  </w14:solidFill>
                </w14:textFill>
              </w:rPr>
              <w:t>☑</w:t>
            </w:r>
          </w:p>
        </w:tc>
      </w:tr>
      <w:tr w14:paraId="31282C4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76" w:hRule="atLeast"/>
          <w:jc w:val="center"/>
        </w:trPr>
        <w:tc>
          <w:tcPr>
            <w:tcW w:w="766" w:type="dxa"/>
            <w:vMerge w:val="continue"/>
            <w:vAlign w:val="center"/>
          </w:tcPr>
          <w:p w14:paraId="5BAE5167">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2C45AC7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水环境保护目标</w:t>
            </w:r>
          </w:p>
        </w:tc>
        <w:tc>
          <w:tcPr>
            <w:tcW w:w="6272" w:type="dxa"/>
            <w:gridSpan w:val="5"/>
            <w:vAlign w:val="center"/>
          </w:tcPr>
          <w:p w14:paraId="0B4AACBA">
            <w:pP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饮用水水源保护区□；饮用水取水口□；涉水的自然保护区□；涉水的风景名胜区□；重要湿地□；重点保护与珍稀水生生物的栖息地□；重要水生生物的自然产卵场及索饵场、越冬场和洄游通道□；天然渔场等渔业水体□；水产种质资源保护区□；其他☑</w:t>
            </w:r>
          </w:p>
        </w:tc>
      </w:tr>
      <w:tr w14:paraId="088A794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6DEF9F93">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restart"/>
            <w:vAlign w:val="center"/>
          </w:tcPr>
          <w:p w14:paraId="67DD7D2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影响途径</w:t>
            </w:r>
          </w:p>
        </w:tc>
        <w:tc>
          <w:tcPr>
            <w:tcW w:w="3762" w:type="dxa"/>
            <w:gridSpan w:val="3"/>
            <w:vAlign w:val="center"/>
          </w:tcPr>
          <w:p w14:paraId="18E424D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水污染影响型</w:t>
            </w:r>
          </w:p>
        </w:tc>
        <w:tc>
          <w:tcPr>
            <w:tcW w:w="2510" w:type="dxa"/>
            <w:gridSpan w:val="2"/>
            <w:vAlign w:val="center"/>
          </w:tcPr>
          <w:p w14:paraId="0912D24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水文要素影响型</w:t>
            </w:r>
          </w:p>
        </w:tc>
      </w:tr>
      <w:tr w14:paraId="2A8D7CF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continue"/>
            <w:vAlign w:val="center"/>
          </w:tcPr>
          <w:p w14:paraId="03A508DD">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40F30EC9">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3762" w:type="dxa"/>
            <w:gridSpan w:val="3"/>
            <w:vAlign w:val="center"/>
          </w:tcPr>
          <w:p w14:paraId="70F22882">
            <w:pPr>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直接排放□；间接排放□；其他</w:t>
            </w:r>
            <w:r>
              <w:rPr>
                <w:rFonts w:hint="eastAsia" w:cs="Times New Roman"/>
                <w:color w:val="000000" w:themeColor="text1"/>
                <w:highlight w:val="none"/>
                <w:lang w:eastAsia="zh-CN"/>
                <w14:textFill>
                  <w14:solidFill>
                    <w14:schemeClr w14:val="tx1"/>
                  </w14:solidFill>
                </w14:textFill>
              </w:rPr>
              <w:t>☑</w:t>
            </w:r>
          </w:p>
        </w:tc>
        <w:tc>
          <w:tcPr>
            <w:tcW w:w="2510" w:type="dxa"/>
            <w:gridSpan w:val="2"/>
            <w:vAlign w:val="center"/>
          </w:tcPr>
          <w:p w14:paraId="36FC638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水温□；径流□；水域面积□</w:t>
            </w:r>
          </w:p>
        </w:tc>
      </w:tr>
      <w:tr w14:paraId="3EEAFC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766" w:type="dxa"/>
            <w:vMerge w:val="continue"/>
            <w:vAlign w:val="center"/>
          </w:tcPr>
          <w:p w14:paraId="3F655681">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1FB9A07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影响因子</w:t>
            </w:r>
          </w:p>
        </w:tc>
        <w:tc>
          <w:tcPr>
            <w:tcW w:w="3762" w:type="dxa"/>
            <w:gridSpan w:val="3"/>
            <w:vAlign w:val="center"/>
          </w:tcPr>
          <w:p w14:paraId="090EC505">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持久性污染物□；有毒有害污染物□；非持久性污染物□；</w:t>
            </w:r>
          </w:p>
          <w:p w14:paraId="071BD02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pH值□；热污染□；富营养化□；其他☑</w:t>
            </w:r>
          </w:p>
        </w:tc>
        <w:tc>
          <w:tcPr>
            <w:tcW w:w="2510" w:type="dxa"/>
            <w:gridSpan w:val="2"/>
            <w:vAlign w:val="center"/>
          </w:tcPr>
          <w:p w14:paraId="6AEEC78E">
            <w:pPr>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水温□；水位（水深）□；流速□；流量□；其他</w:t>
            </w:r>
            <w:r>
              <w:rPr>
                <w:rFonts w:hint="eastAsia" w:cs="Times New Roman"/>
                <w:color w:val="000000" w:themeColor="text1"/>
                <w:highlight w:val="none"/>
                <w:lang w:eastAsia="zh-CN"/>
                <w14:textFill>
                  <w14:solidFill>
                    <w14:schemeClr w14:val="tx1"/>
                  </w14:solidFill>
                </w14:textFill>
              </w:rPr>
              <w:t>☑</w:t>
            </w:r>
          </w:p>
        </w:tc>
      </w:tr>
      <w:tr w14:paraId="0E5E7C4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2507" w:type="dxa"/>
            <w:gridSpan w:val="2"/>
            <w:vMerge w:val="restart"/>
            <w:vAlign w:val="center"/>
          </w:tcPr>
          <w:p w14:paraId="51BF446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评价等级</w:t>
            </w:r>
          </w:p>
        </w:tc>
        <w:tc>
          <w:tcPr>
            <w:tcW w:w="3762" w:type="dxa"/>
            <w:gridSpan w:val="3"/>
            <w:vAlign w:val="center"/>
          </w:tcPr>
          <w:p w14:paraId="7DA3DB6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水污染影响型</w:t>
            </w:r>
          </w:p>
        </w:tc>
        <w:tc>
          <w:tcPr>
            <w:tcW w:w="2510" w:type="dxa"/>
            <w:gridSpan w:val="2"/>
            <w:vAlign w:val="center"/>
          </w:tcPr>
          <w:p w14:paraId="5B356A6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水文要素影响型</w:t>
            </w:r>
          </w:p>
        </w:tc>
      </w:tr>
      <w:tr w14:paraId="739356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2507" w:type="dxa"/>
            <w:gridSpan w:val="2"/>
            <w:vMerge w:val="continue"/>
            <w:vAlign w:val="center"/>
          </w:tcPr>
          <w:p w14:paraId="56ECD7B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3762" w:type="dxa"/>
            <w:gridSpan w:val="3"/>
            <w:vAlign w:val="center"/>
          </w:tcPr>
          <w:p w14:paraId="4EA509F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一级□；二级□；三级A□；三级B☑</w:t>
            </w:r>
          </w:p>
        </w:tc>
        <w:tc>
          <w:tcPr>
            <w:tcW w:w="2510" w:type="dxa"/>
            <w:gridSpan w:val="2"/>
            <w:vAlign w:val="center"/>
          </w:tcPr>
          <w:p w14:paraId="1C5C3319">
            <w:pPr>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一级□；二级□；三级</w:t>
            </w:r>
            <w:r>
              <w:rPr>
                <w:rFonts w:hint="eastAsia" w:cs="Times New Roman"/>
                <w:color w:val="000000" w:themeColor="text1"/>
                <w:highlight w:val="none"/>
                <w:lang w:eastAsia="zh-CN"/>
                <w14:textFill>
                  <w14:solidFill>
                    <w14:schemeClr w14:val="tx1"/>
                  </w14:solidFill>
                </w14:textFill>
              </w:rPr>
              <w:t>☑</w:t>
            </w:r>
          </w:p>
        </w:tc>
      </w:tr>
      <w:tr w14:paraId="52A789E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restart"/>
            <w:vAlign w:val="center"/>
          </w:tcPr>
          <w:p w14:paraId="488ACDD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现状调查</w:t>
            </w:r>
          </w:p>
        </w:tc>
        <w:tc>
          <w:tcPr>
            <w:tcW w:w="1741" w:type="dxa"/>
            <w:vMerge w:val="restart"/>
            <w:vAlign w:val="center"/>
          </w:tcPr>
          <w:p w14:paraId="3A5F53D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区域污染源</w:t>
            </w:r>
          </w:p>
        </w:tc>
        <w:tc>
          <w:tcPr>
            <w:tcW w:w="3762" w:type="dxa"/>
            <w:gridSpan w:val="3"/>
            <w:vAlign w:val="center"/>
          </w:tcPr>
          <w:p w14:paraId="0ED3BC3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调查项目</w:t>
            </w:r>
          </w:p>
        </w:tc>
        <w:tc>
          <w:tcPr>
            <w:tcW w:w="2510" w:type="dxa"/>
            <w:gridSpan w:val="2"/>
            <w:vAlign w:val="center"/>
          </w:tcPr>
          <w:p w14:paraId="02E7EA1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数据来源</w:t>
            </w:r>
          </w:p>
        </w:tc>
      </w:tr>
      <w:tr w14:paraId="023076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766" w:type="dxa"/>
            <w:vMerge w:val="continue"/>
            <w:vAlign w:val="center"/>
          </w:tcPr>
          <w:p w14:paraId="0F8001A8">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5C400393">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2507" w:type="dxa"/>
            <w:gridSpan w:val="2"/>
            <w:vAlign w:val="center"/>
          </w:tcPr>
          <w:p w14:paraId="72185F86">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已建□；在建□；拟建□；</w:t>
            </w:r>
          </w:p>
          <w:p w14:paraId="78BBFB3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其他☑</w:t>
            </w:r>
          </w:p>
        </w:tc>
        <w:tc>
          <w:tcPr>
            <w:tcW w:w="1255" w:type="dxa"/>
            <w:vAlign w:val="center"/>
          </w:tcPr>
          <w:p w14:paraId="17D3019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拟替代的污染源□</w:t>
            </w:r>
          </w:p>
        </w:tc>
        <w:tc>
          <w:tcPr>
            <w:tcW w:w="2510" w:type="dxa"/>
            <w:gridSpan w:val="2"/>
            <w:vAlign w:val="center"/>
          </w:tcPr>
          <w:p w14:paraId="1A6F10D3">
            <w:pPr>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排污许可证□；环评□；环保验收□；既有实测□；现场监测</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；入河排放口数据□；其他</w:t>
            </w:r>
            <w:r>
              <w:rPr>
                <w:rFonts w:hint="eastAsia" w:cs="Times New Roman"/>
                <w:color w:val="000000" w:themeColor="text1"/>
                <w:highlight w:val="none"/>
                <w:lang w:eastAsia="zh-CN"/>
                <w14:textFill>
                  <w14:solidFill>
                    <w14:schemeClr w14:val="tx1"/>
                  </w14:solidFill>
                </w14:textFill>
              </w:rPr>
              <w:t>☑</w:t>
            </w:r>
          </w:p>
        </w:tc>
      </w:tr>
      <w:tr w14:paraId="6CCFF34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7D7D698D">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restart"/>
            <w:vAlign w:val="center"/>
          </w:tcPr>
          <w:p w14:paraId="2A52AE9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受影响水体水环境质量</w:t>
            </w:r>
          </w:p>
        </w:tc>
        <w:tc>
          <w:tcPr>
            <w:tcW w:w="3762" w:type="dxa"/>
            <w:gridSpan w:val="3"/>
            <w:vAlign w:val="center"/>
          </w:tcPr>
          <w:p w14:paraId="19A19BF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调查时期</w:t>
            </w:r>
          </w:p>
        </w:tc>
        <w:tc>
          <w:tcPr>
            <w:tcW w:w="2510" w:type="dxa"/>
            <w:gridSpan w:val="2"/>
            <w:vAlign w:val="center"/>
          </w:tcPr>
          <w:p w14:paraId="01F45E9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数据来源</w:t>
            </w:r>
          </w:p>
        </w:tc>
      </w:tr>
      <w:tr w14:paraId="140AB7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continue"/>
            <w:vAlign w:val="center"/>
          </w:tcPr>
          <w:p w14:paraId="4747855A">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3F5FD1D3">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3762" w:type="dxa"/>
            <w:gridSpan w:val="3"/>
            <w:vAlign w:val="center"/>
          </w:tcPr>
          <w:p w14:paraId="33E1F9B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丰水期☑；平水期□；枯水期□；冰封期</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；春季□；夏季□；秋季□；冬季□</w:t>
            </w:r>
          </w:p>
        </w:tc>
        <w:tc>
          <w:tcPr>
            <w:tcW w:w="2510" w:type="dxa"/>
            <w:gridSpan w:val="2"/>
            <w:vAlign w:val="center"/>
          </w:tcPr>
          <w:p w14:paraId="72AD0D4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生态环境保护主管部门□；补充监测</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；其他</w:t>
            </w:r>
            <w:r>
              <w:rPr>
                <w:rFonts w:hint="default" w:ascii="Times New Roman" w:hAnsi="Times New Roman" w:cs="Times New Roman"/>
                <w:color w:val="000000" w:themeColor="text1"/>
                <w:szCs w:val="21"/>
                <w:highlight w:val="none"/>
                <w14:textFill>
                  <w14:solidFill>
                    <w14:schemeClr w14:val="tx1"/>
                  </w14:solidFill>
                </w14:textFill>
              </w:rPr>
              <w:fldChar w:fldCharType="begin"/>
            </w:r>
            <w:r>
              <w:rPr>
                <w:rFonts w:hint="default" w:ascii="Times New Roman" w:hAnsi="Times New Roman" w:cs="Times New Roman"/>
                <w:color w:val="000000" w:themeColor="text1"/>
                <w:szCs w:val="21"/>
                <w:highlight w:val="none"/>
                <w14:textFill>
                  <w14:solidFill>
                    <w14:schemeClr w14:val="tx1"/>
                  </w14:solidFill>
                </w14:textFill>
              </w:rPr>
              <w:instrText xml:space="preserve"> eq \o\ac(□)</w:instrText>
            </w:r>
            <w:r>
              <w:rPr>
                <w:rFonts w:hint="default" w:ascii="Times New Roman" w:hAnsi="Times New Roman" w:cs="Times New Roman"/>
                <w:color w:val="000000" w:themeColor="text1"/>
                <w:szCs w:val="21"/>
                <w:highlight w:val="none"/>
                <w14:textFill>
                  <w14:solidFill>
                    <w14:schemeClr w14:val="tx1"/>
                  </w14:solidFill>
                </w14:textFill>
              </w:rPr>
              <w:fldChar w:fldCharType="end"/>
            </w:r>
          </w:p>
        </w:tc>
      </w:tr>
      <w:tr w14:paraId="52CFA7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continue"/>
            <w:vAlign w:val="center"/>
          </w:tcPr>
          <w:p w14:paraId="4D0191CC">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0C5F62E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区域水资源开发利用状况</w:t>
            </w:r>
          </w:p>
        </w:tc>
        <w:tc>
          <w:tcPr>
            <w:tcW w:w="6272" w:type="dxa"/>
            <w:gridSpan w:val="5"/>
            <w:vAlign w:val="center"/>
          </w:tcPr>
          <w:p w14:paraId="73047EB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未开发☑；开发量40%以下□；开发量40%以上□</w:t>
            </w:r>
          </w:p>
        </w:tc>
      </w:tr>
      <w:tr w14:paraId="51AD493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2E814DF7">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restart"/>
            <w:vAlign w:val="center"/>
          </w:tcPr>
          <w:p w14:paraId="67C8304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水文情势调查</w:t>
            </w:r>
          </w:p>
        </w:tc>
        <w:tc>
          <w:tcPr>
            <w:tcW w:w="3762" w:type="dxa"/>
            <w:gridSpan w:val="3"/>
            <w:vAlign w:val="center"/>
          </w:tcPr>
          <w:p w14:paraId="007EB18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调查时期</w:t>
            </w:r>
          </w:p>
        </w:tc>
        <w:tc>
          <w:tcPr>
            <w:tcW w:w="2510" w:type="dxa"/>
            <w:gridSpan w:val="2"/>
            <w:vAlign w:val="center"/>
          </w:tcPr>
          <w:p w14:paraId="51F9D5E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数据来源</w:t>
            </w:r>
          </w:p>
        </w:tc>
      </w:tr>
      <w:tr w14:paraId="06FB99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continue"/>
            <w:vAlign w:val="center"/>
          </w:tcPr>
          <w:p w14:paraId="5A2D66D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66B31D03">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3762" w:type="dxa"/>
            <w:gridSpan w:val="3"/>
            <w:vAlign w:val="center"/>
          </w:tcPr>
          <w:p w14:paraId="7D6C487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丰水期☑；平水期</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；枯水期</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；冰封期□春季</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；夏季</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；秋季</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；冬季□</w:t>
            </w:r>
          </w:p>
        </w:tc>
        <w:tc>
          <w:tcPr>
            <w:tcW w:w="2510" w:type="dxa"/>
            <w:gridSpan w:val="2"/>
            <w:vAlign w:val="center"/>
          </w:tcPr>
          <w:p w14:paraId="0C401831">
            <w:pPr>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水行政主管部门□；补充监测</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；其他</w:t>
            </w:r>
            <w:r>
              <w:rPr>
                <w:rFonts w:hint="eastAsia" w:cs="Times New Roman"/>
                <w:color w:val="000000" w:themeColor="text1"/>
                <w:highlight w:val="none"/>
                <w:lang w:eastAsia="zh-CN"/>
                <w14:textFill>
                  <w14:solidFill>
                    <w14:schemeClr w14:val="tx1"/>
                  </w14:solidFill>
                </w14:textFill>
              </w:rPr>
              <w:t>☑</w:t>
            </w:r>
          </w:p>
        </w:tc>
      </w:tr>
      <w:tr w14:paraId="2878A56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continue"/>
            <w:vAlign w:val="center"/>
          </w:tcPr>
          <w:p w14:paraId="4FFAF49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restart"/>
            <w:vAlign w:val="center"/>
          </w:tcPr>
          <w:p w14:paraId="1C6BC51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补充监测</w:t>
            </w:r>
          </w:p>
        </w:tc>
        <w:tc>
          <w:tcPr>
            <w:tcW w:w="2507" w:type="dxa"/>
            <w:gridSpan w:val="2"/>
            <w:vAlign w:val="center"/>
          </w:tcPr>
          <w:p w14:paraId="4E5F472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监测时期</w:t>
            </w:r>
          </w:p>
        </w:tc>
        <w:tc>
          <w:tcPr>
            <w:tcW w:w="2381" w:type="dxa"/>
            <w:gridSpan w:val="2"/>
            <w:vAlign w:val="center"/>
          </w:tcPr>
          <w:p w14:paraId="25273B1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监测因子</w:t>
            </w:r>
          </w:p>
        </w:tc>
        <w:tc>
          <w:tcPr>
            <w:tcW w:w="1384" w:type="dxa"/>
            <w:vAlign w:val="center"/>
          </w:tcPr>
          <w:p w14:paraId="20E84ED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监测断面或点位</w:t>
            </w:r>
          </w:p>
        </w:tc>
      </w:tr>
      <w:tr w14:paraId="7806C4F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361" w:hRule="atLeast"/>
          <w:jc w:val="center"/>
        </w:trPr>
        <w:tc>
          <w:tcPr>
            <w:tcW w:w="766" w:type="dxa"/>
            <w:vMerge w:val="continue"/>
            <w:vAlign w:val="center"/>
          </w:tcPr>
          <w:p w14:paraId="54EB8ED3">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6036D50D">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2507" w:type="dxa"/>
            <w:gridSpan w:val="2"/>
            <w:vAlign w:val="center"/>
          </w:tcPr>
          <w:p w14:paraId="52D544C0">
            <w:pPr>
              <w:jc w:val="center"/>
              <w:rPr>
                <w:rFonts w:hint="default" w:ascii="Times New Roman" w:hAnsi="Times New Roman" w:cs="Times New Roman"/>
                <w:color w:val="000000" w:themeColor="text1"/>
                <w:sz w:val="24"/>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丰水期□；平水期□；枯水期</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；冰封期□</w:t>
            </w:r>
          </w:p>
          <w:p w14:paraId="49E5DE2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春季</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；夏季</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；秋季□；冬季□</w:t>
            </w:r>
          </w:p>
        </w:tc>
        <w:tc>
          <w:tcPr>
            <w:tcW w:w="2381" w:type="dxa"/>
            <w:gridSpan w:val="2"/>
            <w:vAlign w:val="center"/>
          </w:tcPr>
          <w:p w14:paraId="7671AFD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eastAsia"/>
                <w:color w:val="000000" w:themeColor="text1"/>
                <w:lang w:eastAsia="zh-CN"/>
                <w14:textFill>
                  <w14:solidFill>
                    <w14:schemeClr w14:val="tx1"/>
                  </w14:solidFill>
                </w14:textFill>
              </w:rPr>
              <w:t>透明度、</w:t>
            </w:r>
            <w:r>
              <w:rPr>
                <w:rFonts w:hint="eastAsia"/>
                <w:color w:val="000000" w:themeColor="text1"/>
                <w:lang w:val="en-US" w:eastAsia="zh-CN"/>
                <w14:textFill>
                  <w14:solidFill>
                    <w14:schemeClr w14:val="tx1"/>
                  </w14:solidFill>
                </w14:textFill>
              </w:rPr>
              <w:t>pH、悬浮物、高锰酸盐指数、化学需氧量、五日生化需氧量、氨氮、总磷、总氮、石油类、叶绿素a、铜、锌、氟化物、硒、砷、汞、镉、六价铬、氰化物、挥发酚、LAS、硫化物、粪大肠菌群</w:t>
            </w:r>
          </w:p>
        </w:tc>
        <w:tc>
          <w:tcPr>
            <w:tcW w:w="1384" w:type="dxa"/>
            <w:vAlign w:val="center"/>
          </w:tcPr>
          <w:p w14:paraId="69072DC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监测断面或点位</w:t>
            </w:r>
            <w:r>
              <w:rPr>
                <w:rFonts w:hint="eastAsia" w:cs="Times New Roman"/>
                <w:color w:val="000000" w:themeColor="text1"/>
                <w:szCs w:val="21"/>
                <w:highlight w:val="none"/>
                <w:lang w:eastAsia="zh-CN"/>
                <w14:textFill>
                  <w14:solidFill>
                    <w14:schemeClr w14:val="tx1"/>
                  </w14:solidFill>
                </w14:textFill>
              </w:rPr>
              <w:t>（</w:t>
            </w:r>
            <w:r>
              <w:rPr>
                <w:rFonts w:hint="eastAsia" w:cs="Times New Roman"/>
                <w:color w:val="000000" w:themeColor="text1"/>
                <w:szCs w:val="21"/>
                <w:highlight w:val="none"/>
                <w:lang w:val="en-US" w:eastAsia="zh-CN"/>
                <w14:textFill>
                  <w14:solidFill>
                    <w14:schemeClr w14:val="tx1"/>
                  </w14:solidFill>
                </w14:textFill>
              </w:rPr>
              <w:t>2</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个数</w:t>
            </w:r>
          </w:p>
        </w:tc>
      </w:tr>
      <w:tr w14:paraId="50AC1D0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restart"/>
            <w:vAlign w:val="center"/>
          </w:tcPr>
          <w:p w14:paraId="59051AA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现状评价</w:t>
            </w:r>
          </w:p>
        </w:tc>
        <w:tc>
          <w:tcPr>
            <w:tcW w:w="1741" w:type="dxa"/>
            <w:vAlign w:val="center"/>
          </w:tcPr>
          <w:p w14:paraId="17B8975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评价范围</w:t>
            </w:r>
          </w:p>
        </w:tc>
        <w:tc>
          <w:tcPr>
            <w:tcW w:w="6272" w:type="dxa"/>
            <w:gridSpan w:val="5"/>
            <w:vAlign w:val="center"/>
          </w:tcPr>
          <w:p w14:paraId="663DF19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河流：长度（</w:t>
            </w:r>
            <w:r>
              <w:rPr>
                <w:rFonts w:hint="eastAsia" w:cs="Times New Roman"/>
                <w:color w:val="000000" w:themeColor="text1"/>
                <w:highlight w:val="none"/>
                <w:lang w:val="en-US" w:eastAsia="zh-CN"/>
                <w14:textFill>
                  <w14:solidFill>
                    <w14:schemeClr w14:val="tx1"/>
                  </w14:solidFill>
                </w14:textFill>
              </w:rPr>
              <w:t>1</w:t>
            </w:r>
            <w:r>
              <w:rPr>
                <w:rFonts w:hint="default" w:ascii="Times New Roman" w:hAnsi="Times New Roman" w:cs="Times New Roman"/>
                <w:color w:val="000000" w:themeColor="text1"/>
                <w:highlight w:val="none"/>
                <w14:textFill>
                  <w14:solidFill>
                    <w14:schemeClr w14:val="tx1"/>
                  </w14:solidFill>
                </w14:textFill>
              </w:rPr>
              <w:t>）km；湖库、河口及近岸海域：面积（</w:t>
            </w:r>
            <w:r>
              <w:rPr>
                <w:rFonts w:hint="eastAsia" w:cs="Times New Roman"/>
                <w:color w:val="000000" w:themeColor="text1"/>
                <w:highlight w:val="none"/>
                <w:lang w:val="en-US" w:eastAsia="zh-CN"/>
                <w14:textFill>
                  <w14:solidFill>
                    <w14:schemeClr w14:val="tx1"/>
                  </w14:solidFill>
                </w14:textFill>
              </w:rPr>
              <w:t>31.1</w:t>
            </w:r>
            <w:r>
              <w:rPr>
                <w:rFonts w:hint="default" w:ascii="Times New Roman" w:hAnsi="Times New Roman" w:cs="Times New Roman"/>
                <w:color w:val="000000" w:themeColor="text1"/>
                <w:highlight w:val="none"/>
                <w14:textFill>
                  <w14:solidFill>
                    <w14:schemeClr w14:val="tx1"/>
                  </w14:solidFill>
                </w14:textFill>
              </w:rPr>
              <w:t>）km</w:t>
            </w:r>
            <w:r>
              <w:rPr>
                <w:rFonts w:hint="default" w:ascii="Times New Roman" w:hAnsi="Times New Roman" w:cs="Times New Roman"/>
                <w:color w:val="000000" w:themeColor="text1"/>
                <w:highlight w:val="none"/>
                <w:vertAlign w:val="superscript"/>
                <w14:textFill>
                  <w14:solidFill>
                    <w14:schemeClr w14:val="tx1"/>
                  </w14:solidFill>
                </w14:textFill>
              </w:rPr>
              <w:t>2</w:t>
            </w:r>
          </w:p>
        </w:tc>
      </w:tr>
      <w:tr w14:paraId="6A55F00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766" w:type="dxa"/>
            <w:vMerge w:val="continue"/>
            <w:vAlign w:val="center"/>
          </w:tcPr>
          <w:p w14:paraId="39F04980">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00C114F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评价因子</w:t>
            </w:r>
          </w:p>
        </w:tc>
        <w:tc>
          <w:tcPr>
            <w:tcW w:w="6272" w:type="dxa"/>
            <w:gridSpan w:val="5"/>
            <w:vAlign w:val="center"/>
          </w:tcPr>
          <w:p w14:paraId="5825BF3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r>
              <w:rPr>
                <w:rFonts w:hint="eastAsia"/>
                <w:color w:val="000000" w:themeColor="text1"/>
                <w:lang w:eastAsia="zh-CN"/>
                <w14:textFill>
                  <w14:solidFill>
                    <w14:schemeClr w14:val="tx1"/>
                  </w14:solidFill>
                </w14:textFill>
              </w:rPr>
              <w:t>透明度、</w:t>
            </w:r>
            <w:r>
              <w:rPr>
                <w:rFonts w:hint="eastAsia"/>
                <w:color w:val="000000" w:themeColor="text1"/>
                <w:lang w:val="en-US" w:eastAsia="zh-CN"/>
                <w14:textFill>
                  <w14:solidFill>
                    <w14:schemeClr w14:val="tx1"/>
                  </w14:solidFill>
                </w14:textFill>
              </w:rPr>
              <w:t>pH、悬浮物、高锰酸盐指数、化学需氧量、五日生化需氧量、氨氮、总磷、总氮、石油类、叶绿素a、铜、锌、氟化物、硒、砷、汞、镉、六价铬、氰化物、挥发酚、LAS、硫化物、粪大肠菌群</w:t>
            </w:r>
            <w:r>
              <w:rPr>
                <w:rFonts w:hint="default" w:ascii="Times New Roman" w:hAnsi="Times New Roman" w:cs="Times New Roman"/>
                <w:color w:val="000000" w:themeColor="text1"/>
                <w:szCs w:val="21"/>
                <w:highlight w:val="none"/>
                <w14:textFill>
                  <w14:solidFill>
                    <w14:schemeClr w14:val="tx1"/>
                  </w14:solidFill>
                </w14:textFill>
              </w:rPr>
              <w:t>）</w:t>
            </w:r>
          </w:p>
        </w:tc>
      </w:tr>
      <w:tr w14:paraId="79DB46E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63" w:hRule="atLeast"/>
          <w:jc w:val="center"/>
        </w:trPr>
        <w:tc>
          <w:tcPr>
            <w:tcW w:w="766" w:type="dxa"/>
            <w:vMerge w:val="continue"/>
            <w:vAlign w:val="center"/>
          </w:tcPr>
          <w:p w14:paraId="251E6E3C">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5ABE971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评价标准</w:t>
            </w:r>
          </w:p>
        </w:tc>
        <w:tc>
          <w:tcPr>
            <w:tcW w:w="6272" w:type="dxa"/>
            <w:gridSpan w:val="5"/>
            <w:vAlign w:val="center"/>
          </w:tcPr>
          <w:p w14:paraId="2DF59E0A">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河流、湖库、河口：Ⅰ类□；Ⅱ类</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；Ⅲ类☑；Ⅳ类□；Ⅴ类□</w:t>
            </w:r>
          </w:p>
          <w:p w14:paraId="29F0357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近岸海域：第一类□；第二类□；第三类□；第四类□</w:t>
            </w:r>
          </w:p>
          <w:p w14:paraId="0ACBA34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规划年评价标准（）</w:t>
            </w:r>
          </w:p>
        </w:tc>
      </w:tr>
      <w:tr w14:paraId="3D73429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805" w:hRule="atLeast"/>
          <w:jc w:val="center"/>
        </w:trPr>
        <w:tc>
          <w:tcPr>
            <w:tcW w:w="766" w:type="dxa"/>
            <w:vMerge w:val="continue"/>
            <w:vAlign w:val="center"/>
          </w:tcPr>
          <w:p w14:paraId="6D18EF0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023FDEC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评价时期</w:t>
            </w:r>
          </w:p>
        </w:tc>
        <w:tc>
          <w:tcPr>
            <w:tcW w:w="6272" w:type="dxa"/>
            <w:gridSpan w:val="5"/>
            <w:vAlign w:val="center"/>
          </w:tcPr>
          <w:p w14:paraId="13D1AD0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丰水期</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；平水期□；枯水期☑；冰封期</w:t>
            </w:r>
            <w:r>
              <w:rPr>
                <w:rFonts w:hint="default" w:ascii="Times New Roman" w:hAnsi="Times New Roman" w:cs="Times New Roman"/>
                <w:color w:val="000000" w:themeColor="text1"/>
                <w:highlight w:val="none"/>
                <w14:textFill>
                  <w14:solidFill>
                    <w14:schemeClr w14:val="tx1"/>
                  </w14:solidFill>
                </w14:textFill>
              </w:rPr>
              <w:t>☑</w:t>
            </w:r>
          </w:p>
          <w:p w14:paraId="7AA79F0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春季□；夏季□；秋季□；冬季</w:t>
            </w:r>
            <w:r>
              <w:rPr>
                <w:rFonts w:hint="default" w:ascii="Times New Roman" w:hAnsi="Times New Roman" w:cs="Times New Roman"/>
                <w:color w:val="000000" w:themeColor="text1"/>
                <w:highlight w:val="none"/>
                <w14:textFill>
                  <w14:solidFill>
                    <w14:schemeClr w14:val="tx1"/>
                  </w14:solidFill>
                </w14:textFill>
              </w:rPr>
              <w:t>□</w:t>
            </w:r>
          </w:p>
        </w:tc>
      </w:tr>
      <w:tr w14:paraId="6D8EC3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715" w:hRule="atLeast"/>
          <w:jc w:val="center"/>
        </w:trPr>
        <w:tc>
          <w:tcPr>
            <w:tcW w:w="766" w:type="dxa"/>
            <w:vMerge w:val="continue"/>
            <w:vAlign w:val="center"/>
          </w:tcPr>
          <w:p w14:paraId="514133D1">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7E3CE7C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评价结论</w:t>
            </w:r>
          </w:p>
        </w:tc>
        <w:tc>
          <w:tcPr>
            <w:tcW w:w="4888" w:type="dxa"/>
            <w:gridSpan w:val="4"/>
            <w:vAlign w:val="center"/>
          </w:tcPr>
          <w:p w14:paraId="3C0078D1">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水环境功能区或水功能区、近岸海域环境功能区水质达标状况：达标</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；不达标□</w:t>
            </w:r>
          </w:p>
          <w:p w14:paraId="1DCEC2EF">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水环境控制单元或断面水质达标状况：达标☑；不达标□</w:t>
            </w:r>
          </w:p>
          <w:p w14:paraId="44174D0E">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水环境保护目标质量状况：达标☑；不达标□</w:t>
            </w:r>
          </w:p>
          <w:p w14:paraId="64B83A58">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对照断面、控制断面等代表性断面的水质状况：达标□；不达标□</w:t>
            </w:r>
          </w:p>
          <w:p w14:paraId="23EB91C5">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底泥污染评价□</w:t>
            </w:r>
          </w:p>
          <w:p w14:paraId="391300E5">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水资源与开发利用程度及其水文情势评价□</w:t>
            </w:r>
          </w:p>
          <w:p w14:paraId="3DF01EAA">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水环境质量回顾评价□</w:t>
            </w:r>
          </w:p>
          <w:p w14:paraId="26F53491">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流域（区域）水资源（包括水能资源）与开发利用总体状况、生态流量管理要求与现状满足程度、建设项目占用水域空间的水流状况与河湖演变状况□</w:t>
            </w:r>
          </w:p>
          <w:p w14:paraId="54078E16">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依托污水处理设施稳定达标排放评价□</w:t>
            </w:r>
          </w:p>
        </w:tc>
        <w:tc>
          <w:tcPr>
            <w:tcW w:w="1384" w:type="dxa"/>
            <w:vAlign w:val="center"/>
          </w:tcPr>
          <w:p w14:paraId="3F4E003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达标区☑</w:t>
            </w:r>
          </w:p>
          <w:p w14:paraId="1A359FE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不达标区</w:t>
            </w:r>
            <w:r>
              <w:rPr>
                <w:rFonts w:hint="default" w:ascii="Times New Roman" w:hAnsi="Times New Roman" w:cs="Times New Roman"/>
                <w:color w:val="000000" w:themeColor="text1"/>
                <w:highlight w:val="none"/>
                <w14:textFill>
                  <w14:solidFill>
                    <w14:schemeClr w14:val="tx1"/>
                  </w14:solidFill>
                </w14:textFill>
              </w:rPr>
              <w:t>□</w:t>
            </w:r>
          </w:p>
        </w:tc>
      </w:tr>
      <w:tr w14:paraId="36F07C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5" w:hRule="atLeast"/>
          <w:jc w:val="center"/>
        </w:trPr>
        <w:tc>
          <w:tcPr>
            <w:tcW w:w="766" w:type="dxa"/>
            <w:vMerge w:val="restart"/>
            <w:vAlign w:val="center"/>
          </w:tcPr>
          <w:p w14:paraId="57F61A9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影响预测</w:t>
            </w:r>
          </w:p>
        </w:tc>
        <w:tc>
          <w:tcPr>
            <w:tcW w:w="1741" w:type="dxa"/>
            <w:vAlign w:val="center"/>
          </w:tcPr>
          <w:p w14:paraId="5D37F35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预测范围</w:t>
            </w:r>
          </w:p>
        </w:tc>
        <w:tc>
          <w:tcPr>
            <w:tcW w:w="6272" w:type="dxa"/>
            <w:gridSpan w:val="5"/>
            <w:vAlign w:val="center"/>
          </w:tcPr>
          <w:p w14:paraId="7C8F3FF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河流：长度（）km；湖库、河口及近岸海域：面积（）km</w:t>
            </w:r>
            <w:r>
              <w:rPr>
                <w:rFonts w:hint="default" w:ascii="Times New Roman" w:hAnsi="Times New Roman" w:cs="Times New Roman"/>
                <w:color w:val="000000" w:themeColor="text1"/>
                <w:highlight w:val="none"/>
                <w:vertAlign w:val="superscript"/>
                <w14:textFill>
                  <w14:solidFill>
                    <w14:schemeClr w14:val="tx1"/>
                  </w14:solidFill>
                </w14:textFill>
              </w:rPr>
              <w:t>2</w:t>
            </w:r>
          </w:p>
        </w:tc>
      </w:tr>
      <w:tr w14:paraId="30E2A62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78AB5D21">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5C43758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预测因子</w:t>
            </w:r>
          </w:p>
        </w:tc>
        <w:tc>
          <w:tcPr>
            <w:tcW w:w="6272" w:type="dxa"/>
            <w:gridSpan w:val="5"/>
            <w:vAlign w:val="center"/>
          </w:tcPr>
          <w:p w14:paraId="2C2FFDF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5FDCA03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153" w:hRule="atLeast"/>
          <w:jc w:val="center"/>
        </w:trPr>
        <w:tc>
          <w:tcPr>
            <w:tcW w:w="766" w:type="dxa"/>
            <w:vMerge w:val="continue"/>
            <w:vAlign w:val="center"/>
          </w:tcPr>
          <w:p w14:paraId="48171ADA">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03367A9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预测时期</w:t>
            </w:r>
          </w:p>
        </w:tc>
        <w:tc>
          <w:tcPr>
            <w:tcW w:w="6272" w:type="dxa"/>
            <w:gridSpan w:val="5"/>
            <w:vAlign w:val="center"/>
          </w:tcPr>
          <w:p w14:paraId="31F4D80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丰水期</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；平水期</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；枯水期</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；冰封期□</w:t>
            </w:r>
          </w:p>
          <w:p w14:paraId="58E652A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春季□；夏季□；秋季□；冬季□</w:t>
            </w:r>
          </w:p>
          <w:p w14:paraId="79661C1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设计水文条件□</w:t>
            </w:r>
          </w:p>
        </w:tc>
      </w:tr>
      <w:tr w14:paraId="20569B7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525" w:hRule="atLeast"/>
          <w:jc w:val="center"/>
        </w:trPr>
        <w:tc>
          <w:tcPr>
            <w:tcW w:w="766" w:type="dxa"/>
            <w:vMerge w:val="continue"/>
            <w:vAlign w:val="center"/>
          </w:tcPr>
          <w:p w14:paraId="7B4E9B47">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124FE338">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预测背景</w:t>
            </w:r>
          </w:p>
        </w:tc>
        <w:tc>
          <w:tcPr>
            <w:tcW w:w="6272" w:type="dxa"/>
            <w:gridSpan w:val="5"/>
            <w:vAlign w:val="center"/>
          </w:tcPr>
          <w:p w14:paraId="61CC500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建设期</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；生产运行期</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；服务期满后□</w:t>
            </w:r>
          </w:p>
          <w:p w14:paraId="21A1492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正常工况</w:t>
            </w:r>
            <w:r>
              <w:rPr>
                <w:rFonts w:hint="eastAsia" w:cs="Times New Roman"/>
                <w:color w:val="000000" w:themeColor="text1"/>
                <w:szCs w:val="21"/>
                <w:highlight w:val="none"/>
                <w:lang w:eastAsia="zh-CN"/>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；非正常工况□</w:t>
            </w:r>
          </w:p>
          <w:p w14:paraId="33CE909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污染控制和减缓措施方案□</w:t>
            </w:r>
          </w:p>
          <w:p w14:paraId="182C563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区（流）域环境质量改善目标要求情景□</w:t>
            </w:r>
          </w:p>
        </w:tc>
      </w:tr>
      <w:tr w14:paraId="5DD04E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766" w:type="dxa"/>
            <w:vMerge w:val="continue"/>
            <w:vAlign w:val="center"/>
          </w:tcPr>
          <w:p w14:paraId="6995E119">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19A7134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预测方法</w:t>
            </w:r>
          </w:p>
        </w:tc>
        <w:tc>
          <w:tcPr>
            <w:tcW w:w="6272" w:type="dxa"/>
            <w:gridSpan w:val="5"/>
            <w:vAlign w:val="center"/>
          </w:tcPr>
          <w:p w14:paraId="126FB3D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数值解□：解析解□；其他□</w:t>
            </w:r>
          </w:p>
          <w:p w14:paraId="4A38FDFE">
            <w:pPr>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导则推荐模式□：其他</w:t>
            </w:r>
            <w:r>
              <w:rPr>
                <w:rFonts w:hint="eastAsia" w:cs="Times New Roman"/>
                <w:color w:val="000000" w:themeColor="text1"/>
                <w:szCs w:val="21"/>
                <w:highlight w:val="none"/>
                <w:lang w:eastAsia="zh-CN"/>
                <w14:textFill>
                  <w14:solidFill>
                    <w14:schemeClr w14:val="tx1"/>
                  </w14:solidFill>
                </w14:textFill>
              </w:rPr>
              <w:t>☑</w:t>
            </w:r>
          </w:p>
        </w:tc>
      </w:tr>
      <w:tr w14:paraId="38E561B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restart"/>
            <w:vAlign w:val="center"/>
          </w:tcPr>
          <w:p w14:paraId="082E784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影响评价</w:t>
            </w:r>
          </w:p>
        </w:tc>
        <w:tc>
          <w:tcPr>
            <w:tcW w:w="1741" w:type="dxa"/>
            <w:vAlign w:val="center"/>
          </w:tcPr>
          <w:p w14:paraId="7428BCAA">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水污染控制和水环境影响减缓措施有效性评价</w:t>
            </w:r>
          </w:p>
        </w:tc>
        <w:tc>
          <w:tcPr>
            <w:tcW w:w="6272" w:type="dxa"/>
            <w:gridSpan w:val="5"/>
            <w:vAlign w:val="center"/>
          </w:tcPr>
          <w:p w14:paraId="64D8D5E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区（流）域水环境质量改善目标□；替代削减源□</w:t>
            </w:r>
          </w:p>
        </w:tc>
      </w:tr>
      <w:tr w14:paraId="598E65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396" w:hRule="atLeast"/>
          <w:jc w:val="center"/>
        </w:trPr>
        <w:tc>
          <w:tcPr>
            <w:tcW w:w="766" w:type="dxa"/>
            <w:vMerge w:val="continue"/>
            <w:vAlign w:val="center"/>
          </w:tcPr>
          <w:p w14:paraId="53C98B35">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387DCBC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水环境影响评价</w:t>
            </w:r>
          </w:p>
        </w:tc>
        <w:tc>
          <w:tcPr>
            <w:tcW w:w="6272" w:type="dxa"/>
            <w:gridSpan w:val="5"/>
            <w:vAlign w:val="center"/>
          </w:tcPr>
          <w:p w14:paraId="11D19151">
            <w:pPr>
              <w:ind w:firstLine="42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排放口混合区外满足水环境管理要求□</w:t>
            </w:r>
          </w:p>
          <w:p w14:paraId="4CE17397">
            <w:pPr>
              <w:ind w:firstLine="42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水环境功能区或水功能区、近岸海域环境功能区水质达标□</w:t>
            </w:r>
          </w:p>
          <w:p w14:paraId="786714FD">
            <w:pPr>
              <w:ind w:firstLine="42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满足水环境保护目标水域水环境质量要求□</w:t>
            </w:r>
          </w:p>
          <w:p w14:paraId="45634584">
            <w:pPr>
              <w:ind w:firstLine="42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水环境控制单元或断面水质达标□</w:t>
            </w:r>
          </w:p>
          <w:p w14:paraId="6C17E112">
            <w:pPr>
              <w:ind w:firstLine="42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满足重点水污染物排放总量控制指标要求，重点行业建设项目，主要污染物排放满足等量或减量替代要求□</w:t>
            </w:r>
          </w:p>
          <w:p w14:paraId="2ECCCAEF">
            <w:pPr>
              <w:ind w:firstLine="42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满足区（流）域水环境质量改善目标要求□</w:t>
            </w:r>
          </w:p>
          <w:p w14:paraId="41947A78">
            <w:pPr>
              <w:ind w:firstLine="420" w:firstLineChars="200"/>
              <w:rPr>
                <w:rFonts w:hint="eastAsia" w:ascii="Times New Roman" w:hAnsi="Times New Roman" w:eastAsia="宋体" w:cs="Times New Roman"/>
                <w:color w:val="000000" w:themeColor="text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水文要素影响型建设项目同时应包括水文情势变化评价、主要水文特征值影响评价、生态流量符合性评价</w:t>
            </w:r>
            <w:r>
              <w:rPr>
                <w:rFonts w:hint="eastAsia" w:cs="Times New Roman"/>
                <w:color w:val="000000" w:themeColor="text1"/>
                <w:highlight w:val="none"/>
                <w:lang w:eastAsia="zh-CN"/>
                <w14:textFill>
                  <w14:solidFill>
                    <w14:schemeClr w14:val="tx1"/>
                  </w14:solidFill>
                </w14:textFill>
              </w:rPr>
              <w:t>☑</w:t>
            </w:r>
          </w:p>
          <w:p w14:paraId="098B8195">
            <w:pPr>
              <w:ind w:firstLine="420" w:firstLineChars="200"/>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对于新设或调整入河（湖库、近岸海域）排放口的建设项目，应包括排放口设置的环境合理性评价□</w:t>
            </w:r>
          </w:p>
          <w:p w14:paraId="76D15767">
            <w:pPr>
              <w:ind w:firstLine="420" w:firstLineChars="200"/>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满足生态保护红线、水环境质量底线、资源利用上线和环境准入清单管理要求☑</w:t>
            </w:r>
          </w:p>
        </w:tc>
      </w:tr>
      <w:tr w14:paraId="008737E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766" w:type="dxa"/>
            <w:vMerge w:val="continue"/>
            <w:vAlign w:val="center"/>
          </w:tcPr>
          <w:p w14:paraId="08D015AA">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restart"/>
            <w:vAlign w:val="center"/>
          </w:tcPr>
          <w:p w14:paraId="339778B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污染物排放量核算</w:t>
            </w:r>
          </w:p>
        </w:tc>
        <w:tc>
          <w:tcPr>
            <w:tcW w:w="2507" w:type="dxa"/>
            <w:gridSpan w:val="2"/>
            <w:vAlign w:val="center"/>
          </w:tcPr>
          <w:p w14:paraId="236A871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污染物名称</w:t>
            </w:r>
          </w:p>
        </w:tc>
        <w:tc>
          <w:tcPr>
            <w:tcW w:w="1255" w:type="dxa"/>
            <w:vAlign w:val="center"/>
          </w:tcPr>
          <w:p w14:paraId="009A57B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排放量/（t/a）</w:t>
            </w:r>
          </w:p>
        </w:tc>
        <w:tc>
          <w:tcPr>
            <w:tcW w:w="2510" w:type="dxa"/>
            <w:gridSpan w:val="2"/>
            <w:vAlign w:val="center"/>
          </w:tcPr>
          <w:p w14:paraId="646706F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排放浓度/（mg/L）</w:t>
            </w:r>
          </w:p>
        </w:tc>
      </w:tr>
      <w:tr w14:paraId="37F8DA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394D09C6">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406C2EA3">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2507" w:type="dxa"/>
            <w:gridSpan w:val="2"/>
            <w:vAlign w:val="center"/>
          </w:tcPr>
          <w:p w14:paraId="3CF5078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1255" w:type="dxa"/>
            <w:vAlign w:val="center"/>
          </w:tcPr>
          <w:p w14:paraId="1C9F22D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2510" w:type="dxa"/>
            <w:gridSpan w:val="2"/>
            <w:vAlign w:val="center"/>
          </w:tcPr>
          <w:p w14:paraId="5E088CB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741D805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continue"/>
            <w:vAlign w:val="center"/>
          </w:tcPr>
          <w:p w14:paraId="58A3AB17">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restart"/>
            <w:vAlign w:val="center"/>
          </w:tcPr>
          <w:p w14:paraId="281DC18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替代源排放情况</w:t>
            </w:r>
          </w:p>
        </w:tc>
        <w:tc>
          <w:tcPr>
            <w:tcW w:w="1253" w:type="dxa"/>
            <w:vAlign w:val="center"/>
          </w:tcPr>
          <w:p w14:paraId="56602EB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污染源名称</w:t>
            </w:r>
          </w:p>
        </w:tc>
        <w:tc>
          <w:tcPr>
            <w:tcW w:w="1254" w:type="dxa"/>
            <w:vAlign w:val="center"/>
          </w:tcPr>
          <w:p w14:paraId="335DEDE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排污许可证编号</w:t>
            </w:r>
          </w:p>
        </w:tc>
        <w:tc>
          <w:tcPr>
            <w:tcW w:w="1255" w:type="dxa"/>
            <w:vAlign w:val="center"/>
          </w:tcPr>
          <w:p w14:paraId="3F6EEC6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污染物名称</w:t>
            </w:r>
          </w:p>
        </w:tc>
        <w:tc>
          <w:tcPr>
            <w:tcW w:w="1126" w:type="dxa"/>
            <w:vAlign w:val="center"/>
          </w:tcPr>
          <w:p w14:paraId="2787B01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排放量/（t/a）</w:t>
            </w:r>
          </w:p>
        </w:tc>
        <w:tc>
          <w:tcPr>
            <w:tcW w:w="1384" w:type="dxa"/>
            <w:vAlign w:val="center"/>
          </w:tcPr>
          <w:p w14:paraId="6C88612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排放浓度/（mg/L）</w:t>
            </w:r>
          </w:p>
        </w:tc>
      </w:tr>
      <w:tr w14:paraId="1574E07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6DA5832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3FF13C92">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253" w:type="dxa"/>
            <w:vAlign w:val="center"/>
          </w:tcPr>
          <w:p w14:paraId="2F4B689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1254" w:type="dxa"/>
            <w:vAlign w:val="center"/>
          </w:tcPr>
          <w:p w14:paraId="484EC46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1255" w:type="dxa"/>
            <w:vAlign w:val="center"/>
          </w:tcPr>
          <w:p w14:paraId="06D23BD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1126" w:type="dxa"/>
            <w:vAlign w:val="center"/>
          </w:tcPr>
          <w:p w14:paraId="1E18FCB3">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c>
          <w:tcPr>
            <w:tcW w:w="1384" w:type="dxa"/>
            <w:vAlign w:val="center"/>
          </w:tcPr>
          <w:p w14:paraId="38AE69A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4F59CFE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continue"/>
            <w:vAlign w:val="center"/>
          </w:tcPr>
          <w:p w14:paraId="1C39454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2C63882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生态流量确定</w:t>
            </w:r>
          </w:p>
        </w:tc>
        <w:tc>
          <w:tcPr>
            <w:tcW w:w="6272" w:type="dxa"/>
            <w:gridSpan w:val="5"/>
            <w:vAlign w:val="center"/>
          </w:tcPr>
          <w:p w14:paraId="43112AB4">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生态流量：一般水期（）m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/s；鱼类繁殖期（）m</w:t>
            </w:r>
            <w:r>
              <w:rPr>
                <w:rFonts w:hint="default" w:ascii="Times New Roman" w:hAnsi="Times New Roman" w:cs="Times New Roman"/>
                <w:color w:val="000000" w:themeColor="text1"/>
                <w:highlight w:val="none"/>
                <w:vertAlign w:val="superscript"/>
                <w14:textFill>
                  <w14:solidFill>
                    <w14:schemeClr w14:val="tx1"/>
                  </w14:solidFill>
                </w14:textFill>
              </w:rPr>
              <w:t>3</w:t>
            </w:r>
            <w:r>
              <w:rPr>
                <w:rFonts w:hint="default" w:ascii="Times New Roman" w:hAnsi="Times New Roman" w:cs="Times New Roman"/>
                <w:color w:val="000000" w:themeColor="text1"/>
                <w:highlight w:val="none"/>
                <w14:textFill>
                  <w14:solidFill>
                    <w14:schemeClr w14:val="tx1"/>
                  </w14:solidFill>
                </w14:textFill>
              </w:rPr>
              <w:t>/s；其他（</w:t>
            </w:r>
            <w:r>
              <w:rPr>
                <w:rFonts w:hint="eastAsia" w:ascii="Times New Roman" w:hAnsi="Times New Roman" w:cs="Times New Roman"/>
                <w:color w:val="000000" w:themeColor="text1"/>
                <w:highlight w:val="none"/>
                <w:lang w:val="en-US" w:eastAsia="zh-CN"/>
                <w14:textFill>
                  <w14:solidFill>
                    <w14:schemeClr w14:val="tx1"/>
                  </w14:solidFill>
                </w14:textFill>
              </w:rPr>
              <w:t>丰水期0.57m³/s，枯水期0.345m³/s</w:t>
            </w:r>
            <w:r>
              <w:rPr>
                <w:rFonts w:hint="default" w:ascii="Times New Roman" w:hAnsi="Times New Roman" w:cs="Times New Roman"/>
                <w:color w:val="000000" w:themeColor="text1"/>
                <w:highlight w:val="none"/>
                <w14:textFill>
                  <w14:solidFill>
                    <w14:schemeClr w14:val="tx1"/>
                  </w14:solidFill>
                </w14:textFill>
              </w:rPr>
              <w:t>）</w:t>
            </w:r>
          </w:p>
          <w:p w14:paraId="68A62B33">
            <w:pPr>
              <w:jc w:val="center"/>
              <w:rPr>
                <w:rFonts w:hint="default" w:ascii="Times New Roman" w:hAnsi="Times New Roman" w:cs="Times New Roman"/>
                <w:color w:val="000000" w:themeColor="text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生态水位：一般水期（）m；鱼类繁殖期（）m；其他（）m</w:t>
            </w:r>
          </w:p>
        </w:tc>
      </w:tr>
      <w:tr w14:paraId="2B3433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90" w:hRule="atLeast"/>
          <w:jc w:val="center"/>
        </w:trPr>
        <w:tc>
          <w:tcPr>
            <w:tcW w:w="766" w:type="dxa"/>
            <w:vMerge w:val="restart"/>
            <w:vAlign w:val="center"/>
          </w:tcPr>
          <w:p w14:paraId="1E1C03CB">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防治措施</w:t>
            </w:r>
          </w:p>
        </w:tc>
        <w:tc>
          <w:tcPr>
            <w:tcW w:w="1741" w:type="dxa"/>
            <w:vAlign w:val="center"/>
          </w:tcPr>
          <w:p w14:paraId="71C367E2">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环保措施</w:t>
            </w:r>
          </w:p>
        </w:tc>
        <w:tc>
          <w:tcPr>
            <w:tcW w:w="6272" w:type="dxa"/>
            <w:gridSpan w:val="5"/>
            <w:vAlign w:val="center"/>
          </w:tcPr>
          <w:p w14:paraId="6520A9D2">
            <w:pPr>
              <w:jc w:val="center"/>
              <w:rPr>
                <w:rFonts w:hint="eastAsia" w:ascii="Times New Roman" w:hAnsi="Times New Roman" w:eastAsia="宋体" w:cs="Times New Roman"/>
                <w:color w:val="000000" w:themeColor="text1"/>
                <w:szCs w:val="21"/>
                <w:highlight w:val="none"/>
                <w:lang w:eastAsia="zh-CN"/>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污水处理设施□；水文减缓设施□；生态流量保障设施</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；区域削减□；依托其他工程措施</w:t>
            </w:r>
            <w:r>
              <w:rPr>
                <w:rFonts w:hint="default" w:ascii="Times New Roman" w:hAnsi="Times New Roman" w:cs="Times New Roman"/>
                <w:color w:val="000000" w:themeColor="text1"/>
                <w:sz w:val="24"/>
                <w:highlight w:val="none"/>
                <w14:textFill>
                  <w14:solidFill>
                    <w14:schemeClr w14:val="tx1"/>
                  </w14:solidFill>
                </w14:textFill>
              </w:rPr>
              <w:sym w:font="Wingdings 2" w:char="00A3"/>
            </w:r>
            <w:r>
              <w:rPr>
                <w:rFonts w:hint="default" w:ascii="Times New Roman" w:hAnsi="Times New Roman" w:cs="Times New Roman"/>
                <w:color w:val="000000" w:themeColor="text1"/>
                <w:highlight w:val="none"/>
                <w14:textFill>
                  <w14:solidFill>
                    <w14:schemeClr w14:val="tx1"/>
                  </w14:solidFill>
                </w14:textFill>
              </w:rPr>
              <w:t>；其他</w:t>
            </w:r>
            <w:r>
              <w:rPr>
                <w:rFonts w:hint="eastAsia" w:cs="Times New Roman"/>
                <w:color w:val="000000" w:themeColor="text1"/>
                <w:highlight w:val="none"/>
                <w:lang w:eastAsia="zh-CN"/>
                <w14:textFill>
                  <w14:solidFill>
                    <w14:schemeClr w14:val="tx1"/>
                  </w14:solidFill>
                </w14:textFill>
              </w:rPr>
              <w:t>☑</w:t>
            </w:r>
          </w:p>
        </w:tc>
      </w:tr>
      <w:tr w14:paraId="6E1D0C6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5B84B56E">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restart"/>
            <w:vAlign w:val="center"/>
          </w:tcPr>
          <w:p w14:paraId="4AE1BA8E">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监测计划</w:t>
            </w:r>
          </w:p>
        </w:tc>
        <w:tc>
          <w:tcPr>
            <w:tcW w:w="1253" w:type="dxa"/>
            <w:vAlign w:val="center"/>
          </w:tcPr>
          <w:p w14:paraId="0C5DC82A">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2509" w:type="dxa"/>
            <w:gridSpan w:val="2"/>
            <w:vAlign w:val="center"/>
          </w:tcPr>
          <w:p w14:paraId="35A77D3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环境质量</w:t>
            </w:r>
          </w:p>
        </w:tc>
        <w:tc>
          <w:tcPr>
            <w:tcW w:w="2510" w:type="dxa"/>
            <w:gridSpan w:val="2"/>
            <w:vAlign w:val="center"/>
          </w:tcPr>
          <w:p w14:paraId="5343009F">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污染源</w:t>
            </w:r>
          </w:p>
        </w:tc>
      </w:tr>
      <w:tr w14:paraId="327F836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36" w:hRule="atLeast"/>
          <w:jc w:val="center"/>
        </w:trPr>
        <w:tc>
          <w:tcPr>
            <w:tcW w:w="766" w:type="dxa"/>
            <w:vMerge w:val="continue"/>
            <w:vAlign w:val="center"/>
          </w:tcPr>
          <w:p w14:paraId="45A8F462">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06506457">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253" w:type="dxa"/>
            <w:vAlign w:val="center"/>
          </w:tcPr>
          <w:p w14:paraId="13BC9BE4">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监测方式</w:t>
            </w:r>
          </w:p>
        </w:tc>
        <w:tc>
          <w:tcPr>
            <w:tcW w:w="2509" w:type="dxa"/>
            <w:gridSpan w:val="2"/>
            <w:vAlign w:val="center"/>
          </w:tcPr>
          <w:p w14:paraId="044AA1CD">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手动☑；自动□；无监测□</w:t>
            </w:r>
          </w:p>
        </w:tc>
        <w:tc>
          <w:tcPr>
            <w:tcW w:w="2510" w:type="dxa"/>
            <w:gridSpan w:val="2"/>
            <w:vAlign w:val="center"/>
          </w:tcPr>
          <w:p w14:paraId="1689575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手动□；自动□；无监测□</w:t>
            </w:r>
          </w:p>
        </w:tc>
      </w:tr>
      <w:tr w14:paraId="45F52D3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192669D4">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0250448F">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253" w:type="dxa"/>
            <w:vAlign w:val="center"/>
          </w:tcPr>
          <w:p w14:paraId="74B76BD6">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监测点位</w:t>
            </w:r>
          </w:p>
        </w:tc>
        <w:tc>
          <w:tcPr>
            <w:tcW w:w="2509" w:type="dxa"/>
            <w:gridSpan w:val="2"/>
            <w:vAlign w:val="center"/>
          </w:tcPr>
          <w:p w14:paraId="02D0A25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（2个）</w:t>
            </w:r>
          </w:p>
        </w:tc>
        <w:tc>
          <w:tcPr>
            <w:tcW w:w="2510" w:type="dxa"/>
            <w:gridSpan w:val="2"/>
            <w:vAlign w:val="center"/>
          </w:tcPr>
          <w:p w14:paraId="148E7F3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383E7E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49" w:hRule="atLeast"/>
          <w:jc w:val="center"/>
        </w:trPr>
        <w:tc>
          <w:tcPr>
            <w:tcW w:w="766" w:type="dxa"/>
            <w:vMerge w:val="continue"/>
            <w:vAlign w:val="center"/>
          </w:tcPr>
          <w:p w14:paraId="16281879">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Merge w:val="continue"/>
            <w:vAlign w:val="center"/>
          </w:tcPr>
          <w:p w14:paraId="08235CD3">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253" w:type="dxa"/>
            <w:vAlign w:val="center"/>
          </w:tcPr>
          <w:p w14:paraId="6504A750">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监测因子</w:t>
            </w:r>
          </w:p>
        </w:tc>
        <w:tc>
          <w:tcPr>
            <w:tcW w:w="2509" w:type="dxa"/>
            <w:gridSpan w:val="2"/>
            <w:vAlign w:val="center"/>
          </w:tcPr>
          <w:p w14:paraId="59DBFD69">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r>
              <w:rPr>
                <w:rFonts w:hint="default" w:ascii="Times New Roman" w:hAnsi="Times New Roman" w:cs="Times New Roman"/>
                <w:color w:val="000000" w:themeColor="text1"/>
                <w:kern w:val="0"/>
                <w:szCs w:val="21"/>
                <w:highlight w:val="none"/>
                <w14:textFill>
                  <w14:solidFill>
                    <w14:schemeClr w14:val="tx1"/>
                  </w14:solidFill>
                </w14:textFill>
              </w:rPr>
              <w:t>pH、悬浮物、COD、BOD</w:t>
            </w:r>
            <w:r>
              <w:rPr>
                <w:rFonts w:hint="default" w:ascii="Times New Roman" w:hAnsi="Times New Roman" w:cs="Times New Roman"/>
                <w:color w:val="000000" w:themeColor="text1"/>
                <w:kern w:val="0"/>
                <w:szCs w:val="21"/>
                <w:highlight w:val="none"/>
                <w:vertAlign w:val="subscript"/>
                <w14:textFill>
                  <w14:solidFill>
                    <w14:schemeClr w14:val="tx1"/>
                  </w14:solidFill>
                </w14:textFill>
              </w:rPr>
              <w:t>5</w:t>
            </w:r>
            <w:r>
              <w:rPr>
                <w:rFonts w:hint="default" w:ascii="Times New Roman" w:hAnsi="Times New Roman" w:cs="Times New Roman"/>
                <w:color w:val="000000" w:themeColor="text1"/>
                <w:kern w:val="0"/>
                <w:szCs w:val="21"/>
                <w:highlight w:val="none"/>
                <w14:textFill>
                  <w14:solidFill>
                    <w14:schemeClr w14:val="tx1"/>
                  </w14:solidFill>
                </w14:textFill>
              </w:rPr>
              <w:t>、溶解氧、氨氮、石油类</w:t>
            </w:r>
            <w:r>
              <w:rPr>
                <w:rFonts w:hint="eastAsia" w:cs="Times New Roman"/>
                <w:color w:val="000000" w:themeColor="text1"/>
                <w:kern w:val="0"/>
                <w:szCs w:val="21"/>
                <w:highlight w:val="none"/>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叶绿素a</w:t>
            </w:r>
            <w:r>
              <w:rPr>
                <w:rFonts w:hint="default" w:ascii="Times New Roman" w:hAnsi="Times New Roman" w:cs="Times New Roman"/>
                <w:color w:val="000000" w:themeColor="text1"/>
                <w:szCs w:val="21"/>
                <w:highlight w:val="none"/>
                <w14:textFill>
                  <w14:solidFill>
                    <w14:schemeClr w14:val="tx1"/>
                  </w14:solidFill>
                </w14:textFill>
              </w:rPr>
              <w:t>）</w:t>
            </w:r>
          </w:p>
        </w:tc>
        <w:tc>
          <w:tcPr>
            <w:tcW w:w="2510" w:type="dxa"/>
            <w:gridSpan w:val="2"/>
            <w:vAlign w:val="center"/>
          </w:tcPr>
          <w:p w14:paraId="4803088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w:t>
            </w:r>
          </w:p>
        </w:tc>
      </w:tr>
      <w:tr w14:paraId="72ABF3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766" w:type="dxa"/>
            <w:vMerge w:val="continue"/>
            <w:vAlign w:val="center"/>
          </w:tcPr>
          <w:p w14:paraId="26FFD58A">
            <w:pPr>
              <w:jc w:val="center"/>
              <w:rPr>
                <w:rFonts w:hint="default" w:ascii="Times New Roman" w:hAnsi="Times New Roman" w:cs="Times New Roman"/>
                <w:color w:val="000000" w:themeColor="text1"/>
                <w:szCs w:val="21"/>
                <w:highlight w:val="none"/>
                <w14:textFill>
                  <w14:solidFill>
                    <w14:schemeClr w14:val="tx1"/>
                  </w14:solidFill>
                </w14:textFill>
              </w:rPr>
            </w:pPr>
          </w:p>
        </w:tc>
        <w:tc>
          <w:tcPr>
            <w:tcW w:w="1741" w:type="dxa"/>
            <w:vAlign w:val="center"/>
          </w:tcPr>
          <w:p w14:paraId="274EBB9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污染物排放清单</w:t>
            </w:r>
          </w:p>
        </w:tc>
        <w:tc>
          <w:tcPr>
            <w:tcW w:w="6272" w:type="dxa"/>
            <w:gridSpan w:val="5"/>
            <w:vAlign w:val="center"/>
          </w:tcPr>
          <w:p w14:paraId="42CB02C7">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highlight w:val="none"/>
                <w14:textFill>
                  <w14:solidFill>
                    <w14:schemeClr w14:val="tx1"/>
                  </w14:solidFill>
                </w14:textFill>
              </w:rPr>
              <w:t>□</w:t>
            </w:r>
          </w:p>
        </w:tc>
      </w:tr>
      <w:tr w14:paraId="142221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3" w:hRule="atLeast"/>
          <w:jc w:val="center"/>
        </w:trPr>
        <w:tc>
          <w:tcPr>
            <w:tcW w:w="2507" w:type="dxa"/>
            <w:gridSpan w:val="2"/>
            <w:vAlign w:val="center"/>
          </w:tcPr>
          <w:p w14:paraId="69BCB4E1">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评价结论</w:t>
            </w:r>
          </w:p>
        </w:tc>
        <w:tc>
          <w:tcPr>
            <w:tcW w:w="6272" w:type="dxa"/>
            <w:gridSpan w:val="5"/>
            <w:vAlign w:val="center"/>
          </w:tcPr>
          <w:p w14:paraId="369B6C8C">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可以接受</w:t>
            </w:r>
            <w:r>
              <w:rPr>
                <w:rFonts w:hint="default" w:ascii="Times New Roman" w:hAnsi="Times New Roman" w:cs="Times New Roman"/>
                <w:color w:val="000000" w:themeColor="text1"/>
                <w:highlight w:val="none"/>
                <w14:textFill>
                  <w14:solidFill>
                    <w14:schemeClr w14:val="tx1"/>
                  </w14:solidFill>
                </w14:textFill>
              </w:rPr>
              <w:t>☑</w:t>
            </w:r>
            <w:r>
              <w:rPr>
                <w:rFonts w:hint="default" w:ascii="Times New Roman" w:hAnsi="Times New Roman" w:cs="Times New Roman"/>
                <w:color w:val="000000" w:themeColor="text1"/>
                <w:szCs w:val="21"/>
                <w:highlight w:val="none"/>
                <w14:textFill>
                  <w14:solidFill>
                    <w14:schemeClr w14:val="tx1"/>
                  </w14:solidFill>
                </w14:textFill>
              </w:rPr>
              <w:t>；不可以接受□</w:t>
            </w:r>
          </w:p>
        </w:tc>
      </w:tr>
      <w:tr w14:paraId="0A5D2EA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42" w:hRule="atLeast"/>
          <w:jc w:val="center"/>
        </w:trPr>
        <w:tc>
          <w:tcPr>
            <w:tcW w:w="8779" w:type="dxa"/>
            <w:gridSpan w:val="7"/>
            <w:vAlign w:val="center"/>
          </w:tcPr>
          <w:p w14:paraId="3F9C33C5">
            <w:pPr>
              <w:jc w:val="center"/>
              <w:rPr>
                <w:rFonts w:hint="default" w:ascii="Times New Roman" w:hAnsi="Times New Roman" w:cs="Times New Roman"/>
                <w:color w:val="000000" w:themeColor="text1"/>
                <w:szCs w:val="21"/>
                <w:highlight w:val="none"/>
                <w14:textFill>
                  <w14:solidFill>
                    <w14:schemeClr w14:val="tx1"/>
                  </w14:solidFill>
                </w14:textFill>
              </w:rPr>
            </w:pPr>
            <w:r>
              <w:rPr>
                <w:rFonts w:hint="default" w:ascii="Times New Roman" w:hAnsi="Times New Roman" w:cs="Times New Roman"/>
                <w:color w:val="000000" w:themeColor="text1"/>
                <w:szCs w:val="21"/>
                <w:highlight w:val="none"/>
                <w14:textFill>
                  <w14:solidFill>
                    <w14:schemeClr w14:val="tx1"/>
                  </w14:solidFill>
                </w14:textFill>
              </w:rPr>
              <w:t>注：“□”为勾选项，可打√；“（）”为内容填写项；“备注”为其他补充内容。</w:t>
            </w:r>
          </w:p>
        </w:tc>
      </w:tr>
    </w:tbl>
    <w:p w14:paraId="7004A65A">
      <w:pPr>
        <w:pStyle w:val="28"/>
        <w:numPr>
          <w:ilvl w:val="0"/>
          <w:numId w:val="5"/>
        </w:numPr>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eastAsia" w:cs="Times New Roman" w:eastAsiaTheme="minorEastAsia"/>
          <w:b/>
          <w:bCs/>
          <w:color w:val="000000" w:themeColor="text1"/>
          <w:sz w:val="24"/>
          <w:lang w:eastAsia="zh-CN"/>
          <w14:textFill>
            <w14:solidFill>
              <w14:schemeClr w14:val="tx1"/>
            </w14:solidFill>
          </w14:textFill>
        </w:rPr>
        <w:t>本项目可行性研究报告的</w:t>
      </w:r>
      <w:r>
        <w:rPr>
          <w:rFonts w:hint="default" w:ascii="Times New Roman" w:hAnsi="Times New Roman" w:cs="Times New Roman" w:eastAsiaTheme="minorEastAsia"/>
          <w:b/>
          <w:bCs/>
          <w:color w:val="000000" w:themeColor="text1"/>
          <w:sz w:val="24"/>
          <w14:textFill>
            <w14:solidFill>
              <w14:schemeClr w14:val="tx1"/>
            </w14:solidFill>
          </w14:textFill>
        </w:rPr>
        <w:t>批复</w:t>
      </w:r>
    </w:p>
    <w:p w14:paraId="55D6A165">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5267325" cy="7229475"/>
            <wp:effectExtent l="0" t="0" r="9525" b="9525"/>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40"/>
                    <a:stretch>
                      <a:fillRect/>
                    </a:stretch>
                  </pic:blipFill>
                  <pic:spPr>
                    <a:xfrm>
                      <a:off x="0" y="0"/>
                      <a:ext cx="5267325" cy="72294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675" cy="7214235"/>
            <wp:effectExtent l="0" t="0" r="3175" b="5715"/>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41"/>
                    <a:stretch>
                      <a:fillRect/>
                    </a:stretch>
                  </pic:blipFill>
                  <pic:spPr>
                    <a:xfrm>
                      <a:off x="0" y="0"/>
                      <a:ext cx="5273675" cy="721423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29225" cy="7200900"/>
            <wp:effectExtent l="0" t="0" r="9525" b="0"/>
            <wp:docPr id="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4"/>
                    <pic:cNvPicPr>
                      <a:picLocks noChangeAspect="1"/>
                    </pic:cNvPicPr>
                  </pic:nvPicPr>
                  <pic:blipFill>
                    <a:blip r:embed="rId42"/>
                    <a:stretch>
                      <a:fillRect/>
                    </a:stretch>
                  </pic:blipFill>
                  <pic:spPr>
                    <a:xfrm>
                      <a:off x="0" y="0"/>
                      <a:ext cx="5229225" cy="720090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4310" cy="7122160"/>
            <wp:effectExtent l="0" t="0" r="2540" b="2540"/>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43"/>
                    <a:stretch>
                      <a:fillRect/>
                    </a:stretch>
                  </pic:blipFill>
                  <pic:spPr>
                    <a:xfrm>
                      <a:off x="0" y="0"/>
                      <a:ext cx="5274310" cy="71221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230" cy="7202805"/>
            <wp:effectExtent l="0" t="0" r="7620" b="17145"/>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44"/>
                    <a:stretch>
                      <a:fillRect/>
                    </a:stretch>
                  </pic:blipFill>
                  <pic:spPr>
                    <a:xfrm>
                      <a:off x="0" y="0"/>
                      <a:ext cx="5269230" cy="7202805"/>
                    </a:xfrm>
                    <a:prstGeom prst="rect">
                      <a:avLst/>
                    </a:prstGeom>
                    <a:noFill/>
                    <a:ln>
                      <a:noFill/>
                    </a:ln>
                  </pic:spPr>
                </pic:pic>
              </a:graphicData>
            </a:graphic>
          </wp:inline>
        </w:drawing>
      </w:r>
    </w:p>
    <w:p w14:paraId="3CEFC591">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p>
    <w:p w14:paraId="79093F6D">
      <w:pPr>
        <w:rPr>
          <w:rFonts w:hint="default" w:ascii="Times New Roman" w:hAnsi="Times New Roman" w:cs="Times New Roman" w:eastAsiaTheme="minorEastAsia"/>
          <w:b/>
          <w:bCs/>
          <w:color w:val="000000" w:themeColor="text1"/>
          <w:sz w:val="24"/>
          <w14:textFill>
            <w14:solidFill>
              <w14:schemeClr w14:val="tx1"/>
            </w14:solidFill>
          </w14:textFill>
        </w:rPr>
      </w:pPr>
      <w:r>
        <w:rPr>
          <w:rFonts w:hint="default" w:ascii="Times New Roman" w:hAnsi="Times New Roman" w:cs="Times New Roman" w:eastAsiaTheme="minorEastAsia"/>
          <w:b/>
          <w:bCs/>
          <w:color w:val="000000" w:themeColor="text1"/>
          <w:sz w:val="24"/>
          <w14:textFill>
            <w14:solidFill>
              <w14:schemeClr w14:val="tx1"/>
            </w14:solidFill>
          </w14:textFill>
        </w:rPr>
        <w:br w:type="page"/>
      </w:r>
    </w:p>
    <w:p w14:paraId="55FDA82F">
      <w:pPr>
        <w:pStyle w:val="28"/>
        <w:numPr>
          <w:ilvl w:val="0"/>
          <w:numId w:val="5"/>
        </w:numPr>
        <w:ind w:left="425" w:leftChars="0" w:hanging="425" w:firstLineChars="0"/>
        <w:rPr>
          <w:rFonts w:hint="default" w:ascii="Times New Roman" w:hAnsi="Times New Roman" w:cs="Times New Roman" w:eastAsiaTheme="minorEastAsia"/>
          <w:b/>
          <w:bCs/>
          <w:color w:val="000000" w:themeColor="text1"/>
          <w:sz w:val="24"/>
          <w:lang w:eastAsia="zh-CN"/>
          <w14:textFill>
            <w14:solidFill>
              <w14:schemeClr w14:val="tx1"/>
            </w14:solidFill>
          </w14:textFill>
        </w:rPr>
      </w:pPr>
      <w:r>
        <w:rPr>
          <w:rFonts w:hint="eastAsia" w:ascii="Times New Roman" w:hAnsi="Times New Roman" w:cs="Times New Roman" w:eastAsiaTheme="minorEastAsia"/>
          <w:b/>
          <w:bCs/>
          <w:color w:val="000000" w:themeColor="text1"/>
          <w:sz w:val="24"/>
          <w:lang w:eastAsia="zh-CN"/>
          <w14:textFill>
            <w14:solidFill>
              <w14:schemeClr w14:val="tx1"/>
            </w14:solidFill>
          </w14:textFill>
        </w:rPr>
        <w:t>本项目初步设计的批复</w:t>
      </w:r>
    </w:p>
    <w:p w14:paraId="0F27257E">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5200650" cy="7334250"/>
            <wp:effectExtent l="0" t="0" r="0" b="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45"/>
                    <a:stretch>
                      <a:fillRect/>
                    </a:stretch>
                  </pic:blipFill>
                  <pic:spPr>
                    <a:xfrm>
                      <a:off x="0" y="0"/>
                      <a:ext cx="5200650" cy="733425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19700" cy="7343775"/>
            <wp:effectExtent l="0" t="0" r="0" b="9525"/>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46"/>
                    <a:stretch>
                      <a:fillRect/>
                    </a:stretch>
                  </pic:blipFill>
                  <pic:spPr>
                    <a:xfrm>
                      <a:off x="0" y="0"/>
                      <a:ext cx="5219700" cy="73437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00650" cy="7419975"/>
            <wp:effectExtent l="0" t="0" r="0" b="9525"/>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47"/>
                    <a:stretch>
                      <a:fillRect/>
                    </a:stretch>
                  </pic:blipFill>
                  <pic:spPr>
                    <a:xfrm>
                      <a:off x="0" y="0"/>
                      <a:ext cx="5200650" cy="74199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38750" cy="7343775"/>
            <wp:effectExtent l="0" t="0" r="0" b="9525"/>
            <wp:docPr id="2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
                    <pic:cNvPicPr>
                      <a:picLocks noChangeAspect="1"/>
                    </pic:cNvPicPr>
                  </pic:nvPicPr>
                  <pic:blipFill>
                    <a:blip r:embed="rId48"/>
                    <a:stretch>
                      <a:fillRect/>
                    </a:stretch>
                  </pic:blipFill>
                  <pic:spPr>
                    <a:xfrm>
                      <a:off x="0" y="0"/>
                      <a:ext cx="5238750" cy="73437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48275" cy="7343775"/>
            <wp:effectExtent l="0" t="0" r="9525" b="9525"/>
            <wp:docPr id="2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1"/>
                    <pic:cNvPicPr>
                      <a:picLocks noChangeAspect="1"/>
                    </pic:cNvPicPr>
                  </pic:nvPicPr>
                  <pic:blipFill>
                    <a:blip r:embed="rId49"/>
                    <a:stretch>
                      <a:fillRect/>
                    </a:stretch>
                  </pic:blipFill>
                  <pic:spPr>
                    <a:xfrm>
                      <a:off x="0" y="0"/>
                      <a:ext cx="5248275" cy="7343775"/>
                    </a:xfrm>
                    <a:prstGeom prst="rect">
                      <a:avLst/>
                    </a:prstGeom>
                    <a:noFill/>
                    <a:ln>
                      <a:noFill/>
                    </a:ln>
                  </pic:spPr>
                </pic:pic>
              </a:graphicData>
            </a:graphic>
          </wp:inline>
        </w:drawing>
      </w:r>
    </w:p>
    <w:p w14:paraId="38F985A9">
      <w:pPr>
        <w:rPr>
          <w:rFonts w:hint="default" w:ascii="Times New Roman" w:hAnsi="Times New Roman" w:cs="Times New Roman" w:eastAsiaTheme="minorEastAsia"/>
          <w:b/>
          <w:bCs/>
          <w:color w:val="000000" w:themeColor="text1"/>
          <w:sz w:val="24"/>
          <w14:textFill>
            <w14:solidFill>
              <w14:schemeClr w14:val="tx1"/>
            </w14:solidFill>
          </w14:textFill>
        </w:rPr>
      </w:pPr>
    </w:p>
    <w:p w14:paraId="36BEAC51">
      <w:pPr>
        <w:rPr>
          <w:rFonts w:hint="default" w:ascii="Times New Roman" w:hAnsi="Times New Roman" w:cs="Times New Roman" w:eastAsiaTheme="minorEastAsia"/>
          <w:b/>
          <w:bCs/>
          <w:color w:val="000000" w:themeColor="text1"/>
          <w:sz w:val="24"/>
          <w14:textFill>
            <w14:solidFill>
              <w14:schemeClr w14:val="tx1"/>
            </w14:solidFill>
          </w14:textFill>
        </w:rPr>
      </w:pPr>
    </w:p>
    <w:p w14:paraId="72D67FC7">
      <w:pPr>
        <w:rPr>
          <w:rFonts w:hint="default" w:ascii="Times New Roman" w:hAnsi="Times New Roman" w:cs="Times New Roman" w:eastAsiaTheme="minorEastAsia"/>
          <w:b/>
          <w:bCs/>
          <w:color w:val="000000" w:themeColor="text1"/>
          <w:sz w:val="24"/>
          <w14:textFill>
            <w14:solidFill>
              <w14:schemeClr w14:val="tx1"/>
            </w14:solidFill>
          </w14:textFill>
        </w:rPr>
      </w:pPr>
      <w:r>
        <w:rPr>
          <w:rFonts w:hint="default" w:ascii="Times New Roman" w:hAnsi="Times New Roman" w:cs="Times New Roman" w:eastAsiaTheme="minorEastAsia"/>
          <w:b/>
          <w:bCs/>
          <w:color w:val="000000" w:themeColor="text1"/>
          <w:sz w:val="24"/>
          <w14:textFill>
            <w14:solidFill>
              <w14:schemeClr w14:val="tx1"/>
            </w14:solidFill>
          </w14:textFill>
        </w:rPr>
        <w:br w:type="page"/>
      </w:r>
    </w:p>
    <w:p w14:paraId="2C974427">
      <w:pPr>
        <w:pStyle w:val="28"/>
        <w:numPr>
          <w:ilvl w:val="0"/>
          <w:numId w:val="5"/>
        </w:numPr>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eastAsia" w:cs="Times New Roman" w:eastAsiaTheme="minorEastAsia"/>
          <w:b/>
          <w:bCs/>
          <w:color w:val="000000" w:themeColor="text1"/>
          <w:sz w:val="24"/>
          <w:lang w:eastAsia="zh-CN"/>
          <w14:textFill>
            <w14:solidFill>
              <w14:schemeClr w14:val="tx1"/>
            </w14:solidFill>
          </w14:textFill>
        </w:rPr>
        <w:t>本项目监测报告</w:t>
      </w:r>
    </w:p>
    <w:p w14:paraId="7E4DDCBB">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5273675" cy="7423785"/>
            <wp:effectExtent l="0" t="0" r="3175" b="5715"/>
            <wp:docPr id="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2"/>
                    <pic:cNvPicPr>
                      <a:picLocks noChangeAspect="1"/>
                    </pic:cNvPicPr>
                  </pic:nvPicPr>
                  <pic:blipFill>
                    <a:blip r:embed="rId50"/>
                    <a:stretch>
                      <a:fillRect/>
                    </a:stretch>
                  </pic:blipFill>
                  <pic:spPr>
                    <a:xfrm>
                      <a:off x="0" y="0"/>
                      <a:ext cx="5273675" cy="742378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865" cy="7531100"/>
            <wp:effectExtent l="0" t="0" r="6985" b="12700"/>
            <wp:docPr id="2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pic:cNvPicPr>
                      <a:picLocks noChangeAspect="1"/>
                    </pic:cNvPicPr>
                  </pic:nvPicPr>
                  <pic:blipFill>
                    <a:blip r:embed="rId51"/>
                    <a:stretch>
                      <a:fillRect/>
                    </a:stretch>
                  </pic:blipFill>
                  <pic:spPr>
                    <a:xfrm>
                      <a:off x="0" y="0"/>
                      <a:ext cx="5269865" cy="753110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675" cy="7432675"/>
            <wp:effectExtent l="0" t="0" r="3175" b="1587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52"/>
                    <a:stretch>
                      <a:fillRect/>
                    </a:stretch>
                  </pic:blipFill>
                  <pic:spPr>
                    <a:xfrm>
                      <a:off x="0" y="0"/>
                      <a:ext cx="5273675" cy="74326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1135" cy="7562850"/>
            <wp:effectExtent l="0" t="0" r="5715" b="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53"/>
                    <a:stretch>
                      <a:fillRect/>
                    </a:stretch>
                  </pic:blipFill>
                  <pic:spPr>
                    <a:xfrm>
                      <a:off x="0" y="0"/>
                      <a:ext cx="5271135" cy="756285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040" cy="7458710"/>
            <wp:effectExtent l="0" t="0" r="3810" b="8890"/>
            <wp:docPr id="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6"/>
                    <pic:cNvPicPr>
                      <a:picLocks noChangeAspect="1"/>
                    </pic:cNvPicPr>
                  </pic:nvPicPr>
                  <pic:blipFill>
                    <a:blip r:embed="rId54"/>
                    <a:stretch>
                      <a:fillRect/>
                    </a:stretch>
                  </pic:blipFill>
                  <pic:spPr>
                    <a:xfrm>
                      <a:off x="0" y="0"/>
                      <a:ext cx="5273040" cy="745871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230" cy="7486650"/>
            <wp:effectExtent l="0" t="0" r="7620" b="0"/>
            <wp:docPr id="4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7"/>
                    <pic:cNvPicPr>
                      <a:picLocks noChangeAspect="1"/>
                    </pic:cNvPicPr>
                  </pic:nvPicPr>
                  <pic:blipFill>
                    <a:blip r:embed="rId55"/>
                    <a:stretch>
                      <a:fillRect/>
                    </a:stretch>
                  </pic:blipFill>
                  <pic:spPr>
                    <a:xfrm>
                      <a:off x="0" y="0"/>
                      <a:ext cx="5269230" cy="748665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4310" cy="7458075"/>
            <wp:effectExtent l="0" t="0" r="2540" b="9525"/>
            <wp:docPr id="4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8"/>
                    <pic:cNvPicPr>
                      <a:picLocks noChangeAspect="1"/>
                    </pic:cNvPicPr>
                  </pic:nvPicPr>
                  <pic:blipFill>
                    <a:blip r:embed="rId56"/>
                    <a:stretch>
                      <a:fillRect/>
                    </a:stretch>
                  </pic:blipFill>
                  <pic:spPr>
                    <a:xfrm>
                      <a:off x="0" y="0"/>
                      <a:ext cx="5274310" cy="7458075"/>
                    </a:xfrm>
                    <a:prstGeom prst="rect">
                      <a:avLst/>
                    </a:prstGeom>
                    <a:noFill/>
                    <a:ln>
                      <a:noFill/>
                    </a:ln>
                  </pic:spPr>
                </pic:pic>
              </a:graphicData>
            </a:graphic>
          </wp:inline>
        </w:drawing>
      </w:r>
    </w:p>
    <w:p w14:paraId="21D1BDAE">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p>
    <w:p w14:paraId="3F930A57">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p>
    <w:p w14:paraId="5E163653">
      <w:pPr>
        <w:rPr>
          <w:rFonts w:hint="default" w:ascii="Times New Roman" w:hAnsi="Times New Roman" w:cs="Times New Roman" w:eastAsiaTheme="minorEastAsia"/>
          <w:b/>
          <w:bCs/>
          <w:color w:val="000000" w:themeColor="text1"/>
          <w:sz w:val="24"/>
          <w14:textFill>
            <w14:solidFill>
              <w14:schemeClr w14:val="tx1"/>
            </w14:solidFill>
          </w14:textFill>
        </w:rPr>
      </w:pPr>
      <w:r>
        <w:rPr>
          <w:rFonts w:hint="default" w:ascii="Times New Roman" w:hAnsi="Times New Roman" w:cs="Times New Roman" w:eastAsiaTheme="minorEastAsia"/>
          <w:b/>
          <w:bCs/>
          <w:color w:val="000000" w:themeColor="text1"/>
          <w:sz w:val="24"/>
          <w14:textFill>
            <w14:solidFill>
              <w14:schemeClr w14:val="tx1"/>
            </w14:solidFill>
          </w14:textFill>
        </w:rPr>
        <w:br w:type="page"/>
      </w:r>
    </w:p>
    <w:p w14:paraId="67AFF55F">
      <w:pPr>
        <w:pStyle w:val="28"/>
        <w:numPr>
          <w:ilvl w:val="0"/>
          <w:numId w:val="5"/>
        </w:numPr>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default" w:ascii="Times New Roman" w:hAnsi="Times New Roman" w:cs="Times New Roman" w:eastAsiaTheme="minorEastAsia"/>
          <w:b/>
          <w:bCs/>
          <w:color w:val="000000" w:themeColor="text1"/>
          <w:sz w:val="24"/>
          <w:lang w:val="en-US" w:eastAsia="zh-CN"/>
          <w14:textFill>
            <w14:solidFill>
              <w14:schemeClr w14:val="tx1"/>
            </w14:solidFill>
          </w14:textFill>
        </w:rPr>
        <w:t>分析报告</w:t>
      </w:r>
    </w:p>
    <w:p w14:paraId="0B12C212">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5269230" cy="3764280"/>
            <wp:effectExtent l="0" t="0" r="7620" b="7620"/>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57"/>
                    <a:stretch>
                      <a:fillRect/>
                    </a:stretch>
                  </pic:blipFill>
                  <pic:spPr>
                    <a:xfrm>
                      <a:off x="0" y="0"/>
                      <a:ext cx="5269230" cy="376428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4310" cy="3749040"/>
            <wp:effectExtent l="0" t="0" r="2540" b="3810"/>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
                    <pic:cNvPicPr>
                      <a:picLocks noChangeAspect="1"/>
                    </pic:cNvPicPr>
                  </pic:nvPicPr>
                  <pic:blipFill>
                    <a:blip r:embed="rId58"/>
                    <a:stretch>
                      <a:fillRect/>
                    </a:stretch>
                  </pic:blipFill>
                  <pic:spPr>
                    <a:xfrm>
                      <a:off x="0" y="0"/>
                      <a:ext cx="5274310" cy="374904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0500" cy="3778885"/>
            <wp:effectExtent l="0" t="0" r="6350" b="12065"/>
            <wp:docPr id="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
                    <pic:cNvPicPr>
                      <a:picLocks noChangeAspect="1"/>
                    </pic:cNvPicPr>
                  </pic:nvPicPr>
                  <pic:blipFill>
                    <a:blip r:embed="rId59"/>
                    <a:stretch>
                      <a:fillRect/>
                    </a:stretch>
                  </pic:blipFill>
                  <pic:spPr>
                    <a:xfrm>
                      <a:off x="0" y="0"/>
                      <a:ext cx="5270500" cy="377888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7325" cy="3729355"/>
            <wp:effectExtent l="0" t="0" r="9525" b="4445"/>
            <wp:docPr id="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
                    <pic:cNvPicPr>
                      <a:picLocks noChangeAspect="1"/>
                    </pic:cNvPicPr>
                  </pic:nvPicPr>
                  <pic:blipFill>
                    <a:blip r:embed="rId60"/>
                    <a:stretch>
                      <a:fillRect/>
                    </a:stretch>
                  </pic:blipFill>
                  <pic:spPr>
                    <a:xfrm>
                      <a:off x="0" y="0"/>
                      <a:ext cx="5267325" cy="372935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8595" cy="3702685"/>
            <wp:effectExtent l="0" t="0" r="8255" b="12065"/>
            <wp:docPr id="9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
                    <pic:cNvPicPr>
                      <a:picLocks noChangeAspect="1"/>
                    </pic:cNvPicPr>
                  </pic:nvPicPr>
                  <pic:blipFill>
                    <a:blip r:embed="rId61"/>
                    <a:stretch>
                      <a:fillRect/>
                    </a:stretch>
                  </pic:blipFill>
                  <pic:spPr>
                    <a:xfrm>
                      <a:off x="0" y="0"/>
                      <a:ext cx="5268595" cy="370268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8595" cy="3735070"/>
            <wp:effectExtent l="0" t="0" r="8255" b="17780"/>
            <wp:docPr id="9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1"/>
                    <pic:cNvPicPr>
                      <a:picLocks noChangeAspect="1"/>
                    </pic:cNvPicPr>
                  </pic:nvPicPr>
                  <pic:blipFill>
                    <a:blip r:embed="rId62"/>
                    <a:stretch>
                      <a:fillRect/>
                    </a:stretch>
                  </pic:blipFill>
                  <pic:spPr>
                    <a:xfrm>
                      <a:off x="0" y="0"/>
                      <a:ext cx="5268595" cy="373507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1135" cy="3719830"/>
            <wp:effectExtent l="0" t="0" r="5715" b="13970"/>
            <wp:docPr id="9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2"/>
                    <pic:cNvPicPr>
                      <a:picLocks noChangeAspect="1"/>
                    </pic:cNvPicPr>
                  </pic:nvPicPr>
                  <pic:blipFill>
                    <a:blip r:embed="rId63"/>
                    <a:stretch>
                      <a:fillRect/>
                    </a:stretch>
                  </pic:blipFill>
                  <pic:spPr>
                    <a:xfrm>
                      <a:off x="0" y="0"/>
                      <a:ext cx="5271135" cy="371983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865" cy="3747135"/>
            <wp:effectExtent l="0" t="0" r="6985" b="5715"/>
            <wp:docPr id="9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13"/>
                    <pic:cNvPicPr>
                      <a:picLocks noChangeAspect="1"/>
                    </pic:cNvPicPr>
                  </pic:nvPicPr>
                  <pic:blipFill>
                    <a:blip r:embed="rId64"/>
                    <a:stretch>
                      <a:fillRect/>
                    </a:stretch>
                  </pic:blipFill>
                  <pic:spPr>
                    <a:xfrm>
                      <a:off x="0" y="0"/>
                      <a:ext cx="5269865" cy="374713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7325" cy="3742690"/>
            <wp:effectExtent l="0" t="0" r="9525" b="10160"/>
            <wp:docPr id="9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4"/>
                    <pic:cNvPicPr>
                      <a:picLocks noChangeAspect="1"/>
                    </pic:cNvPicPr>
                  </pic:nvPicPr>
                  <pic:blipFill>
                    <a:blip r:embed="rId65"/>
                    <a:stretch>
                      <a:fillRect/>
                    </a:stretch>
                  </pic:blipFill>
                  <pic:spPr>
                    <a:xfrm>
                      <a:off x="0" y="0"/>
                      <a:ext cx="5267325" cy="374269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8595" cy="3735070"/>
            <wp:effectExtent l="0" t="0" r="8255" b="17780"/>
            <wp:docPr id="10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5"/>
                    <pic:cNvPicPr>
                      <a:picLocks noChangeAspect="1"/>
                    </pic:cNvPicPr>
                  </pic:nvPicPr>
                  <pic:blipFill>
                    <a:blip r:embed="rId66"/>
                    <a:stretch>
                      <a:fillRect/>
                    </a:stretch>
                  </pic:blipFill>
                  <pic:spPr>
                    <a:xfrm>
                      <a:off x="0" y="0"/>
                      <a:ext cx="5268595" cy="373507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865" cy="3721100"/>
            <wp:effectExtent l="0" t="0" r="6985" b="12700"/>
            <wp:docPr id="10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
                    <pic:cNvPicPr>
                      <a:picLocks noChangeAspect="1"/>
                    </pic:cNvPicPr>
                  </pic:nvPicPr>
                  <pic:blipFill>
                    <a:blip r:embed="rId67"/>
                    <a:stretch>
                      <a:fillRect/>
                    </a:stretch>
                  </pic:blipFill>
                  <pic:spPr>
                    <a:xfrm>
                      <a:off x="0" y="0"/>
                      <a:ext cx="5269865" cy="372110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040" cy="3750310"/>
            <wp:effectExtent l="0" t="0" r="3810" b="2540"/>
            <wp:docPr id="10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7"/>
                    <pic:cNvPicPr>
                      <a:picLocks noChangeAspect="1"/>
                    </pic:cNvPicPr>
                  </pic:nvPicPr>
                  <pic:blipFill>
                    <a:blip r:embed="rId68"/>
                    <a:stretch>
                      <a:fillRect/>
                    </a:stretch>
                  </pic:blipFill>
                  <pic:spPr>
                    <a:xfrm>
                      <a:off x="0" y="0"/>
                      <a:ext cx="5273040" cy="375031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4310" cy="3696335"/>
            <wp:effectExtent l="0" t="0" r="2540" b="18415"/>
            <wp:docPr id="10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8"/>
                    <pic:cNvPicPr>
                      <a:picLocks noChangeAspect="1"/>
                    </pic:cNvPicPr>
                  </pic:nvPicPr>
                  <pic:blipFill>
                    <a:blip r:embed="rId69"/>
                    <a:stretch>
                      <a:fillRect/>
                    </a:stretch>
                  </pic:blipFill>
                  <pic:spPr>
                    <a:xfrm>
                      <a:off x="0" y="0"/>
                      <a:ext cx="5274310" cy="3696335"/>
                    </a:xfrm>
                    <a:prstGeom prst="rect">
                      <a:avLst/>
                    </a:prstGeom>
                    <a:noFill/>
                    <a:ln>
                      <a:noFill/>
                    </a:ln>
                  </pic:spPr>
                </pic:pic>
              </a:graphicData>
            </a:graphic>
          </wp:inline>
        </w:drawing>
      </w:r>
    </w:p>
    <w:p w14:paraId="6270471E">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p>
    <w:p w14:paraId="3E9CF777">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p>
    <w:p w14:paraId="63A05314">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515D136A">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eastAsia" w:cs="Times New Roman" w:eastAsiaTheme="minorEastAsia"/>
          <w:b/>
          <w:bCs/>
          <w:color w:val="000000" w:themeColor="text1"/>
          <w:sz w:val="24"/>
          <w:lang w:eastAsia="zh-CN"/>
          <w14:textFill>
            <w14:solidFill>
              <w14:schemeClr w14:val="tx1"/>
            </w14:solidFill>
          </w14:textFill>
        </w:rPr>
        <w:t>青山</w:t>
      </w:r>
      <w:r>
        <w:rPr>
          <w:rFonts w:hint="default" w:ascii="Times New Roman" w:hAnsi="Times New Roman" w:cs="Times New Roman" w:eastAsiaTheme="minorEastAsia"/>
          <w:b/>
          <w:bCs/>
          <w:color w:val="000000" w:themeColor="text1"/>
          <w:sz w:val="24"/>
          <w14:textFill>
            <w14:solidFill>
              <w14:schemeClr w14:val="tx1"/>
            </w14:solidFill>
          </w14:textFill>
        </w:rPr>
        <w:t>水库地理位置示意图</w:t>
      </w:r>
    </w:p>
    <w:p w14:paraId="6C31FAE1">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color w:val="000000" w:themeColor="text1"/>
          <w:sz w:val="24"/>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3195320</wp:posOffset>
                </wp:positionH>
                <wp:positionV relativeFrom="paragraph">
                  <wp:posOffset>2548255</wp:posOffset>
                </wp:positionV>
                <wp:extent cx="687070" cy="254635"/>
                <wp:effectExtent l="173990" t="4445" r="15240" b="236220"/>
                <wp:wrapNone/>
                <wp:docPr id="59" name="矩形标注 59"/>
                <wp:cNvGraphicFramePr/>
                <a:graphic xmlns:a="http://schemas.openxmlformats.org/drawingml/2006/main">
                  <a:graphicData uri="http://schemas.microsoft.com/office/word/2010/wordprocessingShape">
                    <wps:wsp>
                      <wps:cNvSpPr/>
                      <wps:spPr>
                        <a:xfrm>
                          <a:off x="0" y="0"/>
                          <a:ext cx="687070" cy="254635"/>
                        </a:xfrm>
                        <a:prstGeom prst="wedgeRectCallout">
                          <a:avLst>
                            <a:gd name="adj1" fmla="val -70551"/>
                            <a:gd name="adj2" fmla="val 127977"/>
                          </a:avLst>
                        </a:prstGeom>
                        <a:solidFill>
                          <a:srgbClr val="FFFFFF"/>
                        </a:solidFill>
                        <a:ln w="9525" cap="flat" cmpd="sng">
                          <a:solidFill>
                            <a:srgbClr val="000000"/>
                          </a:solidFill>
                          <a:prstDash val="solid"/>
                          <a:miter/>
                          <a:headEnd type="none" w="med" len="med"/>
                          <a:tailEnd type="none" w="med" len="med"/>
                        </a:ln>
                      </wps:spPr>
                      <wps:txbx>
                        <w:txbxContent>
                          <w:p w14:paraId="2327C46B">
                            <w:pPr>
                              <w:rPr>
                                <w:rFonts w:hint="default"/>
                                <w:vertAlign w:val="superscript"/>
                                <w:lang w:val="en-US" w:eastAsia="zh-CN"/>
                              </w:rPr>
                            </w:pPr>
                            <w:r>
                              <w:rPr>
                                <w:rFonts w:hint="eastAsia"/>
                                <w:sz w:val="18"/>
                                <w:szCs w:val="18"/>
                                <w:vertAlign w:val="baseline"/>
                                <w:lang w:val="en-US" w:eastAsia="zh-CN"/>
                              </w:rPr>
                              <w:t>项目位置</w:t>
                            </w:r>
                          </w:p>
                        </w:txbxContent>
                      </wps:txbx>
                      <wps:bodyPr upright="1"/>
                    </wps:wsp>
                  </a:graphicData>
                </a:graphic>
              </wp:anchor>
            </w:drawing>
          </mc:Choice>
          <mc:Fallback>
            <w:pict>
              <v:shape id="_x0000_s1026" o:spid="_x0000_s1026" o:spt="61" type="#_x0000_t61" style="position:absolute;left:0pt;margin-left:251.6pt;margin-top:200.65pt;height:20.05pt;width:54.1pt;z-index:251671552;mso-width-relative:page;mso-height-relative:page;" fillcolor="#FFFFFF" filled="t" stroked="t" coordsize="21600,21600" o:gfxdata="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eSrnl9kAAAALAQAADwAAAAAAAAABACAAAAAiAAAAZHJzL2Rv&#10;d25yZXYueG1sUEsBAhQAFAAAAAgAh07iQF4UlEQ5AgAAjwQAAA4AAAAAAAAAAQAgAAAAKAEAAGRy&#10;cy9lMm9Eb2MueG1sUEsFBgAAAAAGAAYAWQEAANMFAAAAAA==&#10;" adj="-4439,38443">
                <v:fill on="t" focussize="0,0"/>
                <v:stroke color="#000000" joinstyle="miter"/>
                <v:imagedata o:title=""/>
                <o:lock v:ext="edit" aspectratio="f"/>
                <v:textbox>
                  <w:txbxContent>
                    <w:p w14:paraId="2327C46B">
                      <w:pPr>
                        <w:rPr>
                          <w:rFonts w:hint="default"/>
                          <w:vertAlign w:val="superscript"/>
                          <w:lang w:val="en-US" w:eastAsia="zh-CN"/>
                        </w:rPr>
                      </w:pPr>
                      <w:r>
                        <w:rPr>
                          <w:rFonts w:hint="eastAsia"/>
                          <w:sz w:val="18"/>
                          <w:szCs w:val="18"/>
                          <w:vertAlign w:val="baseline"/>
                          <w:lang w:val="en-US" w:eastAsia="zh-CN"/>
                        </w:rPr>
                        <w:t>项目位置</w:t>
                      </w:r>
                    </w:p>
                  </w:txbxContent>
                </v:textbox>
              </v:shape>
            </w:pict>
          </mc:Fallback>
        </mc:AlternateContent>
      </w:r>
      <w:r>
        <w:rPr>
          <w:color w:val="000000" w:themeColor="text1"/>
          <w14:textFill>
            <w14:solidFill>
              <w14:schemeClr w14:val="tx1"/>
            </w14:solidFill>
          </w14:textFill>
        </w:rPr>
        <w:drawing>
          <wp:inline distT="0" distB="0" distL="114300" distR="114300">
            <wp:extent cx="5683250" cy="6761480"/>
            <wp:effectExtent l="0" t="0" r="12700" b="1270"/>
            <wp:docPr id="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3"/>
                    <pic:cNvPicPr>
                      <a:picLocks noChangeAspect="1"/>
                    </pic:cNvPicPr>
                  </pic:nvPicPr>
                  <pic:blipFill>
                    <a:blip r:embed="rId70"/>
                    <a:stretch>
                      <a:fillRect/>
                    </a:stretch>
                  </pic:blipFill>
                  <pic:spPr>
                    <a:xfrm>
                      <a:off x="0" y="0"/>
                      <a:ext cx="5683250" cy="6761480"/>
                    </a:xfrm>
                    <a:prstGeom prst="rect">
                      <a:avLst/>
                    </a:prstGeom>
                    <a:noFill/>
                    <a:ln>
                      <a:noFill/>
                    </a:ln>
                  </pic:spPr>
                </pic:pic>
              </a:graphicData>
            </a:graphic>
          </wp:inline>
        </w:drawing>
      </w:r>
    </w:p>
    <w:p w14:paraId="6FF28541">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417987AF">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eastAsia" w:ascii="Times New Roman" w:hAnsi="Times New Roman" w:cs="Times New Roman" w:eastAsiaTheme="minorEastAsia"/>
          <w:b/>
          <w:bCs/>
          <w:color w:val="000000" w:themeColor="text1"/>
          <w:sz w:val="24"/>
          <w:lang w:eastAsia="zh-CN"/>
          <w14:textFill>
            <w14:solidFill>
              <w14:schemeClr w14:val="tx1"/>
            </w14:solidFill>
          </w14:textFill>
        </w:rPr>
        <w:t>水系图</w:t>
      </w:r>
    </w:p>
    <w:p w14:paraId="6E2203CC">
      <w:pPr>
        <w:pStyle w:val="28"/>
        <w:widowControl w:val="0"/>
        <w:numPr>
          <w:ilvl w:val="0"/>
          <w:numId w:val="0"/>
        </w:numPr>
        <w:tabs>
          <w:tab w:val="left" w:pos="420"/>
        </w:tabs>
        <w:jc w:val="center"/>
        <w:rPr>
          <w:rFonts w:hint="default" w:ascii="Times New Roman" w:hAnsi="Times New Roman" w:cs="Times New Roman" w:eastAsiaTheme="minorEastAsia"/>
          <w:b/>
          <w:bCs/>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6142990" cy="4786630"/>
            <wp:effectExtent l="0" t="0" r="10160" b="13970"/>
            <wp:docPr id="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pic:cNvPicPr>
                      <a:picLocks noChangeAspect="1"/>
                    </pic:cNvPicPr>
                  </pic:nvPicPr>
                  <pic:blipFill>
                    <a:blip r:embed="rId31"/>
                    <a:stretch>
                      <a:fillRect/>
                    </a:stretch>
                  </pic:blipFill>
                  <pic:spPr>
                    <a:xfrm>
                      <a:off x="0" y="0"/>
                      <a:ext cx="6142990" cy="4786630"/>
                    </a:xfrm>
                    <a:prstGeom prst="rect">
                      <a:avLst/>
                    </a:prstGeom>
                    <a:noFill/>
                    <a:ln>
                      <a:noFill/>
                    </a:ln>
                  </pic:spPr>
                </pic:pic>
              </a:graphicData>
            </a:graphic>
          </wp:inline>
        </w:drawing>
      </w:r>
    </w:p>
    <w:p w14:paraId="63DA50B3">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69D78E14">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eastAsia" w:ascii="Times New Roman" w:hAnsi="Times New Roman" w:cs="Times New Roman" w:eastAsiaTheme="minorEastAsia"/>
          <w:b/>
          <w:bCs/>
          <w:color w:val="000000" w:themeColor="text1"/>
          <w:sz w:val="24"/>
          <w:lang w:eastAsia="zh-CN"/>
          <w14:textFill>
            <w14:solidFill>
              <w14:schemeClr w14:val="tx1"/>
            </w14:solidFill>
          </w14:textFill>
        </w:rPr>
        <w:t>工程总平面布置图</w:t>
      </w:r>
    </w:p>
    <w:p w14:paraId="2FFAFEE8">
      <w:pPr>
        <w:pStyle w:val="28"/>
        <w:ind w:firstLine="0" w:firstLineChars="0"/>
        <w:jc w:val="center"/>
        <w:rPr>
          <w:rFonts w:hint="default" w:ascii="Times New Roman" w:hAnsi="Times New Roman" w:cs="Times New Roman" w:eastAsiaTheme="minorEastAsia"/>
          <w:b/>
          <w:bCs/>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6804660" cy="5005705"/>
            <wp:effectExtent l="0" t="0" r="15240" b="4445"/>
            <wp:docPr id="6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4"/>
                    <pic:cNvPicPr>
                      <a:picLocks noChangeAspect="1"/>
                    </pic:cNvPicPr>
                  </pic:nvPicPr>
                  <pic:blipFill>
                    <a:blip r:embed="rId71"/>
                    <a:stretch>
                      <a:fillRect/>
                    </a:stretch>
                  </pic:blipFill>
                  <pic:spPr>
                    <a:xfrm>
                      <a:off x="0" y="0"/>
                      <a:ext cx="6804660" cy="5005705"/>
                    </a:xfrm>
                    <a:prstGeom prst="rect">
                      <a:avLst/>
                    </a:prstGeom>
                    <a:noFill/>
                    <a:ln>
                      <a:noFill/>
                    </a:ln>
                  </pic:spPr>
                </pic:pic>
              </a:graphicData>
            </a:graphic>
          </wp:inline>
        </w:drawing>
      </w:r>
    </w:p>
    <w:p w14:paraId="09388BEE">
      <w:pPr>
        <w:pStyle w:val="28"/>
        <w:ind w:firstLine="0" w:firstLineChars="0"/>
        <w:rPr>
          <w:rFonts w:hint="default" w:ascii="Times New Roman" w:hAnsi="Times New Roman" w:cs="Times New Roman" w:eastAsiaTheme="minorEastAsia"/>
          <w:b/>
          <w:bCs/>
          <w:color w:val="000000" w:themeColor="text1"/>
          <w:sz w:val="24"/>
          <w14:textFill>
            <w14:solidFill>
              <w14:schemeClr w14:val="tx1"/>
            </w14:solidFill>
          </w14:textFill>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2FB47259">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eastAsia" w:ascii="Times New Roman" w:hAnsi="Times New Roman" w:cs="Times New Roman" w:eastAsiaTheme="minorEastAsia"/>
          <w:b/>
          <w:bCs/>
          <w:color w:val="000000" w:themeColor="text1"/>
          <w:sz w:val="24"/>
          <w:lang w:eastAsia="zh-CN"/>
          <w14:textFill>
            <w14:solidFill>
              <w14:schemeClr w14:val="tx1"/>
            </w14:solidFill>
          </w14:textFill>
        </w:rPr>
        <w:t>大坝纵断面图</w:t>
      </w:r>
    </w:p>
    <w:p w14:paraId="2C450216">
      <w:pPr>
        <w:pStyle w:val="28"/>
        <w:ind w:firstLine="0" w:firstLineChars="0"/>
        <w:jc w:val="center"/>
        <w:rPr>
          <w:color w:val="000000" w:themeColor="text1"/>
          <w14:textFill>
            <w14:solidFill>
              <w14:schemeClr w14:val="tx1"/>
            </w14:solidFill>
          </w14:textFill>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r>
        <w:rPr>
          <w:color w:val="000000" w:themeColor="text1"/>
          <w14:textFill>
            <w14:solidFill>
              <w14:schemeClr w14:val="tx1"/>
            </w14:solidFill>
          </w14:textFill>
        </w:rPr>
        <w:drawing>
          <wp:inline distT="0" distB="0" distL="114300" distR="114300">
            <wp:extent cx="6492240" cy="4773930"/>
            <wp:effectExtent l="0" t="0" r="3810" b="7620"/>
            <wp:docPr id="62"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5"/>
                    <pic:cNvPicPr>
                      <a:picLocks noChangeAspect="1"/>
                    </pic:cNvPicPr>
                  </pic:nvPicPr>
                  <pic:blipFill>
                    <a:blip r:embed="rId72"/>
                    <a:stretch>
                      <a:fillRect/>
                    </a:stretch>
                  </pic:blipFill>
                  <pic:spPr>
                    <a:xfrm>
                      <a:off x="0" y="0"/>
                      <a:ext cx="6492240" cy="4773930"/>
                    </a:xfrm>
                    <a:prstGeom prst="rect">
                      <a:avLst/>
                    </a:prstGeom>
                    <a:noFill/>
                    <a:ln>
                      <a:noFill/>
                    </a:ln>
                  </pic:spPr>
                </pic:pic>
              </a:graphicData>
            </a:graphic>
          </wp:inline>
        </w:drawing>
      </w:r>
    </w:p>
    <w:p w14:paraId="23BA9793">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73600" behindDoc="0" locked="0" layoutInCell="1" allowOverlap="1">
                <wp:simplePos x="0" y="0"/>
                <wp:positionH relativeFrom="column">
                  <wp:posOffset>5377815</wp:posOffset>
                </wp:positionH>
                <wp:positionV relativeFrom="paragraph">
                  <wp:posOffset>-200025</wp:posOffset>
                </wp:positionV>
                <wp:extent cx="2943860" cy="2535555"/>
                <wp:effectExtent l="6350" t="6350" r="21590" b="1096645"/>
                <wp:wrapNone/>
                <wp:docPr id="66" name="圆角矩形标注 66"/>
                <wp:cNvGraphicFramePr/>
                <a:graphic xmlns:a="http://schemas.openxmlformats.org/drawingml/2006/main">
                  <a:graphicData uri="http://schemas.microsoft.com/office/word/2010/wordprocessingShape">
                    <wps:wsp>
                      <wps:cNvSpPr/>
                      <wps:spPr>
                        <a:xfrm>
                          <a:off x="0" y="0"/>
                          <a:ext cx="2943860" cy="2535555"/>
                        </a:xfrm>
                        <a:prstGeom prst="wedgeRoundRectCallout">
                          <a:avLst>
                            <a:gd name="adj1" fmla="val 22044"/>
                            <a:gd name="adj2" fmla="val 92399"/>
                            <a:gd name="adj3" fmla="val 16667"/>
                          </a:avLst>
                        </a:prstGeom>
                        <a:solidFill>
                          <a:schemeClr val="bg1"/>
                        </a:solid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995AAD5">
                            <w:pPr>
                              <w:rPr>
                                <w:rFonts w:hint="eastAsia"/>
                                <w:lang w:eastAsia="zh-CN"/>
                              </w:rPr>
                            </w:pPr>
                            <w:r>
                              <w:drawing>
                                <wp:inline distT="0" distB="0" distL="114300" distR="114300">
                                  <wp:extent cx="2834005" cy="2008505"/>
                                  <wp:effectExtent l="0" t="0" r="4445" b="1079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73"/>
                                          <a:stretch>
                                            <a:fillRect/>
                                          </a:stretch>
                                        </pic:blipFill>
                                        <pic:spPr>
                                          <a:xfrm>
                                            <a:off x="0" y="0"/>
                                            <a:ext cx="2834005" cy="20085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23.45pt;margin-top:-15.75pt;height:199.65pt;width:231.8pt;z-index:251673600;v-text-anchor:middle;mso-width-relative:page;mso-height-relative:page;" fillcolor="#FFFFFF [3212]" filled="t" stroked="t" coordsize="21600,21600" o:gfxdata="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" adj="15562,30758,14400">
                <v:fill on="t" focussize="0,0"/>
                <v:stroke weight="1pt" color="#FFFFFF [3212]" miterlimit="8" joinstyle="miter"/>
                <v:imagedata o:title=""/>
                <o:lock v:ext="edit" aspectratio="f"/>
                <v:textbox>
                  <w:txbxContent>
                    <w:p w14:paraId="5995AAD5">
                      <w:pPr>
                        <w:rPr>
                          <w:rFonts w:hint="eastAsia"/>
                          <w:lang w:eastAsia="zh-CN"/>
                        </w:rPr>
                      </w:pPr>
                      <w:r>
                        <w:drawing>
                          <wp:inline distT="0" distB="0" distL="114300" distR="114300">
                            <wp:extent cx="2834005" cy="2008505"/>
                            <wp:effectExtent l="0" t="0" r="4445" b="1079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73"/>
                                    <a:stretch>
                                      <a:fillRect/>
                                    </a:stretch>
                                  </pic:blipFill>
                                  <pic:spPr>
                                    <a:xfrm>
                                      <a:off x="0" y="0"/>
                                      <a:ext cx="2834005" cy="2008505"/>
                                    </a:xfrm>
                                    <a:prstGeom prst="rect">
                                      <a:avLst/>
                                    </a:prstGeom>
                                    <a:noFill/>
                                    <a:ln>
                                      <a:noFill/>
                                    </a:ln>
                                  </pic:spPr>
                                </pic:pic>
                              </a:graphicData>
                            </a:graphic>
                          </wp:inline>
                        </w:drawing>
                      </w:r>
                    </w:p>
                  </w:txbxContent>
                </v:textbox>
              </v:shape>
            </w:pict>
          </mc:Fallback>
        </mc:AlternateContent>
      </w:r>
      <w:r>
        <w:rPr>
          <w:rFonts w:hint="eastAsia" w:ascii="Times New Roman" w:hAnsi="Times New Roman" w:cs="Times New Roman" w:eastAsiaTheme="minorEastAsia"/>
          <w:b/>
          <w:bCs/>
          <w:color w:val="000000" w:themeColor="text1"/>
          <w:sz w:val="24"/>
          <w:lang w:eastAsia="zh-CN"/>
          <w14:textFill>
            <w14:solidFill>
              <w14:schemeClr w14:val="tx1"/>
            </w14:solidFill>
          </w14:textFill>
        </w:rPr>
        <w:t>施工总平面布置图</w:t>
      </w:r>
    </w:p>
    <w:p w14:paraId="04D792E7">
      <w:pPr>
        <w:pStyle w:val="28"/>
        <w:widowControl w:val="0"/>
        <w:numPr>
          <w:ilvl w:val="0"/>
          <w:numId w:val="0"/>
        </w:numPr>
        <w:tabs>
          <w:tab w:val="left" w:pos="420"/>
        </w:tabs>
        <w:jc w:val="both"/>
        <w:rPr>
          <w:rFonts w:hint="default" w:ascii="Times New Roman" w:hAnsi="Times New Roman" w:cs="Times New Roman" w:eastAsiaTheme="minorEastAsia"/>
          <w:b/>
          <w:bCs/>
          <w:color w:val="000000" w:themeColor="text1"/>
          <w:sz w:val="24"/>
          <w14:textFill>
            <w14:solidFill>
              <w14:schemeClr w14:val="tx1"/>
            </w14:solidFill>
          </w14:textFill>
        </w:rPr>
      </w:pP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72576" behindDoc="0" locked="0" layoutInCell="1" allowOverlap="1">
            <wp:simplePos x="0" y="0"/>
            <wp:positionH relativeFrom="column">
              <wp:posOffset>18415</wp:posOffset>
            </wp:positionH>
            <wp:positionV relativeFrom="paragraph">
              <wp:posOffset>24765</wp:posOffset>
            </wp:positionV>
            <wp:extent cx="359410" cy="641985"/>
            <wp:effectExtent l="0" t="0" r="2540" b="5715"/>
            <wp:wrapNone/>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24"/>
                    <a:stretch>
                      <a:fillRect/>
                    </a:stretch>
                  </pic:blipFill>
                  <pic:spPr>
                    <a:xfrm>
                      <a:off x="0" y="0"/>
                      <a:ext cx="359410" cy="641985"/>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8155940" cy="4973955"/>
            <wp:effectExtent l="0" t="0" r="16510" b="17145"/>
            <wp:docPr id="6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6"/>
                    <pic:cNvPicPr>
                      <a:picLocks noChangeAspect="1"/>
                    </pic:cNvPicPr>
                  </pic:nvPicPr>
                  <pic:blipFill>
                    <a:blip r:embed="rId74"/>
                    <a:srcRect t="14435"/>
                    <a:stretch>
                      <a:fillRect/>
                    </a:stretch>
                  </pic:blipFill>
                  <pic:spPr>
                    <a:xfrm>
                      <a:off x="0" y="0"/>
                      <a:ext cx="8155940" cy="4973955"/>
                    </a:xfrm>
                    <a:prstGeom prst="rect">
                      <a:avLst/>
                    </a:prstGeom>
                    <a:noFill/>
                    <a:ln>
                      <a:noFill/>
                    </a:ln>
                  </pic:spPr>
                </pic:pic>
              </a:graphicData>
            </a:graphic>
          </wp:inline>
        </w:drawing>
      </w:r>
    </w:p>
    <w:p w14:paraId="282D3B3B">
      <w:pPr>
        <w:pStyle w:val="28"/>
        <w:ind w:firstLine="0" w:firstLineChars="0"/>
        <w:jc w:val="center"/>
        <w:rPr>
          <w:rFonts w:hint="default"/>
          <w:color w:val="000000" w:themeColor="text1"/>
          <w14:textFill>
            <w14:solidFill>
              <w14:schemeClr w14:val="tx1"/>
            </w14:solidFill>
          </w14:textFill>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425" w:num="1"/>
          <w:docGrid w:linePitch="312" w:charSpace="0"/>
        </w:sectPr>
      </w:pPr>
    </w:p>
    <w:p w14:paraId="249190DC">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eastAsia" w:ascii="Times New Roman" w:hAnsi="Times New Roman" w:cs="Times New Roman" w:eastAsiaTheme="minorEastAsia"/>
          <w:b/>
          <w:bCs/>
          <w:color w:val="000000" w:themeColor="text1"/>
          <w:sz w:val="24"/>
          <w:lang w:eastAsia="zh-CN"/>
          <w14:textFill>
            <w14:solidFill>
              <w14:schemeClr w14:val="tx1"/>
            </w14:solidFill>
          </w14:textFill>
        </w:rPr>
        <w:t>生态环境监测布点图</w:t>
      </w:r>
    </w:p>
    <w:p w14:paraId="7D5E255F">
      <w:pPr>
        <w:pStyle w:val="28"/>
        <w:ind w:firstLine="0" w:firstLineChars="0"/>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rPr>
          <w:color w:val="000000" w:themeColor="text1"/>
          <w:sz w:val="2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3836670</wp:posOffset>
                </wp:positionH>
                <wp:positionV relativeFrom="paragraph">
                  <wp:posOffset>5837555</wp:posOffset>
                </wp:positionV>
                <wp:extent cx="148590" cy="158750"/>
                <wp:effectExtent l="17780" t="22860" r="24130" b="27940"/>
                <wp:wrapNone/>
                <wp:docPr id="72" name="五角星 72"/>
                <wp:cNvGraphicFramePr/>
                <a:graphic xmlns:a="http://schemas.openxmlformats.org/drawingml/2006/main">
                  <a:graphicData uri="http://schemas.microsoft.com/office/word/2010/wordprocessingShape">
                    <wps:wsp>
                      <wps:cNvSpPr/>
                      <wps:spPr>
                        <a:xfrm>
                          <a:off x="0" y="0"/>
                          <a:ext cx="148590" cy="1587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02.1pt;margin-top:459.65pt;height:12.5pt;width:11.7pt;z-index:251677696;v-text-anchor:middle;mso-width-relative:page;mso-height-relative:page;" fillcolor="#FF0000" filled="t" stroked="t" coordsize="148590,158750" o:gfxdata="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DIiol9oAAAALAQAADwAAAAAAAAABACAAAAAiAAAAZHJz&#10;L2Rvd25yZXYueG1sUEsBAhQAFAAAAAgAh07iQBcvnmJ0AgAA+QQAAA4AAAAAAAAAAQAgAAAAKQEA&#10;AGRycy9lMm9Eb2MueG1sUEsFBgAAAAAGAAYAWQEAAA8GAAAAAA==&#10;" path="m0,60636l56756,60637,74295,0,91833,60637,148589,60636,102672,98112,120211,158749,74295,121273,28378,158749,45917,98112xe">
                <v:path o:connectlocs="74295,0;0,60636;28378,158749;120211,158749;148589,60636" o:connectangles="247,164,82,82,0"/>
                <v:fill on="t" focussize="0,0"/>
                <v:stroke weight="1pt" color="#FF0000 [2404]"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2085975</wp:posOffset>
                </wp:positionH>
                <wp:positionV relativeFrom="paragraph">
                  <wp:posOffset>4101465</wp:posOffset>
                </wp:positionV>
                <wp:extent cx="148590" cy="158750"/>
                <wp:effectExtent l="17780" t="22860" r="24130" b="27940"/>
                <wp:wrapNone/>
                <wp:docPr id="70" name="五角星 70"/>
                <wp:cNvGraphicFramePr/>
                <a:graphic xmlns:a="http://schemas.openxmlformats.org/drawingml/2006/main">
                  <a:graphicData uri="http://schemas.microsoft.com/office/word/2010/wordprocessingShape">
                    <wps:wsp>
                      <wps:cNvSpPr/>
                      <wps:spPr>
                        <a:xfrm>
                          <a:off x="0" y="0"/>
                          <a:ext cx="148590" cy="1587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64.25pt;margin-top:322.95pt;height:12.5pt;width:11.7pt;z-index:251675648;v-text-anchor:middle;mso-width-relative:page;mso-height-relative:page;" fillcolor="#FF0000" filled="t" stroked="t" coordsize="148590,158750" o:gfxdata="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NbgR13ZAAAACwEAAA8AAAAAAAAAAQAgAAAAIgAAAGRycy9k&#10;b3ducmV2LnhtbFBLAQIUABQAAAAIAIdO4kApwhAdcwIAAPkEAAAOAAAAAAAAAAEAIAAAACgBAABk&#10;cnMvZTJvRG9jLnhtbFBLBQYAAAAABgAGAFkBAAANBgAAAAA=&#10;" path="m0,60636l56756,60637,74295,0,91833,60637,148589,60636,102672,98112,120211,158749,74295,121273,28378,158749,45917,98112xe">
                <v:path o:connectlocs="74295,0;0,60636;28378,158749;120211,158749;148589,60636" o:connectangles="247,164,82,82,0"/>
                <v:fill on="t" focussize="0,0"/>
                <v:stroke weight="1pt" color="#FF0000 [2404]"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2651125</wp:posOffset>
                </wp:positionH>
                <wp:positionV relativeFrom="paragraph">
                  <wp:posOffset>3052445</wp:posOffset>
                </wp:positionV>
                <wp:extent cx="148590" cy="158750"/>
                <wp:effectExtent l="17780" t="22860" r="24130" b="27940"/>
                <wp:wrapNone/>
                <wp:docPr id="69" name="五角星 69"/>
                <wp:cNvGraphicFramePr/>
                <a:graphic xmlns:a="http://schemas.openxmlformats.org/drawingml/2006/main">
                  <a:graphicData uri="http://schemas.microsoft.com/office/word/2010/wordprocessingShape">
                    <wps:wsp>
                      <wps:cNvSpPr/>
                      <wps:spPr>
                        <a:xfrm>
                          <a:off x="3733165" y="4138295"/>
                          <a:ext cx="148590" cy="1587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8.75pt;margin-top:240.35pt;height:12.5pt;width:11.7pt;z-index:251674624;v-text-anchor:middle;mso-width-relative:page;mso-height-relative:page;" fillcolor="#FF0000" filled="t" stroked="t" coordsize="148590,158750" o:gfxdata="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ltlli2QAAAAsBAAAPAAAAAAAA&#10;AAEAIAAAACIAAABkcnMvZG93bnJldi54bWxQSwECFAAUAAAACACHTuJAeRTedoMCAAAFBQAADgAA&#10;AAAAAAABACAAAAAoAQAAZHJzL2Uyb0RvYy54bWxQSwUGAAAAAAYABgBZAQAAHQYAAAAA&#10;" path="m0,60636l56756,60637,74295,0,91833,60637,148589,60636,102672,98112,120211,158749,74295,121273,28378,158749,45917,98112xe">
                <v:path o:connectlocs="74295,0;0,60636;28378,158749;120211,158749;148589,60636" o:connectangles="247,164,82,82,0"/>
                <v:fill on="t" focussize="0,0"/>
                <v:stroke weight="1pt" color="#FF0000 [2404]"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2480945</wp:posOffset>
                </wp:positionH>
                <wp:positionV relativeFrom="paragraph">
                  <wp:posOffset>3996690</wp:posOffset>
                </wp:positionV>
                <wp:extent cx="438785" cy="363855"/>
                <wp:effectExtent l="6350" t="6350" r="12065" b="10795"/>
                <wp:wrapNone/>
                <wp:docPr id="75" name="矩形 75"/>
                <wp:cNvGraphicFramePr/>
                <a:graphic xmlns:a="http://schemas.openxmlformats.org/drawingml/2006/main">
                  <a:graphicData uri="http://schemas.microsoft.com/office/word/2010/wordprocessingShape">
                    <wps:wsp>
                      <wps:cNvSpPr/>
                      <wps:spPr>
                        <a:xfrm>
                          <a:off x="0" y="0"/>
                          <a:ext cx="438785" cy="36385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0EE73302">
                            <w:pP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5.35pt;margin-top:314.7pt;height:28.65pt;width:34.55pt;z-index:251679744;v-text-anchor:middle;mso-width-relative:page;mso-height-relative:page;" fillcolor="#FFFFFF [3212]" filled="t" stroked="t" coordsize="21600,21600" o:gfxdata="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CVRky32gAAAAsB&#10;AAAPAAAAAAAAAAEAIAAAACIAAABkcnMvZG93bnJldi54bWxQSwECFAAUAAAACACHTuJAwOIQq4sC&#10;AAAiBQAADgAAAAAAAAABACAAAAApAQAAZHJzL2Uyb0RvYy54bWxQSwUGAAAAAAYABgBZAQAAJgYA&#10;AAAA&#10;">
                <v:fill on="t" focussize="0,0"/>
                <v:stroke weight="1pt" color="#2E54A1 [2404]" miterlimit="8" joinstyle="miter"/>
                <v:imagedata o:title=""/>
                <o:lock v:ext="edit" aspectratio="f"/>
                <v:textbox>
                  <w:txbxContent>
                    <w:p w14:paraId="0EE73302">
                      <w:pP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2774315</wp:posOffset>
                </wp:positionH>
                <wp:positionV relativeFrom="paragraph">
                  <wp:posOffset>3005455</wp:posOffset>
                </wp:positionV>
                <wp:extent cx="438785" cy="363855"/>
                <wp:effectExtent l="6350" t="6350" r="12065" b="10795"/>
                <wp:wrapNone/>
                <wp:docPr id="73" name="矩形 73"/>
                <wp:cNvGraphicFramePr/>
                <a:graphic xmlns:a="http://schemas.openxmlformats.org/drawingml/2006/main">
                  <a:graphicData uri="http://schemas.microsoft.com/office/word/2010/wordprocessingShape">
                    <wps:wsp>
                      <wps:cNvSpPr/>
                      <wps:spPr>
                        <a:xfrm>
                          <a:off x="0" y="0"/>
                          <a:ext cx="438785" cy="36385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0D99E2F2">
                            <w:pP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8.45pt;margin-top:236.65pt;height:28.65pt;width:34.55pt;z-index:251678720;v-text-anchor:middle;mso-width-relative:page;mso-height-relative:page;" fillcolor="#FFFFFF [3212]" filled="t" stroked="t" coordsize="21600,21600" o:gfxdata="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EB75RDZAAAACwEA&#10;AA8AAAAAAAAAAQAgAAAAIgAAAGRycy9kb3ducmV2LnhtbFBLAQIUABQAAAAIAIdO4kBr6xDViwIA&#10;ACIFAAAOAAAAAAAAAAEAIAAAACgBAABkcnMvZTJvRG9jLnhtbFBLBQYAAAAABgAGAFkBAAAlBgAA&#10;AAA=&#10;">
                <v:fill on="t" focussize="0,0"/>
                <v:stroke weight="1pt" color="#2E54A1 [2404]" miterlimit="8" joinstyle="miter"/>
                <v:imagedata o:title=""/>
                <o:lock v:ext="edit" aspectratio="f"/>
                <v:textbox>
                  <w:txbxContent>
                    <w:p w14:paraId="0D99E2F2">
                      <w:pPr>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3563620</wp:posOffset>
                </wp:positionH>
                <wp:positionV relativeFrom="paragraph">
                  <wp:posOffset>5287010</wp:posOffset>
                </wp:positionV>
                <wp:extent cx="1602105" cy="1094105"/>
                <wp:effectExtent l="6350" t="6350" r="10795" b="23495"/>
                <wp:wrapNone/>
                <wp:docPr id="71" name="矩形 71"/>
                <wp:cNvGraphicFramePr/>
                <a:graphic xmlns:a="http://schemas.openxmlformats.org/drawingml/2006/main">
                  <a:graphicData uri="http://schemas.microsoft.com/office/word/2010/wordprocessingShape">
                    <wps:wsp>
                      <wps:cNvSpPr/>
                      <wps:spPr>
                        <a:xfrm>
                          <a:off x="7130415" y="5170805"/>
                          <a:ext cx="1602105" cy="109410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5F2AFB7B">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4C56BD12">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地表水</w:t>
                            </w:r>
                            <w:r>
                              <w:rPr>
                                <w:rFonts w:hint="eastAsia"/>
                                <w:color w:val="000000" w:themeColor="text1"/>
                                <w:lang w:eastAsia="zh-CN"/>
                                <w14:textFill>
                                  <w14:solidFill>
                                    <w14:schemeClr w14:val="tx1"/>
                                  </w14:solidFill>
                                </w14:textFill>
                              </w:rPr>
                              <w:t>监测点位</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0.6pt;margin-top:416.3pt;height:86.15pt;width:126.15pt;z-index:251676672;v-text-anchor:middle;mso-width-relative:page;mso-height-relative:page;" fillcolor="#FFFFFF [3212]" filled="t" stroked="t" coordsize="21600,21600" o:gfxdata="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JpwyQnaAAAADAEAAA8AAAAAAAAAAQAgAAAAIgAAAGRycy9kb3ducmV2LnhtbFBLAQIUABQAAAAI&#10;AIdO4kAUltNilgIAADAFAAAOAAAAAAAAAAEAIAAAACkBAABkcnMvZTJvRG9jLnhtbFBLBQYAAAAA&#10;BgAGAFkBAAAxBgAAAAA=&#10;">
                <v:fill on="t" focussize="0,0"/>
                <v:stroke weight="1pt" color="#2E54A1 [2404]" miterlimit="8" joinstyle="miter"/>
                <v:imagedata o:title=""/>
                <o:lock v:ext="edit" aspectratio="f"/>
                <v:textbox>
                  <w:txbxContent>
                    <w:p w14:paraId="5F2AFB7B">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4C56BD12">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地表水</w:t>
                      </w:r>
                      <w:r>
                        <w:rPr>
                          <w:rFonts w:hint="eastAsia"/>
                          <w:color w:val="000000" w:themeColor="text1"/>
                          <w:lang w:eastAsia="zh-CN"/>
                          <w14:textFill>
                            <w14:solidFill>
                              <w14:schemeClr w14:val="tx1"/>
                            </w14:solidFill>
                          </w14:textFill>
                        </w:rPr>
                        <w:t>监测点位</w:t>
                      </w:r>
                    </w:p>
                  </w:txbxContent>
                </v:textbox>
              </v:rect>
            </w:pict>
          </mc:Fallback>
        </mc:AlternateContent>
      </w:r>
      <w:r>
        <w:rPr>
          <w:color w:val="000000" w:themeColor="text1"/>
          <w14:textFill>
            <w14:solidFill>
              <w14:schemeClr w14:val="tx1"/>
            </w14:solidFill>
          </w14:textFill>
        </w:rPr>
        <w:drawing>
          <wp:inline distT="0" distB="0" distL="114300" distR="114300">
            <wp:extent cx="5269230" cy="7090410"/>
            <wp:effectExtent l="0" t="0" r="7620" b="15240"/>
            <wp:docPr id="6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8"/>
                    <pic:cNvPicPr>
                      <a:picLocks noChangeAspect="1"/>
                    </pic:cNvPicPr>
                  </pic:nvPicPr>
                  <pic:blipFill>
                    <a:blip r:embed="rId75"/>
                    <a:stretch>
                      <a:fillRect/>
                    </a:stretch>
                  </pic:blipFill>
                  <pic:spPr>
                    <a:xfrm>
                      <a:off x="0" y="0"/>
                      <a:ext cx="5269230" cy="7090410"/>
                    </a:xfrm>
                    <a:prstGeom prst="rect">
                      <a:avLst/>
                    </a:prstGeom>
                    <a:noFill/>
                    <a:ln>
                      <a:noFill/>
                    </a:ln>
                  </pic:spPr>
                </pic:pic>
              </a:graphicData>
            </a:graphic>
          </wp:inline>
        </w:drawing>
      </w:r>
    </w:p>
    <w:p w14:paraId="1B105D6B">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eastAsia" w:ascii="Times New Roman" w:hAnsi="Times New Roman" w:cs="Times New Roman" w:eastAsiaTheme="minorEastAsia"/>
          <w:b/>
          <w:bCs/>
          <w:color w:val="000000" w:themeColor="text1"/>
          <w:sz w:val="24"/>
          <w:lang w:eastAsia="zh-CN"/>
          <w14:textFill>
            <w14:solidFill>
              <w14:schemeClr w14:val="tx1"/>
            </w14:solidFill>
          </w14:textFill>
        </w:rPr>
        <w:t>主要生态环境保护措施设计图</w:t>
      </w:r>
    </w:p>
    <w:p w14:paraId="76A87334">
      <w:pPr>
        <w:spacing w:line="360" w:lineRule="auto"/>
        <w:rPr>
          <w:rFonts w:hint="default" w:ascii="Times New Roman" w:hAnsi="Times New Roman" w:cs="Times New Roman" w:eastAsiaTheme="minorEastAsia"/>
          <w:color w:val="000000" w:themeColor="text1"/>
          <w:sz w:val="24"/>
          <w:highlight w:val="none"/>
          <w:lang w:eastAsia="zh-CN"/>
          <w14:textFill>
            <w14:solidFill>
              <w14:schemeClr w14:val="tx1"/>
            </w14:solidFill>
          </w14:textFill>
        </w:rPr>
      </w:pP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3150235</wp:posOffset>
                </wp:positionH>
                <wp:positionV relativeFrom="paragraph">
                  <wp:posOffset>2498090</wp:posOffset>
                </wp:positionV>
                <wp:extent cx="1076325" cy="704215"/>
                <wp:effectExtent l="271780" t="6350" r="23495" b="13335"/>
                <wp:wrapNone/>
                <wp:docPr id="87" name="圆角矩形标注 87"/>
                <wp:cNvGraphicFramePr/>
                <a:graphic xmlns:a="http://schemas.openxmlformats.org/drawingml/2006/main">
                  <a:graphicData uri="http://schemas.microsoft.com/office/word/2010/wordprocessingShape">
                    <wps:wsp>
                      <wps:cNvSpPr/>
                      <wps:spPr>
                        <a:xfrm>
                          <a:off x="0" y="0"/>
                          <a:ext cx="1076325" cy="704215"/>
                        </a:xfrm>
                        <a:prstGeom prst="wedgeRoundRectCallout">
                          <a:avLst>
                            <a:gd name="adj1" fmla="val -73421"/>
                            <a:gd name="adj2" fmla="val -29260"/>
                            <a:gd name="adj3" fmla="val 16667"/>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BA43E5E">
                            <w:pPr>
                              <w:jc w:val="left"/>
                              <w:rPr>
                                <w:rFonts w:hint="eastAsia" w:eastAsia="宋体"/>
                                <w:b/>
                                <w:bCs/>
                                <w:lang w:eastAsia="zh-CN"/>
                              </w:rPr>
                            </w:pPr>
                            <w:r>
                              <w:rPr>
                                <w:rFonts w:hint="eastAsia" w:eastAsia="宋体"/>
                                <w:b/>
                                <w:bCs/>
                                <w:lang w:eastAsia="zh-CN"/>
                              </w:rPr>
                              <w:t>设置沉淀池，生产废水沉淀后回用于生产</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48.05pt;margin-top:196.7pt;height:55.45pt;width:84.75pt;z-index:251688960;v-text-anchor:middle;mso-width-relative:page;mso-height-relative:page;" filled="f" stroked="t" coordsize="21600,21600" o:gfxdata="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" adj="-5059,4480,14400">
                <v:fill on="f" focussize="0,0"/>
                <v:stroke weight="1pt" color="#FFFFFF [3212]" miterlimit="8" joinstyle="miter"/>
                <v:imagedata o:title=""/>
                <o:lock v:ext="edit" aspectratio="f"/>
                <v:textbox>
                  <w:txbxContent>
                    <w:p w14:paraId="2BA43E5E">
                      <w:pPr>
                        <w:jc w:val="left"/>
                        <w:rPr>
                          <w:rFonts w:hint="eastAsia" w:eastAsia="宋体"/>
                          <w:b/>
                          <w:bCs/>
                          <w:lang w:eastAsia="zh-CN"/>
                        </w:rPr>
                      </w:pPr>
                      <w:r>
                        <w:rPr>
                          <w:rFonts w:hint="eastAsia" w:eastAsia="宋体"/>
                          <w:b/>
                          <w:bCs/>
                          <w:lang w:eastAsia="zh-CN"/>
                        </w:rPr>
                        <w:t>设置沉淀池，生产废水沉淀后回用于生产</w:t>
                      </w:r>
                    </w:p>
                  </w:txbxContent>
                </v:textbox>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2245995</wp:posOffset>
                </wp:positionH>
                <wp:positionV relativeFrom="paragraph">
                  <wp:posOffset>631190</wp:posOffset>
                </wp:positionV>
                <wp:extent cx="1076325" cy="704215"/>
                <wp:effectExtent l="6350" t="6350" r="22225" b="394335"/>
                <wp:wrapNone/>
                <wp:docPr id="78" name="圆角矩形标注 78"/>
                <wp:cNvGraphicFramePr/>
                <a:graphic xmlns:a="http://schemas.openxmlformats.org/drawingml/2006/main">
                  <a:graphicData uri="http://schemas.microsoft.com/office/word/2010/wordprocessingShape">
                    <wps:wsp>
                      <wps:cNvSpPr/>
                      <wps:spPr>
                        <a:xfrm>
                          <a:off x="0" y="0"/>
                          <a:ext cx="1076325" cy="704215"/>
                        </a:xfrm>
                        <a:prstGeom prst="wedgeRoundRectCallout">
                          <a:avLst>
                            <a:gd name="adj1" fmla="val -29174"/>
                            <a:gd name="adj2" fmla="val 103020"/>
                            <a:gd name="adj3" fmla="val 16667"/>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3F85B1F">
                            <w:pPr>
                              <w:jc w:val="left"/>
                              <w:rPr>
                                <w:rFonts w:hint="eastAsia" w:eastAsia="宋体"/>
                                <w:b/>
                                <w:bCs/>
                                <w:lang w:eastAsia="zh-CN"/>
                              </w:rPr>
                            </w:pPr>
                            <w:r>
                              <w:rPr>
                                <w:rFonts w:hint="eastAsia" w:eastAsia="宋体"/>
                                <w:b/>
                                <w:bCs/>
                                <w:lang w:eastAsia="zh-CN"/>
                              </w:rPr>
                              <w:t>土方暂存定期洒水，苫布覆盖</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76.85pt;margin-top:49.7pt;height:55.45pt;width:84.75pt;z-index:251687936;v-text-anchor:middle;mso-width-relative:page;mso-height-relative:page;" filled="f" stroked="t" coordsize="21600,21600" o:gfxdata="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" adj="4498,33052,14400">
                <v:fill on="f" focussize="0,0"/>
                <v:stroke weight="1pt" color="#FFFFFF [3212]" miterlimit="8" joinstyle="miter"/>
                <v:imagedata o:title=""/>
                <o:lock v:ext="edit" aspectratio="f"/>
                <v:textbox>
                  <w:txbxContent>
                    <w:p w14:paraId="53F85B1F">
                      <w:pPr>
                        <w:jc w:val="left"/>
                        <w:rPr>
                          <w:rFonts w:hint="eastAsia" w:eastAsia="宋体"/>
                          <w:b/>
                          <w:bCs/>
                          <w:lang w:eastAsia="zh-CN"/>
                        </w:rPr>
                      </w:pPr>
                      <w:r>
                        <w:rPr>
                          <w:rFonts w:hint="eastAsia" w:eastAsia="宋体"/>
                          <w:b/>
                          <w:bCs/>
                          <w:lang w:eastAsia="zh-CN"/>
                        </w:rPr>
                        <w:t>土方暂存定期洒水，苫布覆盖</w:t>
                      </w:r>
                    </w:p>
                  </w:txbxContent>
                </v:textbox>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320040</wp:posOffset>
                </wp:positionH>
                <wp:positionV relativeFrom="paragraph">
                  <wp:posOffset>1916430</wp:posOffset>
                </wp:positionV>
                <wp:extent cx="1144905" cy="545465"/>
                <wp:effectExtent l="6350" t="6350" r="10795" b="419735"/>
                <wp:wrapNone/>
                <wp:docPr id="84" name="圆角矩形标注 84"/>
                <wp:cNvGraphicFramePr/>
                <a:graphic xmlns:a="http://schemas.openxmlformats.org/drawingml/2006/main">
                  <a:graphicData uri="http://schemas.microsoft.com/office/word/2010/wordprocessingShape">
                    <wps:wsp>
                      <wps:cNvSpPr/>
                      <wps:spPr>
                        <a:xfrm>
                          <a:off x="2235835" y="3088005"/>
                          <a:ext cx="1144905" cy="545465"/>
                        </a:xfrm>
                        <a:prstGeom prst="wedgeRoundRectCallout">
                          <a:avLst>
                            <a:gd name="adj1" fmla="val 18875"/>
                            <a:gd name="adj2" fmla="val 121198"/>
                            <a:gd name="adj3" fmla="val 16667"/>
                          </a:avLst>
                        </a:prstGeom>
                        <a:noFill/>
                        <a:ln>
                          <a:solidFill>
                            <a:schemeClr val="bg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A93673D">
                            <w:pPr>
                              <w:jc w:val="left"/>
                              <w:rPr>
                                <w:rFonts w:hint="eastAsia" w:eastAsia="宋体"/>
                                <w:b/>
                                <w:bCs/>
                                <w:lang w:eastAsia="zh-CN"/>
                              </w:rPr>
                            </w:pPr>
                            <w:r>
                              <w:rPr>
                                <w:rFonts w:hint="eastAsia"/>
                                <w:b/>
                                <w:bCs/>
                                <w:lang w:eastAsia="zh-CN"/>
                              </w:rPr>
                              <w:t>办公生活区设置防渗旱厕</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2pt;margin-top:150.9pt;height:42.95pt;width:90.15pt;z-index:251683840;v-text-anchor:middle;mso-width-relative:page;mso-height-relative:page;" filled="f" stroked="t" coordsize="21600,21600" o:gfxdata="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AfdX5k&#10;1gAAAAoBAAAPAAAAAAAAAAEAIAAAACIAAABkcnMvZG93bnJldi54bWxQSwECFAAUAAAACACHTuJA&#10;9Yw6is4CAAB3BQAADgAAAAAAAAABACAAAAAlAQAAZHJzL2Uyb0RvYy54bWxQSwUGAAAAAAYABgBZ&#10;AQAAZQYAAAAA&#10;" adj="14877,36979,14400">
                <v:fill on="f" focussize="0,0"/>
                <v:stroke weight="1pt" color="#FFFFFF [3212]" miterlimit="8" joinstyle="miter"/>
                <v:imagedata o:title=""/>
                <o:lock v:ext="edit" aspectratio="f"/>
                <v:textbox>
                  <w:txbxContent>
                    <w:p w14:paraId="2A93673D">
                      <w:pPr>
                        <w:jc w:val="left"/>
                        <w:rPr>
                          <w:rFonts w:hint="eastAsia" w:eastAsia="宋体"/>
                          <w:b/>
                          <w:bCs/>
                          <w:lang w:eastAsia="zh-CN"/>
                        </w:rPr>
                      </w:pPr>
                      <w:r>
                        <w:rPr>
                          <w:rFonts w:hint="eastAsia"/>
                          <w:b/>
                          <w:bCs/>
                          <w:lang w:eastAsia="zh-CN"/>
                        </w:rPr>
                        <w:t>办公生活区设置防渗旱厕</w:t>
                      </w:r>
                    </w:p>
                  </w:txbxContent>
                </v:textbox>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2379345</wp:posOffset>
                </wp:positionH>
                <wp:positionV relativeFrom="paragraph">
                  <wp:posOffset>1729740</wp:posOffset>
                </wp:positionV>
                <wp:extent cx="222250" cy="257810"/>
                <wp:effectExtent l="49530" t="38100" r="52070" b="46990"/>
                <wp:wrapNone/>
                <wp:docPr id="79" name="矩形 79"/>
                <wp:cNvGraphicFramePr/>
                <a:graphic xmlns:a="http://schemas.openxmlformats.org/drawingml/2006/main">
                  <a:graphicData uri="http://schemas.microsoft.com/office/word/2010/wordprocessingShape">
                    <wps:wsp>
                      <wps:cNvSpPr/>
                      <wps:spPr>
                        <a:xfrm rot="19800000">
                          <a:off x="0" y="0"/>
                          <a:ext cx="222250" cy="257810"/>
                        </a:xfrm>
                        <a:prstGeom prst="rect">
                          <a:avLst/>
                        </a:prstGeom>
                        <a:solidFill>
                          <a:schemeClr val="accent3">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35pt;margin-top:136.2pt;height:20.3pt;width:17.5pt;rotation:-1966080f;z-index:251686912;v-text-anchor:middle;mso-width-relative:page;mso-height-relative:page;" fillcolor="#FED961 [1942]" filled="t" stroked="f" coordsize="21600,21600" o:gfxdata="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HVG1C7aAAAACwEA&#10;AA8AAAAAAAAAAQAgAAAAIgAAAGRycy9kb3ducmV2LnhtbFBLAQIUABQAAAAIAIdO4kAXRfkQigIA&#10;ABQFAAAOAAAAAAAAAAEAIAAAACkBAABkcnMvZTJvRG9jLnhtbFBLBQYAAAAABgAGAFkBAAAlBgAA&#10;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2428875</wp:posOffset>
                </wp:positionH>
                <wp:positionV relativeFrom="paragraph">
                  <wp:posOffset>2109470</wp:posOffset>
                </wp:positionV>
                <wp:extent cx="452120" cy="622935"/>
                <wp:effectExtent l="125730" t="71120" r="127000" b="86995"/>
                <wp:wrapNone/>
                <wp:docPr id="80" name="矩形 80"/>
                <wp:cNvGraphicFramePr/>
                <a:graphic xmlns:a="http://schemas.openxmlformats.org/drawingml/2006/main">
                  <a:graphicData uri="http://schemas.microsoft.com/office/word/2010/wordprocessingShape">
                    <wps:wsp>
                      <wps:cNvSpPr/>
                      <wps:spPr>
                        <a:xfrm rot="19800000">
                          <a:off x="3846195" y="2957830"/>
                          <a:ext cx="452120" cy="622935"/>
                        </a:xfrm>
                        <a:prstGeom prst="rect">
                          <a:avLst/>
                        </a:prstGeom>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1.25pt;margin-top:166.1pt;height:49.05pt;width:35.6pt;rotation:-1966080f;z-index:251684864;v-text-anchor:middle;mso-width-relative:page;mso-height-relative:page;" fillcolor="#4874CB [3204]" filled="t" stroked="f" coordsize="21600,21600" o:gfxdata="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OpeWS9YAAAALAQAADwAAAAAAAAABACAA&#10;AAAiAAAAZHJzL2Rvd25yZXYueG1sUEsBAhQAFAAAAAgAh07iQLfW6yeBAgAA5wQAAA4AAAAAAAAA&#10;AQAgAAAAJQEAAGRycy9lMm9Eb2MueG1sUEsFBgAAAAAGAAYAWQEAABg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2928620</wp:posOffset>
                </wp:positionH>
                <wp:positionV relativeFrom="paragraph">
                  <wp:posOffset>1889125</wp:posOffset>
                </wp:positionV>
                <wp:extent cx="238125" cy="622935"/>
                <wp:effectExtent l="139700" t="17780" r="155575" b="26035"/>
                <wp:wrapNone/>
                <wp:docPr id="81" name="矩形 81"/>
                <wp:cNvGraphicFramePr/>
                <a:graphic xmlns:a="http://schemas.openxmlformats.org/drawingml/2006/main">
                  <a:graphicData uri="http://schemas.microsoft.com/office/word/2010/wordprocessingShape">
                    <wps:wsp>
                      <wps:cNvSpPr/>
                      <wps:spPr>
                        <a:xfrm rot="19800000">
                          <a:off x="0" y="0"/>
                          <a:ext cx="238125" cy="622935"/>
                        </a:xfrm>
                        <a:prstGeom prst="rect">
                          <a:avLst/>
                        </a:prstGeom>
                        <a:solidFill>
                          <a:schemeClr val="accent4">
                            <a:lumMod val="60000"/>
                            <a:lumOff val="4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0.6pt;margin-top:148.75pt;height:49.05pt;width:18.75pt;rotation:-1966080f;z-index:251685888;v-text-anchor:middle;mso-width-relative:page;mso-height-relative:page;" fillcolor="#ACD78E [1943]" filled="t" stroked="f" coordsize="21600,21600" o:gfxdata="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59m6DNkA&#10;AAALAQAADwAAAAAAAAABACAAAAAiAAAAZHJzL2Rvd25yZXYueG1sUEsBAhQAFAAAAAgAh07iQGsL&#10;kcKQAgAAFAUAAA4AAAAAAAAAAQAgAAAAKAEAAGRycy9lMm9Eb2MueG1sUEsFBgAAAAAGAAYAWQEA&#10;ACoGAAAAAA==&#10;">
                <v:fill on="t" focussize="0,0"/>
                <v:stroke on="f" weight="1pt" miterlimit="8" joinstyle="miter"/>
                <v:imagedata o:title=""/>
                <o:lock v:ext="edit" aspectratio="f"/>
              </v:rect>
            </w:pict>
          </mc:Fallback>
        </mc:AlternateContent>
      </w: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82816" behindDoc="0" locked="0" layoutInCell="1" allowOverlap="1">
            <wp:simplePos x="0" y="0"/>
            <wp:positionH relativeFrom="column">
              <wp:posOffset>4347845</wp:posOffset>
            </wp:positionH>
            <wp:positionV relativeFrom="paragraph">
              <wp:posOffset>31750</wp:posOffset>
            </wp:positionV>
            <wp:extent cx="359410" cy="641985"/>
            <wp:effectExtent l="0" t="0" r="2540" b="5715"/>
            <wp:wrapNone/>
            <wp:docPr id="8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1"/>
                    <pic:cNvPicPr>
                      <a:picLocks noChangeAspect="1"/>
                    </pic:cNvPicPr>
                  </pic:nvPicPr>
                  <pic:blipFill>
                    <a:blip r:embed="rId24"/>
                    <a:stretch>
                      <a:fillRect/>
                    </a:stretch>
                  </pic:blipFill>
                  <pic:spPr>
                    <a:xfrm>
                      <a:off x="0" y="0"/>
                      <a:ext cx="359410" cy="641985"/>
                    </a:xfrm>
                    <a:prstGeom prst="rect">
                      <a:avLst/>
                    </a:prstGeom>
                    <a:noFill/>
                    <a:ln>
                      <a:noFill/>
                    </a:ln>
                  </pic:spPr>
                </pic:pic>
              </a:graphicData>
            </a:graphic>
          </wp:anchor>
        </w:drawing>
      </w:r>
      <w:r>
        <w:rPr>
          <w:rFonts w:hint="default" w:ascii="Times New Roman" w:hAnsi="Times New Roman" w:cs="Times New Roman"/>
          <w:color w:val="000000" w:themeColor="text1"/>
          <w14:textFill>
            <w14:solidFill>
              <w14:schemeClr w14:val="tx1"/>
            </w14:solidFill>
          </w14:textFill>
        </w:rPr>
        <w:drawing>
          <wp:inline distT="0" distB="0" distL="114300" distR="114300">
            <wp:extent cx="4762500" cy="3479165"/>
            <wp:effectExtent l="0" t="0" r="0" b="698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5"/>
                    <a:stretch>
                      <a:fillRect/>
                    </a:stretch>
                  </pic:blipFill>
                  <pic:spPr>
                    <a:xfrm>
                      <a:off x="0" y="0"/>
                      <a:ext cx="4762500" cy="3479165"/>
                    </a:xfrm>
                    <a:prstGeom prst="rect">
                      <a:avLst/>
                    </a:prstGeom>
                    <a:noFill/>
                    <a:ln>
                      <a:noFill/>
                    </a:ln>
                  </pic:spPr>
                </pic:pic>
              </a:graphicData>
            </a:graphic>
          </wp:inline>
        </w:drawing>
      </w:r>
    </w:p>
    <w:p w14:paraId="6DE4F96E">
      <w:pPr>
        <w:pStyle w:val="28"/>
        <w:widowControl w:val="0"/>
        <w:numPr>
          <w:ilvl w:val="0"/>
          <w:numId w:val="0"/>
        </w:numPr>
        <w:tabs>
          <w:tab w:val="left" w:pos="420"/>
        </w:tabs>
        <w:jc w:val="both"/>
        <w:rPr>
          <w:rFonts w:hint="default" w:ascii="Times New Roman" w:hAnsi="Times New Roman" w:cs="Times New Roman" w:eastAsiaTheme="minorEastAsia"/>
          <w:b/>
          <w:bCs/>
          <w:color w:val="000000" w:themeColor="text1"/>
          <w:sz w:val="24"/>
          <w:lang w:eastAsia="zh-CN"/>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6BF426C7">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14:textFill>
            <w14:solidFill>
              <w14:schemeClr w14:val="tx1"/>
            </w14:solidFill>
          </w14:textFill>
        </w:rPr>
      </w:pPr>
      <w:r>
        <w:rPr>
          <w:rFonts w:hint="eastAsia"/>
          <w:b/>
          <w:color w:val="000000" w:themeColor="text1"/>
          <w:szCs w:val="24"/>
          <w:highlight w:val="none"/>
          <w:lang w:val="en-US" w:eastAsia="zh-CN"/>
          <w14:textFill>
            <w14:solidFill>
              <w14:schemeClr w14:val="tx1"/>
            </w14:solidFill>
          </w14:textFill>
        </w:rPr>
        <w:t xml:space="preserve"> </w:t>
      </w:r>
      <w:r>
        <w:rPr>
          <w:rFonts w:hint="eastAsia"/>
          <w:b/>
          <w:color w:val="000000" w:themeColor="text1"/>
          <w:sz w:val="24"/>
          <w:szCs w:val="32"/>
          <w:highlight w:val="none"/>
          <w:lang w:val="en-US" w:eastAsia="zh-CN"/>
          <w14:textFill>
            <w14:solidFill>
              <w14:schemeClr w14:val="tx1"/>
            </w14:solidFill>
          </w14:textFill>
        </w:rPr>
        <w:t>周围环境评价范围分布图</w:t>
      </w:r>
    </w:p>
    <w:p w14:paraId="52F2D97F">
      <w:pPr>
        <w:pStyle w:val="28"/>
        <w:widowControl w:val="0"/>
        <w:numPr>
          <w:ilvl w:val="0"/>
          <w:numId w:val="0"/>
        </w:numPr>
        <w:tabs>
          <w:tab w:val="left" w:pos="420"/>
        </w:tabs>
        <w:jc w:val="both"/>
        <w:rPr>
          <w:rFonts w:hint="default" w:ascii="Times New Roman" w:hAnsi="Times New Roman" w:cs="Times New Roman" w:eastAsiaTheme="minorEastAsia"/>
          <w:b/>
          <w:bCs/>
          <w:color w:val="000000" w:themeColor="text1"/>
          <w:sz w:val="24"/>
          <w:lang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5274310" cy="5386070"/>
            <wp:effectExtent l="0" t="0" r="2540" b="5080"/>
            <wp:docPr id="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
                    <pic:cNvPicPr>
                      <a:picLocks noChangeAspect="1"/>
                    </pic:cNvPicPr>
                  </pic:nvPicPr>
                  <pic:blipFill>
                    <a:blip r:embed="rId76"/>
                    <a:stretch>
                      <a:fillRect/>
                    </a:stretch>
                  </pic:blipFill>
                  <pic:spPr>
                    <a:xfrm>
                      <a:off x="0" y="0"/>
                      <a:ext cx="5274310" cy="5386070"/>
                    </a:xfrm>
                    <a:prstGeom prst="rect">
                      <a:avLst/>
                    </a:prstGeom>
                    <a:noFill/>
                    <a:ln>
                      <a:noFill/>
                    </a:ln>
                  </pic:spPr>
                </pic:pic>
              </a:graphicData>
            </a:graphic>
          </wp:inline>
        </w:drawing>
      </w:r>
      <w:r>
        <w:rPr>
          <w:color w:val="000000" w:themeColor="text1"/>
          <w:sz w:val="21"/>
          <w14:textFill>
            <w14:solidFill>
              <w14:schemeClr w14:val="tx1"/>
            </w14:solidFill>
          </w14:textFill>
        </w:rPr>
        <mc:AlternateContent>
          <mc:Choice Requires="wpg">
            <w:drawing>
              <wp:anchor distT="0" distB="0" distL="114300" distR="114300" simplePos="0" relativeHeight="251697152" behindDoc="0" locked="0" layoutInCell="1" allowOverlap="1">
                <wp:simplePos x="0" y="0"/>
                <wp:positionH relativeFrom="column">
                  <wp:posOffset>65405</wp:posOffset>
                </wp:positionH>
                <wp:positionV relativeFrom="paragraph">
                  <wp:posOffset>3910330</wp:posOffset>
                </wp:positionV>
                <wp:extent cx="1601470" cy="1109980"/>
                <wp:effectExtent l="6350" t="6350" r="11430" b="7620"/>
                <wp:wrapNone/>
                <wp:docPr id="105" name="组合 105"/>
                <wp:cNvGraphicFramePr/>
                <a:graphic xmlns:a="http://schemas.openxmlformats.org/drawingml/2006/main">
                  <a:graphicData uri="http://schemas.microsoft.com/office/word/2010/wordprocessingGroup">
                    <wpg:wgp>
                      <wpg:cNvGrpSpPr/>
                      <wpg:grpSpPr>
                        <a:xfrm>
                          <a:off x="0" y="0"/>
                          <a:ext cx="1601470" cy="1109980"/>
                          <a:chOff x="2186" y="1834925"/>
                          <a:chExt cx="2522" cy="1748"/>
                        </a:xfrm>
                      </wpg:grpSpPr>
                      <wps:wsp>
                        <wps:cNvPr id="56" name="矩形 56"/>
                        <wps:cNvSpPr/>
                        <wps:spPr>
                          <a:xfrm>
                            <a:off x="2186" y="1834925"/>
                            <a:ext cx="2523" cy="1749"/>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5A85C97F">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460826BB">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p w14:paraId="28FCDCAE">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声环境评价范围</w:t>
                              </w:r>
                            </w:p>
                            <w:p w14:paraId="3F522F74">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大气环境评价范围</w:t>
                              </w:r>
                            </w:p>
                            <w:p w14:paraId="342C7E3D">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地表水评价范围，</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8" name="矩形 88"/>
                        <wps:cNvSpPr/>
                        <wps:spPr>
                          <a:xfrm>
                            <a:off x="2332" y="1835445"/>
                            <a:ext cx="314" cy="15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9" name="矩形 89"/>
                        <wps:cNvSpPr/>
                        <wps:spPr>
                          <a:xfrm>
                            <a:off x="2341" y="1835712"/>
                            <a:ext cx="314" cy="150"/>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90" name="矩形 90"/>
                        <wps:cNvSpPr/>
                        <wps:spPr>
                          <a:xfrm>
                            <a:off x="2363" y="1835993"/>
                            <a:ext cx="314" cy="150"/>
                          </a:xfrm>
                          <a:prstGeom prst="rect">
                            <a:avLst/>
                          </a:prstGeom>
                          <a:solidFill>
                            <a:srgbClr val="92D050"/>
                          </a:solid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04" name="矩形 104"/>
                        <wps:cNvSpPr/>
                        <wps:spPr>
                          <a:xfrm>
                            <a:off x="2371" y="1836260"/>
                            <a:ext cx="314" cy="150"/>
                          </a:xfrm>
                          <a:prstGeom prst="rect">
                            <a:avLst/>
                          </a:prstGeom>
                          <a:solidFill>
                            <a:srgbClr val="8DC4E1"/>
                          </a:solidFill>
                          <a:ln>
                            <a:solidFill>
                              <a:srgbClr val="80BDDD"/>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15pt;margin-top:307.9pt;height:87.4pt;width:126.1pt;z-index:251697152;mso-width-relative:page;mso-height-relative:page;" coordorigin="2186,1834925" coordsize="2522,1748" o:gfxdata="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">
                <o:lock v:ext="edit" aspectratio="f"/>
                <v:rect id="_x0000_s1026" o:spid="_x0000_s1026" o:spt="1" style="position:absolute;left:2186;top:1834925;height:1749;width:2523;v-text-anchor:middle;" fillcolor="#FFFFFF [3212]" filled="t" stroked="t" coordsize="21600,21600" o:gfxdata="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4Kq9u8AAAA&#10;2wAAAA8AAAAAAAAAAQAgAAAAIgAAAGRycy9kb3ducmV2LnhtbFBLAQIUABQAAAAIAIdO4kAzLwWe&#10;OwAAADkAAAAQAAAAAAAAAAEAIAAAAAsBAABkcnMvc2hhcGV4bWwueG1sUEsFBgAAAAAGAAYAWwEA&#10;ALUDAAAAAA==&#10;">
                  <v:fill on="t" focussize="0,0"/>
                  <v:stroke weight="1pt" color="#2E54A1 [2404]" miterlimit="8" joinstyle="miter"/>
                  <v:imagedata o:title=""/>
                  <o:lock v:ext="edit" aspectratio="f"/>
                  <v:textbox>
                    <w:txbxContent>
                      <w:p w14:paraId="5A85C97F">
                        <w:pPr>
                          <w:keepNext w:val="0"/>
                          <w:keepLines w:val="0"/>
                          <w:pageBreakBefore w:val="0"/>
                          <w:widowControl w:val="0"/>
                          <w:kinsoku/>
                          <w:wordWrap/>
                          <w:overflowPunct/>
                          <w:topLinePunct w:val="0"/>
                          <w:bidi w:val="0"/>
                          <w:adjustRightInd/>
                          <w:snapToGrid/>
                          <w:spacing w:line="24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460826BB">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项目位置</w:t>
                        </w:r>
                      </w:p>
                      <w:p w14:paraId="28FCDCAE">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声环境评价范围</w:t>
                        </w:r>
                      </w:p>
                      <w:p w14:paraId="3F522F74">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大气环境评价范围</w:t>
                        </w:r>
                      </w:p>
                      <w:p w14:paraId="342C7E3D">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地表水评价范围，</w:t>
                        </w:r>
                      </w:p>
                    </w:txbxContent>
                  </v:textbox>
                </v:rect>
                <v:rect id="_x0000_s1026" o:spid="_x0000_s1026" o:spt="1" style="position:absolute;left:2332;top:1835445;height:150;width:314;v-text-anchor:middle;" fillcolor="#4874CB [3204]" filled="t" stroked="t" coordsize="21600,21600" o:gfxdata="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oXdfu8AAAA&#10;2wAAAA8AAAAAAAAAAQAgAAAAIgAAAGRycy9kb3ducmV2LnhtbFBLAQIUABQAAAAIAIdO4kAzLwWe&#10;OwAAADkAAAAQAAAAAAAAAAEAIAAAAAsBAABkcnMvc2hhcGV4bWwueG1sUEsFBgAAAAAGAAYAWwEA&#10;ALUDAAAAAA==&#10;">
                  <v:fill on="t" focussize="0,0"/>
                  <v:stroke weight="1pt" color="#2E54A1 [2404]" miterlimit="8" joinstyle="miter"/>
                  <v:imagedata o:title=""/>
                  <o:lock v:ext="edit" aspectratio="f"/>
                </v:rect>
                <v:rect id="_x0000_s1026" o:spid="_x0000_s1026" o:spt="1" style="position:absolute;left:2341;top:1835712;height:150;width:314;v-text-anchor:middle;" fillcolor="#FF0000" filled="t" stroked="t" coordsize="21600,21600" o:gfxdata="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ao+0q8AAAA&#10;2wAAAA8AAAAAAAAAAQAgAAAAIgAAAGRycy9kb3ducmV2LnhtbFBLAQIUABQAAAAIAIdO4kAzLwWe&#10;OwAAADkAAAAQAAAAAAAAAAEAIAAAAAsBAABkcnMvc2hhcGV4bWwueG1sUEsFBgAAAAAGAAYAWwEA&#10;ALUDAAAAAA==&#10;">
                  <v:fill on="t" focussize="0,0"/>
                  <v:stroke weight="1pt" color="#FF0000 [2404]" miterlimit="8" joinstyle="miter"/>
                  <v:imagedata o:title=""/>
                  <o:lock v:ext="edit" aspectratio="f"/>
                </v:rect>
                <v:rect id="_x0000_s1026" o:spid="_x0000_s1026" o:spt="1" style="position:absolute;left:2363;top:1835993;height:150;width:314;v-text-anchor:middle;" fillcolor="#92D050" filled="t" stroked="t" coordsize="21600,21600" o:gfxdata="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3YXIYugAAANsA&#10;AAAPAAAAAAAAAAEAIAAAACIAAABkcnMvZG93bnJldi54bWxQSwECFAAUAAAACACHTuJAMy8FnjsA&#10;AAA5AAAAEAAAAAAAAAABACAAAAAJAQAAZHJzL3NoYXBleG1sLnhtbFBLBQYAAAAABgAGAFsBAACz&#10;AwAAAAA=&#10;">
                  <v:fill on="t" focussize="0,0"/>
                  <v:stroke weight="1pt" color="#92D050 [2404]" miterlimit="8" joinstyle="miter"/>
                  <v:imagedata o:title=""/>
                  <o:lock v:ext="edit" aspectratio="f"/>
                </v:rect>
                <v:rect id="_x0000_s1026" o:spid="_x0000_s1026" o:spt="1" style="position:absolute;left:2371;top:1836260;height:150;width:314;v-text-anchor:middle;" fillcolor="#8DC4E1" filled="t" stroked="t" coordsize="21600,21600" o:gfxdata="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31fILsAAADc&#10;AAAADwAAAAAAAAABACAAAAAiAAAAZHJzL2Rvd25yZXYueG1sUEsBAhQAFAAAAAgAh07iQDMvBZ47&#10;AAAAOQAAABAAAAAAAAAAAQAgAAAACgEAAGRycy9zaGFwZXhtbC54bWxQSwUGAAAAAAYABgBbAQAA&#10;tAMAAAAA&#10;">
                  <v:fill on="t" focussize="0,0"/>
                  <v:stroke weight="1pt" color="#80BDDD [2404]" miterlimit="8" joinstyle="miter"/>
                  <v:imagedata o:title=""/>
                  <o:lock v:ext="edit" aspectratio="f"/>
                </v:rect>
              </v:group>
            </w:pict>
          </mc:Fallback>
        </mc:AlternateContent>
      </w:r>
      <w:r>
        <w:rPr>
          <w:rFonts w:hint="default" w:ascii="Times New Roman" w:hAnsi="Times New Roman" w:cs="Times New Roman"/>
          <w:color w:val="000000" w:themeColor="text1"/>
          <w14:textFill>
            <w14:solidFill>
              <w14:schemeClr w14:val="tx1"/>
            </w14:solidFill>
          </w14:textFill>
        </w:rPr>
        <w:drawing>
          <wp:anchor distT="0" distB="0" distL="114300" distR="114300" simplePos="0" relativeHeight="251696128" behindDoc="0" locked="0" layoutInCell="1" allowOverlap="1">
            <wp:simplePos x="0" y="0"/>
            <wp:positionH relativeFrom="column">
              <wp:posOffset>4885055</wp:posOffset>
            </wp:positionH>
            <wp:positionV relativeFrom="paragraph">
              <wp:posOffset>23495</wp:posOffset>
            </wp:positionV>
            <wp:extent cx="359410" cy="641985"/>
            <wp:effectExtent l="0" t="0" r="2540" b="5715"/>
            <wp:wrapNone/>
            <wp:docPr id="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
                    <pic:cNvPicPr>
                      <a:picLocks noChangeAspect="1"/>
                    </pic:cNvPicPr>
                  </pic:nvPicPr>
                  <pic:blipFill>
                    <a:blip r:embed="rId24"/>
                    <a:stretch>
                      <a:fillRect/>
                    </a:stretch>
                  </pic:blipFill>
                  <pic:spPr>
                    <a:xfrm>
                      <a:off x="0" y="0"/>
                      <a:ext cx="359410" cy="641985"/>
                    </a:xfrm>
                    <a:prstGeom prst="rect">
                      <a:avLst/>
                    </a:prstGeom>
                    <a:noFill/>
                    <a:ln>
                      <a:noFill/>
                    </a:ln>
                  </pic:spPr>
                </pic:pic>
              </a:graphicData>
            </a:graphic>
          </wp:anchor>
        </w:drawing>
      </w:r>
    </w:p>
    <w:p w14:paraId="6A11268F">
      <w:pPr>
        <w:pStyle w:val="28"/>
        <w:ind w:firstLine="0" w:firstLineChars="0"/>
        <w:rPr>
          <w:rFonts w:hint="default"/>
          <w:color w:val="000000" w:themeColor="text1"/>
          <w:lang w:eastAsia="zh-CN"/>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6BD2391B">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lang w:val="en-US" w:eastAsia="zh-CN"/>
          <w14:textFill>
            <w14:solidFill>
              <w14:schemeClr w14:val="tx1"/>
            </w14:solidFill>
          </w14:textFill>
        </w:rPr>
      </w:pPr>
      <w:r>
        <w:rPr>
          <w:rFonts w:hint="eastAsia" w:cs="Times New Roman" w:eastAsiaTheme="minorEastAsia"/>
          <w:b/>
          <w:bCs/>
          <w:color w:val="000000" w:themeColor="text1"/>
          <w:sz w:val="24"/>
          <w:lang w:val="en-US" w:eastAsia="zh-CN"/>
          <w14:textFill>
            <w14:solidFill>
              <w14:schemeClr w14:val="tx1"/>
            </w14:solidFill>
          </w14:textFill>
        </w:rPr>
        <w:t>土地利用类型</w:t>
      </w:r>
      <w:r>
        <w:rPr>
          <w:rFonts w:hint="default" w:ascii="Times New Roman" w:hAnsi="Times New Roman" w:cs="Times New Roman" w:eastAsiaTheme="minorEastAsia"/>
          <w:b/>
          <w:bCs/>
          <w:color w:val="000000" w:themeColor="text1"/>
          <w:sz w:val="24"/>
          <w:lang w:val="en-US" w:eastAsia="zh-CN"/>
          <w14:textFill>
            <w14:solidFill>
              <w14:schemeClr w14:val="tx1"/>
            </w14:solidFill>
          </w14:textFill>
        </w:rPr>
        <w:t>图</w:t>
      </w:r>
    </w:p>
    <w:p w14:paraId="6D9F3A2D">
      <w:pPr>
        <w:rPr>
          <w:rFonts w:hint="default" w:ascii="Times New Roman" w:hAnsi="Times New Roman" w:cs="Times New Roman" w:eastAsiaTheme="minorEastAsia"/>
          <w:color w:val="000000" w:themeColor="text1"/>
          <w:sz w:val="24"/>
          <w:lang w:val="en-US" w:eastAsia="zh-CN"/>
          <w14:textFill>
            <w14:solidFill>
              <w14:schemeClr w14:val="tx1"/>
            </w14:solidFill>
          </w14:textFill>
        </w:rPr>
      </w:pPr>
      <w:r>
        <w:rPr>
          <w:rFonts w:hint="default" w:ascii="Times New Roman" w:hAnsi="Times New Roman" w:cs="Times New Roman" w:eastAsiaTheme="minorEastAsia"/>
          <w:color w:val="000000" w:themeColor="text1"/>
          <w:sz w:val="24"/>
          <w:lang w:val="en-US" w:eastAsia="zh-CN"/>
          <w14:textFill>
            <w14:solidFill>
              <w14:schemeClr w14:val="tx1"/>
            </w14:solidFill>
          </w14:textFill>
        </w:rPr>
        <w:drawing>
          <wp:inline distT="0" distB="0" distL="114300" distR="114300">
            <wp:extent cx="5271135" cy="7449185"/>
            <wp:effectExtent l="0" t="0" r="5715" b="18415"/>
            <wp:docPr id="10" name="图片 10" descr="地类基本农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地类基本农田图"/>
                    <pic:cNvPicPr>
                      <a:picLocks noChangeAspect="1"/>
                    </pic:cNvPicPr>
                  </pic:nvPicPr>
                  <pic:blipFill>
                    <a:blip r:embed="rId77"/>
                    <a:stretch>
                      <a:fillRect/>
                    </a:stretch>
                  </pic:blipFill>
                  <pic:spPr>
                    <a:xfrm>
                      <a:off x="0" y="0"/>
                      <a:ext cx="5271135" cy="7449185"/>
                    </a:xfrm>
                    <a:prstGeom prst="rect">
                      <a:avLst/>
                    </a:prstGeom>
                  </pic:spPr>
                </pic:pic>
              </a:graphicData>
            </a:graphic>
          </wp:inline>
        </w:drawing>
      </w:r>
    </w:p>
    <w:p w14:paraId="2AC34F38">
      <w:pPr>
        <w:rPr>
          <w:rFonts w:hint="default" w:ascii="Times New Roman" w:hAnsi="Times New Roman" w:cs="Times New Roman" w:eastAsiaTheme="minorEastAsia"/>
          <w:color w:val="000000" w:themeColor="text1"/>
          <w:sz w:val="24"/>
          <w:lang w:val="en-US" w:eastAsia="zh-CN"/>
          <w14:textFill>
            <w14:solidFill>
              <w14:schemeClr w14:val="tx1"/>
            </w14:solidFill>
          </w14:textFill>
        </w:rPr>
      </w:pPr>
    </w:p>
    <w:p w14:paraId="65A1F190">
      <w:pPr>
        <w:pStyle w:val="29"/>
        <w:ind w:left="0" w:leftChars="0" w:firstLine="0" w:firstLineChars="0"/>
        <w:rPr>
          <w:rFonts w:hint="default" w:ascii="Times New Roman" w:hAnsi="Times New Roman" w:cs="Times New Roman" w:eastAsiaTheme="minorEastAsia"/>
          <w:color w:val="000000" w:themeColor="text1"/>
          <w:sz w:val="24"/>
          <w:lang w:val="en-US" w:eastAsia="zh-CN"/>
          <w14:textFill>
            <w14:solidFill>
              <w14:schemeClr w14:val="tx1"/>
            </w14:solidFill>
          </w14:textFill>
        </w:rPr>
      </w:pPr>
    </w:p>
    <w:p w14:paraId="035458F5">
      <w:pP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sectPr>
          <w:headerReference r:id="rId13" w:type="default"/>
          <w:footerReference r:id="rId14"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p>
    <w:p w14:paraId="0D186487">
      <w:pPr>
        <w:pStyle w:val="28"/>
        <w:numPr>
          <w:ilvl w:val="0"/>
          <w:numId w:val="6"/>
        </w:numPr>
        <w:tabs>
          <w:tab w:val="clear" w:pos="420"/>
        </w:tabs>
        <w:ind w:left="425" w:leftChars="0" w:hanging="425" w:firstLineChars="0"/>
        <w:rPr>
          <w:rFonts w:hint="default" w:ascii="Times New Roman" w:hAnsi="Times New Roman" w:cs="Times New Roman" w:eastAsiaTheme="minorEastAsia"/>
          <w:b/>
          <w:bCs/>
          <w:color w:val="000000" w:themeColor="text1"/>
          <w:sz w:val="24"/>
          <w:lang w:val="en-US" w:eastAsia="zh-CN"/>
          <w14:textFill>
            <w14:solidFill>
              <w14:schemeClr w14:val="tx1"/>
            </w14:solidFill>
          </w14:textFill>
        </w:rPr>
      </w:pPr>
      <w:r>
        <w:rPr>
          <w:rFonts w:hint="default" w:ascii="Times New Roman" w:hAnsi="Times New Roman" w:cs="Times New Roman" w:eastAsiaTheme="minorEastAsia"/>
          <w:b/>
          <w:bCs/>
          <w:color w:val="000000" w:themeColor="text1"/>
          <w:kern w:val="2"/>
          <w:sz w:val="24"/>
          <w:szCs w:val="24"/>
          <w:lang w:val="en-US" w:eastAsia="zh-CN" w:bidi="ar-SA"/>
          <w14:textFill>
            <w14:solidFill>
              <w14:schemeClr w14:val="tx1"/>
            </w14:solidFill>
          </w14:textFill>
        </w:rPr>
        <w:t>植被类型图</w:t>
      </w:r>
    </w:p>
    <w:p w14:paraId="4D261735">
      <w:pPr>
        <w:rPr>
          <w:rFonts w:hint="default" w:ascii="Times New Roman" w:hAnsi="Times New Roman" w:cs="Times New Roman" w:eastAsiaTheme="minorEastAsia"/>
          <w:color w:val="000000" w:themeColor="text1"/>
          <w:sz w:val="24"/>
          <w:lang w:val="en-US" w:eastAsia="zh-CN"/>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pPr>
      <w:r>
        <w:rPr>
          <w:color w:val="000000" w:themeColor="text1"/>
          <w:sz w:val="2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765175</wp:posOffset>
                </wp:positionH>
                <wp:positionV relativeFrom="paragraph">
                  <wp:posOffset>6298565</wp:posOffset>
                </wp:positionV>
                <wp:extent cx="337820" cy="219075"/>
                <wp:effectExtent l="6350" t="6350" r="17780" b="22225"/>
                <wp:wrapNone/>
                <wp:docPr id="7" name="矩形 7"/>
                <wp:cNvGraphicFramePr/>
                <a:graphic xmlns:a="http://schemas.openxmlformats.org/drawingml/2006/main">
                  <a:graphicData uri="http://schemas.microsoft.com/office/word/2010/wordprocessingShape">
                    <wps:wsp>
                      <wps:cNvSpPr/>
                      <wps:spPr>
                        <a:xfrm>
                          <a:off x="0" y="0"/>
                          <a:ext cx="337820" cy="219075"/>
                        </a:xfrm>
                        <a:prstGeom prst="rect">
                          <a:avLst/>
                        </a:prstGeom>
                        <a:solidFill>
                          <a:srgbClr val="97DBF2"/>
                        </a:solidFill>
                      </wps:spPr>
                      <wps:style>
                        <a:lnRef idx="2">
                          <a:schemeClr val="accent1">
                            <a:lumMod val="75000"/>
                          </a:schemeClr>
                        </a:lnRef>
                        <a:fillRef idx="1">
                          <a:schemeClr val="accent1"/>
                        </a:fillRef>
                        <a:effectRef idx="0">
                          <a:srgbClr val="FFFFFF"/>
                        </a:effectRef>
                        <a:fontRef idx="minor">
                          <a:schemeClr val="lt1"/>
                        </a:fontRef>
                      </wps:style>
                      <wps:txbx>
                        <w:txbxContent>
                          <w:p w14:paraId="5E6DC1DB">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25pt;margin-top:495.95pt;height:17.25pt;width:26.6pt;z-index:251693056;v-text-anchor:middle;mso-width-relative:page;mso-height-relative:page;" fillcolor="#97DBF2" filled="t" stroked="t" coordsize="21600,21600" o:gfxdata="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FPUtBdoAAAAM&#10;AQAADwAAAAAAAAABACAAAAAiAAAAZHJzL2Rvd25yZXYueG1sUEsBAhQAFAAAAAgAh07iQOoyQK2M&#10;AgAAIAUAAA4AAAAAAAAAAQAgAAAAKQEAAGRycy9lMm9Eb2MueG1sUEsFBgAAAAAGAAYAWQEAACcG&#10;AAAAAA==&#10;">
                <v:fill on="t" focussize="0,0"/>
                <v:stroke weight="1pt" color="#2E54A1 [2404]" miterlimit="8" joinstyle="miter"/>
                <v:imagedata o:title=""/>
                <o:lock v:ext="edit" aspectratio="f"/>
                <v:textbox>
                  <w:txbxContent>
                    <w:p w14:paraId="5E6DC1DB">
                      <w:pPr>
                        <w:rPr>
                          <w:rFonts w:hint="eastAsia"/>
                          <w:lang w:val="en-US" w:eastAsia="zh-CN"/>
                        </w:rPr>
                      </w:pP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759460</wp:posOffset>
                </wp:positionH>
                <wp:positionV relativeFrom="paragraph">
                  <wp:posOffset>6050915</wp:posOffset>
                </wp:positionV>
                <wp:extent cx="337820" cy="219075"/>
                <wp:effectExtent l="6350" t="6350" r="17780" b="22225"/>
                <wp:wrapNone/>
                <wp:docPr id="6" name="矩形 6"/>
                <wp:cNvGraphicFramePr/>
                <a:graphic xmlns:a="http://schemas.openxmlformats.org/drawingml/2006/main">
                  <a:graphicData uri="http://schemas.microsoft.com/office/word/2010/wordprocessingShape">
                    <wps:wsp>
                      <wps:cNvSpPr/>
                      <wps:spPr>
                        <a:xfrm>
                          <a:off x="0" y="0"/>
                          <a:ext cx="337820" cy="219075"/>
                        </a:xfrm>
                        <a:prstGeom prst="rect">
                          <a:avLst/>
                        </a:prstGeom>
                        <a:solidFill>
                          <a:srgbClr val="74B273"/>
                        </a:solidFill>
                      </wps:spPr>
                      <wps:style>
                        <a:lnRef idx="2">
                          <a:schemeClr val="accent1">
                            <a:lumMod val="75000"/>
                          </a:schemeClr>
                        </a:lnRef>
                        <a:fillRef idx="1">
                          <a:schemeClr val="accent1"/>
                        </a:fillRef>
                        <a:effectRef idx="0">
                          <a:srgbClr val="FFFFFF"/>
                        </a:effectRef>
                        <a:fontRef idx="minor">
                          <a:schemeClr val="lt1"/>
                        </a:fontRef>
                      </wps:style>
                      <wps:txbx>
                        <w:txbxContent>
                          <w:p w14:paraId="792000A1">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59.8pt;margin-top:476.45pt;height:17.25pt;width:26.6pt;z-index:251692032;v-text-anchor:middle;mso-width-relative:page;mso-height-relative:page;" fillcolor="#74B273" filled="t" stroked="t" coordsize="21600,21600" o:gfxdata="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DHTdHZ2QAAAAsB&#10;AAAPAAAAAAAAAAEAIAAAACIAAABkcnMvZG93bnJldi54bWxQSwECFAAUAAAACACHTuJAPmUgLIwC&#10;AAAgBQAADgAAAAAAAAABACAAAAAoAQAAZHJzL2Uyb0RvYy54bWxQSwUGAAAAAAYABgBZAQAAJgYA&#10;AAAA&#10;">
                <v:fill on="t" focussize="0,0"/>
                <v:stroke weight="1pt" color="#2E54A1 [2404]" miterlimit="8" joinstyle="miter"/>
                <v:imagedata o:title=""/>
                <o:lock v:ext="edit" aspectratio="f"/>
                <v:textbox>
                  <w:txbxContent>
                    <w:p w14:paraId="792000A1">
                      <w:pPr>
                        <w:rPr>
                          <w:rFonts w:hint="eastAsia"/>
                          <w:lang w:val="en-US" w:eastAsia="zh-CN"/>
                        </w:rPr>
                      </w:pP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762635</wp:posOffset>
                </wp:positionH>
                <wp:positionV relativeFrom="paragraph">
                  <wp:posOffset>5795010</wp:posOffset>
                </wp:positionV>
                <wp:extent cx="337820" cy="219075"/>
                <wp:effectExtent l="6350" t="6350" r="17780" b="22225"/>
                <wp:wrapNone/>
                <wp:docPr id="5" name="矩形 5"/>
                <wp:cNvGraphicFramePr/>
                <a:graphic xmlns:a="http://schemas.openxmlformats.org/drawingml/2006/main">
                  <a:graphicData uri="http://schemas.microsoft.com/office/word/2010/wordprocessingShape">
                    <wps:wsp>
                      <wps:cNvSpPr/>
                      <wps:spPr>
                        <a:xfrm>
                          <a:off x="0" y="0"/>
                          <a:ext cx="337820" cy="219075"/>
                        </a:xfrm>
                        <a:prstGeom prst="rect">
                          <a:avLst/>
                        </a:prstGeom>
                        <a:solidFill>
                          <a:srgbClr val="FFFF00"/>
                        </a:solidFill>
                      </wps:spPr>
                      <wps:style>
                        <a:lnRef idx="2">
                          <a:schemeClr val="accent1">
                            <a:lumMod val="75000"/>
                          </a:schemeClr>
                        </a:lnRef>
                        <a:fillRef idx="1">
                          <a:schemeClr val="accent1"/>
                        </a:fillRef>
                        <a:effectRef idx="0">
                          <a:srgbClr val="FFFFFF"/>
                        </a:effectRef>
                        <a:fontRef idx="minor">
                          <a:schemeClr val="lt1"/>
                        </a:fontRef>
                      </wps:style>
                      <wps:txbx>
                        <w:txbxContent>
                          <w:p w14:paraId="5914A8BB">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0.05pt;margin-top:456.3pt;height:17.25pt;width:26.6pt;z-index:251691008;v-text-anchor:middle;mso-width-relative:page;mso-height-relative:page;" fillcolor="#FFFF00" filled="t" stroked="t" coordsize="21600,21600" o:gfxdata="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D01caO2AAAAAsBAAAP&#10;AAAAAAAAAAEAIAAAACIAAABkcnMvZG93bnJldi54bWxQSwECFAAUAAAACACHTuJAXSo3vYoCAAAg&#10;BQAADgAAAAAAAAABACAAAAAnAQAAZHJzL2Uyb0RvYy54bWxQSwUGAAAAAAYABgBZAQAAIwYAAAAA&#10;">
                <v:fill on="t" focussize="0,0"/>
                <v:stroke weight="1pt" color="#2E54A1 [2404]" miterlimit="8" joinstyle="miter"/>
                <v:imagedata o:title=""/>
                <o:lock v:ext="edit" aspectratio="f"/>
                <v:textbox>
                  <w:txbxContent>
                    <w:p w14:paraId="5914A8BB">
                      <w:pPr>
                        <w:rPr>
                          <w:rFonts w:hint="eastAsia"/>
                          <w:lang w:val="en-US" w:eastAsia="zh-CN"/>
                        </w:rPr>
                      </w:pP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454660</wp:posOffset>
                </wp:positionH>
                <wp:positionV relativeFrom="paragraph">
                  <wp:posOffset>5451475</wp:posOffset>
                </wp:positionV>
                <wp:extent cx="1602105" cy="1232535"/>
                <wp:effectExtent l="6350" t="6350" r="10795" b="18415"/>
                <wp:wrapNone/>
                <wp:docPr id="4" name="矩形 4"/>
                <wp:cNvGraphicFramePr/>
                <a:graphic xmlns:a="http://schemas.openxmlformats.org/drawingml/2006/main">
                  <a:graphicData uri="http://schemas.microsoft.com/office/word/2010/wordprocessingShape">
                    <wps:wsp>
                      <wps:cNvSpPr/>
                      <wps:spPr>
                        <a:xfrm>
                          <a:off x="0" y="0"/>
                          <a:ext cx="1602105" cy="1232535"/>
                        </a:xfrm>
                        <a:prstGeom prst="rect">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4ED712FF">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63471F63">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栽培植被</w:t>
                            </w:r>
                          </w:p>
                          <w:p w14:paraId="502350A7">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阔叶林</w:t>
                            </w:r>
                          </w:p>
                          <w:p w14:paraId="270EBBF0">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青山水库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5.8pt;margin-top:429.25pt;height:97.05pt;width:126.15pt;z-index:251689984;v-text-anchor:middle;mso-width-relative:page;mso-height-relative:page;" fillcolor="#FFFFFF [3212]" filled="t" stroked="t" coordsize="21600,21600" o:gfxdata="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CkccnzaAAAACwEA&#10;AA8AAAAAAAAAAQAgAAAAIgAAAGRycy9kb3ducmV2LnhtbFBLAQIUABQAAAAIAIdO4kDSgo39igIA&#10;ACIFAAAOAAAAAAAAAAEAIAAAACkBAABkcnMvZTJvRG9jLnhtbFBLBQYAAAAABgAGAFkBAAAlBgAA&#10;AAA=&#10;">
                <v:fill on="t" focussize="0,0"/>
                <v:stroke weight="1pt" color="#2E54A1 [2404]" miterlimit="8" joinstyle="miter"/>
                <v:imagedata o:title=""/>
                <o:lock v:ext="edit" aspectratio="f"/>
                <v:textbox>
                  <w:txbxContent>
                    <w:p w14:paraId="4ED712FF">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63471F63">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栽培植被</w:t>
                      </w:r>
                    </w:p>
                    <w:p w14:paraId="502350A7">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阔叶林</w:t>
                      </w:r>
                    </w:p>
                    <w:p w14:paraId="270EBBF0">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青山水库</w:t>
                      </w:r>
                    </w:p>
                  </w:txbxContent>
                </v:textbox>
              </v:rect>
            </w:pict>
          </mc:Fallback>
        </mc:AlternateContent>
      </w:r>
      <w:r>
        <w:rPr>
          <w:rFonts w:hint="default" w:ascii="Times New Roman" w:hAnsi="Times New Roman" w:cs="Times New Roman" w:eastAsiaTheme="minorEastAsia"/>
          <w:color w:val="000000" w:themeColor="text1"/>
          <w:sz w:val="24"/>
          <w:lang w:val="en-US" w:eastAsia="zh-CN"/>
          <w14:textFill>
            <w14:solidFill>
              <w14:schemeClr w14:val="tx1"/>
            </w14:solidFill>
          </w14:textFill>
        </w:rPr>
        <w:drawing>
          <wp:inline distT="0" distB="0" distL="114300" distR="114300">
            <wp:extent cx="5271135" cy="7449185"/>
            <wp:effectExtent l="0" t="0" r="5715" b="18415"/>
            <wp:docPr id="3" name="图片 3" descr="植被类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植被类型图"/>
                    <pic:cNvPicPr>
                      <a:picLocks noChangeAspect="1"/>
                    </pic:cNvPicPr>
                  </pic:nvPicPr>
                  <pic:blipFill>
                    <a:blip r:embed="rId78"/>
                    <a:stretch>
                      <a:fillRect/>
                    </a:stretch>
                  </pic:blipFill>
                  <pic:spPr>
                    <a:xfrm>
                      <a:off x="0" y="0"/>
                      <a:ext cx="5271135" cy="7449185"/>
                    </a:xfrm>
                    <a:prstGeom prst="rect">
                      <a:avLst/>
                    </a:prstGeom>
                  </pic:spPr>
                </pic:pic>
              </a:graphicData>
            </a:graphic>
          </wp:inline>
        </w:drawing>
      </w:r>
    </w:p>
    <w:p w14:paraId="77F9320A">
      <w:pPr>
        <w:pStyle w:val="28"/>
        <w:keepNext w:val="0"/>
        <w:keepLines w:val="0"/>
        <w:pageBreakBefore w:val="0"/>
        <w:widowControl w:val="0"/>
        <w:numPr>
          <w:ilvl w:val="0"/>
          <w:numId w:val="6"/>
        </w:numPr>
        <w:tabs>
          <w:tab w:val="clear" w:pos="420"/>
        </w:tabs>
        <w:kinsoku/>
        <w:wordWrap/>
        <w:overflowPunct/>
        <w:topLinePunct w:val="0"/>
        <w:autoSpaceDE/>
        <w:autoSpaceDN/>
        <w:bidi w:val="0"/>
        <w:adjustRightInd/>
        <w:snapToGrid/>
        <w:ind w:left="0" w:leftChars="0" w:firstLine="0" w:firstLineChars="0"/>
        <w:textAlignment w:val="auto"/>
        <w:rPr>
          <w:rFonts w:hint="default" w:ascii="Times New Roman" w:hAnsi="Times New Roman" w:cs="Times New Roman" w:eastAsiaTheme="minorEastAsia"/>
          <w:b/>
          <w:bCs/>
          <w:snapToGrid w:val="0"/>
          <w:color w:val="000000" w:themeColor="text1"/>
          <w:kern w:val="0"/>
          <w:sz w:val="24"/>
          <w:lang w:val="en-US" w:eastAsia="zh-CN"/>
          <w14:textFill>
            <w14:solidFill>
              <w14:schemeClr w14:val="tx1"/>
            </w14:solidFill>
          </w14:textFill>
        </w:rPr>
      </w:pPr>
      <w:r>
        <w:rPr>
          <w:rFonts w:hint="default" w:ascii="Times New Roman" w:hAnsi="Times New Roman" w:cs="Times New Roman"/>
          <w:b/>
          <w:color w:val="000000" w:themeColor="text1"/>
          <w:kern w:val="0"/>
          <w:sz w:val="24"/>
          <w:szCs w:val="24"/>
          <w14:textFill>
            <w14:solidFill>
              <w14:schemeClr w14:val="tx1"/>
            </w14:solidFill>
          </w14:textFill>
        </w:rPr>
        <w:t>本项目</w:t>
      </w:r>
      <w:r>
        <w:rPr>
          <w:rFonts w:hint="default" w:ascii="Times New Roman" w:hAnsi="Times New Roman" w:cs="Times New Roman"/>
          <w:b/>
          <w:snapToGrid w:val="0"/>
          <w:color w:val="000000" w:themeColor="text1"/>
          <w:kern w:val="0"/>
          <w:sz w:val="24"/>
          <w:szCs w:val="24"/>
          <w14:textFill>
            <w14:solidFill>
              <w14:schemeClr w14:val="tx1"/>
            </w14:solidFill>
          </w14:textFill>
        </w:rPr>
        <w:t>在黑龙江省主体功能区划中的位置</w:t>
      </w:r>
      <w:r>
        <w:rPr>
          <w:rFonts w:hint="eastAsia" w:cs="Times New Roman"/>
          <w:b/>
          <w:snapToGrid w:val="0"/>
          <w:color w:val="000000" w:themeColor="text1"/>
          <w:kern w:val="0"/>
          <w:sz w:val="24"/>
          <w:szCs w:val="24"/>
          <w:lang w:eastAsia="zh-CN"/>
          <w14:textFill>
            <w14:solidFill>
              <w14:schemeClr w14:val="tx1"/>
            </w14:solidFill>
          </w14:textFill>
        </w:rPr>
        <w:t>图</w:t>
      </w:r>
    </w:p>
    <w:p w14:paraId="2930E691">
      <w:pPr>
        <w:autoSpaceDE w:val="0"/>
        <w:autoSpaceDN w:val="0"/>
        <w:adjustRightInd w:val="0"/>
        <w:snapToGrid w:val="0"/>
        <w:spacing w:line="360" w:lineRule="auto"/>
        <w:jc w:val="center"/>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3489960</wp:posOffset>
                </wp:positionH>
                <wp:positionV relativeFrom="paragraph">
                  <wp:posOffset>2545080</wp:posOffset>
                </wp:positionV>
                <wp:extent cx="665480" cy="252730"/>
                <wp:effectExtent l="4445" t="4445" r="15875" b="9525"/>
                <wp:wrapNone/>
                <wp:docPr id="52" name="文本框 52"/>
                <wp:cNvGraphicFramePr/>
                <a:graphic xmlns:a="http://schemas.openxmlformats.org/drawingml/2006/main">
                  <a:graphicData uri="http://schemas.microsoft.com/office/word/2010/wordprocessingShape">
                    <wps:wsp>
                      <wps:cNvSpPr txBox="1"/>
                      <wps:spPr>
                        <a:xfrm>
                          <a:off x="5022215" y="3162935"/>
                          <a:ext cx="665480" cy="2527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1B680B8">
                            <w:pPr>
                              <w:jc w:val="center"/>
                              <w:rPr>
                                <w:rFonts w:hint="eastAsia" w:eastAsia="宋体"/>
                                <w:b/>
                                <w:bCs/>
                                <w:color w:val="FF0000"/>
                                <w:sz w:val="18"/>
                                <w:szCs w:val="21"/>
                                <w:lang w:eastAsia="zh-CN"/>
                              </w:rPr>
                            </w:pPr>
                            <w:r>
                              <w:rPr>
                                <w:rFonts w:hint="eastAsia"/>
                                <w:b/>
                                <w:bCs/>
                                <w:color w:val="FF0000"/>
                                <w:sz w:val="18"/>
                                <w:szCs w:val="21"/>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4.8pt;margin-top:200.4pt;height:19.9pt;width:52.4pt;z-index:251695104;mso-width-relative:page;mso-height-relative:page;" fillcolor="#FFFFFF [3201]" filled="t" stroked="t" coordsize="21600,21600" o:gfxdata="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mWcqc9cAAAALAQAADwAAAAAAAAABACAAAAAiAAAAZHJzL2Rvd25yZXYueG1sUEsB&#10;AhQAFAAAAAgAh07iQB9HbgdoAgAAxAQAAA4AAAAAAAAAAQAgAAAAJgEAAGRycy9lMm9Eb2MueG1s&#10;UEsFBgAAAAAGAAYAWQEAAAAGAAAAAA==&#10;">
                <v:fill on="t" focussize="0,0"/>
                <v:stroke weight="0.5pt" color="#000000 [3204]" joinstyle="round"/>
                <v:imagedata o:title=""/>
                <o:lock v:ext="edit" aspectratio="f"/>
                <v:textbox>
                  <w:txbxContent>
                    <w:p w14:paraId="21B680B8">
                      <w:pPr>
                        <w:jc w:val="center"/>
                        <w:rPr>
                          <w:rFonts w:hint="eastAsia" w:eastAsia="宋体"/>
                          <w:b/>
                          <w:bCs/>
                          <w:color w:val="FF0000"/>
                          <w:sz w:val="18"/>
                          <w:szCs w:val="21"/>
                          <w:lang w:eastAsia="zh-CN"/>
                        </w:rPr>
                      </w:pPr>
                      <w:r>
                        <w:rPr>
                          <w:rFonts w:hint="eastAsia"/>
                          <w:b/>
                          <w:bCs/>
                          <w:color w:val="FF0000"/>
                          <w:sz w:val="18"/>
                          <w:szCs w:val="21"/>
                          <w:lang w:eastAsia="zh-CN"/>
                        </w:rPr>
                        <w:t>项目位置</w:t>
                      </w:r>
                    </w:p>
                  </w:txbxContent>
                </v:textbox>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3326765</wp:posOffset>
                </wp:positionH>
                <wp:positionV relativeFrom="paragraph">
                  <wp:posOffset>2647315</wp:posOffset>
                </wp:positionV>
                <wp:extent cx="75565" cy="75565"/>
                <wp:effectExtent l="19050" t="21590" r="19685" b="17145"/>
                <wp:wrapNone/>
                <wp:docPr id="51" name="五角星 51"/>
                <wp:cNvGraphicFramePr/>
                <a:graphic xmlns:a="http://schemas.openxmlformats.org/drawingml/2006/main">
                  <a:graphicData uri="http://schemas.microsoft.com/office/word/2010/wordprocessingShape">
                    <wps:wsp>
                      <wps:cNvSpPr/>
                      <wps:spPr>
                        <a:xfrm>
                          <a:off x="4846320" y="3353435"/>
                          <a:ext cx="75565" cy="755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61.95pt;margin-top:208.45pt;height:5.95pt;width:5.95pt;z-index:251694080;v-text-anchor:middle;mso-width-relative:page;mso-height-relative:page;" fillcolor="#FF0000" filled="t" stroked="t" coordsize="75565,75565" o:gfxdata="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2Tks/cAAAACwEAAA8AAAAAAAAAAQAg&#10;AAAAIgAAAGRycy9kb3ducmV2LnhtbFBLAQIUABQAAAAIAIdO4kBLhW5HfAIAAAMFAAAOAAAAAAAA&#10;AAEAIAAAACsBAABkcnMvZTJvRG9jLnhtbFBLBQYAAAAABgAGAFkBAAAZBgAAAAA=&#10;" path="m0,28863l28863,28863,37782,0,46701,28863,75564,28863,52213,46701,61133,75564,37782,57726,14431,75564,23351,46701xe">
                <v:path o:connectlocs="37782,0;0,28863;14431,75564;61133,75564;75564,28863"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000000" w:themeColor="text1"/>
          <w14:textFill>
            <w14:solidFill>
              <w14:schemeClr w14:val="tx1"/>
            </w14:solidFill>
          </w14:textFill>
        </w:rPr>
        <w:drawing>
          <wp:inline distT="0" distB="0" distL="114300" distR="114300">
            <wp:extent cx="4719320" cy="3538855"/>
            <wp:effectExtent l="0" t="0" r="5080" b="4445"/>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79"/>
                    <a:srcRect l="1315" t="1436" b="998"/>
                    <a:stretch>
                      <a:fillRect/>
                    </a:stretch>
                  </pic:blipFill>
                  <pic:spPr>
                    <a:xfrm>
                      <a:off x="0" y="0"/>
                      <a:ext cx="4719320" cy="3538855"/>
                    </a:xfrm>
                    <a:prstGeom prst="rect">
                      <a:avLst/>
                    </a:prstGeom>
                    <a:noFill/>
                    <a:ln>
                      <a:noFill/>
                    </a:ln>
                  </pic:spPr>
                </pic:pic>
              </a:graphicData>
            </a:graphic>
          </wp:inline>
        </w:drawing>
      </w:r>
    </w:p>
    <w:p w14:paraId="59E0D4AC">
      <w:pPr>
        <w:rPr>
          <w:rFonts w:hint="default" w:ascii="Times New Roman" w:hAnsi="Times New Roman" w:cs="Times New Roman" w:eastAsiaTheme="minorEastAsia"/>
          <w:color w:val="000000" w:themeColor="text1"/>
          <w:sz w:val="24"/>
          <w:lang w:val="en-US" w:eastAsia="zh-CN"/>
          <w14:textFill>
            <w14:solidFill>
              <w14:schemeClr w14:val="tx1"/>
            </w14:solidFill>
          </w14:textFill>
        </w:rPr>
      </w:pPr>
    </w:p>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425"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AFF" w:usb1="C0007841" w:usb2="00000009" w:usb3="00000000" w:csb0="400001FF" w:csb1="FFFF0000"/>
  </w:font>
  <w:font w:name="宋体">
    <w:panose1 w:val="02010600030101010101"/>
    <w:charset w:val="E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modern"/>
    <w:pitch w:val="default"/>
    <w:sig w:usb0="00000001" w:usb1="080E0000" w:usb2="00000000" w:usb3="00000000" w:csb0="00040000" w:csb1="00000000"/>
  </w:font>
  <w:font w:name="方正小标宋_GBK">
    <w:altName w:val="Arial Unicode MS"/>
    <w:panose1 w:val="02000000000000000000"/>
    <w:charset w:val="86"/>
    <w:family w:val="script"/>
    <w:pitch w:val="default"/>
    <w:sig w:usb0="00000000" w:usb1="00000000" w:usb2="00082016" w:usb3="00000000" w:csb0="00040001" w:csb1="00000000"/>
  </w:font>
  <w:font w:name="楷体_GB2312">
    <w:panose1 w:val="02010609030101010101"/>
    <w:charset w:val="86"/>
    <w:family w:val="modern"/>
    <w:pitch w:val="default"/>
    <w:sig w:usb0="00000001" w:usb1="080E0000" w:usb2="00000000" w:usb3="00000000" w:csb0="00040000" w:csb1="00000000"/>
  </w:font>
  <w:font w:name="华文仿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font>
  <w:font w:name="Cambria Math">
    <w:panose1 w:val="02040503050406030204"/>
    <w:charset w:val="00"/>
    <w:family w:val="auto"/>
    <w:pitch w:val="default"/>
    <w:sig w:usb0="E00002FF" w:usb1="420024FF" w:usb2="00000000" w:usb3="00000000" w:csb0="2000019F" w:csb1="00000000"/>
  </w:font>
  <w:font w:name="Wingdings 2">
    <w:panose1 w:val="05020102010507070707"/>
    <w:charset w:val="02"/>
    <w:family w:val="roman"/>
    <w:pitch w:val="default"/>
    <w:sig w:usb0="00000000" w:usb1="00000000" w:usb2="00000000" w:usb3="00000000" w:csb0="80000000" w:csb1="00000000"/>
  </w:font>
  <w:font w:name="Arial Unicode MS">
    <w:panose1 w:val="020B0604020202020204"/>
    <w:charset w:val="86"/>
    <w:family w:val="auto"/>
    <w:pitch w:val="default"/>
    <w:sig w:usb0="FFFFFFFF" w:usb1="E9FFFFFF" w:usb2="0000003F" w:usb3="00000000" w:csb0="603F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1C856B">
    <w:pPr>
      <w:pStyle w:val="1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483307">
    <w:pPr>
      <w:pStyle w:val="14"/>
      <w:framePr w:wrap="around" w:vAnchor="text" w:hAnchor="margin" w:xAlign="outside" w:y="1"/>
      <w:rPr>
        <w:rStyle w:val="26"/>
      </w:rPr>
    </w:pPr>
    <w:r>
      <w:rPr>
        <w:rStyle w:val="26"/>
      </w:rPr>
      <w:fldChar w:fldCharType="begin"/>
    </w:r>
    <w:r>
      <w:rPr>
        <w:rStyle w:val="26"/>
      </w:rPr>
      <w:instrText xml:space="preserve">PAGE  </w:instrText>
    </w:r>
    <w:r>
      <w:rPr>
        <w:rStyle w:val="26"/>
      </w:rPr>
      <w:fldChar w:fldCharType="end"/>
    </w:r>
  </w:p>
  <w:p w14:paraId="063DC539">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DA4B69">
    <w:pPr>
      <w:pStyle w:val="14"/>
      <w:ind w:right="360" w:firstLine="360"/>
      <w:jc w:val="both"/>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B3209B">
    <w:pPr>
      <w:pStyle w:val="14"/>
      <w:ind w:right="360" w:firstLine="360"/>
      <w:jc w:val="both"/>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60183D">
                          <w:pPr>
                            <w:pStyle w:val="14"/>
                          </w:pPr>
                          <w:r>
                            <w:t xml:space="preserve">第 </w:t>
                          </w:r>
                          <w:r>
                            <w:fldChar w:fldCharType="begin"/>
                          </w:r>
                          <w:r>
                            <w:instrText xml:space="preserve"> PAGE  \* MERGEFORMAT </w:instrText>
                          </w:r>
                          <w:r>
                            <w:fldChar w:fldCharType="separate"/>
                          </w:r>
                          <w:r>
                            <w:t>1</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2860183D">
                    <w:pPr>
                      <w:pStyle w:val="14"/>
                    </w:pPr>
                    <w:r>
                      <w:t xml:space="preserve">第 </w:t>
                    </w:r>
                    <w:r>
                      <w:fldChar w:fldCharType="begin"/>
                    </w:r>
                    <w:r>
                      <w:instrText xml:space="preserve"> PAGE  \* MERGEFORMAT </w:instrText>
                    </w:r>
                    <w:r>
                      <w:fldChar w:fldCharType="separate"/>
                    </w:r>
                    <w:r>
                      <w:t>1</w:t>
                    </w:r>
                    <w:r>
                      <w:fldChar w:fldCharType="end"/>
                    </w:r>
                    <w:r>
                      <w:t xml:space="preserve"> 页</w:t>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DA77CE">
    <w:pPr>
      <w:pStyle w:val="14"/>
      <w:ind w:right="360" w:firstLine="360"/>
      <w:jc w:val="both"/>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216989D">
                          <w:pPr>
                            <w:pStyle w:val="14"/>
                          </w:pPr>
                          <w:r>
                            <w:t xml:space="preserve">第 </w:t>
                          </w:r>
                          <w:r>
                            <w:fldChar w:fldCharType="begin"/>
                          </w:r>
                          <w:r>
                            <w:instrText xml:space="preserve"> PAGE  \* MERGEFORMAT </w:instrText>
                          </w:r>
                          <w:r>
                            <w:fldChar w:fldCharType="separate"/>
                          </w:r>
                          <w:r>
                            <w:t>14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14:paraId="4216989D">
                    <w:pPr>
                      <w:pStyle w:val="14"/>
                    </w:pPr>
                    <w:r>
                      <w:t xml:space="preserve">第 </w:t>
                    </w:r>
                    <w:r>
                      <w:fldChar w:fldCharType="begin"/>
                    </w:r>
                    <w:r>
                      <w:instrText xml:space="preserve"> PAGE  \* MERGEFORMAT </w:instrText>
                    </w:r>
                    <w:r>
                      <w:fldChar w:fldCharType="separate"/>
                    </w:r>
                    <w:r>
                      <w:t>14</w:t>
                    </w:r>
                    <w:r>
                      <w:fldChar w:fldCharType="end"/>
                    </w:r>
                    <w:r>
                      <w:t xml:space="preserve"> 页</w:t>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44C4A0">
    <w:pPr>
      <w:pStyle w:val="14"/>
      <w:ind w:right="360" w:firstLine="360"/>
      <w:jc w:val="both"/>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0" name="文本框 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C9E1451">
                          <w:pPr>
                            <w:pStyle w:val="14"/>
                          </w:pPr>
                          <w:r>
                            <w:t xml:space="preserve">第 </w:t>
                          </w:r>
                          <w:r>
                            <w:fldChar w:fldCharType="begin"/>
                          </w:r>
                          <w:r>
                            <w:instrText xml:space="preserve"> PAGE  \* MERGEFORMAT </w:instrText>
                          </w:r>
                          <w:r>
                            <w:fldChar w:fldCharType="separate"/>
                          </w:r>
                          <w:r>
                            <w:t>42</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DApX4y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wMClfjICAABjBAAADgAAAAAAAAABACAAAAAfAQAAZHJzL2Uyb0RvYy54bWxQSwUG&#10;AAAAAAYABgBZAQAAwwUAAAAA&#10;">
              <v:fill on="f" focussize="0,0"/>
              <v:stroke on="f" weight="0.5pt"/>
              <v:imagedata o:title=""/>
              <o:lock v:ext="edit" aspectratio="f"/>
              <v:textbox inset="0mm,0mm,0mm,0mm" style="mso-fit-shape-to-text:t;">
                <w:txbxContent>
                  <w:p w14:paraId="4C9E1451">
                    <w:pPr>
                      <w:pStyle w:val="14"/>
                    </w:pPr>
                    <w:r>
                      <w:t xml:space="preserve">第 </w:t>
                    </w:r>
                    <w:r>
                      <w:fldChar w:fldCharType="begin"/>
                    </w:r>
                    <w:r>
                      <w:instrText xml:space="preserve"> PAGE  \* MERGEFORMAT </w:instrText>
                    </w:r>
                    <w:r>
                      <w:fldChar w:fldCharType="separate"/>
                    </w:r>
                    <w:r>
                      <w:t>42</w:t>
                    </w:r>
                    <w:r>
                      <w:fldChar w:fldCharType="end"/>
                    </w:r>
                    <w:r>
                      <w:t xml:space="preserve"> 页</w:t>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230632">
    <w:pPr>
      <w:pStyle w:val="14"/>
      <w:ind w:right="360" w:firstLine="360"/>
      <w:jc w:val="both"/>
      <w:rPr>
        <w:rFonts w:hint="eastAsia" w:eastAsia="宋体"/>
        <w:lang w:val="en-US" w:eastAsia="zh-CN"/>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81CD79">
                          <w:pPr>
                            <w:pStyle w:val="14"/>
                          </w:pPr>
                          <w:r>
                            <w:t xml:space="preserve">第 </w:t>
                          </w:r>
                          <w:r>
                            <w:fldChar w:fldCharType="begin"/>
                          </w:r>
                          <w:r>
                            <w:instrText xml:space="preserve"> PAGE  \* MERGEFORMAT </w:instrText>
                          </w:r>
                          <w:r>
                            <w:fldChar w:fldCharType="separate"/>
                          </w:r>
                          <w:r>
                            <w:t>43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p w14:paraId="0B81CD79">
                    <w:pPr>
                      <w:pStyle w:val="14"/>
                    </w:pPr>
                    <w:r>
                      <w:t xml:space="preserve">第 </w:t>
                    </w:r>
                    <w:r>
                      <w:fldChar w:fldCharType="begin"/>
                    </w:r>
                    <w:r>
                      <w:instrText xml:space="preserve"> PAGE  \* MERGEFORMAT </w:instrText>
                    </w:r>
                    <w:r>
                      <w:fldChar w:fldCharType="separate"/>
                    </w:r>
                    <w:r>
                      <w:t>43</w:t>
                    </w:r>
                    <w:r>
                      <w:fldChar w:fldCharType="end"/>
                    </w:r>
                    <w:r>
                      <w:t xml:space="preserve"> 页</w:t>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1D835E">
    <w:pPr>
      <w:pStyle w:val="14"/>
      <w:rPr>
        <w:rFonts w:hint="default" w:eastAsia="宋体"/>
        <w:lang w:val="en-US" w:eastAsia="zh-CN"/>
      </w:rP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CEABAA5">
                          <w:pPr>
                            <w:pStyle w:val="14"/>
                          </w:pPr>
                          <w:r>
                            <w:t xml:space="preserve">第 </w:t>
                          </w:r>
                          <w:r>
                            <w:fldChar w:fldCharType="begin"/>
                          </w:r>
                          <w:r>
                            <w:instrText xml:space="preserve"> PAGE  \* MERGEFORMAT </w:instrText>
                          </w:r>
                          <w:r>
                            <w:fldChar w:fldCharType="separate"/>
                          </w:r>
                          <w:r>
                            <w:t>44</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1CEABAA5">
                    <w:pPr>
                      <w:pStyle w:val="14"/>
                    </w:pPr>
                    <w:r>
                      <w:t xml:space="preserve">第 </w:t>
                    </w:r>
                    <w:r>
                      <w:fldChar w:fldCharType="begin"/>
                    </w:r>
                    <w:r>
                      <w:instrText xml:space="preserve"> PAGE  \* MERGEFORMAT </w:instrText>
                    </w:r>
                    <w:r>
                      <w:fldChar w:fldCharType="separate"/>
                    </w:r>
                    <w:r>
                      <w:t>44</w:t>
                    </w:r>
                    <w:r>
                      <w:fldChar w:fldCharType="end"/>
                    </w:r>
                    <w:r>
                      <w:t xml:space="preserve"> 页</w:t>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5F4580">
    <w:pPr>
      <w:pStyle w:val="14"/>
      <w:rPr>
        <w:rFonts w:hint="default" w:eastAsia="宋体"/>
        <w:lang w:val="en-US" w:eastAsia="zh-CN"/>
      </w:rP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69BE48">
                          <w:pPr>
                            <w:pStyle w:val="14"/>
                          </w:pPr>
                          <w:r>
                            <w:t xml:space="preserve">第 </w:t>
                          </w:r>
                          <w:r>
                            <w:fldChar w:fldCharType="begin"/>
                          </w:r>
                          <w:r>
                            <w:instrText xml:space="preserve"> PAGE  \* MERGEFORMAT </w:instrText>
                          </w:r>
                          <w:r>
                            <w:fldChar w:fldCharType="separate"/>
                          </w:r>
                          <w:r>
                            <w:t>100</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c+bJUzAgAAY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c+bJUzAgAAYwQAAA4AAAAAAAAAAQAgAAAAHwEAAGRycy9lMm9Eb2MueG1sUEsF&#10;BgAAAAAGAAYAWQEAAMQFAAAAAA==&#10;">
              <v:fill on="f" focussize="0,0"/>
              <v:stroke on="f" weight="0.5pt"/>
              <v:imagedata o:title=""/>
              <o:lock v:ext="edit" aspectratio="f"/>
              <v:textbox inset="0mm,0mm,0mm,0mm" style="mso-fit-shape-to-text:t;">
                <w:txbxContent>
                  <w:p w14:paraId="6469BE48">
                    <w:pPr>
                      <w:pStyle w:val="14"/>
                    </w:pPr>
                    <w:r>
                      <w:t xml:space="preserve">第 </w:t>
                    </w:r>
                    <w:r>
                      <w:fldChar w:fldCharType="begin"/>
                    </w:r>
                    <w:r>
                      <w:instrText xml:space="preserve"> PAGE  \* MERGEFORMAT </w:instrText>
                    </w:r>
                    <w:r>
                      <w:fldChar w:fldCharType="separate"/>
                    </w:r>
                    <w:r>
                      <w:t>100</w:t>
                    </w:r>
                    <w:r>
                      <w:fldChar w:fldCharType="end"/>
                    </w:r>
                    <w: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F8E2F9">
    <w:pPr>
      <w:pStyle w:val="15"/>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495B27">
    <w:pPr>
      <w:pStyle w:val="15"/>
      <w:pBdr>
        <w:bottom w:val="none" w:color="auto" w:sz="0" w:space="1"/>
      </w:pBdr>
      <w:snapToGri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82FCB9">
    <w:pPr>
      <w:pStyle w:val="15"/>
      <w:pBdr>
        <w:bottom w:val="none" w:color="auto" w:sz="0" w:space="1"/>
      </w:pBdr>
      <w:snapToGri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0C0A46"/>
    <w:multiLevelType w:val="singleLevel"/>
    <w:tmpl w:val="810C0A46"/>
    <w:lvl w:ilvl="0" w:tentative="0">
      <w:start w:val="1"/>
      <w:numFmt w:val="decimal"/>
      <w:lvlText w:val="%1."/>
      <w:lvlJc w:val="left"/>
      <w:pPr>
        <w:ind w:left="425" w:hanging="425"/>
      </w:pPr>
      <w:rPr>
        <w:rFonts w:hint="default"/>
      </w:rPr>
    </w:lvl>
  </w:abstractNum>
  <w:abstractNum w:abstractNumId="1">
    <w:nsid w:val="9F2E0D7F"/>
    <w:multiLevelType w:val="singleLevel"/>
    <w:tmpl w:val="9F2E0D7F"/>
    <w:lvl w:ilvl="0" w:tentative="0">
      <w:start w:val="1"/>
      <w:numFmt w:val="decimal"/>
      <w:lvlText w:val="附件%1."/>
      <w:lvlJc w:val="left"/>
      <w:pPr>
        <w:tabs>
          <w:tab w:val="left" w:pos="420"/>
        </w:tabs>
        <w:ind w:left="425" w:leftChars="0" w:hanging="425" w:firstLineChars="0"/>
      </w:pPr>
      <w:rPr>
        <w:rFonts w:hint="default"/>
      </w:rPr>
    </w:lvl>
  </w:abstractNum>
  <w:abstractNum w:abstractNumId="2">
    <w:nsid w:val="07B0F2A3"/>
    <w:multiLevelType w:val="singleLevel"/>
    <w:tmpl w:val="07B0F2A3"/>
    <w:lvl w:ilvl="0" w:tentative="0">
      <w:start w:val="1"/>
      <w:numFmt w:val="decimal"/>
      <w:lvlText w:val="%1."/>
      <w:lvlJc w:val="left"/>
      <w:pPr>
        <w:ind w:left="425" w:hanging="425"/>
      </w:pPr>
      <w:rPr>
        <w:rFonts w:hint="default"/>
      </w:rPr>
    </w:lvl>
  </w:abstractNum>
  <w:abstractNum w:abstractNumId="3">
    <w:nsid w:val="33722B2A"/>
    <w:multiLevelType w:val="singleLevel"/>
    <w:tmpl w:val="33722B2A"/>
    <w:lvl w:ilvl="0" w:tentative="0">
      <w:start w:val="1"/>
      <w:numFmt w:val="decimal"/>
      <w:lvlText w:val="%1."/>
      <w:lvlJc w:val="left"/>
      <w:pPr>
        <w:ind w:left="425" w:hanging="425"/>
      </w:pPr>
      <w:rPr>
        <w:rFonts w:hint="default"/>
      </w:rPr>
    </w:lvl>
  </w:abstractNum>
  <w:abstractNum w:abstractNumId="4">
    <w:nsid w:val="4F7EE67A"/>
    <w:multiLevelType w:val="singleLevel"/>
    <w:tmpl w:val="4F7EE67A"/>
    <w:lvl w:ilvl="0" w:tentative="0">
      <w:start w:val="1"/>
      <w:numFmt w:val="decimal"/>
      <w:lvlText w:val="附图%1."/>
      <w:lvlJc w:val="left"/>
      <w:pPr>
        <w:tabs>
          <w:tab w:val="left" w:pos="420"/>
        </w:tabs>
        <w:ind w:left="425" w:leftChars="0" w:hanging="425" w:firstLineChars="0"/>
      </w:pPr>
      <w:rPr>
        <w:rFonts w:hint="default"/>
      </w:rPr>
    </w:lvl>
  </w:abstractNum>
  <w:abstractNum w:abstractNumId="5">
    <w:nsid w:val="5D8A4FB1"/>
    <w:multiLevelType w:val="multilevel"/>
    <w:tmpl w:val="5D8A4FB1"/>
    <w:lvl w:ilvl="0" w:tentative="0">
      <w:start w:val="1"/>
      <w:numFmt w:val="decimal"/>
      <w:suff w:val="space"/>
      <w:lvlText w:val="%1"/>
      <w:lvlJc w:val="left"/>
      <w:pPr>
        <w:ind w:left="425" w:hanging="425"/>
      </w:pPr>
      <w:rPr>
        <w:rFonts w:hint="eastAsia"/>
      </w:rPr>
    </w:lvl>
    <w:lvl w:ilvl="1" w:tentative="0">
      <w:start w:val="1"/>
      <w:numFmt w:val="decimal"/>
      <w:pStyle w:val="5"/>
      <w:suff w:val="space"/>
      <w:lvlText w:val="%1.%2"/>
      <w:lvlJc w:val="left"/>
      <w:pPr>
        <w:ind w:left="567" w:hanging="567"/>
      </w:pPr>
      <w:rPr>
        <w:rFonts w:hint="eastAsia"/>
      </w:rPr>
    </w:lvl>
    <w:lvl w:ilvl="2" w:tentative="0">
      <w:start w:val="1"/>
      <w:numFmt w:val="decimal"/>
      <w:suff w:val="space"/>
      <w:lvlText w:val="%1.%2.%3"/>
      <w:lvlJc w:val="left"/>
      <w:pPr>
        <w:ind w:left="709" w:hanging="709"/>
      </w:pPr>
      <w:rPr>
        <w:rFonts w:hint="eastAsia"/>
      </w:rPr>
    </w:lvl>
    <w:lvl w:ilvl="3" w:tentative="0">
      <w:start w:val="1"/>
      <w:numFmt w:val="decimal"/>
      <w:lvlText w:val="%1.%2.%3.%4"/>
      <w:lvlJc w:val="left"/>
      <w:pPr>
        <w:ind w:left="851" w:hanging="851"/>
      </w:pPr>
      <w:rPr>
        <w:rFonts w:hint="eastAsia"/>
      </w:rPr>
    </w:lvl>
    <w:lvl w:ilvl="4" w:tentative="0">
      <w:start w:val="1"/>
      <w:numFmt w:val="decimal"/>
      <w:lvlText w:val="%1.%2.%3.%4.%5."/>
      <w:lvlJc w:val="left"/>
      <w:pPr>
        <w:ind w:left="992" w:hanging="992"/>
      </w:pPr>
      <w:rPr>
        <w:rFonts w:hint="eastAsia"/>
      </w:rPr>
    </w:lvl>
    <w:lvl w:ilvl="5" w:tentative="0">
      <w:start w:val="1"/>
      <w:numFmt w:val="decimal"/>
      <w:lvlText w:val="%1.%2.%3.%4.%5.%6."/>
      <w:lvlJc w:val="left"/>
      <w:pPr>
        <w:ind w:left="1134" w:hanging="1134"/>
      </w:pPr>
      <w:rPr>
        <w:rFonts w:hint="eastAsia"/>
      </w:rPr>
    </w:lvl>
    <w:lvl w:ilvl="6" w:tentative="0">
      <w:start w:val="1"/>
      <w:numFmt w:val="decimal"/>
      <w:lvlText w:val="%1.%2.%3.%4.%5.%6.%7."/>
      <w:lvlJc w:val="left"/>
      <w:pPr>
        <w:ind w:left="1276" w:hanging="1276"/>
      </w:pPr>
      <w:rPr>
        <w:rFonts w:hint="eastAsia"/>
      </w:rPr>
    </w:lvl>
    <w:lvl w:ilvl="7" w:tentative="0">
      <w:start w:val="1"/>
      <w:numFmt w:val="decimal"/>
      <w:lvlText w:val="%1.%2.%3.%4.%5.%6.%7.%8."/>
      <w:lvlJc w:val="left"/>
      <w:pPr>
        <w:ind w:left="1418" w:hanging="1418"/>
      </w:pPr>
      <w:rPr>
        <w:rFonts w:hint="eastAsia"/>
      </w:rPr>
    </w:lvl>
    <w:lvl w:ilvl="8" w:tentative="0">
      <w:start w:val="1"/>
      <w:numFmt w:val="decimal"/>
      <w:lvlText w:val="%1.%2.%3.%4.%5.%6.%7.%8.%9."/>
      <w:lvlJc w:val="left"/>
      <w:pPr>
        <w:ind w:left="1559" w:hanging="1559"/>
      </w:pPr>
      <w:rPr>
        <w:rFonts w:hint="eastAsia"/>
      </w:rPr>
    </w:lvl>
  </w:abstractNum>
  <w:num w:numId="1">
    <w:abstractNumId w:val="5"/>
  </w:num>
  <w:num w:numId="2">
    <w:abstractNumId w:val="0"/>
  </w:num>
  <w:num w:numId="3">
    <w:abstractNumId w:val="3"/>
  </w:num>
  <w:num w:numId="4">
    <w:abstractNumId w:val="2"/>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NotDisplayPageBoundaries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zRlMmMxNmY0M2Q3MzM5MTRlMDhlMGQyZjkyZmIzMTgifQ=="/>
    <w:docVar w:name="KSO_WPS_MARK_KEY" w:val="85f99cf3-ff50-4782-9dc7-6835a94e612e"/>
  </w:docVars>
  <w:rsids>
    <w:rsidRoot w:val="5EFA21D1"/>
    <w:rsid w:val="00011781"/>
    <w:rsid w:val="001570FF"/>
    <w:rsid w:val="00206264"/>
    <w:rsid w:val="0027647B"/>
    <w:rsid w:val="003F0551"/>
    <w:rsid w:val="00434823"/>
    <w:rsid w:val="00524B93"/>
    <w:rsid w:val="005D7E75"/>
    <w:rsid w:val="006555A8"/>
    <w:rsid w:val="00802E78"/>
    <w:rsid w:val="008308D0"/>
    <w:rsid w:val="00863B59"/>
    <w:rsid w:val="00DE6D69"/>
    <w:rsid w:val="00DF74D9"/>
    <w:rsid w:val="00E5569F"/>
    <w:rsid w:val="00EA0DD7"/>
    <w:rsid w:val="01250BA2"/>
    <w:rsid w:val="012C1E85"/>
    <w:rsid w:val="01361A05"/>
    <w:rsid w:val="013F6784"/>
    <w:rsid w:val="01407DFE"/>
    <w:rsid w:val="014F2E8B"/>
    <w:rsid w:val="0156177E"/>
    <w:rsid w:val="01625B57"/>
    <w:rsid w:val="01867C43"/>
    <w:rsid w:val="01A22B7C"/>
    <w:rsid w:val="01A93EA5"/>
    <w:rsid w:val="01A93FA3"/>
    <w:rsid w:val="01C56903"/>
    <w:rsid w:val="01EE7ACE"/>
    <w:rsid w:val="01FE30A6"/>
    <w:rsid w:val="022B029F"/>
    <w:rsid w:val="022D4322"/>
    <w:rsid w:val="024D6C7D"/>
    <w:rsid w:val="02693733"/>
    <w:rsid w:val="02752B02"/>
    <w:rsid w:val="029329DC"/>
    <w:rsid w:val="02BB13C6"/>
    <w:rsid w:val="02E02F52"/>
    <w:rsid w:val="02F53218"/>
    <w:rsid w:val="030376E3"/>
    <w:rsid w:val="030F66AC"/>
    <w:rsid w:val="03126F63"/>
    <w:rsid w:val="03285028"/>
    <w:rsid w:val="033661C5"/>
    <w:rsid w:val="03366612"/>
    <w:rsid w:val="03404493"/>
    <w:rsid w:val="03575C81"/>
    <w:rsid w:val="03681120"/>
    <w:rsid w:val="037C7496"/>
    <w:rsid w:val="03922815"/>
    <w:rsid w:val="03A81CA0"/>
    <w:rsid w:val="03CF3A1F"/>
    <w:rsid w:val="03DE5A5A"/>
    <w:rsid w:val="03EB46C9"/>
    <w:rsid w:val="041651F4"/>
    <w:rsid w:val="044A1802"/>
    <w:rsid w:val="046E1C4A"/>
    <w:rsid w:val="04722327"/>
    <w:rsid w:val="049006D3"/>
    <w:rsid w:val="04B62533"/>
    <w:rsid w:val="04B862AB"/>
    <w:rsid w:val="04CA2D6D"/>
    <w:rsid w:val="04E8141C"/>
    <w:rsid w:val="04F55751"/>
    <w:rsid w:val="04F733D8"/>
    <w:rsid w:val="04FB65BC"/>
    <w:rsid w:val="052A7392"/>
    <w:rsid w:val="05597A8E"/>
    <w:rsid w:val="05614B95"/>
    <w:rsid w:val="057E563F"/>
    <w:rsid w:val="059E0348"/>
    <w:rsid w:val="05A54306"/>
    <w:rsid w:val="05AB5E10"/>
    <w:rsid w:val="05AC4062"/>
    <w:rsid w:val="05B20B39"/>
    <w:rsid w:val="05BC001D"/>
    <w:rsid w:val="05C25634"/>
    <w:rsid w:val="05C837B0"/>
    <w:rsid w:val="05D4425A"/>
    <w:rsid w:val="05D45367"/>
    <w:rsid w:val="05F40FBD"/>
    <w:rsid w:val="05F94DCD"/>
    <w:rsid w:val="05FF022D"/>
    <w:rsid w:val="0618356D"/>
    <w:rsid w:val="062E2917"/>
    <w:rsid w:val="064B6CC3"/>
    <w:rsid w:val="066F4FFD"/>
    <w:rsid w:val="068930BD"/>
    <w:rsid w:val="06A157B1"/>
    <w:rsid w:val="06A64B7E"/>
    <w:rsid w:val="06AB256C"/>
    <w:rsid w:val="06C0230E"/>
    <w:rsid w:val="06E329C6"/>
    <w:rsid w:val="06E848AA"/>
    <w:rsid w:val="070A424D"/>
    <w:rsid w:val="07126147"/>
    <w:rsid w:val="071D4B6E"/>
    <w:rsid w:val="07261BF2"/>
    <w:rsid w:val="072E28A4"/>
    <w:rsid w:val="07463B51"/>
    <w:rsid w:val="07466C86"/>
    <w:rsid w:val="0784778C"/>
    <w:rsid w:val="07AF706E"/>
    <w:rsid w:val="07C84A57"/>
    <w:rsid w:val="07C934C7"/>
    <w:rsid w:val="07D948ED"/>
    <w:rsid w:val="07DB340B"/>
    <w:rsid w:val="07E5385B"/>
    <w:rsid w:val="07E708A6"/>
    <w:rsid w:val="081164A2"/>
    <w:rsid w:val="082C6406"/>
    <w:rsid w:val="085B200E"/>
    <w:rsid w:val="087D1CE6"/>
    <w:rsid w:val="087D5842"/>
    <w:rsid w:val="088E5CA1"/>
    <w:rsid w:val="088F3F4A"/>
    <w:rsid w:val="08973C05"/>
    <w:rsid w:val="08CC4152"/>
    <w:rsid w:val="08F83464"/>
    <w:rsid w:val="08FB62E0"/>
    <w:rsid w:val="09042473"/>
    <w:rsid w:val="093F28FF"/>
    <w:rsid w:val="096E162E"/>
    <w:rsid w:val="09A45050"/>
    <w:rsid w:val="09A6701A"/>
    <w:rsid w:val="09BC683E"/>
    <w:rsid w:val="09C44DB8"/>
    <w:rsid w:val="09C733B2"/>
    <w:rsid w:val="09CF0ED6"/>
    <w:rsid w:val="09D623BE"/>
    <w:rsid w:val="0A1C1771"/>
    <w:rsid w:val="0A261F09"/>
    <w:rsid w:val="0A474359"/>
    <w:rsid w:val="0A494C77"/>
    <w:rsid w:val="0A596E29"/>
    <w:rsid w:val="0A656ED5"/>
    <w:rsid w:val="0AE20526"/>
    <w:rsid w:val="0AFB06BA"/>
    <w:rsid w:val="0B13213A"/>
    <w:rsid w:val="0B294C45"/>
    <w:rsid w:val="0B4D3BF1"/>
    <w:rsid w:val="0B6C1D3A"/>
    <w:rsid w:val="0B937B18"/>
    <w:rsid w:val="0BA3629B"/>
    <w:rsid w:val="0BA63302"/>
    <w:rsid w:val="0BB47B4C"/>
    <w:rsid w:val="0BC1141C"/>
    <w:rsid w:val="0BC1638D"/>
    <w:rsid w:val="0C0D15D3"/>
    <w:rsid w:val="0C0F6BAC"/>
    <w:rsid w:val="0C187218"/>
    <w:rsid w:val="0C3C77C2"/>
    <w:rsid w:val="0C7C29CB"/>
    <w:rsid w:val="0C9910B8"/>
    <w:rsid w:val="0CBB5269"/>
    <w:rsid w:val="0CCE2B10"/>
    <w:rsid w:val="0CD6503B"/>
    <w:rsid w:val="0CDB3951"/>
    <w:rsid w:val="0CED135C"/>
    <w:rsid w:val="0CFF0F1B"/>
    <w:rsid w:val="0D0E5602"/>
    <w:rsid w:val="0D2A6B96"/>
    <w:rsid w:val="0D393AAF"/>
    <w:rsid w:val="0D4977E2"/>
    <w:rsid w:val="0D646FD0"/>
    <w:rsid w:val="0D6B035F"/>
    <w:rsid w:val="0D7F05E0"/>
    <w:rsid w:val="0D8F5536"/>
    <w:rsid w:val="0D946CC0"/>
    <w:rsid w:val="0D961154"/>
    <w:rsid w:val="0DAE1B12"/>
    <w:rsid w:val="0DCD2DC7"/>
    <w:rsid w:val="0DD16D94"/>
    <w:rsid w:val="0DDA7292"/>
    <w:rsid w:val="0E0C5F1C"/>
    <w:rsid w:val="0E100F06"/>
    <w:rsid w:val="0E1909FD"/>
    <w:rsid w:val="0E1F39E3"/>
    <w:rsid w:val="0E2624D8"/>
    <w:rsid w:val="0E3A4E9C"/>
    <w:rsid w:val="0E4C3E6F"/>
    <w:rsid w:val="0E4E293E"/>
    <w:rsid w:val="0E517E3C"/>
    <w:rsid w:val="0E5C414B"/>
    <w:rsid w:val="0E8C422E"/>
    <w:rsid w:val="0EB14441"/>
    <w:rsid w:val="0EC60EF7"/>
    <w:rsid w:val="0EC87A33"/>
    <w:rsid w:val="0ED70E7F"/>
    <w:rsid w:val="0F1E7653"/>
    <w:rsid w:val="0F25249E"/>
    <w:rsid w:val="0F753717"/>
    <w:rsid w:val="0FA20284"/>
    <w:rsid w:val="0FB029A1"/>
    <w:rsid w:val="0FC9703E"/>
    <w:rsid w:val="0FDC2AA1"/>
    <w:rsid w:val="0FDC2DB5"/>
    <w:rsid w:val="10065FD9"/>
    <w:rsid w:val="10076DF6"/>
    <w:rsid w:val="10087D69"/>
    <w:rsid w:val="100D1BA1"/>
    <w:rsid w:val="10294501"/>
    <w:rsid w:val="10480E2B"/>
    <w:rsid w:val="10690272"/>
    <w:rsid w:val="109827B7"/>
    <w:rsid w:val="109E0A4B"/>
    <w:rsid w:val="10B77D5F"/>
    <w:rsid w:val="10DD77C5"/>
    <w:rsid w:val="10E368A9"/>
    <w:rsid w:val="10F724B7"/>
    <w:rsid w:val="10FF1479"/>
    <w:rsid w:val="11004148"/>
    <w:rsid w:val="111A1C11"/>
    <w:rsid w:val="112E0967"/>
    <w:rsid w:val="112F3B4D"/>
    <w:rsid w:val="117F6ACF"/>
    <w:rsid w:val="11A622AD"/>
    <w:rsid w:val="11AC7198"/>
    <w:rsid w:val="11DC38AE"/>
    <w:rsid w:val="11E3705D"/>
    <w:rsid w:val="11E93F48"/>
    <w:rsid w:val="11F02EDE"/>
    <w:rsid w:val="11FC1AED"/>
    <w:rsid w:val="11FD265B"/>
    <w:rsid w:val="120D5E88"/>
    <w:rsid w:val="1252752F"/>
    <w:rsid w:val="12554597"/>
    <w:rsid w:val="12845D1D"/>
    <w:rsid w:val="1299596E"/>
    <w:rsid w:val="12C20AD4"/>
    <w:rsid w:val="12DE21FA"/>
    <w:rsid w:val="12E24589"/>
    <w:rsid w:val="12EC0194"/>
    <w:rsid w:val="12EE1F87"/>
    <w:rsid w:val="13005F7F"/>
    <w:rsid w:val="132F6E91"/>
    <w:rsid w:val="133631BD"/>
    <w:rsid w:val="13367EB4"/>
    <w:rsid w:val="13433B2C"/>
    <w:rsid w:val="134749AD"/>
    <w:rsid w:val="136303CB"/>
    <w:rsid w:val="136524C5"/>
    <w:rsid w:val="13684F6C"/>
    <w:rsid w:val="139544F7"/>
    <w:rsid w:val="13AC5F43"/>
    <w:rsid w:val="13D44784"/>
    <w:rsid w:val="13E8624A"/>
    <w:rsid w:val="142B6A9A"/>
    <w:rsid w:val="144C07BE"/>
    <w:rsid w:val="145D186B"/>
    <w:rsid w:val="1461160D"/>
    <w:rsid w:val="14633086"/>
    <w:rsid w:val="147C72F5"/>
    <w:rsid w:val="14BA1BCC"/>
    <w:rsid w:val="14D81917"/>
    <w:rsid w:val="14EB5314"/>
    <w:rsid w:val="14F046B4"/>
    <w:rsid w:val="15090DF1"/>
    <w:rsid w:val="150A60DD"/>
    <w:rsid w:val="15311E8E"/>
    <w:rsid w:val="157A45AB"/>
    <w:rsid w:val="158346B4"/>
    <w:rsid w:val="159468C1"/>
    <w:rsid w:val="15D63292"/>
    <w:rsid w:val="15D64EF0"/>
    <w:rsid w:val="15F630D7"/>
    <w:rsid w:val="16092E0B"/>
    <w:rsid w:val="16187A98"/>
    <w:rsid w:val="161C2B3E"/>
    <w:rsid w:val="161C4821"/>
    <w:rsid w:val="1624650B"/>
    <w:rsid w:val="162714E3"/>
    <w:rsid w:val="163137A6"/>
    <w:rsid w:val="163559AE"/>
    <w:rsid w:val="16412024"/>
    <w:rsid w:val="164503EC"/>
    <w:rsid w:val="16467BBB"/>
    <w:rsid w:val="165E051B"/>
    <w:rsid w:val="1682323F"/>
    <w:rsid w:val="16AA4374"/>
    <w:rsid w:val="16B15CA2"/>
    <w:rsid w:val="16B41499"/>
    <w:rsid w:val="16B5089D"/>
    <w:rsid w:val="16CF768A"/>
    <w:rsid w:val="16F16621"/>
    <w:rsid w:val="17103770"/>
    <w:rsid w:val="173E0892"/>
    <w:rsid w:val="175372AA"/>
    <w:rsid w:val="1761189A"/>
    <w:rsid w:val="17917892"/>
    <w:rsid w:val="17AD77C6"/>
    <w:rsid w:val="17CA0378"/>
    <w:rsid w:val="17D17958"/>
    <w:rsid w:val="17F3167D"/>
    <w:rsid w:val="18010887"/>
    <w:rsid w:val="180A2E6A"/>
    <w:rsid w:val="1823404F"/>
    <w:rsid w:val="182932F0"/>
    <w:rsid w:val="18690202"/>
    <w:rsid w:val="1878128A"/>
    <w:rsid w:val="18816525"/>
    <w:rsid w:val="18954E2A"/>
    <w:rsid w:val="18A1536C"/>
    <w:rsid w:val="18A22BE0"/>
    <w:rsid w:val="18A722B7"/>
    <w:rsid w:val="18E65685"/>
    <w:rsid w:val="18FC4A33"/>
    <w:rsid w:val="190470B1"/>
    <w:rsid w:val="192A0D59"/>
    <w:rsid w:val="19375EE1"/>
    <w:rsid w:val="193D5CAC"/>
    <w:rsid w:val="19502AFF"/>
    <w:rsid w:val="196029BC"/>
    <w:rsid w:val="196127AF"/>
    <w:rsid w:val="196149DD"/>
    <w:rsid w:val="196A2073"/>
    <w:rsid w:val="196E04FF"/>
    <w:rsid w:val="19706DA8"/>
    <w:rsid w:val="198E64FA"/>
    <w:rsid w:val="199D3F96"/>
    <w:rsid w:val="199F6031"/>
    <w:rsid w:val="19E92ED7"/>
    <w:rsid w:val="19F57F4C"/>
    <w:rsid w:val="1A200723"/>
    <w:rsid w:val="1A514D80"/>
    <w:rsid w:val="1A8707A2"/>
    <w:rsid w:val="1A9165C6"/>
    <w:rsid w:val="1AA615A6"/>
    <w:rsid w:val="1ABD5F72"/>
    <w:rsid w:val="1AC65CFC"/>
    <w:rsid w:val="1B07305E"/>
    <w:rsid w:val="1B3A7A37"/>
    <w:rsid w:val="1B5872C9"/>
    <w:rsid w:val="1B66485B"/>
    <w:rsid w:val="1B6823C0"/>
    <w:rsid w:val="1B6C70AB"/>
    <w:rsid w:val="1B9413C8"/>
    <w:rsid w:val="1B972C67"/>
    <w:rsid w:val="1BA41E8B"/>
    <w:rsid w:val="1BB235FD"/>
    <w:rsid w:val="1BB27AA1"/>
    <w:rsid w:val="1BBE60C0"/>
    <w:rsid w:val="1BD04127"/>
    <w:rsid w:val="1BE25871"/>
    <w:rsid w:val="1BEF2B65"/>
    <w:rsid w:val="1C012E1D"/>
    <w:rsid w:val="1C053F8F"/>
    <w:rsid w:val="1C36422E"/>
    <w:rsid w:val="1C4E05CA"/>
    <w:rsid w:val="1C9851A4"/>
    <w:rsid w:val="1C9E32DB"/>
    <w:rsid w:val="1CB57848"/>
    <w:rsid w:val="1CC61A56"/>
    <w:rsid w:val="1CCF0226"/>
    <w:rsid w:val="1CED2268"/>
    <w:rsid w:val="1CF245F9"/>
    <w:rsid w:val="1D215921"/>
    <w:rsid w:val="1D24677C"/>
    <w:rsid w:val="1D305121"/>
    <w:rsid w:val="1D356978"/>
    <w:rsid w:val="1D3A5FA0"/>
    <w:rsid w:val="1D3D339A"/>
    <w:rsid w:val="1D457387"/>
    <w:rsid w:val="1D4604A0"/>
    <w:rsid w:val="1D633229"/>
    <w:rsid w:val="1D665076"/>
    <w:rsid w:val="1D730816"/>
    <w:rsid w:val="1DB60F3B"/>
    <w:rsid w:val="1DB95116"/>
    <w:rsid w:val="1DC704A9"/>
    <w:rsid w:val="1DD261B5"/>
    <w:rsid w:val="1DFD6BCE"/>
    <w:rsid w:val="1E447DED"/>
    <w:rsid w:val="1E827BFE"/>
    <w:rsid w:val="1E8A58C8"/>
    <w:rsid w:val="1EC618AE"/>
    <w:rsid w:val="1ECE6634"/>
    <w:rsid w:val="1EE461C3"/>
    <w:rsid w:val="1F060FA9"/>
    <w:rsid w:val="1F242A63"/>
    <w:rsid w:val="1F2F6B77"/>
    <w:rsid w:val="1F3C53F6"/>
    <w:rsid w:val="1F47260B"/>
    <w:rsid w:val="1F716966"/>
    <w:rsid w:val="1F844211"/>
    <w:rsid w:val="1F86331D"/>
    <w:rsid w:val="1FBF3DA4"/>
    <w:rsid w:val="1FE71D05"/>
    <w:rsid w:val="20012DA5"/>
    <w:rsid w:val="20590CF1"/>
    <w:rsid w:val="206D2C09"/>
    <w:rsid w:val="207215AC"/>
    <w:rsid w:val="207940F7"/>
    <w:rsid w:val="20887C79"/>
    <w:rsid w:val="208C3627"/>
    <w:rsid w:val="208D6343"/>
    <w:rsid w:val="20D364EF"/>
    <w:rsid w:val="20E83ABC"/>
    <w:rsid w:val="20EB3D64"/>
    <w:rsid w:val="20FB606D"/>
    <w:rsid w:val="20FC3C98"/>
    <w:rsid w:val="212F7953"/>
    <w:rsid w:val="21464F13"/>
    <w:rsid w:val="2148495E"/>
    <w:rsid w:val="21577120"/>
    <w:rsid w:val="215E7CCE"/>
    <w:rsid w:val="218618DF"/>
    <w:rsid w:val="21917EFC"/>
    <w:rsid w:val="21A000BC"/>
    <w:rsid w:val="21C978F2"/>
    <w:rsid w:val="21D40771"/>
    <w:rsid w:val="21EA7F94"/>
    <w:rsid w:val="22054B21"/>
    <w:rsid w:val="221B4E1C"/>
    <w:rsid w:val="221E3BBB"/>
    <w:rsid w:val="223C6316"/>
    <w:rsid w:val="22543103"/>
    <w:rsid w:val="225B0095"/>
    <w:rsid w:val="225E0781"/>
    <w:rsid w:val="22784224"/>
    <w:rsid w:val="228323A4"/>
    <w:rsid w:val="228C4BA7"/>
    <w:rsid w:val="22DD12FA"/>
    <w:rsid w:val="22DE2AD5"/>
    <w:rsid w:val="23046E34"/>
    <w:rsid w:val="23276930"/>
    <w:rsid w:val="234D35DF"/>
    <w:rsid w:val="2357795E"/>
    <w:rsid w:val="235C6C70"/>
    <w:rsid w:val="23AE4805"/>
    <w:rsid w:val="23B33E8E"/>
    <w:rsid w:val="23CD52DA"/>
    <w:rsid w:val="23D5432C"/>
    <w:rsid w:val="23D867FD"/>
    <w:rsid w:val="23E7405F"/>
    <w:rsid w:val="2423778D"/>
    <w:rsid w:val="24302F1E"/>
    <w:rsid w:val="2436290E"/>
    <w:rsid w:val="246D0A09"/>
    <w:rsid w:val="24885842"/>
    <w:rsid w:val="2499362A"/>
    <w:rsid w:val="249D284D"/>
    <w:rsid w:val="24A53510"/>
    <w:rsid w:val="24D04FF5"/>
    <w:rsid w:val="24DD51E3"/>
    <w:rsid w:val="24E77521"/>
    <w:rsid w:val="24EB32CF"/>
    <w:rsid w:val="24EF1C26"/>
    <w:rsid w:val="24FD2A4A"/>
    <w:rsid w:val="2500420D"/>
    <w:rsid w:val="2504136D"/>
    <w:rsid w:val="251331EE"/>
    <w:rsid w:val="25535523"/>
    <w:rsid w:val="258778A8"/>
    <w:rsid w:val="258F065A"/>
    <w:rsid w:val="25AA505F"/>
    <w:rsid w:val="25AE3229"/>
    <w:rsid w:val="25BA43DD"/>
    <w:rsid w:val="25C66A1A"/>
    <w:rsid w:val="25CF5FD2"/>
    <w:rsid w:val="25D521C4"/>
    <w:rsid w:val="25E15AAF"/>
    <w:rsid w:val="25F20F42"/>
    <w:rsid w:val="25F82554"/>
    <w:rsid w:val="261A071C"/>
    <w:rsid w:val="261A4BC0"/>
    <w:rsid w:val="262C4E33"/>
    <w:rsid w:val="2635049A"/>
    <w:rsid w:val="26606A77"/>
    <w:rsid w:val="266B541C"/>
    <w:rsid w:val="26951A59"/>
    <w:rsid w:val="26D72E9A"/>
    <w:rsid w:val="26DD1E76"/>
    <w:rsid w:val="2702519E"/>
    <w:rsid w:val="270D57BC"/>
    <w:rsid w:val="27231678"/>
    <w:rsid w:val="274572A5"/>
    <w:rsid w:val="274F43F6"/>
    <w:rsid w:val="276C144B"/>
    <w:rsid w:val="27715ADA"/>
    <w:rsid w:val="27746CDC"/>
    <w:rsid w:val="27802DF0"/>
    <w:rsid w:val="278620A5"/>
    <w:rsid w:val="27DD40F7"/>
    <w:rsid w:val="27E070B1"/>
    <w:rsid w:val="27E163BA"/>
    <w:rsid w:val="281178FD"/>
    <w:rsid w:val="281F201A"/>
    <w:rsid w:val="28285372"/>
    <w:rsid w:val="284A5F74"/>
    <w:rsid w:val="28520641"/>
    <w:rsid w:val="286B4800"/>
    <w:rsid w:val="28796F4D"/>
    <w:rsid w:val="287E1086"/>
    <w:rsid w:val="28A97330"/>
    <w:rsid w:val="28C40176"/>
    <w:rsid w:val="28C66B5F"/>
    <w:rsid w:val="28C8445F"/>
    <w:rsid w:val="28CB31C7"/>
    <w:rsid w:val="28E90B53"/>
    <w:rsid w:val="28F52AD3"/>
    <w:rsid w:val="291716B3"/>
    <w:rsid w:val="291E6775"/>
    <w:rsid w:val="29251585"/>
    <w:rsid w:val="2982415D"/>
    <w:rsid w:val="299802D6"/>
    <w:rsid w:val="29B86A4F"/>
    <w:rsid w:val="29BF1254"/>
    <w:rsid w:val="29EA586E"/>
    <w:rsid w:val="2A4251EF"/>
    <w:rsid w:val="2A7331BD"/>
    <w:rsid w:val="2A8E1FFB"/>
    <w:rsid w:val="2A932BB6"/>
    <w:rsid w:val="2ABE388D"/>
    <w:rsid w:val="2ABF4778"/>
    <w:rsid w:val="2ACF0639"/>
    <w:rsid w:val="2AF25958"/>
    <w:rsid w:val="2AF658A4"/>
    <w:rsid w:val="2B0F6F24"/>
    <w:rsid w:val="2B144310"/>
    <w:rsid w:val="2B2F06A6"/>
    <w:rsid w:val="2B6B0121"/>
    <w:rsid w:val="2B735625"/>
    <w:rsid w:val="2B7663F5"/>
    <w:rsid w:val="2B936FA7"/>
    <w:rsid w:val="2B976EA5"/>
    <w:rsid w:val="2BB71776"/>
    <w:rsid w:val="2BCD78C0"/>
    <w:rsid w:val="2BE241FD"/>
    <w:rsid w:val="2C041C52"/>
    <w:rsid w:val="2C1F6752"/>
    <w:rsid w:val="2C295F0F"/>
    <w:rsid w:val="2C310918"/>
    <w:rsid w:val="2C320B95"/>
    <w:rsid w:val="2C424529"/>
    <w:rsid w:val="2C4F6144"/>
    <w:rsid w:val="2C9034E6"/>
    <w:rsid w:val="2CBC7AB8"/>
    <w:rsid w:val="2CC52496"/>
    <w:rsid w:val="2CD81CF1"/>
    <w:rsid w:val="2CF02CEE"/>
    <w:rsid w:val="2D154B6D"/>
    <w:rsid w:val="2D3A1090"/>
    <w:rsid w:val="2D430559"/>
    <w:rsid w:val="2D584B56"/>
    <w:rsid w:val="2D955755"/>
    <w:rsid w:val="2D990AC0"/>
    <w:rsid w:val="2DB03C56"/>
    <w:rsid w:val="2DC140F1"/>
    <w:rsid w:val="2DDD09AD"/>
    <w:rsid w:val="2DE947AC"/>
    <w:rsid w:val="2DF72B01"/>
    <w:rsid w:val="2DFD2F6E"/>
    <w:rsid w:val="2E084104"/>
    <w:rsid w:val="2E437E3F"/>
    <w:rsid w:val="2E5D1AEE"/>
    <w:rsid w:val="2ED57479"/>
    <w:rsid w:val="2F1403FE"/>
    <w:rsid w:val="2F210D6D"/>
    <w:rsid w:val="2F4837E2"/>
    <w:rsid w:val="2F634EE2"/>
    <w:rsid w:val="2F8A6913"/>
    <w:rsid w:val="2FB1610C"/>
    <w:rsid w:val="2FB73743"/>
    <w:rsid w:val="2FC53494"/>
    <w:rsid w:val="2FEC07F3"/>
    <w:rsid w:val="300246FB"/>
    <w:rsid w:val="30143200"/>
    <w:rsid w:val="30190DE7"/>
    <w:rsid w:val="302A04A7"/>
    <w:rsid w:val="3036525C"/>
    <w:rsid w:val="3044710A"/>
    <w:rsid w:val="30515682"/>
    <w:rsid w:val="305807BF"/>
    <w:rsid w:val="3092644E"/>
    <w:rsid w:val="309C5D9D"/>
    <w:rsid w:val="30A12166"/>
    <w:rsid w:val="30AB4D93"/>
    <w:rsid w:val="30AE4CAF"/>
    <w:rsid w:val="30AE7074"/>
    <w:rsid w:val="30D8545C"/>
    <w:rsid w:val="30DA7035"/>
    <w:rsid w:val="30EA1EE8"/>
    <w:rsid w:val="30ED546B"/>
    <w:rsid w:val="30F85A58"/>
    <w:rsid w:val="31097D0B"/>
    <w:rsid w:val="311A10CC"/>
    <w:rsid w:val="3120566D"/>
    <w:rsid w:val="312D1C4B"/>
    <w:rsid w:val="313308E4"/>
    <w:rsid w:val="31436D79"/>
    <w:rsid w:val="31837ABD"/>
    <w:rsid w:val="31905E79"/>
    <w:rsid w:val="31983F13"/>
    <w:rsid w:val="31AD718D"/>
    <w:rsid w:val="31E01503"/>
    <w:rsid w:val="31E83DC4"/>
    <w:rsid w:val="31EA18EB"/>
    <w:rsid w:val="320D55D9"/>
    <w:rsid w:val="323745C1"/>
    <w:rsid w:val="32472B70"/>
    <w:rsid w:val="32702F51"/>
    <w:rsid w:val="328C0BC3"/>
    <w:rsid w:val="32A74A94"/>
    <w:rsid w:val="32AC6BA0"/>
    <w:rsid w:val="32BB5035"/>
    <w:rsid w:val="32CB34CA"/>
    <w:rsid w:val="32DA44CF"/>
    <w:rsid w:val="334D3CCA"/>
    <w:rsid w:val="33501C21"/>
    <w:rsid w:val="335D7E9A"/>
    <w:rsid w:val="33614333"/>
    <w:rsid w:val="33677D24"/>
    <w:rsid w:val="339F7436"/>
    <w:rsid w:val="33A91021"/>
    <w:rsid w:val="33B03DEF"/>
    <w:rsid w:val="33B61EB0"/>
    <w:rsid w:val="33D631D9"/>
    <w:rsid w:val="33E32A95"/>
    <w:rsid w:val="33F144DC"/>
    <w:rsid w:val="3401743D"/>
    <w:rsid w:val="341A0FA3"/>
    <w:rsid w:val="343E5F1E"/>
    <w:rsid w:val="34433534"/>
    <w:rsid w:val="34436A2A"/>
    <w:rsid w:val="34442F4F"/>
    <w:rsid w:val="34621C0C"/>
    <w:rsid w:val="34800283"/>
    <w:rsid w:val="3483005F"/>
    <w:rsid w:val="34936269"/>
    <w:rsid w:val="34C71763"/>
    <w:rsid w:val="34D31C7B"/>
    <w:rsid w:val="34DD38AF"/>
    <w:rsid w:val="34E116C0"/>
    <w:rsid w:val="34F0009B"/>
    <w:rsid w:val="351A011E"/>
    <w:rsid w:val="352E1AEE"/>
    <w:rsid w:val="35373AAC"/>
    <w:rsid w:val="35374E47"/>
    <w:rsid w:val="35520C5C"/>
    <w:rsid w:val="35527ED3"/>
    <w:rsid w:val="3577361D"/>
    <w:rsid w:val="35851A15"/>
    <w:rsid w:val="358A6EDB"/>
    <w:rsid w:val="359202CF"/>
    <w:rsid w:val="359A3740"/>
    <w:rsid w:val="35B30245"/>
    <w:rsid w:val="35C15AD5"/>
    <w:rsid w:val="35E054DE"/>
    <w:rsid w:val="35E30B2B"/>
    <w:rsid w:val="360417F0"/>
    <w:rsid w:val="36171DC5"/>
    <w:rsid w:val="36257DAA"/>
    <w:rsid w:val="365F74DC"/>
    <w:rsid w:val="367B5207"/>
    <w:rsid w:val="369E4A52"/>
    <w:rsid w:val="36AB46A8"/>
    <w:rsid w:val="36DE34A6"/>
    <w:rsid w:val="36EE7787"/>
    <w:rsid w:val="36F26843"/>
    <w:rsid w:val="37126BC7"/>
    <w:rsid w:val="372C6501"/>
    <w:rsid w:val="37305FF2"/>
    <w:rsid w:val="37335AE2"/>
    <w:rsid w:val="3744046B"/>
    <w:rsid w:val="37472888"/>
    <w:rsid w:val="37596407"/>
    <w:rsid w:val="375F3E1F"/>
    <w:rsid w:val="377B7EA0"/>
    <w:rsid w:val="37A97B52"/>
    <w:rsid w:val="37B26A07"/>
    <w:rsid w:val="37BF7375"/>
    <w:rsid w:val="37CA01F4"/>
    <w:rsid w:val="37CE66E5"/>
    <w:rsid w:val="37EA17DA"/>
    <w:rsid w:val="382C31FF"/>
    <w:rsid w:val="383D7513"/>
    <w:rsid w:val="384F4255"/>
    <w:rsid w:val="387C23D2"/>
    <w:rsid w:val="38954539"/>
    <w:rsid w:val="38B90B2A"/>
    <w:rsid w:val="38D676C9"/>
    <w:rsid w:val="38D806EF"/>
    <w:rsid w:val="38E250CA"/>
    <w:rsid w:val="38E47094"/>
    <w:rsid w:val="38E56968"/>
    <w:rsid w:val="38E95479"/>
    <w:rsid w:val="394A24FE"/>
    <w:rsid w:val="395313F4"/>
    <w:rsid w:val="39536F7B"/>
    <w:rsid w:val="39616936"/>
    <w:rsid w:val="39663F4D"/>
    <w:rsid w:val="39671A73"/>
    <w:rsid w:val="3975353C"/>
    <w:rsid w:val="399F745E"/>
    <w:rsid w:val="39A360FB"/>
    <w:rsid w:val="39F54B1C"/>
    <w:rsid w:val="39F65E57"/>
    <w:rsid w:val="39F82064"/>
    <w:rsid w:val="39FE318D"/>
    <w:rsid w:val="3A087C00"/>
    <w:rsid w:val="3A295650"/>
    <w:rsid w:val="3A3C2EFF"/>
    <w:rsid w:val="3A541FF7"/>
    <w:rsid w:val="3A5B15D7"/>
    <w:rsid w:val="3A954F03"/>
    <w:rsid w:val="3AA765CB"/>
    <w:rsid w:val="3AAD28A5"/>
    <w:rsid w:val="3AB37CA2"/>
    <w:rsid w:val="3AD66EB0"/>
    <w:rsid w:val="3AE90EF5"/>
    <w:rsid w:val="3AF143FE"/>
    <w:rsid w:val="3B057795"/>
    <w:rsid w:val="3B080E71"/>
    <w:rsid w:val="3B183024"/>
    <w:rsid w:val="3B3C7398"/>
    <w:rsid w:val="3B4C2C47"/>
    <w:rsid w:val="3B5265D8"/>
    <w:rsid w:val="3B975B59"/>
    <w:rsid w:val="3B9823B7"/>
    <w:rsid w:val="3BA23B9D"/>
    <w:rsid w:val="3BB34EA7"/>
    <w:rsid w:val="3BC431AC"/>
    <w:rsid w:val="3BC45EB1"/>
    <w:rsid w:val="3BD842B9"/>
    <w:rsid w:val="3BE61375"/>
    <w:rsid w:val="3C0417FB"/>
    <w:rsid w:val="3C127609"/>
    <w:rsid w:val="3C134475"/>
    <w:rsid w:val="3C187054"/>
    <w:rsid w:val="3C4529AA"/>
    <w:rsid w:val="3C4D1498"/>
    <w:rsid w:val="3C5D5A85"/>
    <w:rsid w:val="3C7A43D9"/>
    <w:rsid w:val="3C9A7B37"/>
    <w:rsid w:val="3C9D0D30"/>
    <w:rsid w:val="3CC52D38"/>
    <w:rsid w:val="3CD86A9F"/>
    <w:rsid w:val="3CF65001"/>
    <w:rsid w:val="3D1B1645"/>
    <w:rsid w:val="3D23109A"/>
    <w:rsid w:val="3D4C2BB9"/>
    <w:rsid w:val="3D593900"/>
    <w:rsid w:val="3D874491"/>
    <w:rsid w:val="3DC57E1D"/>
    <w:rsid w:val="3DCF328D"/>
    <w:rsid w:val="3DE5781C"/>
    <w:rsid w:val="3DE8108C"/>
    <w:rsid w:val="3DF344FF"/>
    <w:rsid w:val="3E02162D"/>
    <w:rsid w:val="3E031105"/>
    <w:rsid w:val="3E2148E6"/>
    <w:rsid w:val="3E2E0A91"/>
    <w:rsid w:val="3E344619"/>
    <w:rsid w:val="3E8D5AD7"/>
    <w:rsid w:val="3E8E5FFD"/>
    <w:rsid w:val="3E9926CE"/>
    <w:rsid w:val="3E9E5677"/>
    <w:rsid w:val="3EDA6C9A"/>
    <w:rsid w:val="3EDE5224"/>
    <w:rsid w:val="3F15172B"/>
    <w:rsid w:val="3F1A38CA"/>
    <w:rsid w:val="3F1C5E20"/>
    <w:rsid w:val="3F311ABC"/>
    <w:rsid w:val="3F43088C"/>
    <w:rsid w:val="3F436657"/>
    <w:rsid w:val="3F43727D"/>
    <w:rsid w:val="3F461CB5"/>
    <w:rsid w:val="3F80388E"/>
    <w:rsid w:val="3F850EA5"/>
    <w:rsid w:val="3F88629F"/>
    <w:rsid w:val="3FC337E4"/>
    <w:rsid w:val="3FC619D0"/>
    <w:rsid w:val="3FC7326B"/>
    <w:rsid w:val="3FE10956"/>
    <w:rsid w:val="3FF35FA7"/>
    <w:rsid w:val="3FFE1A17"/>
    <w:rsid w:val="4006197F"/>
    <w:rsid w:val="400D4D24"/>
    <w:rsid w:val="401E041B"/>
    <w:rsid w:val="4041301D"/>
    <w:rsid w:val="40491675"/>
    <w:rsid w:val="40717686"/>
    <w:rsid w:val="407D1B7C"/>
    <w:rsid w:val="40A0130E"/>
    <w:rsid w:val="40A210B7"/>
    <w:rsid w:val="40CC7154"/>
    <w:rsid w:val="4109367D"/>
    <w:rsid w:val="41115210"/>
    <w:rsid w:val="411E689B"/>
    <w:rsid w:val="412D35A2"/>
    <w:rsid w:val="4137352F"/>
    <w:rsid w:val="41434B73"/>
    <w:rsid w:val="41502D53"/>
    <w:rsid w:val="41650BF9"/>
    <w:rsid w:val="416C39BC"/>
    <w:rsid w:val="41884FF2"/>
    <w:rsid w:val="419C31F1"/>
    <w:rsid w:val="41A41C3A"/>
    <w:rsid w:val="41B810BD"/>
    <w:rsid w:val="41C31810"/>
    <w:rsid w:val="41DF3A5A"/>
    <w:rsid w:val="41E91184"/>
    <w:rsid w:val="42127FFC"/>
    <w:rsid w:val="42165DE4"/>
    <w:rsid w:val="421678CB"/>
    <w:rsid w:val="422C0164"/>
    <w:rsid w:val="42701998"/>
    <w:rsid w:val="427C5AA9"/>
    <w:rsid w:val="429531AD"/>
    <w:rsid w:val="42984A4B"/>
    <w:rsid w:val="42D47A59"/>
    <w:rsid w:val="42EC095C"/>
    <w:rsid w:val="42F306DC"/>
    <w:rsid w:val="430B7F29"/>
    <w:rsid w:val="430C2D23"/>
    <w:rsid w:val="4332746C"/>
    <w:rsid w:val="435439B0"/>
    <w:rsid w:val="4356268C"/>
    <w:rsid w:val="435639F0"/>
    <w:rsid w:val="43655F7F"/>
    <w:rsid w:val="43911BC6"/>
    <w:rsid w:val="43C006FD"/>
    <w:rsid w:val="43C465FD"/>
    <w:rsid w:val="43E207E3"/>
    <w:rsid w:val="43E66113"/>
    <w:rsid w:val="43F45D3F"/>
    <w:rsid w:val="443469F5"/>
    <w:rsid w:val="4469669F"/>
    <w:rsid w:val="44742AB1"/>
    <w:rsid w:val="44C4409A"/>
    <w:rsid w:val="44E24BED"/>
    <w:rsid w:val="44E9619C"/>
    <w:rsid w:val="44EE3048"/>
    <w:rsid w:val="44F5184E"/>
    <w:rsid w:val="44F92119"/>
    <w:rsid w:val="45036AF3"/>
    <w:rsid w:val="4508410A"/>
    <w:rsid w:val="452120BB"/>
    <w:rsid w:val="452C3BB0"/>
    <w:rsid w:val="457853A0"/>
    <w:rsid w:val="4580088C"/>
    <w:rsid w:val="4587628B"/>
    <w:rsid w:val="45C1250B"/>
    <w:rsid w:val="45C40594"/>
    <w:rsid w:val="45CE5353"/>
    <w:rsid w:val="45D3158C"/>
    <w:rsid w:val="45D51846"/>
    <w:rsid w:val="460C5E7C"/>
    <w:rsid w:val="46137FF7"/>
    <w:rsid w:val="46401681"/>
    <w:rsid w:val="466E4440"/>
    <w:rsid w:val="467E1098"/>
    <w:rsid w:val="46846B90"/>
    <w:rsid w:val="468A1E04"/>
    <w:rsid w:val="46916381"/>
    <w:rsid w:val="4699195A"/>
    <w:rsid w:val="46994CB4"/>
    <w:rsid w:val="46A21315"/>
    <w:rsid w:val="46DC4BE7"/>
    <w:rsid w:val="46E42955"/>
    <w:rsid w:val="46FA6B17"/>
    <w:rsid w:val="47091BE0"/>
    <w:rsid w:val="47107775"/>
    <w:rsid w:val="474156B1"/>
    <w:rsid w:val="474A18CB"/>
    <w:rsid w:val="476F66C2"/>
    <w:rsid w:val="477912EF"/>
    <w:rsid w:val="47960EC9"/>
    <w:rsid w:val="47CB0448"/>
    <w:rsid w:val="480D1F11"/>
    <w:rsid w:val="482D0269"/>
    <w:rsid w:val="48480CC1"/>
    <w:rsid w:val="485667D3"/>
    <w:rsid w:val="485B27A2"/>
    <w:rsid w:val="486207C7"/>
    <w:rsid w:val="486559BE"/>
    <w:rsid w:val="4871646A"/>
    <w:rsid w:val="487F2935"/>
    <w:rsid w:val="48912668"/>
    <w:rsid w:val="48BD1D7D"/>
    <w:rsid w:val="48C43209"/>
    <w:rsid w:val="48C47A11"/>
    <w:rsid w:val="48C5247C"/>
    <w:rsid w:val="48F055E1"/>
    <w:rsid w:val="48F50E49"/>
    <w:rsid w:val="48FA68BD"/>
    <w:rsid w:val="48FC3D6A"/>
    <w:rsid w:val="490948F4"/>
    <w:rsid w:val="490966A2"/>
    <w:rsid w:val="494476DB"/>
    <w:rsid w:val="49496A9F"/>
    <w:rsid w:val="494F491F"/>
    <w:rsid w:val="494F6008"/>
    <w:rsid w:val="495227E0"/>
    <w:rsid w:val="49650088"/>
    <w:rsid w:val="497331DC"/>
    <w:rsid w:val="49816239"/>
    <w:rsid w:val="49A10269"/>
    <w:rsid w:val="49B358F7"/>
    <w:rsid w:val="49CD5A90"/>
    <w:rsid w:val="49D71352"/>
    <w:rsid w:val="49DF112C"/>
    <w:rsid w:val="49EA473F"/>
    <w:rsid w:val="4A17094B"/>
    <w:rsid w:val="4A194C2A"/>
    <w:rsid w:val="4A1D0657"/>
    <w:rsid w:val="4A204C92"/>
    <w:rsid w:val="4A2915E4"/>
    <w:rsid w:val="4A34774F"/>
    <w:rsid w:val="4A510301"/>
    <w:rsid w:val="4A71141F"/>
    <w:rsid w:val="4A797ABA"/>
    <w:rsid w:val="4AA46683"/>
    <w:rsid w:val="4AAD01D1"/>
    <w:rsid w:val="4ABD402F"/>
    <w:rsid w:val="4AEA4737"/>
    <w:rsid w:val="4AEF07E9"/>
    <w:rsid w:val="4AF84C20"/>
    <w:rsid w:val="4B157580"/>
    <w:rsid w:val="4B2D062A"/>
    <w:rsid w:val="4B3B06EC"/>
    <w:rsid w:val="4B3C4B0D"/>
    <w:rsid w:val="4B4E2A92"/>
    <w:rsid w:val="4B5E0F27"/>
    <w:rsid w:val="4BAD3784"/>
    <w:rsid w:val="4BB472AD"/>
    <w:rsid w:val="4BB548C0"/>
    <w:rsid w:val="4BBC79FC"/>
    <w:rsid w:val="4BDB73CE"/>
    <w:rsid w:val="4BF54CBC"/>
    <w:rsid w:val="4BFD4B91"/>
    <w:rsid w:val="4C15535E"/>
    <w:rsid w:val="4C1A4519"/>
    <w:rsid w:val="4C3A2790"/>
    <w:rsid w:val="4C5E7E02"/>
    <w:rsid w:val="4C6C1F70"/>
    <w:rsid w:val="4C7B78B7"/>
    <w:rsid w:val="4C8B25BA"/>
    <w:rsid w:val="4C970292"/>
    <w:rsid w:val="4CA13539"/>
    <w:rsid w:val="4CA706AC"/>
    <w:rsid w:val="4CC4300C"/>
    <w:rsid w:val="4CCF23BE"/>
    <w:rsid w:val="4CF907DC"/>
    <w:rsid w:val="4D3A6455"/>
    <w:rsid w:val="4D4075F6"/>
    <w:rsid w:val="4D57661F"/>
    <w:rsid w:val="4D832B79"/>
    <w:rsid w:val="4DB56DF9"/>
    <w:rsid w:val="4DC4528E"/>
    <w:rsid w:val="4DDE61E0"/>
    <w:rsid w:val="4DE24F40"/>
    <w:rsid w:val="4DF06083"/>
    <w:rsid w:val="4E225E33"/>
    <w:rsid w:val="4E2339A4"/>
    <w:rsid w:val="4E361CE8"/>
    <w:rsid w:val="4E487BB9"/>
    <w:rsid w:val="4E636855"/>
    <w:rsid w:val="4E6F51FA"/>
    <w:rsid w:val="4EB62E28"/>
    <w:rsid w:val="4EB946C7"/>
    <w:rsid w:val="4EBE7F2F"/>
    <w:rsid w:val="4ECA0682"/>
    <w:rsid w:val="4ECD1F20"/>
    <w:rsid w:val="4ED11A10"/>
    <w:rsid w:val="4EDF7E85"/>
    <w:rsid w:val="4EE22EF6"/>
    <w:rsid w:val="4F045EE7"/>
    <w:rsid w:val="4F064415"/>
    <w:rsid w:val="4F163A15"/>
    <w:rsid w:val="4F1B23A3"/>
    <w:rsid w:val="4F1F3197"/>
    <w:rsid w:val="4F314FFF"/>
    <w:rsid w:val="4F3B1C04"/>
    <w:rsid w:val="4F4B1E0D"/>
    <w:rsid w:val="4F4B4ACC"/>
    <w:rsid w:val="4F521D59"/>
    <w:rsid w:val="4F6E3703"/>
    <w:rsid w:val="4FB8497E"/>
    <w:rsid w:val="4FC60842"/>
    <w:rsid w:val="4FD4267A"/>
    <w:rsid w:val="4FE5705C"/>
    <w:rsid w:val="4FF82FCD"/>
    <w:rsid w:val="4FF91A0F"/>
    <w:rsid w:val="4FF97471"/>
    <w:rsid w:val="504306EC"/>
    <w:rsid w:val="5043693E"/>
    <w:rsid w:val="506013D8"/>
    <w:rsid w:val="50A70C7B"/>
    <w:rsid w:val="50B05655"/>
    <w:rsid w:val="50EA13B1"/>
    <w:rsid w:val="50EB3587"/>
    <w:rsid w:val="50FA6E95"/>
    <w:rsid w:val="50FE7919"/>
    <w:rsid w:val="51167BAE"/>
    <w:rsid w:val="5119769F"/>
    <w:rsid w:val="513D15DF"/>
    <w:rsid w:val="514D110F"/>
    <w:rsid w:val="51750D79"/>
    <w:rsid w:val="517B5C63"/>
    <w:rsid w:val="517C5920"/>
    <w:rsid w:val="519A0648"/>
    <w:rsid w:val="51A76778"/>
    <w:rsid w:val="51AE6039"/>
    <w:rsid w:val="51BB0679"/>
    <w:rsid w:val="51C22291"/>
    <w:rsid w:val="51C65942"/>
    <w:rsid w:val="51D86587"/>
    <w:rsid w:val="51E43809"/>
    <w:rsid w:val="51ED72F6"/>
    <w:rsid w:val="51F16AA8"/>
    <w:rsid w:val="52034DAA"/>
    <w:rsid w:val="52275E91"/>
    <w:rsid w:val="522B4265"/>
    <w:rsid w:val="5257222D"/>
    <w:rsid w:val="52622C14"/>
    <w:rsid w:val="526C7FD8"/>
    <w:rsid w:val="52815D19"/>
    <w:rsid w:val="529B69E7"/>
    <w:rsid w:val="52B4249E"/>
    <w:rsid w:val="52CE4B3F"/>
    <w:rsid w:val="52EA6447"/>
    <w:rsid w:val="52ED3C50"/>
    <w:rsid w:val="53051934"/>
    <w:rsid w:val="530A7EB2"/>
    <w:rsid w:val="53177C0E"/>
    <w:rsid w:val="533F163E"/>
    <w:rsid w:val="535E2171"/>
    <w:rsid w:val="53760DD8"/>
    <w:rsid w:val="538E7ED0"/>
    <w:rsid w:val="53996544"/>
    <w:rsid w:val="53D73C82"/>
    <w:rsid w:val="53F43D78"/>
    <w:rsid w:val="53FE1664"/>
    <w:rsid w:val="54053C42"/>
    <w:rsid w:val="54106B37"/>
    <w:rsid w:val="5419098E"/>
    <w:rsid w:val="541E0F4E"/>
    <w:rsid w:val="54200C9D"/>
    <w:rsid w:val="544B3BC9"/>
    <w:rsid w:val="544D7855"/>
    <w:rsid w:val="545D5AF4"/>
    <w:rsid w:val="54646E83"/>
    <w:rsid w:val="54700BE7"/>
    <w:rsid w:val="5471419D"/>
    <w:rsid w:val="548E5CAE"/>
    <w:rsid w:val="54AD3AEF"/>
    <w:rsid w:val="54C0055D"/>
    <w:rsid w:val="54CD2997"/>
    <w:rsid w:val="54DB15B1"/>
    <w:rsid w:val="54EB1352"/>
    <w:rsid w:val="5503669C"/>
    <w:rsid w:val="550541C2"/>
    <w:rsid w:val="555B3FA7"/>
    <w:rsid w:val="55786DBF"/>
    <w:rsid w:val="55844F3F"/>
    <w:rsid w:val="558E2409"/>
    <w:rsid w:val="55C67DF5"/>
    <w:rsid w:val="55D923DF"/>
    <w:rsid w:val="560B3891"/>
    <w:rsid w:val="56171238"/>
    <w:rsid w:val="562543F0"/>
    <w:rsid w:val="56266635"/>
    <w:rsid w:val="563933FF"/>
    <w:rsid w:val="56504F2C"/>
    <w:rsid w:val="5666031A"/>
    <w:rsid w:val="56743336"/>
    <w:rsid w:val="56937822"/>
    <w:rsid w:val="569F41A2"/>
    <w:rsid w:val="56AB2B47"/>
    <w:rsid w:val="56D55E16"/>
    <w:rsid w:val="56FE4CA3"/>
    <w:rsid w:val="57062473"/>
    <w:rsid w:val="570E7A86"/>
    <w:rsid w:val="57120E18"/>
    <w:rsid w:val="571E1248"/>
    <w:rsid w:val="57364B06"/>
    <w:rsid w:val="57435475"/>
    <w:rsid w:val="57731676"/>
    <w:rsid w:val="579228CF"/>
    <w:rsid w:val="579D743F"/>
    <w:rsid w:val="57B072E7"/>
    <w:rsid w:val="57BD251B"/>
    <w:rsid w:val="57C06AC6"/>
    <w:rsid w:val="57D52571"/>
    <w:rsid w:val="57DC11F2"/>
    <w:rsid w:val="57DD4F82"/>
    <w:rsid w:val="57E91B79"/>
    <w:rsid w:val="57ED57FD"/>
    <w:rsid w:val="58390C8D"/>
    <w:rsid w:val="5847689F"/>
    <w:rsid w:val="58602E15"/>
    <w:rsid w:val="586655A8"/>
    <w:rsid w:val="589F66DB"/>
    <w:rsid w:val="58A3441E"/>
    <w:rsid w:val="58BA6465"/>
    <w:rsid w:val="58CC1225"/>
    <w:rsid w:val="58D213BF"/>
    <w:rsid w:val="58D8399B"/>
    <w:rsid w:val="58ED511A"/>
    <w:rsid w:val="58EE31BF"/>
    <w:rsid w:val="59215342"/>
    <w:rsid w:val="59223285"/>
    <w:rsid w:val="59247DA9"/>
    <w:rsid w:val="593319BD"/>
    <w:rsid w:val="593367DA"/>
    <w:rsid w:val="59424271"/>
    <w:rsid w:val="594B425F"/>
    <w:rsid w:val="595A73B6"/>
    <w:rsid w:val="597159AF"/>
    <w:rsid w:val="598902C4"/>
    <w:rsid w:val="59891D3C"/>
    <w:rsid w:val="59A45451"/>
    <w:rsid w:val="59A73A9A"/>
    <w:rsid w:val="59C53F20"/>
    <w:rsid w:val="59D3019C"/>
    <w:rsid w:val="59DC7CC6"/>
    <w:rsid w:val="59DD205E"/>
    <w:rsid w:val="59E03A18"/>
    <w:rsid w:val="5A105AE3"/>
    <w:rsid w:val="5A2814D8"/>
    <w:rsid w:val="5A461504"/>
    <w:rsid w:val="5A4F4ECF"/>
    <w:rsid w:val="5A5F25C6"/>
    <w:rsid w:val="5A6D543A"/>
    <w:rsid w:val="5ABE1750"/>
    <w:rsid w:val="5ACE1CEA"/>
    <w:rsid w:val="5AE42ACB"/>
    <w:rsid w:val="5AF30F60"/>
    <w:rsid w:val="5B1E5FDD"/>
    <w:rsid w:val="5B3A093D"/>
    <w:rsid w:val="5B4A13CA"/>
    <w:rsid w:val="5B4F7ED9"/>
    <w:rsid w:val="5B6339F0"/>
    <w:rsid w:val="5B6A31FD"/>
    <w:rsid w:val="5B800A46"/>
    <w:rsid w:val="5B8E12CF"/>
    <w:rsid w:val="5BBD69A2"/>
    <w:rsid w:val="5BD60775"/>
    <w:rsid w:val="5BEC7E8A"/>
    <w:rsid w:val="5C0D7E00"/>
    <w:rsid w:val="5C1E49DB"/>
    <w:rsid w:val="5C2018E1"/>
    <w:rsid w:val="5C2F7D76"/>
    <w:rsid w:val="5C3A23FF"/>
    <w:rsid w:val="5C3A38C1"/>
    <w:rsid w:val="5C505429"/>
    <w:rsid w:val="5C6A057B"/>
    <w:rsid w:val="5C6D1686"/>
    <w:rsid w:val="5C826C95"/>
    <w:rsid w:val="5C8A31FF"/>
    <w:rsid w:val="5C91458D"/>
    <w:rsid w:val="5C922258"/>
    <w:rsid w:val="5C981DBF"/>
    <w:rsid w:val="5CAE2269"/>
    <w:rsid w:val="5CC0159E"/>
    <w:rsid w:val="5CC11316"/>
    <w:rsid w:val="5CC35B6A"/>
    <w:rsid w:val="5CD557B6"/>
    <w:rsid w:val="5CDD2694"/>
    <w:rsid w:val="5CE943C9"/>
    <w:rsid w:val="5CF80AB0"/>
    <w:rsid w:val="5D4810F0"/>
    <w:rsid w:val="5D485BBB"/>
    <w:rsid w:val="5DD45079"/>
    <w:rsid w:val="5DE72119"/>
    <w:rsid w:val="5DFD7092"/>
    <w:rsid w:val="5E2E1918"/>
    <w:rsid w:val="5E3521A0"/>
    <w:rsid w:val="5E3A10DA"/>
    <w:rsid w:val="5E6E6E24"/>
    <w:rsid w:val="5E8167DF"/>
    <w:rsid w:val="5E8545C5"/>
    <w:rsid w:val="5E8B0CB9"/>
    <w:rsid w:val="5EB629D1"/>
    <w:rsid w:val="5ECC53D3"/>
    <w:rsid w:val="5ECE7D1A"/>
    <w:rsid w:val="5ED370DF"/>
    <w:rsid w:val="5EFA21D1"/>
    <w:rsid w:val="5F1C0A86"/>
    <w:rsid w:val="5F366C95"/>
    <w:rsid w:val="5F422A11"/>
    <w:rsid w:val="5F63341C"/>
    <w:rsid w:val="5F665AD1"/>
    <w:rsid w:val="5F774C8A"/>
    <w:rsid w:val="5F8E3006"/>
    <w:rsid w:val="5FFC2665"/>
    <w:rsid w:val="602504C8"/>
    <w:rsid w:val="6025396A"/>
    <w:rsid w:val="604E4704"/>
    <w:rsid w:val="605766A1"/>
    <w:rsid w:val="605C4EB2"/>
    <w:rsid w:val="60730B79"/>
    <w:rsid w:val="608C1C3B"/>
    <w:rsid w:val="608E7761"/>
    <w:rsid w:val="608F01E6"/>
    <w:rsid w:val="60C82547"/>
    <w:rsid w:val="60EC26DA"/>
    <w:rsid w:val="60FD1BF8"/>
    <w:rsid w:val="60FD6695"/>
    <w:rsid w:val="610C7504"/>
    <w:rsid w:val="612069CD"/>
    <w:rsid w:val="612C745A"/>
    <w:rsid w:val="614262BB"/>
    <w:rsid w:val="61475CB9"/>
    <w:rsid w:val="61572249"/>
    <w:rsid w:val="616F3D94"/>
    <w:rsid w:val="618A0ACD"/>
    <w:rsid w:val="618E3791"/>
    <w:rsid w:val="61945001"/>
    <w:rsid w:val="61B256D1"/>
    <w:rsid w:val="61D513C0"/>
    <w:rsid w:val="61E15FB7"/>
    <w:rsid w:val="620E3E73"/>
    <w:rsid w:val="621A5025"/>
    <w:rsid w:val="624F5057"/>
    <w:rsid w:val="62682234"/>
    <w:rsid w:val="629E5BFD"/>
    <w:rsid w:val="62B60044"/>
    <w:rsid w:val="62C43D7A"/>
    <w:rsid w:val="62CC27C3"/>
    <w:rsid w:val="62FD472A"/>
    <w:rsid w:val="62FF66F4"/>
    <w:rsid w:val="6333360B"/>
    <w:rsid w:val="63473BF7"/>
    <w:rsid w:val="6353558A"/>
    <w:rsid w:val="63674926"/>
    <w:rsid w:val="63C11BFC"/>
    <w:rsid w:val="63C67212"/>
    <w:rsid w:val="63DB70FE"/>
    <w:rsid w:val="63DB7766"/>
    <w:rsid w:val="64104931"/>
    <w:rsid w:val="64132135"/>
    <w:rsid w:val="64175CC0"/>
    <w:rsid w:val="643C1282"/>
    <w:rsid w:val="645071FE"/>
    <w:rsid w:val="6478250A"/>
    <w:rsid w:val="6491619E"/>
    <w:rsid w:val="64994927"/>
    <w:rsid w:val="649A40E6"/>
    <w:rsid w:val="64A20B7E"/>
    <w:rsid w:val="64B61284"/>
    <w:rsid w:val="64EC73DB"/>
    <w:rsid w:val="650C2836"/>
    <w:rsid w:val="65493C57"/>
    <w:rsid w:val="655444B0"/>
    <w:rsid w:val="655A5E64"/>
    <w:rsid w:val="656960A7"/>
    <w:rsid w:val="6569656F"/>
    <w:rsid w:val="65743DF8"/>
    <w:rsid w:val="65846BD5"/>
    <w:rsid w:val="658D78E4"/>
    <w:rsid w:val="65960E66"/>
    <w:rsid w:val="65A92D87"/>
    <w:rsid w:val="65BD2641"/>
    <w:rsid w:val="65DA51F7"/>
    <w:rsid w:val="65E5797A"/>
    <w:rsid w:val="65E87914"/>
    <w:rsid w:val="66214BD4"/>
    <w:rsid w:val="66370C0E"/>
    <w:rsid w:val="6639016F"/>
    <w:rsid w:val="664B39FF"/>
    <w:rsid w:val="667945C9"/>
    <w:rsid w:val="66A3383B"/>
    <w:rsid w:val="66A41056"/>
    <w:rsid w:val="66AD6EB0"/>
    <w:rsid w:val="66B54875"/>
    <w:rsid w:val="66DD46B5"/>
    <w:rsid w:val="66E53385"/>
    <w:rsid w:val="66F61F38"/>
    <w:rsid w:val="66FB2159"/>
    <w:rsid w:val="66FC374D"/>
    <w:rsid w:val="67213578"/>
    <w:rsid w:val="67214B90"/>
    <w:rsid w:val="6723497B"/>
    <w:rsid w:val="672D1356"/>
    <w:rsid w:val="67902011"/>
    <w:rsid w:val="67931B01"/>
    <w:rsid w:val="67A42174"/>
    <w:rsid w:val="67AA0427"/>
    <w:rsid w:val="67AF248B"/>
    <w:rsid w:val="67B81829"/>
    <w:rsid w:val="67CB3489"/>
    <w:rsid w:val="67F73E3E"/>
    <w:rsid w:val="680E43C9"/>
    <w:rsid w:val="6817003C"/>
    <w:rsid w:val="68255AF2"/>
    <w:rsid w:val="686B0388"/>
    <w:rsid w:val="686C4352"/>
    <w:rsid w:val="68AA25B6"/>
    <w:rsid w:val="68EA5751"/>
    <w:rsid w:val="68EF711D"/>
    <w:rsid w:val="69054339"/>
    <w:rsid w:val="694243BE"/>
    <w:rsid w:val="69497ED1"/>
    <w:rsid w:val="697119CE"/>
    <w:rsid w:val="69A35F61"/>
    <w:rsid w:val="69AE49D0"/>
    <w:rsid w:val="69B4638D"/>
    <w:rsid w:val="69BA3375"/>
    <w:rsid w:val="69C91E6D"/>
    <w:rsid w:val="69F43C85"/>
    <w:rsid w:val="69FF15CC"/>
    <w:rsid w:val="6A107439"/>
    <w:rsid w:val="6A1F767C"/>
    <w:rsid w:val="6A2F53C6"/>
    <w:rsid w:val="6A30279F"/>
    <w:rsid w:val="6A5C267E"/>
    <w:rsid w:val="6A5E4D61"/>
    <w:rsid w:val="6A7F33DE"/>
    <w:rsid w:val="6A826AB7"/>
    <w:rsid w:val="6A880C15"/>
    <w:rsid w:val="6AF80215"/>
    <w:rsid w:val="6B092E34"/>
    <w:rsid w:val="6BAA7544"/>
    <w:rsid w:val="6BCB78B5"/>
    <w:rsid w:val="6BCB7ABB"/>
    <w:rsid w:val="6BD91EF0"/>
    <w:rsid w:val="6BEC4054"/>
    <w:rsid w:val="6C275483"/>
    <w:rsid w:val="6C44161C"/>
    <w:rsid w:val="6C524942"/>
    <w:rsid w:val="6C7A2B5E"/>
    <w:rsid w:val="6C931878"/>
    <w:rsid w:val="6C940EB2"/>
    <w:rsid w:val="6C944351"/>
    <w:rsid w:val="6CAE4CE7"/>
    <w:rsid w:val="6CB93DB8"/>
    <w:rsid w:val="6CC6389E"/>
    <w:rsid w:val="6CD13207"/>
    <w:rsid w:val="6CE16D5F"/>
    <w:rsid w:val="6D57712D"/>
    <w:rsid w:val="6D5B09CB"/>
    <w:rsid w:val="6D651B06"/>
    <w:rsid w:val="6DAA54AF"/>
    <w:rsid w:val="6DBB76BC"/>
    <w:rsid w:val="6DCA2E3F"/>
    <w:rsid w:val="6DD63018"/>
    <w:rsid w:val="6DDA09CF"/>
    <w:rsid w:val="6DFA23EF"/>
    <w:rsid w:val="6E0D7EC3"/>
    <w:rsid w:val="6E1A0886"/>
    <w:rsid w:val="6E3C70F4"/>
    <w:rsid w:val="6E510020"/>
    <w:rsid w:val="6E5E1E16"/>
    <w:rsid w:val="6E835009"/>
    <w:rsid w:val="6E8C2501"/>
    <w:rsid w:val="6EB42D97"/>
    <w:rsid w:val="6ED96A59"/>
    <w:rsid w:val="6EDC3F75"/>
    <w:rsid w:val="6EE70791"/>
    <w:rsid w:val="6EE72F19"/>
    <w:rsid w:val="6EF600E2"/>
    <w:rsid w:val="6F177DDA"/>
    <w:rsid w:val="6F2968A7"/>
    <w:rsid w:val="6F490CF7"/>
    <w:rsid w:val="6F4E7950"/>
    <w:rsid w:val="6F656B63"/>
    <w:rsid w:val="6FA21C45"/>
    <w:rsid w:val="6FB46AB9"/>
    <w:rsid w:val="6FCA2CF2"/>
    <w:rsid w:val="6FE723D0"/>
    <w:rsid w:val="6FEB702D"/>
    <w:rsid w:val="6FEF0CDA"/>
    <w:rsid w:val="6FF11EBF"/>
    <w:rsid w:val="6FF70B5B"/>
    <w:rsid w:val="7016507D"/>
    <w:rsid w:val="70182BA3"/>
    <w:rsid w:val="704716DB"/>
    <w:rsid w:val="70910742"/>
    <w:rsid w:val="70D35B58"/>
    <w:rsid w:val="71054906"/>
    <w:rsid w:val="71110910"/>
    <w:rsid w:val="712E6CD4"/>
    <w:rsid w:val="71357FFB"/>
    <w:rsid w:val="71425792"/>
    <w:rsid w:val="715735F6"/>
    <w:rsid w:val="717012B7"/>
    <w:rsid w:val="719A3A8C"/>
    <w:rsid w:val="71AF5789"/>
    <w:rsid w:val="71DC40A5"/>
    <w:rsid w:val="71DD6175"/>
    <w:rsid w:val="720853F7"/>
    <w:rsid w:val="720C6738"/>
    <w:rsid w:val="723E0A65"/>
    <w:rsid w:val="72736AF1"/>
    <w:rsid w:val="727D3192"/>
    <w:rsid w:val="729F57FE"/>
    <w:rsid w:val="72B52D20"/>
    <w:rsid w:val="72CF0D09"/>
    <w:rsid w:val="73014141"/>
    <w:rsid w:val="731E2BC7"/>
    <w:rsid w:val="73371EBF"/>
    <w:rsid w:val="734770E9"/>
    <w:rsid w:val="735668D3"/>
    <w:rsid w:val="736D1458"/>
    <w:rsid w:val="73813156"/>
    <w:rsid w:val="738549F4"/>
    <w:rsid w:val="738B18DE"/>
    <w:rsid w:val="73A270E8"/>
    <w:rsid w:val="73BE19EF"/>
    <w:rsid w:val="73C72251"/>
    <w:rsid w:val="73E052BC"/>
    <w:rsid w:val="73E46769"/>
    <w:rsid w:val="73FE3FA7"/>
    <w:rsid w:val="7400051E"/>
    <w:rsid w:val="745D327B"/>
    <w:rsid w:val="746E36DA"/>
    <w:rsid w:val="747131CA"/>
    <w:rsid w:val="748331BE"/>
    <w:rsid w:val="749C3D7D"/>
    <w:rsid w:val="74A94053"/>
    <w:rsid w:val="74B17A6A"/>
    <w:rsid w:val="74B862DE"/>
    <w:rsid w:val="74BE4633"/>
    <w:rsid w:val="74C22D18"/>
    <w:rsid w:val="74CF4C65"/>
    <w:rsid w:val="74D061DA"/>
    <w:rsid w:val="74EB0DC4"/>
    <w:rsid w:val="74EF63FA"/>
    <w:rsid w:val="75370DCF"/>
    <w:rsid w:val="754207F5"/>
    <w:rsid w:val="75491A51"/>
    <w:rsid w:val="75645327"/>
    <w:rsid w:val="75676330"/>
    <w:rsid w:val="758A62EE"/>
    <w:rsid w:val="7590399E"/>
    <w:rsid w:val="75A007E0"/>
    <w:rsid w:val="75AA1446"/>
    <w:rsid w:val="75B749F2"/>
    <w:rsid w:val="75D4148C"/>
    <w:rsid w:val="75E023B5"/>
    <w:rsid w:val="75F67447"/>
    <w:rsid w:val="760C029A"/>
    <w:rsid w:val="76110A4A"/>
    <w:rsid w:val="76260983"/>
    <w:rsid w:val="7639203F"/>
    <w:rsid w:val="76472434"/>
    <w:rsid w:val="7654775F"/>
    <w:rsid w:val="765B1A3C"/>
    <w:rsid w:val="766F0A02"/>
    <w:rsid w:val="767C2950"/>
    <w:rsid w:val="76936097"/>
    <w:rsid w:val="76976C61"/>
    <w:rsid w:val="76F3520F"/>
    <w:rsid w:val="770A3311"/>
    <w:rsid w:val="7713120E"/>
    <w:rsid w:val="77304C77"/>
    <w:rsid w:val="774249AA"/>
    <w:rsid w:val="778B45A3"/>
    <w:rsid w:val="77900C21"/>
    <w:rsid w:val="77A40706"/>
    <w:rsid w:val="77C6197B"/>
    <w:rsid w:val="77E4468B"/>
    <w:rsid w:val="78306EF8"/>
    <w:rsid w:val="78315574"/>
    <w:rsid w:val="783764D9"/>
    <w:rsid w:val="78420483"/>
    <w:rsid w:val="78454524"/>
    <w:rsid w:val="784A0436"/>
    <w:rsid w:val="78543284"/>
    <w:rsid w:val="785B2BF7"/>
    <w:rsid w:val="7871357B"/>
    <w:rsid w:val="788C05D2"/>
    <w:rsid w:val="78B5721E"/>
    <w:rsid w:val="78C0202A"/>
    <w:rsid w:val="78C37D6C"/>
    <w:rsid w:val="78E617A1"/>
    <w:rsid w:val="78F16688"/>
    <w:rsid w:val="78FA5BA7"/>
    <w:rsid w:val="7935003B"/>
    <w:rsid w:val="79490365"/>
    <w:rsid w:val="796E5F2A"/>
    <w:rsid w:val="79805B2E"/>
    <w:rsid w:val="799B2625"/>
    <w:rsid w:val="79A050D4"/>
    <w:rsid w:val="79A67472"/>
    <w:rsid w:val="79AB79A8"/>
    <w:rsid w:val="79B1496A"/>
    <w:rsid w:val="79B15A72"/>
    <w:rsid w:val="79BF0534"/>
    <w:rsid w:val="79C03F87"/>
    <w:rsid w:val="79C76DA5"/>
    <w:rsid w:val="7A0B5527"/>
    <w:rsid w:val="7A2A414B"/>
    <w:rsid w:val="7A543372"/>
    <w:rsid w:val="7A5D47F7"/>
    <w:rsid w:val="7A651692"/>
    <w:rsid w:val="7A7349D1"/>
    <w:rsid w:val="7A8C079F"/>
    <w:rsid w:val="7AB40239"/>
    <w:rsid w:val="7AC8152C"/>
    <w:rsid w:val="7AD26523"/>
    <w:rsid w:val="7B007056"/>
    <w:rsid w:val="7B095F0A"/>
    <w:rsid w:val="7B184170"/>
    <w:rsid w:val="7B2B151A"/>
    <w:rsid w:val="7B503B39"/>
    <w:rsid w:val="7B5408DA"/>
    <w:rsid w:val="7B58783E"/>
    <w:rsid w:val="7B6605D9"/>
    <w:rsid w:val="7B707B2A"/>
    <w:rsid w:val="7B8A6C20"/>
    <w:rsid w:val="7BBE4A89"/>
    <w:rsid w:val="7BD150ED"/>
    <w:rsid w:val="7BE20509"/>
    <w:rsid w:val="7BF72207"/>
    <w:rsid w:val="7BFA3AA5"/>
    <w:rsid w:val="7C0B3951"/>
    <w:rsid w:val="7C1868D7"/>
    <w:rsid w:val="7C192CF5"/>
    <w:rsid w:val="7C3F595C"/>
    <w:rsid w:val="7C572CA5"/>
    <w:rsid w:val="7C661307"/>
    <w:rsid w:val="7C8B6DF3"/>
    <w:rsid w:val="7CA67789"/>
    <w:rsid w:val="7CB836FA"/>
    <w:rsid w:val="7CC320E9"/>
    <w:rsid w:val="7D0B583E"/>
    <w:rsid w:val="7D1B28A3"/>
    <w:rsid w:val="7D3B25C7"/>
    <w:rsid w:val="7D5D4690"/>
    <w:rsid w:val="7D7D2600"/>
    <w:rsid w:val="7D832661"/>
    <w:rsid w:val="7D975247"/>
    <w:rsid w:val="7DAE603B"/>
    <w:rsid w:val="7DD55A70"/>
    <w:rsid w:val="7DFE548F"/>
    <w:rsid w:val="7E111327"/>
    <w:rsid w:val="7E8F35E5"/>
    <w:rsid w:val="7EAF63CF"/>
    <w:rsid w:val="7EBC7738"/>
    <w:rsid w:val="7EC6565D"/>
    <w:rsid w:val="7EF41591"/>
    <w:rsid w:val="7F080E0B"/>
    <w:rsid w:val="7F1B3481"/>
    <w:rsid w:val="7F205261"/>
    <w:rsid w:val="7F3C46D2"/>
    <w:rsid w:val="7F5E259D"/>
    <w:rsid w:val="7F672E6F"/>
    <w:rsid w:val="7F6A4DF8"/>
    <w:rsid w:val="7F792F33"/>
    <w:rsid w:val="7F8209D5"/>
    <w:rsid w:val="7FD36AE7"/>
    <w:rsid w:val="7FE24F7C"/>
    <w:rsid w:val="7FE60E1C"/>
    <w:rsid w:val="7FED3367"/>
    <w:rsid w:val="7FF13411"/>
    <w:rsid w:val="7FF279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iPriority="39"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autoRedefine/>
    <w:unhideWhenUsed/>
    <w:qFormat/>
    <w:uiPriority w:val="9"/>
    <w:pPr>
      <w:keepNext/>
      <w:keepLines/>
      <w:numPr>
        <w:ilvl w:val="1"/>
        <w:numId w:val="1"/>
      </w:numPr>
      <w:spacing w:before="60" w:after="60"/>
      <w:ind w:firstLine="0"/>
      <w:outlineLvl w:val="1"/>
    </w:pPr>
    <w:rPr>
      <w:b/>
      <w:bCs/>
      <w:sz w:val="30"/>
      <w:szCs w:val="32"/>
    </w:rPr>
  </w:style>
  <w:style w:type="paragraph" w:styleId="6">
    <w:name w:val="heading 3"/>
    <w:basedOn w:val="1"/>
    <w:next w:val="1"/>
    <w:autoRedefine/>
    <w:qFormat/>
    <w:uiPriority w:val="0"/>
    <w:pPr>
      <w:keepNext/>
      <w:keepLines/>
      <w:spacing w:line="360" w:lineRule="auto"/>
      <w:outlineLvl w:val="2"/>
    </w:pPr>
    <w:rPr>
      <w:b/>
      <w:bCs/>
      <w:sz w:val="28"/>
      <w:szCs w:val="32"/>
    </w:rPr>
  </w:style>
  <w:style w:type="character" w:default="1" w:styleId="24">
    <w:name w:val="Default Paragraph Font"/>
    <w:autoRedefine/>
    <w:semiHidden/>
    <w:unhideWhenUsed/>
    <w:qFormat/>
    <w:uiPriority w:val="1"/>
  </w:style>
  <w:style w:type="table" w:default="1" w:styleId="22">
    <w:name w:val="Normal Table"/>
    <w:autoRedefine/>
    <w:semiHidden/>
    <w:unhideWhenUsed/>
    <w:qFormat/>
    <w:uiPriority w:val="99"/>
    <w:tblPr>
      <w:tblCellMar>
        <w:top w:w="0" w:type="dxa"/>
        <w:left w:w="108" w:type="dxa"/>
        <w:bottom w:w="0" w:type="dxa"/>
        <w:right w:w="108" w:type="dxa"/>
      </w:tblCellMar>
    </w:tblPr>
  </w:style>
  <w:style w:type="paragraph" w:customStyle="1" w:styleId="2">
    <w:name w:val="Default"/>
    <w:basedOn w:val="3"/>
    <w:autoRedefine/>
    <w:qFormat/>
    <w:uiPriority w:val="0"/>
    <w:pPr>
      <w:widowControl w:val="0"/>
      <w:autoSpaceDE w:val="0"/>
      <w:autoSpaceDN w:val="0"/>
    </w:pPr>
    <w:rPr>
      <w:rFonts w:ascii="仿宋_GB2312" w:hAnsi="Times New Roman" w:eastAsia="仿宋_GB2312" w:cs="仿宋_GB2312"/>
      <w:color w:val="000000"/>
      <w:szCs w:val="24"/>
    </w:rPr>
  </w:style>
  <w:style w:type="paragraph" w:customStyle="1" w:styleId="3">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paragraph" w:styleId="7">
    <w:name w:val="Normal Indent"/>
    <w:basedOn w:val="1"/>
    <w:qFormat/>
    <w:uiPriority w:val="0"/>
    <w:pPr>
      <w:snapToGrid w:val="0"/>
      <w:ind w:firstLine="420"/>
      <w:jc w:val="left"/>
    </w:pPr>
    <w:rPr>
      <w:sz w:val="28"/>
      <w:szCs w:val="20"/>
    </w:rPr>
  </w:style>
  <w:style w:type="paragraph" w:styleId="8">
    <w:name w:val="caption"/>
    <w:basedOn w:val="1"/>
    <w:next w:val="1"/>
    <w:autoRedefine/>
    <w:unhideWhenUsed/>
    <w:qFormat/>
    <w:uiPriority w:val="35"/>
    <w:pPr>
      <w:jc w:val="center"/>
    </w:pPr>
    <w:rPr>
      <w:rFonts w:cstheme="majorBidi"/>
      <w:b/>
      <w:szCs w:val="20"/>
    </w:rPr>
  </w:style>
  <w:style w:type="paragraph" w:styleId="9">
    <w:name w:val="annotation text"/>
    <w:basedOn w:val="1"/>
    <w:autoRedefine/>
    <w:qFormat/>
    <w:uiPriority w:val="0"/>
    <w:pPr>
      <w:jc w:val="left"/>
    </w:pPr>
  </w:style>
  <w:style w:type="paragraph" w:styleId="10">
    <w:name w:val="Body Text"/>
    <w:basedOn w:val="1"/>
    <w:autoRedefine/>
    <w:qFormat/>
    <w:uiPriority w:val="0"/>
    <w:pPr>
      <w:widowControl/>
      <w:snapToGrid w:val="0"/>
      <w:spacing w:before="60" w:after="160" w:line="259" w:lineRule="auto"/>
      <w:ind w:right="113"/>
    </w:pPr>
    <w:rPr>
      <w:kern w:val="0"/>
      <w:sz w:val="18"/>
      <w:szCs w:val="18"/>
    </w:rPr>
  </w:style>
  <w:style w:type="paragraph" w:styleId="11">
    <w:name w:val="Body Text Indent"/>
    <w:basedOn w:val="1"/>
    <w:next w:val="1"/>
    <w:qFormat/>
    <w:uiPriority w:val="0"/>
    <w:pPr>
      <w:spacing w:after="120"/>
      <w:ind w:left="420" w:leftChars="200"/>
    </w:pPr>
    <w:rPr>
      <w:kern w:val="0"/>
      <w:sz w:val="24"/>
      <w:szCs w:val="20"/>
    </w:rPr>
  </w:style>
  <w:style w:type="paragraph" w:styleId="12">
    <w:name w:val="Plain Text"/>
    <w:basedOn w:val="1"/>
    <w:unhideWhenUsed/>
    <w:qFormat/>
    <w:uiPriority w:val="99"/>
    <w:pPr>
      <w:jc w:val="both"/>
    </w:pPr>
    <w:rPr>
      <w:rFonts w:ascii="宋体" w:hAnsi="Courier New" w:eastAsia="宋体" w:cs="Courier New"/>
    </w:rPr>
  </w:style>
  <w:style w:type="paragraph" w:styleId="13">
    <w:name w:val="Body Text Indent 2"/>
    <w:basedOn w:val="1"/>
    <w:autoRedefine/>
    <w:qFormat/>
    <w:uiPriority w:val="0"/>
    <w:pPr>
      <w:adjustRightInd w:val="0"/>
      <w:snapToGrid w:val="0"/>
      <w:spacing w:line="460" w:lineRule="exact"/>
      <w:ind w:firstLine="480" w:firstLineChars="200"/>
    </w:pPr>
    <w:rPr>
      <w:rFonts w:eastAsia="仿宋_GB2312"/>
      <w:kern w:val="0"/>
      <w:sz w:val="24"/>
    </w:rPr>
  </w:style>
  <w:style w:type="paragraph" w:styleId="14">
    <w:name w:val="footer"/>
    <w:basedOn w:val="1"/>
    <w:next w:val="11"/>
    <w:autoRedefine/>
    <w:qFormat/>
    <w:uiPriority w:val="0"/>
    <w:pPr>
      <w:tabs>
        <w:tab w:val="center" w:pos="4153"/>
        <w:tab w:val="right" w:pos="8306"/>
      </w:tabs>
      <w:snapToGrid w:val="0"/>
      <w:jc w:val="left"/>
    </w:pPr>
    <w:rPr>
      <w:sz w:val="18"/>
      <w:szCs w:val="18"/>
    </w:rPr>
  </w:style>
  <w:style w:type="paragraph" w:styleId="15">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6">
    <w:name w:val="toc 1"/>
    <w:basedOn w:val="1"/>
    <w:next w:val="1"/>
    <w:autoRedefine/>
    <w:qFormat/>
    <w:uiPriority w:val="39"/>
    <w:pPr>
      <w:tabs>
        <w:tab w:val="right" w:leader="dot" w:pos="8364"/>
      </w:tabs>
      <w:spacing w:before="120" w:after="120" w:line="520" w:lineRule="exact"/>
      <w:jc w:val="left"/>
    </w:pPr>
    <w:rPr>
      <w:rFonts w:ascii="仿宋_GB2312" w:eastAsia="仿宋_GB2312"/>
      <w:b/>
      <w:bCs/>
      <w:caps/>
      <w:kern w:val="44"/>
      <w:sz w:val="24"/>
    </w:rPr>
  </w:style>
  <w:style w:type="paragraph" w:styleId="17">
    <w:name w:val="toc 2"/>
    <w:basedOn w:val="1"/>
    <w:next w:val="1"/>
    <w:autoRedefine/>
    <w:unhideWhenUsed/>
    <w:qFormat/>
    <w:uiPriority w:val="39"/>
    <w:pPr>
      <w:ind w:left="420" w:leftChars="200"/>
    </w:pPr>
  </w:style>
  <w:style w:type="paragraph" w:styleId="18">
    <w:name w:val="Body Text 2"/>
    <w:basedOn w:val="1"/>
    <w:autoRedefine/>
    <w:qFormat/>
    <w:uiPriority w:val="0"/>
    <w:pPr>
      <w:spacing w:after="120" w:line="480" w:lineRule="auto"/>
    </w:pPr>
  </w:style>
  <w:style w:type="paragraph" w:styleId="19">
    <w:name w:val="Normal (Web)"/>
    <w:basedOn w:val="1"/>
    <w:autoRedefine/>
    <w:qFormat/>
    <w:uiPriority w:val="0"/>
    <w:pPr>
      <w:widowControl/>
      <w:spacing w:before="100" w:beforeAutospacing="1" w:after="100" w:afterAutospacing="1"/>
      <w:jc w:val="left"/>
    </w:pPr>
    <w:rPr>
      <w:rFonts w:ascii="宋体" w:hAnsi="宋体"/>
      <w:kern w:val="0"/>
      <w:sz w:val="24"/>
    </w:rPr>
  </w:style>
  <w:style w:type="paragraph" w:styleId="20">
    <w:name w:val="Body Text First Indent"/>
    <w:basedOn w:val="10"/>
    <w:autoRedefine/>
    <w:qFormat/>
    <w:uiPriority w:val="0"/>
    <w:pPr>
      <w:spacing w:after="120"/>
      <w:ind w:firstLine="420" w:firstLineChars="100"/>
    </w:pPr>
  </w:style>
  <w:style w:type="paragraph" w:styleId="21">
    <w:name w:val="Body Text First Indent 2"/>
    <w:basedOn w:val="11"/>
    <w:next w:val="1"/>
    <w:qFormat/>
    <w:uiPriority w:val="0"/>
    <w:pPr>
      <w:spacing w:after="156" w:afterLines="50" w:line="360" w:lineRule="auto"/>
      <w:ind w:firstLine="210" w:firstLineChars="200"/>
    </w:pPr>
    <w:rPr>
      <w:rFonts w:hAnsi="宋体"/>
      <w:sz w:val="24"/>
    </w:rPr>
  </w:style>
  <w:style w:type="table" w:styleId="23">
    <w:name w:val="Table Grid"/>
    <w:basedOn w:val="22"/>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Strong"/>
    <w:basedOn w:val="24"/>
    <w:qFormat/>
    <w:uiPriority w:val="0"/>
    <w:rPr>
      <w:b/>
    </w:rPr>
  </w:style>
  <w:style w:type="character" w:styleId="26">
    <w:name w:val="page number"/>
    <w:basedOn w:val="24"/>
    <w:autoRedefine/>
    <w:qFormat/>
    <w:uiPriority w:val="0"/>
  </w:style>
  <w:style w:type="character" w:styleId="27">
    <w:name w:val="Hyperlink"/>
    <w:autoRedefine/>
    <w:qFormat/>
    <w:uiPriority w:val="99"/>
    <w:rPr>
      <w:color w:val="0000FF"/>
      <w:u w:val="single"/>
    </w:rPr>
  </w:style>
  <w:style w:type="paragraph" w:customStyle="1" w:styleId="28">
    <w:name w:val="Normal Indent1"/>
    <w:basedOn w:val="1"/>
    <w:autoRedefine/>
    <w:qFormat/>
    <w:uiPriority w:val="0"/>
    <w:pPr>
      <w:ind w:firstLine="420" w:firstLineChars="200"/>
    </w:pPr>
  </w:style>
  <w:style w:type="paragraph" w:customStyle="1" w:styleId="29">
    <w:name w:val="样式 四号 首行缩进:  0.99 厘米 行距: 固定值 22 磅"/>
    <w:basedOn w:val="1"/>
    <w:autoRedefine/>
    <w:qFormat/>
    <w:uiPriority w:val="0"/>
    <w:pPr>
      <w:spacing w:line="520" w:lineRule="exact"/>
      <w:ind w:firstLine="567"/>
    </w:pPr>
    <w:rPr>
      <w:rFonts w:cs="宋体"/>
      <w:sz w:val="28"/>
      <w:szCs w:val="20"/>
    </w:rPr>
  </w:style>
  <w:style w:type="paragraph" w:customStyle="1" w:styleId="30">
    <w:name w:val="- 页码 -"/>
    <w:autoRedefine/>
    <w:qFormat/>
    <w:uiPriority w:val="0"/>
    <w:pPr>
      <w:widowControl w:val="0"/>
      <w:spacing w:line="360" w:lineRule="auto"/>
      <w:ind w:firstLine="200" w:firstLineChars="200"/>
      <w:jc w:val="both"/>
    </w:pPr>
    <w:rPr>
      <w:rFonts w:ascii="Calibri" w:hAnsi="Calibri" w:eastAsia="宋体" w:cs="Times New Roman"/>
      <w:kern w:val="2"/>
      <w:sz w:val="24"/>
      <w:lang w:val="en-US" w:eastAsia="zh-CN" w:bidi="ar-SA"/>
    </w:rPr>
  </w:style>
  <w:style w:type="paragraph" w:styleId="31">
    <w:name w:val="No Spacing"/>
    <w:next w:val="1"/>
    <w:autoRedefine/>
    <w:qFormat/>
    <w:uiPriority w:val="0"/>
    <w:rPr>
      <w:rFonts w:ascii="Calibri" w:hAnsi="Calibri" w:eastAsia="宋体" w:cs="Times New Roman"/>
      <w:sz w:val="22"/>
      <w:szCs w:val="22"/>
      <w:lang w:val="en-US" w:eastAsia="zh-CN" w:bidi="ar-SA"/>
    </w:rPr>
  </w:style>
  <w:style w:type="paragraph" w:customStyle="1" w:styleId="32">
    <w:name w:val="C【表中文字】-"/>
    <w:basedOn w:val="1"/>
    <w:autoRedefine/>
    <w:qFormat/>
    <w:uiPriority w:val="0"/>
    <w:pPr>
      <w:adjustRightInd w:val="0"/>
      <w:snapToGrid w:val="0"/>
      <w:jc w:val="center"/>
    </w:pPr>
    <w:rPr>
      <w:kern w:val="0"/>
      <w:sz w:val="18"/>
      <w:szCs w:val="20"/>
    </w:rPr>
  </w:style>
  <w:style w:type="paragraph" w:customStyle="1" w:styleId="33">
    <w:name w:val="C表两端"/>
    <w:basedOn w:val="1"/>
    <w:autoRedefine/>
    <w:qFormat/>
    <w:uiPriority w:val="0"/>
    <w:pPr>
      <w:adjustRightInd w:val="0"/>
      <w:snapToGrid w:val="0"/>
    </w:pPr>
    <w:rPr>
      <w:kern w:val="0"/>
      <w:sz w:val="18"/>
      <w:szCs w:val="20"/>
    </w:rPr>
  </w:style>
  <w:style w:type="paragraph" w:customStyle="1" w:styleId="34">
    <w:name w:val="样式"/>
    <w:basedOn w:val="1"/>
    <w:next w:val="1"/>
    <w:autoRedefine/>
    <w:qFormat/>
    <w:uiPriority w:val="0"/>
    <w:pPr>
      <w:spacing w:line="360" w:lineRule="auto"/>
      <w:ind w:firstLine="482"/>
    </w:pPr>
    <w:rPr>
      <w:rFonts w:ascii="宋体" w:cs="宋体"/>
      <w:kern w:val="10"/>
      <w:sz w:val="28"/>
      <w:szCs w:val="20"/>
    </w:rPr>
  </w:style>
  <w:style w:type="paragraph" w:customStyle="1" w:styleId="35">
    <w:name w:val="表格内容"/>
    <w:basedOn w:val="1"/>
    <w:autoRedefine/>
    <w:qFormat/>
    <w:uiPriority w:val="0"/>
    <w:rPr>
      <w:rFonts w:hAnsi="宋体"/>
      <w:sz w:val="28"/>
      <w:szCs w:val="28"/>
    </w:rPr>
  </w:style>
  <w:style w:type="table" w:customStyle="1" w:styleId="36">
    <w:name w:val="Table Normal"/>
    <w:autoRedefine/>
    <w:semiHidden/>
    <w:unhideWhenUsed/>
    <w:qFormat/>
    <w:uiPriority w:val="0"/>
    <w:tblPr>
      <w:tblCellMar>
        <w:top w:w="0" w:type="dxa"/>
        <w:left w:w="0" w:type="dxa"/>
        <w:bottom w:w="0" w:type="dxa"/>
        <w:right w:w="0" w:type="dxa"/>
      </w:tblCellMar>
    </w:tblPr>
  </w:style>
  <w:style w:type="paragraph" w:customStyle="1" w:styleId="37">
    <w:name w:val="Table Text"/>
    <w:basedOn w:val="1"/>
    <w:autoRedefine/>
    <w:semiHidden/>
    <w:qFormat/>
    <w:uiPriority w:val="0"/>
    <w:rPr>
      <w:rFonts w:eastAsia="Times New Roman"/>
      <w:szCs w:val="21"/>
      <w:lang w:eastAsia="en-US"/>
    </w:rPr>
  </w:style>
  <w:style w:type="paragraph" w:customStyle="1" w:styleId="38">
    <w:name w:val="表格"/>
    <w:basedOn w:val="1"/>
    <w:next w:val="1"/>
    <w:autoRedefine/>
    <w:qFormat/>
    <w:uiPriority w:val="0"/>
    <w:pPr>
      <w:adjustRightInd w:val="0"/>
      <w:snapToGrid w:val="0"/>
      <w:spacing w:before="31" w:beforeLines="10" w:after="31" w:afterLines="10" w:line="259" w:lineRule="auto"/>
      <w:jc w:val="center"/>
    </w:pPr>
    <w:rPr>
      <w:rFonts w:ascii="宋体"/>
      <w:kern w:val="0"/>
      <w:sz w:val="20"/>
      <w:szCs w:val="21"/>
    </w:rPr>
  </w:style>
  <w:style w:type="character" w:customStyle="1" w:styleId="39">
    <w:name w:val="font11"/>
    <w:basedOn w:val="24"/>
    <w:autoRedefine/>
    <w:qFormat/>
    <w:uiPriority w:val="0"/>
    <w:rPr>
      <w:rFonts w:hint="eastAsia" w:ascii="宋体" w:hAnsi="宋体" w:eastAsia="宋体" w:cs="宋体"/>
      <w:color w:val="000000"/>
      <w:sz w:val="18"/>
      <w:szCs w:val="18"/>
      <w:u w:val="none"/>
    </w:rPr>
  </w:style>
  <w:style w:type="character" w:customStyle="1" w:styleId="40">
    <w:name w:val="font21"/>
    <w:basedOn w:val="24"/>
    <w:autoRedefine/>
    <w:qFormat/>
    <w:uiPriority w:val="0"/>
    <w:rPr>
      <w:rFonts w:hint="default" w:ascii="Times New Roman" w:hAnsi="Times New Roman" w:cs="Times New Roman"/>
      <w:color w:val="000000"/>
      <w:sz w:val="18"/>
      <w:szCs w:val="18"/>
      <w:u w:val="none"/>
    </w:rPr>
  </w:style>
  <w:style w:type="character" w:customStyle="1" w:styleId="41">
    <w:name w:val="font61"/>
    <w:basedOn w:val="24"/>
    <w:autoRedefine/>
    <w:qFormat/>
    <w:uiPriority w:val="0"/>
    <w:rPr>
      <w:rFonts w:hint="default" w:ascii="Times New Roman" w:hAnsi="Times New Roman" w:cs="Times New Roman"/>
      <w:color w:val="000000"/>
      <w:sz w:val="18"/>
      <w:szCs w:val="18"/>
      <w:u w:val="none"/>
      <w:vertAlign w:val="superscript"/>
    </w:rPr>
  </w:style>
  <w:style w:type="paragraph" w:customStyle="1" w:styleId="42">
    <w:name w:val="0表格文字"/>
    <w:unhideWhenUsed/>
    <w:qFormat/>
    <w:uiPriority w:val="0"/>
    <w:pPr>
      <w:widowControl w:val="0"/>
      <w:snapToGrid w:val="0"/>
      <w:spacing w:line="240" w:lineRule="auto"/>
      <w:ind w:firstLine="0" w:firstLineChars="0"/>
      <w:jc w:val="center"/>
      <w:textAlignment w:val="center"/>
    </w:pPr>
    <w:rPr>
      <w:rFonts w:ascii="Times New Roman" w:hAnsi="Times New Roman" w:eastAsia="宋体" w:cs="Times New Roman"/>
      <w:sz w:val="21"/>
      <w:szCs w:val="21"/>
      <w:lang w:val="en-US" w:eastAsia="zh-CN" w:bidi="ar-SA"/>
    </w:rPr>
  </w:style>
  <w:style w:type="paragraph" w:customStyle="1" w:styleId="43">
    <w:name w:val="0正文"/>
    <w:basedOn w:val="11"/>
    <w:qFormat/>
    <w:uiPriority w:val="0"/>
    <w:pPr>
      <w:spacing w:after="0" w:line="360" w:lineRule="auto"/>
      <w:ind w:left="0" w:leftChars="0" w:firstLine="480" w:firstLineChars="200"/>
    </w:pPr>
    <w:rPr>
      <w:rFonts w:ascii="Times New Roman" w:hAnsi="Times New Roman" w:eastAsia="宋体" w:cs="宋体"/>
    </w:rPr>
  </w:style>
  <w:style w:type="character" w:customStyle="1" w:styleId="44">
    <w:name w:val="font31"/>
    <w:basedOn w:val="24"/>
    <w:qFormat/>
    <w:uiPriority w:val="0"/>
    <w:rPr>
      <w:rFonts w:hint="eastAsia" w:ascii="宋体" w:hAnsi="宋体" w:eastAsia="宋体" w:cs="宋体"/>
      <w:color w:val="000000"/>
      <w:sz w:val="20"/>
      <w:szCs w:val="20"/>
      <w:u w:val="none"/>
    </w:rPr>
  </w:style>
  <w:style w:type="character" w:customStyle="1" w:styleId="45">
    <w:name w:val="font01"/>
    <w:basedOn w:val="24"/>
    <w:qFormat/>
    <w:uiPriority w:val="0"/>
    <w:rPr>
      <w:rFonts w:hint="eastAsia" w:ascii="宋体" w:hAnsi="宋体" w:eastAsia="宋体" w:cs="宋体"/>
      <w:color w:val="000000"/>
      <w:sz w:val="24"/>
      <w:szCs w:val="24"/>
      <w:u w:val="none"/>
    </w:rPr>
  </w:style>
  <w:style w:type="character" w:customStyle="1" w:styleId="46">
    <w:name w:val="font41"/>
    <w:basedOn w:val="24"/>
    <w:qFormat/>
    <w:uiPriority w:val="0"/>
    <w:rPr>
      <w:rFonts w:hint="eastAsia" w:ascii="宋体" w:hAnsi="宋体" w:eastAsia="宋体"/>
      <w:color w:val="000000"/>
      <w:sz w:val="16"/>
      <w:szCs w:val="16"/>
      <w:u w:val="none"/>
    </w:rPr>
  </w:style>
  <w:style w:type="paragraph" w:customStyle="1" w:styleId="47">
    <w:name w:val="表格内文字"/>
    <w:basedOn w:val="1"/>
    <w:qFormat/>
    <w:uiPriority w:val="0"/>
    <w:pPr>
      <w:spacing w:line="240" w:lineRule="auto"/>
      <w:ind w:firstLine="0" w:firstLineChars="0"/>
      <w:jc w:val="center"/>
    </w:pPr>
    <w:rPr>
      <w:rFonts w:hint="eastAsia"/>
      <w:sz w:val="21"/>
      <w:szCs w:val="21"/>
    </w:rPr>
  </w:style>
  <w:style w:type="table" w:customStyle="1" w:styleId="48">
    <w:name w:val="报告表格2"/>
    <w:basedOn w:val="22"/>
    <w:qFormat/>
    <w:uiPriority w:val="39"/>
    <w:pPr>
      <w:widowControl w:val="0"/>
      <w:jc w:val="both"/>
    </w:pPr>
    <w:rPr>
      <w:rFonts w:cs="宋体"/>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9">
    <w:name w:val="正文00"/>
    <w:basedOn w:val="1"/>
    <w:next w:val="50"/>
    <w:qFormat/>
    <w:uiPriority w:val="0"/>
    <w:pPr>
      <w:spacing w:line="360" w:lineRule="auto"/>
      <w:ind w:firstLine="480" w:firstLineChars="200"/>
      <w:jc w:val="both"/>
    </w:pPr>
    <w:rPr>
      <w:rFonts w:ascii="Times New Roman" w:hAnsi="宋体" w:cs="宋体"/>
      <w:kern w:val="2"/>
      <w:szCs w:val="24"/>
    </w:rPr>
  </w:style>
  <w:style w:type="paragraph" w:customStyle="1" w:styleId="50">
    <w:name w:val="样式 Times New Roman 五号 居中1"/>
    <w:basedOn w:val="1"/>
    <w:next w:val="51"/>
    <w:qFormat/>
    <w:uiPriority w:val="0"/>
    <w:pPr>
      <w:jc w:val="center"/>
    </w:pPr>
    <w:rPr>
      <w:rFonts w:ascii="Times New Roman" w:cs="宋体"/>
      <w:kern w:val="2"/>
      <w:sz w:val="21"/>
    </w:rPr>
  </w:style>
  <w:style w:type="paragraph" w:customStyle="1" w:styleId="51">
    <w:name w:val="表头"/>
    <w:basedOn w:val="17"/>
    <w:next w:val="12"/>
    <w:qFormat/>
    <w:uiPriority w:val="0"/>
    <w:pPr>
      <w:tabs>
        <w:tab w:val="right" w:leader="dot" w:pos="8190"/>
      </w:tabs>
      <w:spacing w:line="360" w:lineRule="auto"/>
      <w:jc w:val="center"/>
    </w:pPr>
    <w:rPr>
      <w:rFonts w:ascii="Times New Roman" w:hAnsi="Times New Roman" w:eastAsia="黑体"/>
      <w:kern w:val="2"/>
      <w:szCs w:val="24"/>
      <w:lang w:val="en-US" w:eastAsia="zh-CN"/>
    </w:rPr>
  </w:style>
  <w:style w:type="paragraph" w:customStyle="1" w:styleId="52">
    <w:name w:val="【表头】"/>
    <w:basedOn w:val="53"/>
    <w:qFormat/>
    <w:uiPriority w:val="0"/>
    <w:pPr>
      <w:adjustRightInd w:val="0"/>
      <w:snapToGrid w:val="0"/>
      <w:jc w:val="center"/>
    </w:pPr>
    <w:rPr>
      <w:rFonts w:ascii="Times New Roman" w:hAnsi="Times New Roman" w:eastAsia="黑体" w:cs="Times New Roman"/>
      <w:sz w:val="24"/>
    </w:rPr>
  </w:style>
  <w:style w:type="paragraph" w:customStyle="1" w:styleId="53">
    <w:name w:val="【正文】"/>
    <w:basedOn w:val="1"/>
    <w:qFormat/>
    <w:uiPriority w:val="0"/>
    <w:pPr>
      <w:spacing w:line="440" w:lineRule="exact"/>
      <w:ind w:firstLine="544" w:firstLineChars="200"/>
    </w:pPr>
    <w:rPr>
      <w:rFonts w:cs="宋体"/>
      <w:sz w:val="24"/>
      <w:szCs w:val="20"/>
    </w:rPr>
  </w:style>
  <w:style w:type="paragraph" w:customStyle="1" w:styleId="54">
    <w:name w:val="【表中文字】-"/>
    <w:basedOn w:val="1"/>
    <w:qFormat/>
    <w:uiPriority w:val="0"/>
    <w:pPr>
      <w:widowControl/>
      <w:spacing w:line="240" w:lineRule="auto"/>
      <w:ind w:firstLine="0" w:firstLineChars="0"/>
      <w:jc w:val="center"/>
    </w:pPr>
    <w:rPr>
      <w:kern w:val="0"/>
      <w:sz w:val="20"/>
      <w:szCs w:val="20"/>
    </w:rPr>
  </w:style>
  <w:style w:type="character" w:customStyle="1" w:styleId="55">
    <w:name w:val="【表中文字】 Char Char"/>
    <w:qFormat/>
    <w:uiPriority w:val="0"/>
    <w:rPr>
      <w:rFonts w:ascii="Times New Roman" w:hAnsi="Times New Roman" w:eastAsia="宋体"/>
      <w:snapToGrid/>
      <w:spacing w:val="0"/>
      <w:w w:val="100"/>
      <w:kern w:val="0"/>
      <w:position w:val="0"/>
      <w:sz w:val="21"/>
      <w:vertAlign w:val="baseline"/>
    </w:rPr>
  </w:style>
</w:styles>
</file>

<file path=word/_rels/document.xml.rels><?xml version="1.0" encoding="UTF-8" standalone="yes"?>
<Relationships xmlns="http://schemas.openxmlformats.org/package/2006/relationships"><Relationship Id="rId9" Type="http://schemas.openxmlformats.org/officeDocument/2006/relationships/header" Target="header1.xml"/><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footer" Target="footer6.xml"/><Relationship Id="rId79" Type="http://schemas.openxmlformats.org/officeDocument/2006/relationships/image" Target="media/image63.png"/><Relationship Id="rId78" Type="http://schemas.openxmlformats.org/officeDocument/2006/relationships/image" Target="media/image62.jpeg"/><Relationship Id="rId77" Type="http://schemas.openxmlformats.org/officeDocument/2006/relationships/image" Target="media/image61.jpeg"/><Relationship Id="rId76" Type="http://schemas.openxmlformats.org/officeDocument/2006/relationships/image" Target="media/image60.png"/><Relationship Id="rId75" Type="http://schemas.openxmlformats.org/officeDocument/2006/relationships/image" Target="media/image59.png"/><Relationship Id="rId74" Type="http://schemas.openxmlformats.org/officeDocument/2006/relationships/image" Target="media/image58.png"/><Relationship Id="rId73" Type="http://schemas.openxmlformats.org/officeDocument/2006/relationships/image" Target="media/image57.png"/><Relationship Id="rId72" Type="http://schemas.openxmlformats.org/officeDocument/2006/relationships/image" Target="media/image56.png"/><Relationship Id="rId71" Type="http://schemas.openxmlformats.org/officeDocument/2006/relationships/image" Target="media/image55.png"/><Relationship Id="rId70" Type="http://schemas.openxmlformats.org/officeDocument/2006/relationships/image" Target="media/image54.png"/><Relationship Id="rId7" Type="http://schemas.openxmlformats.org/officeDocument/2006/relationships/footer" Target="footer5.xml"/><Relationship Id="rId69" Type="http://schemas.openxmlformats.org/officeDocument/2006/relationships/image" Target="media/image53.png"/><Relationship Id="rId68" Type="http://schemas.openxmlformats.org/officeDocument/2006/relationships/image" Target="media/image52.png"/><Relationship Id="rId67" Type="http://schemas.openxmlformats.org/officeDocument/2006/relationships/image" Target="media/image51.png"/><Relationship Id="rId66" Type="http://schemas.openxmlformats.org/officeDocument/2006/relationships/image" Target="media/image50.png"/><Relationship Id="rId65" Type="http://schemas.openxmlformats.org/officeDocument/2006/relationships/image" Target="media/image49.png"/><Relationship Id="rId64" Type="http://schemas.openxmlformats.org/officeDocument/2006/relationships/image" Target="media/image48.png"/><Relationship Id="rId63" Type="http://schemas.openxmlformats.org/officeDocument/2006/relationships/image" Target="media/image47.png"/><Relationship Id="rId62" Type="http://schemas.openxmlformats.org/officeDocument/2006/relationships/image" Target="media/image46.png"/><Relationship Id="rId61" Type="http://schemas.openxmlformats.org/officeDocument/2006/relationships/image" Target="media/image45.png"/><Relationship Id="rId60" Type="http://schemas.openxmlformats.org/officeDocument/2006/relationships/image" Target="media/image44.png"/><Relationship Id="rId6" Type="http://schemas.openxmlformats.org/officeDocument/2006/relationships/footer" Target="footer4.xml"/><Relationship Id="rId59" Type="http://schemas.openxmlformats.org/officeDocument/2006/relationships/image" Target="media/image43.png"/><Relationship Id="rId58" Type="http://schemas.openxmlformats.org/officeDocument/2006/relationships/image" Target="media/image42.png"/><Relationship Id="rId57" Type="http://schemas.openxmlformats.org/officeDocument/2006/relationships/image" Target="media/image41.png"/><Relationship Id="rId56" Type="http://schemas.openxmlformats.org/officeDocument/2006/relationships/image" Target="media/image40.png"/><Relationship Id="rId55" Type="http://schemas.openxmlformats.org/officeDocument/2006/relationships/image" Target="media/image39.png"/><Relationship Id="rId54" Type="http://schemas.openxmlformats.org/officeDocument/2006/relationships/image" Target="media/image38.png"/><Relationship Id="rId53" Type="http://schemas.openxmlformats.org/officeDocument/2006/relationships/image" Target="media/image37.png"/><Relationship Id="rId52"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34.png"/><Relationship Id="rId5" Type="http://schemas.openxmlformats.org/officeDocument/2006/relationships/footer" Target="footer3.xml"/><Relationship Id="rId49" Type="http://schemas.openxmlformats.org/officeDocument/2006/relationships/image" Target="media/image33.png"/><Relationship Id="rId48" Type="http://schemas.openxmlformats.org/officeDocument/2006/relationships/image" Target="media/image32.png"/><Relationship Id="rId47" Type="http://schemas.openxmlformats.org/officeDocument/2006/relationships/image" Target="media/image31.png"/><Relationship Id="rId46" Type="http://schemas.openxmlformats.org/officeDocument/2006/relationships/image" Target="media/image30.png"/><Relationship Id="rId45" Type="http://schemas.openxmlformats.org/officeDocument/2006/relationships/image" Target="media/image29.png"/><Relationship Id="rId44" Type="http://schemas.openxmlformats.org/officeDocument/2006/relationships/image" Target="media/image28.png"/><Relationship Id="rId43" Type="http://schemas.openxmlformats.org/officeDocument/2006/relationships/image" Target="media/image27.png"/><Relationship Id="rId42" Type="http://schemas.openxmlformats.org/officeDocument/2006/relationships/image" Target="media/image26.png"/><Relationship Id="rId41" Type="http://schemas.openxmlformats.org/officeDocument/2006/relationships/image" Target="media/image25.png"/><Relationship Id="rId40" Type="http://schemas.openxmlformats.org/officeDocument/2006/relationships/image" Target="media/image24.png"/><Relationship Id="rId4" Type="http://schemas.openxmlformats.org/officeDocument/2006/relationships/footer" Target="footer2.xml"/><Relationship Id="rId39" Type="http://schemas.openxmlformats.org/officeDocument/2006/relationships/image" Target="media/image23.png"/><Relationship Id="rId38" Type="http://schemas.openxmlformats.org/officeDocument/2006/relationships/image" Target="media/image22.png"/><Relationship Id="rId37" Type="http://schemas.openxmlformats.org/officeDocument/2006/relationships/image" Target="media/image21.png"/><Relationship Id="rId36" Type="http://schemas.openxmlformats.org/officeDocument/2006/relationships/image" Target="media/image20.png"/><Relationship Id="rId35" Type="http://schemas.openxmlformats.org/officeDocument/2006/relationships/image" Target="media/image19.png"/><Relationship Id="rId34" Type="http://schemas.openxmlformats.org/officeDocument/2006/relationships/image" Target="media/image18.jpeg"/><Relationship Id="rId33" Type="http://schemas.openxmlformats.org/officeDocument/2006/relationships/image" Target="media/image17.png"/><Relationship Id="rId32" Type="http://schemas.openxmlformats.org/officeDocument/2006/relationships/image" Target="media/image16.png"/><Relationship Id="rId31" Type="http://schemas.openxmlformats.org/officeDocument/2006/relationships/image" Target="media/image15.png"/><Relationship Id="rId30" Type="http://schemas.openxmlformats.org/officeDocument/2006/relationships/image" Target="media/image14.png"/><Relationship Id="rId3" Type="http://schemas.openxmlformats.org/officeDocument/2006/relationships/footer" Target="footer1.xml"/><Relationship Id="rId29" Type="http://schemas.openxmlformats.org/officeDocument/2006/relationships/image" Target="media/image13.wmf"/><Relationship Id="rId28" Type="http://schemas.openxmlformats.org/officeDocument/2006/relationships/oleObject" Target="embeddings/oleObject1.bin"/><Relationship Id="rId27" Type="http://schemas.openxmlformats.org/officeDocument/2006/relationships/image" Target="media/image12.png"/><Relationship Id="rId26" Type="http://schemas.openxmlformats.org/officeDocument/2006/relationships/image" Target="media/image11.png"/><Relationship Id="rId25" Type="http://schemas.openxmlformats.org/officeDocument/2006/relationships/image" Target="media/image10.png"/><Relationship Id="rId24" Type="http://schemas.openxmlformats.org/officeDocument/2006/relationships/image" Target="media/image9.pn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png"/><Relationship Id="rId16" Type="http://schemas.openxmlformats.org/officeDocument/2006/relationships/image" Target="media/image1.png"/><Relationship Id="rId15" Type="http://schemas.openxmlformats.org/officeDocument/2006/relationships/theme" Target="theme/theme1.xml"/><Relationship Id="rId14" Type="http://schemas.openxmlformats.org/officeDocument/2006/relationships/footer" Target="footer9.xml"/><Relationship Id="rId13" Type="http://schemas.openxmlformats.org/officeDocument/2006/relationships/header" Target="header3.xml"/><Relationship Id="rId12" Type="http://schemas.openxmlformats.org/officeDocument/2006/relationships/footer" Target="footer8.xml"/><Relationship Id="rId11" Type="http://schemas.openxmlformats.org/officeDocument/2006/relationships/header" Target="header2.xml"/><Relationship Id="rId10" Type="http://schemas.openxmlformats.org/officeDocument/2006/relationships/footer" Target="footer7.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128</Pages>
  <Words>17464</Words>
  <Characters>17754</Characters>
  <Lines>273</Lines>
  <Paragraphs>76</Paragraphs>
  <TotalTime>37</TotalTime>
  <ScaleCrop>false</ScaleCrop>
  <LinksUpToDate>false</LinksUpToDate>
  <CharactersWithSpaces>17832</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2024-05-14T08:59:00Z</dcterms:created>
  <dc:creator>郑雅欣</dc:creator>
  <cp:lastModifiedBy>tututututu</cp:lastModifiedBy>
  <cp:lastPrinted>2024-08-15T06:47:00Z</cp:lastPrinted>
  <dcterms:modified xsi:type="dcterms:W3CDTF">2025-07-23T08:37:09Z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82095747B7F64A1BB8E3116E8AD3C105_13</vt:lpwstr>
  </property>
  <property fmtid="{D5CDD505-2E9C-101B-9397-08002B2CF9AE}" pid="4" name="KSOTemplateDocerSaveRecord">
    <vt:lpwstr>eyJoZGlkIjoiNmEzMGQ2MDgxZjkwY2IyZGZlYjM1Y2Y3ZjZkMTc0OTciLCJ1c2VySWQiOiIzMTE5ODE3MzIifQ==</vt:lpwstr>
  </property>
</Properties>
</file>