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EEE6958">
      <w:pPr>
        <w:rPr>
          <w:rFonts w:cs="仿宋_GB2312"/>
          <w:color w:val="auto"/>
          <w:sz w:val="36"/>
          <w:szCs w:val="36"/>
        </w:rPr>
      </w:pPr>
    </w:p>
    <w:p w14:paraId="65974373">
      <w:pPr>
        <w:rPr>
          <w:rFonts w:cs="仿宋_GB2312"/>
          <w:color w:val="auto"/>
          <w:sz w:val="36"/>
          <w:szCs w:val="36"/>
        </w:rPr>
      </w:pPr>
      <w:bookmarkStart w:id="30" w:name="_GoBack"/>
      <w:bookmarkEnd w:id="30"/>
    </w:p>
    <w:p w14:paraId="4AF7367C">
      <w:pPr>
        <w:rPr>
          <w:rFonts w:cs="仿宋_GB2312"/>
          <w:color w:val="auto"/>
          <w:sz w:val="36"/>
          <w:szCs w:val="36"/>
        </w:rPr>
      </w:pPr>
    </w:p>
    <w:p w14:paraId="2F25B3C0">
      <w:pPr>
        <w:rPr>
          <w:rFonts w:cs="仿宋_GB2312"/>
          <w:color w:val="auto"/>
          <w:sz w:val="36"/>
          <w:szCs w:val="36"/>
        </w:rPr>
      </w:pPr>
    </w:p>
    <w:p w14:paraId="610327A1">
      <w:pPr>
        <w:rPr>
          <w:rFonts w:cs="仿宋_GB2312"/>
          <w:color w:val="auto"/>
          <w:sz w:val="36"/>
          <w:szCs w:val="36"/>
        </w:rPr>
      </w:pPr>
    </w:p>
    <w:p w14:paraId="0A026808">
      <w:pPr>
        <w:adjustRightInd w:val="0"/>
        <w:snapToGrid w:val="0"/>
        <w:jc w:val="center"/>
        <w:outlineLvl w:val="0"/>
        <w:rPr>
          <w:bCs/>
          <w:color w:val="auto"/>
          <w:sz w:val="72"/>
          <w:szCs w:val="72"/>
        </w:rPr>
      </w:pPr>
      <w:bookmarkStart w:id="0" w:name="_Toc73523365"/>
      <w:r>
        <w:rPr>
          <w:rFonts w:hint="eastAsia"/>
          <w:bCs/>
          <w:color w:val="auto"/>
          <w:sz w:val="72"/>
          <w:szCs w:val="72"/>
        </w:rPr>
        <w:t>建设项目环境影响报告表</w:t>
      </w:r>
      <w:bookmarkEnd w:id="0"/>
    </w:p>
    <w:p w14:paraId="7FE186BF">
      <w:pPr>
        <w:adjustRightInd w:val="0"/>
        <w:snapToGrid w:val="0"/>
        <w:spacing w:before="192" w:beforeLines="80"/>
        <w:jc w:val="center"/>
        <w:rPr>
          <w:bCs/>
          <w:color w:val="auto"/>
          <w:sz w:val="48"/>
          <w:szCs w:val="48"/>
        </w:rPr>
      </w:pPr>
      <w:r>
        <w:rPr>
          <w:rFonts w:hint="eastAsia"/>
          <w:bCs/>
          <w:color w:val="auto"/>
          <w:sz w:val="48"/>
          <w:szCs w:val="48"/>
        </w:rPr>
        <w:t>（污染影响类）</w:t>
      </w:r>
    </w:p>
    <w:p w14:paraId="3204CF43">
      <w:pPr>
        <w:adjustRightInd w:val="0"/>
        <w:snapToGrid w:val="0"/>
        <w:jc w:val="center"/>
        <w:rPr>
          <w:rFonts w:cs="华文仿宋"/>
          <w:color w:val="auto"/>
          <w:kern w:val="44"/>
          <w:sz w:val="44"/>
          <w:szCs w:val="44"/>
        </w:rPr>
      </w:pPr>
    </w:p>
    <w:p w14:paraId="60A6194C">
      <w:pPr>
        <w:jc w:val="center"/>
        <w:rPr>
          <w:color w:val="auto"/>
          <w:sz w:val="52"/>
          <w:szCs w:val="52"/>
        </w:rPr>
      </w:pPr>
    </w:p>
    <w:p w14:paraId="214F8A32">
      <w:pPr>
        <w:ind w:firstLine="1040"/>
        <w:rPr>
          <w:color w:val="auto"/>
          <w:sz w:val="44"/>
          <w:szCs w:val="44"/>
        </w:rPr>
      </w:pPr>
    </w:p>
    <w:p w14:paraId="6783CD93">
      <w:pPr>
        <w:ind w:firstLine="1040"/>
        <w:rPr>
          <w:color w:val="auto"/>
          <w:sz w:val="44"/>
          <w:szCs w:val="44"/>
        </w:rPr>
      </w:pPr>
    </w:p>
    <w:p w14:paraId="5AA974C5">
      <w:pPr>
        <w:pStyle w:val="33"/>
        <w:spacing w:line="240" w:lineRule="auto"/>
        <w:ind w:firstLine="880"/>
        <w:rPr>
          <w:color w:val="auto"/>
          <w:sz w:val="44"/>
          <w:szCs w:val="44"/>
        </w:rPr>
      </w:pPr>
    </w:p>
    <w:p w14:paraId="5B574BE8">
      <w:pPr>
        <w:rPr>
          <w:color w:val="auto"/>
        </w:rPr>
      </w:pPr>
    </w:p>
    <w:p w14:paraId="16ABB76C">
      <w:pPr>
        <w:ind w:firstLine="1040"/>
        <w:rPr>
          <w:color w:val="auto"/>
          <w:sz w:val="44"/>
          <w:szCs w:val="44"/>
        </w:rPr>
      </w:pPr>
    </w:p>
    <w:p w14:paraId="3EE60A3B">
      <w:pPr>
        <w:ind w:firstLine="1040"/>
        <w:rPr>
          <w:color w:val="auto"/>
          <w:sz w:val="44"/>
          <w:szCs w:val="44"/>
        </w:rPr>
      </w:pPr>
    </w:p>
    <w:p w14:paraId="304A964B">
      <w:pPr>
        <w:adjustRightInd w:val="0"/>
        <w:snapToGrid w:val="0"/>
        <w:spacing w:line="288" w:lineRule="auto"/>
        <w:ind w:firstLine="960" w:firstLineChars="300"/>
        <w:rPr>
          <w:rFonts w:hint="default"/>
          <w:color w:val="auto"/>
          <w:sz w:val="32"/>
          <w:szCs w:val="32"/>
          <w:u w:val="single"/>
          <w:lang w:val="en-US"/>
        </w:rPr>
      </w:pPr>
      <w:r>
        <w:rPr>
          <w:rFonts w:hint="eastAsia"/>
          <w:color w:val="auto"/>
          <w:sz w:val="32"/>
          <w:szCs w:val="32"/>
        </w:rPr>
        <w:t>项目名称：</w:t>
      </w:r>
      <w:r>
        <w:rPr>
          <w:rFonts w:hint="eastAsia"/>
          <w:color w:val="auto"/>
          <w:sz w:val="32"/>
          <w:szCs w:val="32"/>
          <w:u w:val="single"/>
        </w:rPr>
        <w:t>鸡西市海盛新能源材料有限公司锅炉改造项目</w:t>
      </w:r>
    </w:p>
    <w:p w14:paraId="39B6098B">
      <w:pPr>
        <w:adjustRightInd w:val="0"/>
        <w:snapToGrid w:val="0"/>
        <w:spacing w:line="288" w:lineRule="auto"/>
        <w:ind w:firstLine="960" w:firstLineChars="300"/>
        <w:rPr>
          <w:rFonts w:hint="default" w:eastAsia="宋体"/>
          <w:color w:val="auto"/>
          <w:sz w:val="32"/>
          <w:szCs w:val="32"/>
          <w:u w:val="single"/>
          <w:lang w:val="en-US" w:eastAsia="zh-CN"/>
        </w:rPr>
      </w:pPr>
      <w:r>
        <w:rPr>
          <w:rFonts w:hint="eastAsia"/>
          <w:color w:val="auto"/>
          <w:sz w:val="32"/>
          <w:szCs w:val="32"/>
        </w:rPr>
        <w:t>建设单位（盖章）：</w:t>
      </w:r>
      <w:r>
        <w:rPr>
          <w:rFonts w:hint="eastAsia"/>
          <w:color w:val="auto"/>
          <w:sz w:val="32"/>
          <w:szCs w:val="32"/>
          <w:u w:val="single"/>
          <w:lang w:val="en-US" w:eastAsia="zh-CN"/>
        </w:rPr>
        <w:t xml:space="preserve">  </w:t>
      </w:r>
      <w:r>
        <w:rPr>
          <w:rFonts w:hint="eastAsia"/>
          <w:color w:val="auto"/>
          <w:sz w:val="32"/>
          <w:szCs w:val="32"/>
          <w:u w:val="single"/>
        </w:rPr>
        <w:t>鸡西市海盛新能源材料有限公司</w:t>
      </w:r>
      <w:r>
        <w:rPr>
          <w:rFonts w:hint="eastAsia"/>
          <w:color w:val="auto"/>
          <w:sz w:val="32"/>
          <w:szCs w:val="32"/>
          <w:u w:val="single"/>
          <w:lang w:val="en-US" w:eastAsia="zh-CN"/>
        </w:rPr>
        <w:t xml:space="preserve">  </w:t>
      </w:r>
    </w:p>
    <w:p w14:paraId="37D140F2">
      <w:pPr>
        <w:adjustRightInd w:val="0"/>
        <w:snapToGrid w:val="0"/>
        <w:spacing w:line="288" w:lineRule="auto"/>
        <w:ind w:firstLine="960" w:firstLineChars="300"/>
        <w:rPr>
          <w:color w:val="auto"/>
          <w:sz w:val="32"/>
          <w:szCs w:val="32"/>
          <w:u w:val="single"/>
        </w:rPr>
      </w:pPr>
      <w:r>
        <w:rPr>
          <w:rFonts w:hint="eastAsia"/>
          <w:color w:val="auto"/>
          <w:sz w:val="32"/>
          <w:szCs w:val="32"/>
        </w:rPr>
        <w:t>编制日期：</w:t>
      </w:r>
      <w:r>
        <w:rPr>
          <w:rFonts w:hint="eastAsia"/>
          <w:color w:val="auto"/>
          <w:sz w:val="32"/>
          <w:szCs w:val="32"/>
          <w:u w:val="single"/>
        </w:rPr>
        <w:t xml:space="preserve">             202</w:t>
      </w:r>
      <w:r>
        <w:rPr>
          <w:rFonts w:hint="eastAsia"/>
          <w:color w:val="auto"/>
          <w:sz w:val="32"/>
          <w:szCs w:val="32"/>
          <w:u w:val="single"/>
          <w:lang w:val="en-US" w:eastAsia="zh-CN"/>
        </w:rPr>
        <w:t>5</w:t>
      </w:r>
      <w:r>
        <w:rPr>
          <w:rFonts w:hint="eastAsia"/>
          <w:color w:val="auto"/>
          <w:sz w:val="32"/>
          <w:szCs w:val="32"/>
          <w:u w:val="single"/>
        </w:rPr>
        <w:t>年</w:t>
      </w:r>
      <w:r>
        <w:rPr>
          <w:rFonts w:hint="eastAsia"/>
          <w:color w:val="auto"/>
          <w:sz w:val="32"/>
          <w:szCs w:val="32"/>
          <w:u w:val="single"/>
          <w:lang w:val="en-US" w:eastAsia="zh-CN"/>
        </w:rPr>
        <w:t>12</w:t>
      </w:r>
      <w:r>
        <w:rPr>
          <w:rFonts w:hint="eastAsia"/>
          <w:color w:val="auto"/>
          <w:sz w:val="32"/>
          <w:szCs w:val="32"/>
          <w:u w:val="single"/>
        </w:rPr>
        <w:t xml:space="preserve">月               </w:t>
      </w:r>
    </w:p>
    <w:p w14:paraId="31E481B3">
      <w:pPr>
        <w:adjustRightInd w:val="0"/>
        <w:snapToGrid w:val="0"/>
        <w:spacing w:line="288" w:lineRule="auto"/>
        <w:ind w:firstLine="1040"/>
        <w:rPr>
          <w:color w:val="auto"/>
          <w:sz w:val="36"/>
          <w:szCs w:val="36"/>
          <w:u w:val="single"/>
        </w:rPr>
      </w:pPr>
      <w:bookmarkStart w:id="1" w:name="_Hlk57884087"/>
    </w:p>
    <w:p w14:paraId="67EDE58C">
      <w:pPr>
        <w:adjustRightInd w:val="0"/>
        <w:snapToGrid w:val="0"/>
        <w:spacing w:line="288" w:lineRule="auto"/>
        <w:ind w:firstLine="1040"/>
        <w:rPr>
          <w:color w:val="auto"/>
          <w:sz w:val="36"/>
          <w:szCs w:val="36"/>
        </w:rPr>
      </w:pPr>
    </w:p>
    <w:p w14:paraId="6BAAA693">
      <w:pPr>
        <w:pStyle w:val="2"/>
        <w:rPr>
          <w:rFonts w:eastAsia="宋体"/>
          <w:color w:val="auto"/>
          <w:sz w:val="36"/>
          <w:szCs w:val="36"/>
        </w:rPr>
      </w:pPr>
    </w:p>
    <w:p w14:paraId="0AAF51BD">
      <w:pPr>
        <w:pStyle w:val="3"/>
        <w:rPr>
          <w:color w:val="auto"/>
        </w:rPr>
      </w:pPr>
    </w:p>
    <w:p w14:paraId="0809868A">
      <w:pPr>
        <w:adjustRightInd w:val="0"/>
        <w:snapToGrid w:val="0"/>
        <w:spacing w:line="288" w:lineRule="auto"/>
        <w:ind w:firstLine="1040"/>
        <w:rPr>
          <w:color w:val="auto"/>
          <w:sz w:val="36"/>
          <w:szCs w:val="36"/>
        </w:rPr>
      </w:pPr>
    </w:p>
    <w:bookmarkEnd w:id="1"/>
    <w:p w14:paraId="6C055157">
      <w:pPr>
        <w:adjustRightInd w:val="0"/>
        <w:snapToGrid w:val="0"/>
        <w:spacing w:line="288" w:lineRule="auto"/>
        <w:jc w:val="center"/>
        <w:rPr>
          <w:color w:val="auto"/>
          <w:sz w:val="36"/>
          <w:szCs w:val="36"/>
        </w:rPr>
      </w:pPr>
      <w:r>
        <w:rPr>
          <w:rFonts w:hint="eastAsia"/>
          <w:color w:val="auto"/>
          <w:sz w:val="36"/>
          <w:szCs w:val="36"/>
        </w:rPr>
        <w:t>中华人民共和国生态环境部制</w:t>
      </w:r>
      <w:r>
        <w:rPr>
          <w:color w:val="auto"/>
          <w:sz w:val="36"/>
          <w:szCs w:val="36"/>
        </w:rPr>
        <w:br w:type="page"/>
      </w:r>
    </w:p>
    <w:p w14:paraId="13C331B6">
      <w:pPr>
        <w:adjustRightInd w:val="0"/>
        <w:snapToGrid w:val="0"/>
        <w:spacing w:line="288" w:lineRule="auto"/>
        <w:jc w:val="center"/>
        <w:rPr>
          <w:rFonts w:hint="eastAsia" w:eastAsia="宋体" w:cs="宋体"/>
          <w:color w:val="auto"/>
          <w:kern w:val="0"/>
          <w:sz w:val="24"/>
          <w:lang w:eastAsia="zh-CN"/>
        </w:rPr>
      </w:pPr>
      <w:r>
        <w:rPr>
          <w:color w:val="auto"/>
        </w:rPr>
        <w:drawing>
          <wp:inline distT="0" distB="0" distL="114300" distR="114300">
            <wp:extent cx="5495290" cy="8195945"/>
            <wp:effectExtent l="0" t="0" r="10160" b="14605"/>
            <wp:docPr id="8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5"/>
                    <pic:cNvPicPr>
                      <a:picLocks noChangeAspect="1"/>
                    </pic:cNvPicPr>
                  </pic:nvPicPr>
                  <pic:blipFill>
                    <a:blip r:embed="rId10"/>
                    <a:stretch>
                      <a:fillRect/>
                    </a:stretch>
                  </pic:blipFill>
                  <pic:spPr>
                    <a:xfrm>
                      <a:off x="0" y="0"/>
                      <a:ext cx="5495290" cy="8195945"/>
                    </a:xfrm>
                    <a:prstGeom prst="rect">
                      <a:avLst/>
                    </a:prstGeom>
                    <a:noFill/>
                    <a:ln>
                      <a:noFill/>
                    </a:ln>
                  </pic:spPr>
                </pic:pic>
              </a:graphicData>
            </a:graphic>
          </wp:inline>
        </w:drawing>
      </w:r>
    </w:p>
    <w:p w14:paraId="3DAA8251">
      <w:pPr>
        <w:adjustRightInd w:val="0"/>
        <w:snapToGrid w:val="0"/>
        <w:spacing w:line="288" w:lineRule="auto"/>
        <w:jc w:val="center"/>
        <w:rPr>
          <w:rFonts w:cs="宋体"/>
          <w:color w:val="auto"/>
          <w:kern w:val="0"/>
          <w:sz w:val="24"/>
        </w:rPr>
      </w:pPr>
      <w:r>
        <w:rPr>
          <w:rFonts w:cs="宋体"/>
          <w:color w:val="auto"/>
          <w:kern w:val="0"/>
          <w:sz w:val="24"/>
        </w:rPr>
        <w:fldChar w:fldCharType="begin"/>
      </w:r>
      <w:r>
        <w:rPr>
          <w:rFonts w:cs="宋体"/>
          <w:color w:val="auto"/>
          <w:kern w:val="0"/>
          <w:sz w:val="24"/>
        </w:rPr>
        <w:instrText xml:space="preserve"> INCLUDEPICTURE "C:\\Users\\93242\\AppData\\Roaming\\Tencent\\Users\\932425396\\QQ\\WinTemp\\RichOle\\GT0ZIK)KSRPD6L~I{9K%0HY.png" \* MERGEFORMATINET </w:instrText>
      </w:r>
      <w:r>
        <w:rPr>
          <w:rFonts w:cs="宋体"/>
          <w:color w:val="auto"/>
          <w:kern w:val="0"/>
          <w:sz w:val="24"/>
        </w:rPr>
        <w:fldChar w:fldCharType="separate"/>
      </w:r>
      <w:r>
        <w:rPr>
          <w:rFonts w:cs="宋体"/>
          <w:color w:val="auto"/>
          <w:kern w:val="0"/>
          <w:sz w:val="24"/>
        </w:rPr>
        <w:fldChar w:fldCharType="begin"/>
      </w:r>
      <w:r>
        <w:rPr>
          <w:rFonts w:cs="宋体"/>
          <w:color w:val="auto"/>
          <w:kern w:val="0"/>
          <w:sz w:val="24"/>
        </w:rPr>
        <w:instrText xml:space="preserve"> INCLUDEPICTURE  "C:\\Users\\93242\\AppData\\Roaming\\Tencent\\Users\\932425396\\QQ\\WinTemp\\RichOle\\GT0ZIK)KSRPD6L~I{9K%0HY.png" \* MERGEFORMATINET </w:instrText>
      </w:r>
      <w:r>
        <w:rPr>
          <w:rFonts w:cs="宋体"/>
          <w:color w:val="auto"/>
          <w:kern w:val="0"/>
          <w:sz w:val="24"/>
        </w:rPr>
        <w:fldChar w:fldCharType="separate"/>
      </w:r>
      <w:r>
        <w:rPr>
          <w:rFonts w:cs="宋体"/>
          <w:color w:val="auto"/>
          <w:kern w:val="0"/>
          <w:sz w:val="24"/>
        </w:rPr>
        <w:fldChar w:fldCharType="begin"/>
      </w:r>
      <w:r>
        <w:rPr>
          <w:rFonts w:cs="宋体"/>
          <w:color w:val="auto"/>
          <w:kern w:val="0"/>
          <w:sz w:val="24"/>
        </w:rPr>
        <w:instrText xml:space="preserve"> INCLUDEPICTURE  "C:\\Users\\93242\\AppData\\Roaming\\Tencent\\Users\\932425396\\QQ\\WinTemp\\RichOle\\GT0ZIK)KSRPD6L~I{9K%0HY.png" \* MERGEFORMATINET </w:instrText>
      </w:r>
      <w:r>
        <w:rPr>
          <w:rFonts w:cs="宋体"/>
          <w:color w:val="auto"/>
          <w:kern w:val="0"/>
          <w:sz w:val="24"/>
        </w:rPr>
        <w:fldChar w:fldCharType="separate"/>
      </w:r>
      <w:r>
        <w:rPr>
          <w:rFonts w:cs="宋体"/>
          <w:color w:val="auto"/>
          <w:kern w:val="0"/>
          <w:sz w:val="24"/>
        </w:rPr>
        <w:br w:type="page"/>
      </w:r>
      <w:r>
        <w:rPr>
          <w:rFonts w:cs="宋体"/>
          <w:color w:val="auto"/>
          <w:kern w:val="0"/>
          <w:sz w:val="24"/>
        </w:rPr>
        <w:fldChar w:fldCharType="end"/>
      </w:r>
      <w:r>
        <w:rPr>
          <w:rFonts w:cs="宋体"/>
          <w:color w:val="auto"/>
          <w:kern w:val="0"/>
          <w:sz w:val="24"/>
        </w:rPr>
        <w:fldChar w:fldCharType="end"/>
      </w:r>
      <w:r>
        <w:rPr>
          <w:rFonts w:cs="宋体"/>
          <w:color w:val="auto"/>
          <w:kern w:val="0"/>
          <w:sz w:val="24"/>
        </w:rPr>
        <w:fldChar w:fldCharType="end"/>
      </w:r>
    </w:p>
    <w:p w14:paraId="0683DC38">
      <w:pPr>
        <w:adjustRightInd w:val="0"/>
        <w:snapToGrid w:val="0"/>
        <w:spacing w:line="288" w:lineRule="auto"/>
        <w:ind w:firstLine="1040"/>
        <w:rPr>
          <w:color w:val="auto"/>
          <w:sz w:val="36"/>
          <w:szCs w:val="36"/>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14:paraId="259BE1FF">
      <w:pPr>
        <w:pStyle w:val="16"/>
        <w:outlineLvl w:val="0"/>
        <w:rPr>
          <w:rFonts w:ascii="Times New Roman" w:hAnsi="Times New Roman"/>
          <w:snapToGrid w:val="0"/>
          <w:color w:val="auto"/>
          <w:sz w:val="30"/>
          <w:szCs w:val="30"/>
        </w:rPr>
      </w:pPr>
      <w:bookmarkStart w:id="2" w:name="_Toc73523366"/>
      <w:r>
        <w:rPr>
          <w:rFonts w:hint="eastAsia" w:ascii="Times New Roman" w:hAnsi="Times New Roman"/>
          <w:snapToGrid w:val="0"/>
          <w:color w:val="auto"/>
          <w:sz w:val="30"/>
          <w:szCs w:val="30"/>
        </w:rPr>
        <w:t>一、建设项目基本情况</w:t>
      </w:r>
      <w:bookmarkEnd w:id="2"/>
    </w:p>
    <w:tbl>
      <w:tblPr>
        <w:tblStyle w:val="39"/>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343"/>
        <w:gridCol w:w="2854"/>
        <w:gridCol w:w="1359"/>
        <w:gridCol w:w="3312"/>
      </w:tblGrid>
      <w:tr w14:paraId="066D28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757" w:type="pct"/>
            <w:tcMar>
              <w:top w:w="16" w:type="dxa"/>
              <w:left w:w="16" w:type="dxa"/>
              <w:right w:w="16" w:type="dxa"/>
            </w:tcMar>
            <w:vAlign w:val="center"/>
          </w:tcPr>
          <w:p w14:paraId="6225ABB4">
            <w:pPr>
              <w:adjustRightInd w:val="0"/>
              <w:snapToGrid w:val="0"/>
              <w:jc w:val="center"/>
              <w:rPr>
                <w:color w:val="auto"/>
                <w:sz w:val="22"/>
                <w:szCs w:val="22"/>
              </w:rPr>
            </w:pPr>
            <w:r>
              <w:rPr>
                <w:color w:val="auto"/>
                <w:sz w:val="22"/>
                <w:szCs w:val="22"/>
              </w:rPr>
              <w:t>建设项目</w:t>
            </w:r>
          </w:p>
          <w:p w14:paraId="62DF2167">
            <w:pPr>
              <w:adjustRightInd w:val="0"/>
              <w:snapToGrid w:val="0"/>
              <w:jc w:val="center"/>
              <w:rPr>
                <w:color w:val="auto"/>
                <w:sz w:val="22"/>
                <w:szCs w:val="22"/>
              </w:rPr>
            </w:pPr>
            <w:r>
              <w:rPr>
                <w:color w:val="auto"/>
                <w:sz w:val="22"/>
                <w:szCs w:val="22"/>
              </w:rPr>
              <w:t>名称</w:t>
            </w:r>
          </w:p>
        </w:tc>
        <w:tc>
          <w:tcPr>
            <w:tcW w:w="4242" w:type="pct"/>
            <w:gridSpan w:val="3"/>
            <w:vAlign w:val="center"/>
          </w:tcPr>
          <w:p w14:paraId="39C94F1A">
            <w:pPr>
              <w:adjustRightInd w:val="0"/>
              <w:snapToGrid w:val="0"/>
              <w:jc w:val="center"/>
              <w:rPr>
                <w:color w:val="auto"/>
                <w:sz w:val="22"/>
                <w:szCs w:val="22"/>
              </w:rPr>
            </w:pPr>
            <w:r>
              <w:rPr>
                <w:rFonts w:hint="eastAsia" w:ascii="Times New Roman" w:hAnsi="Times New Roman" w:eastAsia="宋体" w:cs="Times New Roman"/>
                <w:color w:val="auto"/>
                <w:sz w:val="22"/>
                <w:szCs w:val="22"/>
                <w:lang w:val="en-US" w:eastAsia="zh-CN"/>
              </w:rPr>
              <w:t>鸡西市海盛新能源材料有限公司锅炉改造项目</w:t>
            </w:r>
          </w:p>
        </w:tc>
      </w:tr>
      <w:tr w14:paraId="661639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49" w:hRule="atLeast"/>
          <w:jc w:val="center"/>
        </w:trPr>
        <w:tc>
          <w:tcPr>
            <w:tcW w:w="757" w:type="pct"/>
            <w:tcMar>
              <w:top w:w="16" w:type="dxa"/>
              <w:left w:w="16" w:type="dxa"/>
              <w:right w:w="16" w:type="dxa"/>
            </w:tcMar>
            <w:vAlign w:val="center"/>
          </w:tcPr>
          <w:p w14:paraId="579F7580">
            <w:pPr>
              <w:adjustRightInd w:val="0"/>
              <w:snapToGrid w:val="0"/>
              <w:jc w:val="center"/>
              <w:rPr>
                <w:color w:val="auto"/>
                <w:szCs w:val="21"/>
              </w:rPr>
            </w:pPr>
            <w:r>
              <w:rPr>
                <w:color w:val="auto"/>
                <w:szCs w:val="21"/>
              </w:rPr>
              <w:t>项目代码</w:t>
            </w:r>
          </w:p>
        </w:tc>
        <w:tc>
          <w:tcPr>
            <w:tcW w:w="4242" w:type="pct"/>
            <w:gridSpan w:val="3"/>
            <w:vAlign w:val="center"/>
          </w:tcPr>
          <w:p w14:paraId="4CD2A6EF">
            <w:pPr>
              <w:adjustRightInd w:val="0"/>
              <w:snapToGrid w:val="0"/>
              <w:jc w:val="center"/>
              <w:rPr>
                <w:color w:val="auto"/>
                <w:szCs w:val="21"/>
              </w:rPr>
            </w:pPr>
            <w:r>
              <w:rPr>
                <w:rFonts w:hint="eastAsia"/>
                <w:color w:val="auto"/>
                <w:szCs w:val="21"/>
              </w:rPr>
              <w:t>/</w:t>
            </w:r>
          </w:p>
        </w:tc>
      </w:tr>
      <w:tr w14:paraId="34C07A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03" w:hRule="atLeast"/>
          <w:jc w:val="center"/>
        </w:trPr>
        <w:tc>
          <w:tcPr>
            <w:tcW w:w="757" w:type="pct"/>
            <w:tcMar>
              <w:top w:w="16" w:type="dxa"/>
              <w:left w:w="16" w:type="dxa"/>
              <w:right w:w="16" w:type="dxa"/>
            </w:tcMar>
            <w:vAlign w:val="center"/>
          </w:tcPr>
          <w:p w14:paraId="5837C2E7">
            <w:pPr>
              <w:adjustRightInd w:val="0"/>
              <w:snapToGrid w:val="0"/>
              <w:jc w:val="center"/>
              <w:rPr>
                <w:color w:val="auto"/>
                <w:sz w:val="22"/>
                <w:szCs w:val="22"/>
              </w:rPr>
            </w:pPr>
            <w:r>
              <w:rPr>
                <w:color w:val="auto"/>
                <w:sz w:val="22"/>
                <w:szCs w:val="22"/>
              </w:rPr>
              <w:t>建设单位</w:t>
            </w:r>
          </w:p>
          <w:p w14:paraId="1D2FDF07">
            <w:pPr>
              <w:adjustRightInd w:val="0"/>
              <w:snapToGrid w:val="0"/>
              <w:jc w:val="center"/>
              <w:rPr>
                <w:color w:val="auto"/>
                <w:sz w:val="22"/>
                <w:szCs w:val="22"/>
              </w:rPr>
            </w:pPr>
            <w:r>
              <w:rPr>
                <w:color w:val="auto"/>
                <w:sz w:val="22"/>
                <w:szCs w:val="22"/>
              </w:rPr>
              <w:t>联系人</w:t>
            </w:r>
          </w:p>
        </w:tc>
        <w:tc>
          <w:tcPr>
            <w:tcW w:w="1609" w:type="pct"/>
            <w:vAlign w:val="center"/>
          </w:tcPr>
          <w:p w14:paraId="6ACBA0FE">
            <w:pPr>
              <w:adjustRightInd w:val="0"/>
              <w:snapToGrid w:val="0"/>
              <w:jc w:val="center"/>
              <w:rPr>
                <w:rFonts w:hint="default" w:eastAsia="宋体"/>
                <w:color w:val="auto"/>
                <w:sz w:val="22"/>
                <w:szCs w:val="22"/>
                <w:lang w:val="en-US" w:eastAsia="zh-CN"/>
              </w:rPr>
            </w:pPr>
            <w:r>
              <w:rPr>
                <w:rFonts w:hint="eastAsia"/>
                <w:color w:val="auto"/>
                <w:sz w:val="22"/>
                <w:szCs w:val="22"/>
                <w:lang w:val="en-US" w:eastAsia="zh-CN"/>
              </w:rPr>
              <w:t>朱绍富</w:t>
            </w:r>
          </w:p>
        </w:tc>
        <w:tc>
          <w:tcPr>
            <w:tcW w:w="766" w:type="pct"/>
            <w:vAlign w:val="center"/>
          </w:tcPr>
          <w:p w14:paraId="18FE4503">
            <w:pPr>
              <w:adjustRightInd w:val="0"/>
              <w:snapToGrid w:val="0"/>
              <w:jc w:val="center"/>
              <w:rPr>
                <w:color w:val="auto"/>
                <w:sz w:val="22"/>
                <w:szCs w:val="22"/>
              </w:rPr>
            </w:pPr>
            <w:r>
              <w:rPr>
                <w:color w:val="auto"/>
                <w:sz w:val="22"/>
                <w:szCs w:val="22"/>
              </w:rPr>
              <w:t>联系方式</w:t>
            </w:r>
          </w:p>
        </w:tc>
        <w:tc>
          <w:tcPr>
            <w:tcW w:w="1866" w:type="pct"/>
            <w:vAlign w:val="center"/>
          </w:tcPr>
          <w:p w14:paraId="16A2416C">
            <w:pPr>
              <w:adjustRightInd w:val="0"/>
              <w:snapToGrid w:val="0"/>
              <w:jc w:val="center"/>
              <w:rPr>
                <w:rFonts w:hint="default"/>
                <w:color w:val="auto"/>
                <w:sz w:val="22"/>
                <w:szCs w:val="22"/>
                <w:lang w:val="en-US"/>
              </w:rPr>
            </w:pPr>
            <w:r>
              <w:rPr>
                <w:rFonts w:hint="default"/>
                <w:color w:val="auto"/>
                <w:sz w:val="22"/>
                <w:szCs w:val="22"/>
                <w:lang w:val="en-US"/>
              </w:rPr>
              <w:t>13555053077</w:t>
            </w:r>
          </w:p>
        </w:tc>
      </w:tr>
      <w:tr w14:paraId="12CAF6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74" w:hRule="atLeast"/>
          <w:jc w:val="center"/>
        </w:trPr>
        <w:tc>
          <w:tcPr>
            <w:tcW w:w="757" w:type="pct"/>
            <w:tcMar>
              <w:top w:w="16" w:type="dxa"/>
              <w:left w:w="16" w:type="dxa"/>
              <w:right w:w="16" w:type="dxa"/>
            </w:tcMar>
            <w:vAlign w:val="center"/>
          </w:tcPr>
          <w:p w14:paraId="33AB4A9B">
            <w:pPr>
              <w:adjustRightInd w:val="0"/>
              <w:snapToGrid w:val="0"/>
              <w:jc w:val="center"/>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建设地点</w:t>
            </w:r>
          </w:p>
        </w:tc>
        <w:tc>
          <w:tcPr>
            <w:tcW w:w="4242" w:type="pct"/>
            <w:gridSpan w:val="3"/>
            <w:vAlign w:val="center"/>
          </w:tcPr>
          <w:p w14:paraId="002DD568">
            <w:pPr>
              <w:adjustRightInd w:val="0"/>
              <w:snapToGrid w:val="0"/>
              <w:jc w:val="center"/>
              <w:rPr>
                <w:rFonts w:ascii="Times New Roman" w:hAnsi="Times New Roman" w:eastAsia="宋体" w:cs="Times New Roman"/>
                <w:color w:val="auto"/>
                <w:sz w:val="22"/>
                <w:szCs w:val="22"/>
              </w:rPr>
            </w:pPr>
            <w:r>
              <w:rPr>
                <w:rFonts w:hint="eastAsia" w:ascii="Times New Roman" w:hAnsi="Times New Roman" w:eastAsia="宋体" w:cs="Times New Roman"/>
                <w:color w:val="auto"/>
                <w:sz w:val="22"/>
                <w:szCs w:val="22"/>
                <w:lang w:val="en-US" w:eastAsia="zh-CN"/>
              </w:rPr>
              <w:t>黑龙江省鸡西市梨树区穆棱办新兴委</w:t>
            </w:r>
          </w:p>
        </w:tc>
      </w:tr>
      <w:tr w14:paraId="62A897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99" w:hRule="atLeast"/>
          <w:jc w:val="center"/>
        </w:trPr>
        <w:tc>
          <w:tcPr>
            <w:tcW w:w="757" w:type="pct"/>
            <w:tcMar>
              <w:top w:w="16" w:type="dxa"/>
              <w:left w:w="16" w:type="dxa"/>
              <w:right w:w="16" w:type="dxa"/>
            </w:tcMar>
            <w:vAlign w:val="center"/>
          </w:tcPr>
          <w:p w14:paraId="4355BB57">
            <w:pPr>
              <w:adjustRightInd w:val="0"/>
              <w:snapToGrid w:val="0"/>
              <w:jc w:val="center"/>
              <w:rPr>
                <w:color w:val="auto"/>
                <w:sz w:val="22"/>
                <w:szCs w:val="22"/>
              </w:rPr>
            </w:pPr>
            <w:r>
              <w:rPr>
                <w:color w:val="auto"/>
                <w:sz w:val="22"/>
                <w:szCs w:val="22"/>
              </w:rPr>
              <w:t>地理坐标</w:t>
            </w:r>
          </w:p>
        </w:tc>
        <w:tc>
          <w:tcPr>
            <w:tcW w:w="4242" w:type="pct"/>
            <w:gridSpan w:val="3"/>
            <w:vAlign w:val="center"/>
          </w:tcPr>
          <w:p w14:paraId="71B88BC2">
            <w:pPr>
              <w:adjustRightInd w:val="0"/>
              <w:snapToGrid w:val="0"/>
              <w:jc w:val="center"/>
              <w:rPr>
                <w:color w:val="auto"/>
                <w:sz w:val="22"/>
                <w:szCs w:val="22"/>
              </w:rPr>
            </w:pPr>
            <w:r>
              <w:rPr>
                <w:color w:val="auto"/>
                <w:sz w:val="22"/>
                <w:szCs w:val="22"/>
              </w:rPr>
              <w:t xml:space="preserve">（ </w:t>
            </w:r>
            <w:r>
              <w:rPr>
                <w:rFonts w:hint="eastAsia"/>
                <w:color w:val="auto"/>
                <w:szCs w:val="21"/>
                <w:lang w:val="en-US" w:eastAsia="zh-CN"/>
              </w:rPr>
              <w:t>130</w:t>
            </w:r>
            <w:r>
              <w:rPr>
                <w:color w:val="auto"/>
                <w:sz w:val="22"/>
                <w:szCs w:val="22"/>
              </w:rPr>
              <w:t xml:space="preserve"> 度 </w:t>
            </w:r>
            <w:r>
              <w:rPr>
                <w:rFonts w:hint="eastAsia"/>
                <w:color w:val="auto"/>
                <w:sz w:val="22"/>
                <w:szCs w:val="22"/>
                <w:lang w:val="en-US" w:eastAsia="zh-CN"/>
              </w:rPr>
              <w:t>42</w:t>
            </w:r>
            <w:r>
              <w:rPr>
                <w:color w:val="auto"/>
                <w:sz w:val="22"/>
                <w:szCs w:val="22"/>
              </w:rPr>
              <w:t xml:space="preserve"> 分 </w:t>
            </w:r>
            <w:r>
              <w:rPr>
                <w:rFonts w:hint="eastAsia"/>
                <w:color w:val="auto"/>
                <w:sz w:val="22"/>
                <w:szCs w:val="22"/>
                <w:lang w:val="en-US" w:eastAsia="zh-CN"/>
              </w:rPr>
              <w:t>53.529</w:t>
            </w:r>
            <w:r>
              <w:rPr>
                <w:color w:val="auto"/>
                <w:sz w:val="22"/>
                <w:szCs w:val="22"/>
              </w:rPr>
              <w:t xml:space="preserve"> 秒， </w:t>
            </w:r>
            <w:r>
              <w:rPr>
                <w:rFonts w:hint="eastAsia"/>
                <w:color w:val="auto"/>
                <w:szCs w:val="21"/>
              </w:rPr>
              <w:t>45</w:t>
            </w:r>
            <w:r>
              <w:rPr>
                <w:color w:val="auto"/>
                <w:sz w:val="22"/>
                <w:szCs w:val="22"/>
              </w:rPr>
              <w:t xml:space="preserve"> 度 </w:t>
            </w:r>
            <w:r>
              <w:rPr>
                <w:rFonts w:hint="eastAsia"/>
                <w:color w:val="auto"/>
                <w:sz w:val="22"/>
                <w:szCs w:val="22"/>
                <w:lang w:val="en-US" w:eastAsia="zh-CN"/>
              </w:rPr>
              <w:t>07</w:t>
            </w:r>
            <w:r>
              <w:rPr>
                <w:color w:val="auto"/>
                <w:sz w:val="22"/>
                <w:szCs w:val="22"/>
              </w:rPr>
              <w:t xml:space="preserve"> 分 </w:t>
            </w:r>
            <w:r>
              <w:rPr>
                <w:rFonts w:hint="eastAsia"/>
                <w:color w:val="auto"/>
                <w:sz w:val="22"/>
                <w:szCs w:val="22"/>
                <w:lang w:val="en-US" w:eastAsia="zh-CN"/>
              </w:rPr>
              <w:t>3.791</w:t>
            </w:r>
            <w:r>
              <w:rPr>
                <w:color w:val="auto"/>
                <w:sz w:val="22"/>
                <w:szCs w:val="22"/>
              </w:rPr>
              <w:t xml:space="preserve"> 秒）</w:t>
            </w:r>
          </w:p>
        </w:tc>
      </w:tr>
      <w:tr w14:paraId="6DB555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18" w:hRule="atLeast"/>
          <w:jc w:val="center"/>
        </w:trPr>
        <w:tc>
          <w:tcPr>
            <w:tcW w:w="757" w:type="pct"/>
            <w:tcMar>
              <w:top w:w="16" w:type="dxa"/>
              <w:left w:w="16" w:type="dxa"/>
              <w:right w:w="16" w:type="dxa"/>
            </w:tcMar>
            <w:vAlign w:val="center"/>
          </w:tcPr>
          <w:p w14:paraId="4A1EC9E5">
            <w:pPr>
              <w:adjustRightInd w:val="0"/>
              <w:snapToGrid w:val="0"/>
              <w:jc w:val="center"/>
              <w:rPr>
                <w:color w:val="auto"/>
                <w:sz w:val="22"/>
                <w:szCs w:val="22"/>
              </w:rPr>
            </w:pPr>
            <w:r>
              <w:rPr>
                <w:color w:val="auto"/>
                <w:sz w:val="22"/>
                <w:szCs w:val="22"/>
              </w:rPr>
              <w:t>国民经济</w:t>
            </w:r>
          </w:p>
          <w:p w14:paraId="060BBAAE">
            <w:pPr>
              <w:adjustRightInd w:val="0"/>
              <w:snapToGrid w:val="0"/>
              <w:jc w:val="center"/>
              <w:rPr>
                <w:color w:val="auto"/>
                <w:sz w:val="22"/>
                <w:szCs w:val="22"/>
              </w:rPr>
            </w:pPr>
            <w:r>
              <w:rPr>
                <w:color w:val="auto"/>
                <w:sz w:val="22"/>
                <w:szCs w:val="22"/>
              </w:rPr>
              <w:t>行业类别</w:t>
            </w:r>
          </w:p>
        </w:tc>
        <w:tc>
          <w:tcPr>
            <w:tcW w:w="1609" w:type="pct"/>
            <w:vAlign w:val="center"/>
          </w:tcPr>
          <w:p w14:paraId="0F982068">
            <w:pPr>
              <w:adjustRightInd w:val="0"/>
              <w:snapToGrid w:val="0"/>
              <w:jc w:val="center"/>
              <w:rPr>
                <w:rFonts w:hint="default" w:eastAsia="宋体"/>
                <w:color w:val="auto"/>
                <w:sz w:val="22"/>
                <w:szCs w:val="22"/>
                <w:lang w:val="en-US" w:eastAsia="zh-CN"/>
              </w:rPr>
            </w:pPr>
            <w:r>
              <w:rPr>
                <w:rFonts w:hint="default" w:ascii="Times New Roman" w:hAnsi="Times New Roman" w:eastAsia="宋体" w:cs="Times New Roman"/>
                <w:color w:val="auto"/>
                <w:sz w:val="22"/>
                <w:szCs w:val="22"/>
                <w:lang w:val="en-US" w:eastAsia="zh-CN"/>
              </w:rPr>
              <w:t>D4430 热力生产和供应</w:t>
            </w:r>
          </w:p>
        </w:tc>
        <w:tc>
          <w:tcPr>
            <w:tcW w:w="766" w:type="pct"/>
            <w:vAlign w:val="center"/>
          </w:tcPr>
          <w:p w14:paraId="6F6FBA2D">
            <w:pPr>
              <w:adjustRightInd w:val="0"/>
              <w:snapToGrid w:val="0"/>
              <w:jc w:val="center"/>
              <w:rPr>
                <w:color w:val="auto"/>
                <w:sz w:val="22"/>
                <w:szCs w:val="22"/>
              </w:rPr>
            </w:pPr>
            <w:r>
              <w:rPr>
                <w:color w:val="auto"/>
                <w:sz w:val="22"/>
                <w:szCs w:val="22"/>
              </w:rPr>
              <w:t>建设项目</w:t>
            </w:r>
          </w:p>
          <w:p w14:paraId="02D52A7A">
            <w:pPr>
              <w:adjustRightInd w:val="0"/>
              <w:snapToGrid w:val="0"/>
              <w:jc w:val="center"/>
              <w:rPr>
                <w:color w:val="auto"/>
                <w:sz w:val="22"/>
                <w:szCs w:val="22"/>
              </w:rPr>
            </w:pPr>
            <w:r>
              <w:rPr>
                <w:color w:val="auto"/>
                <w:sz w:val="22"/>
                <w:szCs w:val="22"/>
              </w:rPr>
              <w:t>行业类别</w:t>
            </w:r>
          </w:p>
        </w:tc>
        <w:tc>
          <w:tcPr>
            <w:tcW w:w="1866" w:type="pct"/>
            <w:vAlign w:val="center"/>
          </w:tcPr>
          <w:p w14:paraId="38429605">
            <w:pPr>
              <w:adjustRightInd w:val="0"/>
              <w:snapToGrid w:val="0"/>
              <w:jc w:val="center"/>
              <w:rPr>
                <w:rFonts w:hint="eastAsia"/>
                <w:color w:val="auto"/>
                <w:sz w:val="22"/>
                <w:szCs w:val="22"/>
                <w:lang w:eastAsia="zh-CN"/>
              </w:rPr>
            </w:pPr>
            <w:r>
              <w:rPr>
                <w:rFonts w:hint="default" w:ascii="Times New Roman" w:hAnsi="Times New Roman" w:eastAsia="宋体" w:cs="Times New Roman"/>
                <w:color w:val="auto"/>
                <w:sz w:val="22"/>
                <w:szCs w:val="22"/>
                <w:lang w:val="en-US" w:eastAsia="zh-CN"/>
              </w:rPr>
              <w:t>四十一、电力、热力生产和供应业-91.热力生产和供应工程</w:t>
            </w:r>
            <w:r>
              <w:rPr>
                <w:rFonts w:hint="eastAsia" w:cs="Times New Roman"/>
                <w:color w:val="auto"/>
                <w:sz w:val="22"/>
                <w:szCs w:val="22"/>
                <w:lang w:val="en-US" w:eastAsia="zh-CN"/>
              </w:rPr>
              <w:t>（</w:t>
            </w:r>
            <w:r>
              <w:rPr>
                <w:rFonts w:hint="default" w:ascii="Times New Roman" w:hAnsi="Times New Roman" w:eastAsia="宋体" w:cs="Times New Roman"/>
                <w:color w:val="auto"/>
                <w:sz w:val="22"/>
                <w:szCs w:val="22"/>
                <w:lang w:val="en-US" w:eastAsia="zh-CN"/>
              </w:rPr>
              <w:t>包括建设单位自建自用的供热工程</w:t>
            </w:r>
            <w:r>
              <w:rPr>
                <w:rFonts w:hint="eastAsia" w:cs="Times New Roman"/>
                <w:color w:val="auto"/>
                <w:sz w:val="22"/>
                <w:szCs w:val="22"/>
                <w:lang w:val="en-US" w:eastAsia="zh-CN"/>
              </w:rPr>
              <w:t>）</w:t>
            </w:r>
          </w:p>
        </w:tc>
      </w:tr>
      <w:tr w14:paraId="744372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757" w:type="pct"/>
            <w:tcMar>
              <w:top w:w="16" w:type="dxa"/>
              <w:left w:w="16" w:type="dxa"/>
              <w:right w:w="16" w:type="dxa"/>
            </w:tcMar>
            <w:vAlign w:val="center"/>
          </w:tcPr>
          <w:p w14:paraId="0698B9FB">
            <w:pPr>
              <w:adjustRightInd w:val="0"/>
              <w:snapToGrid w:val="0"/>
              <w:jc w:val="center"/>
              <w:rPr>
                <w:color w:val="auto"/>
                <w:sz w:val="22"/>
                <w:szCs w:val="22"/>
              </w:rPr>
            </w:pPr>
            <w:r>
              <w:rPr>
                <w:color w:val="auto"/>
                <w:sz w:val="22"/>
                <w:szCs w:val="22"/>
              </w:rPr>
              <w:t>建设性质</w:t>
            </w:r>
          </w:p>
        </w:tc>
        <w:tc>
          <w:tcPr>
            <w:tcW w:w="1609" w:type="pct"/>
            <w:vAlign w:val="center"/>
          </w:tcPr>
          <w:p w14:paraId="10AD3CB8">
            <w:pPr>
              <w:adjustRightInd w:val="0"/>
              <w:snapToGrid w:val="0"/>
              <w:rPr>
                <w:color w:val="auto"/>
                <w:sz w:val="22"/>
                <w:szCs w:val="22"/>
              </w:rPr>
            </w:pPr>
            <w:r>
              <w:rPr>
                <w:color w:val="auto"/>
                <w:sz w:val="22"/>
                <w:szCs w:val="22"/>
              </w:rPr>
              <w:sym w:font="Wingdings 2" w:char="00A3"/>
            </w:r>
            <w:r>
              <w:rPr>
                <w:color w:val="auto"/>
                <w:sz w:val="22"/>
                <w:szCs w:val="22"/>
              </w:rPr>
              <w:t>新建（迁建）</w:t>
            </w:r>
          </w:p>
          <w:p w14:paraId="1D172BCA">
            <w:pPr>
              <w:adjustRightInd w:val="0"/>
              <w:snapToGrid w:val="0"/>
              <w:rPr>
                <w:color w:val="auto"/>
                <w:sz w:val="22"/>
                <w:szCs w:val="22"/>
              </w:rPr>
            </w:pPr>
            <w:r>
              <w:rPr>
                <w:color w:val="auto"/>
                <w:sz w:val="22"/>
                <w:szCs w:val="22"/>
              </w:rPr>
              <w:sym w:font="Wingdings 2" w:char="0052"/>
            </w:r>
            <w:r>
              <w:rPr>
                <w:color w:val="auto"/>
                <w:sz w:val="22"/>
                <w:szCs w:val="22"/>
              </w:rPr>
              <w:t>改建</w:t>
            </w:r>
          </w:p>
          <w:p w14:paraId="6F307855">
            <w:pPr>
              <w:adjustRightInd w:val="0"/>
              <w:snapToGrid w:val="0"/>
              <w:rPr>
                <w:color w:val="auto"/>
                <w:sz w:val="22"/>
                <w:szCs w:val="22"/>
              </w:rPr>
            </w:pPr>
            <w:r>
              <w:rPr>
                <w:color w:val="auto"/>
                <w:sz w:val="22"/>
                <w:szCs w:val="22"/>
              </w:rPr>
              <w:sym w:font="Wingdings 2" w:char="00A3"/>
            </w:r>
            <w:r>
              <w:rPr>
                <w:color w:val="auto"/>
                <w:sz w:val="22"/>
                <w:szCs w:val="22"/>
              </w:rPr>
              <w:t>扩建</w:t>
            </w:r>
          </w:p>
          <w:p w14:paraId="1A84B614">
            <w:pPr>
              <w:adjustRightInd w:val="0"/>
              <w:snapToGrid w:val="0"/>
              <w:rPr>
                <w:color w:val="auto"/>
                <w:sz w:val="22"/>
                <w:szCs w:val="22"/>
              </w:rPr>
            </w:pPr>
            <w:r>
              <w:rPr>
                <w:color w:val="auto"/>
                <w:sz w:val="22"/>
                <w:szCs w:val="22"/>
              </w:rPr>
              <w:sym w:font="Wingdings 2" w:char="00A3"/>
            </w:r>
            <w:r>
              <w:rPr>
                <w:color w:val="auto"/>
                <w:sz w:val="22"/>
                <w:szCs w:val="22"/>
              </w:rPr>
              <w:t>技术改造</w:t>
            </w:r>
          </w:p>
        </w:tc>
        <w:tc>
          <w:tcPr>
            <w:tcW w:w="766" w:type="pct"/>
            <w:vAlign w:val="center"/>
          </w:tcPr>
          <w:p w14:paraId="5E4D6FAF">
            <w:pPr>
              <w:adjustRightInd w:val="0"/>
              <w:snapToGrid w:val="0"/>
              <w:jc w:val="center"/>
              <w:rPr>
                <w:color w:val="auto"/>
                <w:sz w:val="22"/>
                <w:szCs w:val="22"/>
              </w:rPr>
            </w:pPr>
            <w:r>
              <w:rPr>
                <w:color w:val="auto"/>
                <w:sz w:val="22"/>
                <w:szCs w:val="22"/>
              </w:rPr>
              <w:t>建设项目</w:t>
            </w:r>
          </w:p>
          <w:p w14:paraId="12CFB5FD">
            <w:pPr>
              <w:adjustRightInd w:val="0"/>
              <w:snapToGrid w:val="0"/>
              <w:jc w:val="center"/>
              <w:rPr>
                <w:color w:val="auto"/>
                <w:sz w:val="22"/>
                <w:szCs w:val="22"/>
              </w:rPr>
            </w:pPr>
            <w:r>
              <w:rPr>
                <w:color w:val="auto"/>
                <w:sz w:val="22"/>
                <w:szCs w:val="22"/>
              </w:rPr>
              <w:t>申报情形</w:t>
            </w:r>
          </w:p>
        </w:tc>
        <w:tc>
          <w:tcPr>
            <w:tcW w:w="1866" w:type="pct"/>
            <w:vAlign w:val="center"/>
          </w:tcPr>
          <w:p w14:paraId="3524FC38">
            <w:pPr>
              <w:adjustRightInd w:val="0"/>
              <w:snapToGrid w:val="0"/>
              <w:rPr>
                <w:color w:val="auto"/>
                <w:sz w:val="22"/>
                <w:szCs w:val="22"/>
              </w:rPr>
            </w:pPr>
            <w:r>
              <w:rPr>
                <w:color w:val="auto"/>
                <w:sz w:val="22"/>
                <w:szCs w:val="22"/>
              </w:rPr>
              <w:sym w:font="Wingdings 2" w:char="0052"/>
            </w:r>
            <w:r>
              <w:rPr>
                <w:color w:val="auto"/>
                <w:sz w:val="22"/>
                <w:szCs w:val="22"/>
              </w:rPr>
              <w:t>首次申报项目</w:t>
            </w:r>
          </w:p>
          <w:p w14:paraId="47075251">
            <w:pPr>
              <w:adjustRightInd w:val="0"/>
              <w:snapToGrid w:val="0"/>
              <w:rPr>
                <w:color w:val="auto"/>
                <w:sz w:val="22"/>
                <w:szCs w:val="22"/>
              </w:rPr>
            </w:pPr>
            <w:r>
              <w:rPr>
                <w:color w:val="auto"/>
                <w:sz w:val="22"/>
                <w:szCs w:val="22"/>
              </w:rPr>
              <w:sym w:font="Wingdings 2" w:char="00A3"/>
            </w:r>
            <w:r>
              <w:rPr>
                <w:color w:val="auto"/>
                <w:sz w:val="22"/>
                <w:szCs w:val="22"/>
              </w:rPr>
              <w:t>不予批准后再次申报项目</w:t>
            </w:r>
          </w:p>
          <w:p w14:paraId="56B9BE23">
            <w:pPr>
              <w:adjustRightInd w:val="0"/>
              <w:snapToGrid w:val="0"/>
              <w:rPr>
                <w:color w:val="auto"/>
                <w:sz w:val="22"/>
                <w:szCs w:val="22"/>
              </w:rPr>
            </w:pPr>
            <w:r>
              <w:rPr>
                <w:color w:val="auto"/>
                <w:sz w:val="22"/>
                <w:szCs w:val="22"/>
              </w:rPr>
              <w:sym w:font="Wingdings 2" w:char="00A3"/>
            </w:r>
            <w:r>
              <w:rPr>
                <w:color w:val="auto"/>
                <w:sz w:val="22"/>
                <w:szCs w:val="22"/>
              </w:rPr>
              <w:t>超五年重新审核项目</w:t>
            </w:r>
          </w:p>
          <w:p w14:paraId="33E07C7C">
            <w:pPr>
              <w:adjustRightInd w:val="0"/>
              <w:snapToGrid w:val="0"/>
              <w:rPr>
                <w:color w:val="auto"/>
                <w:sz w:val="22"/>
                <w:szCs w:val="22"/>
              </w:rPr>
            </w:pPr>
            <w:r>
              <w:rPr>
                <w:color w:val="auto"/>
                <w:sz w:val="22"/>
                <w:szCs w:val="22"/>
              </w:rPr>
              <w:sym w:font="Wingdings 2" w:char="00A3"/>
            </w:r>
            <w:r>
              <w:rPr>
                <w:color w:val="auto"/>
                <w:sz w:val="22"/>
                <w:szCs w:val="22"/>
              </w:rPr>
              <w:t>重大变动重新报批项目</w:t>
            </w:r>
          </w:p>
        </w:tc>
      </w:tr>
      <w:tr w14:paraId="7880CC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757" w:type="pct"/>
            <w:tcMar>
              <w:top w:w="16" w:type="dxa"/>
              <w:left w:w="16" w:type="dxa"/>
              <w:right w:w="16" w:type="dxa"/>
            </w:tcMar>
            <w:vAlign w:val="center"/>
          </w:tcPr>
          <w:p w14:paraId="1807F59D">
            <w:pPr>
              <w:adjustRightInd w:val="0"/>
              <w:snapToGrid w:val="0"/>
              <w:jc w:val="center"/>
              <w:rPr>
                <w:color w:val="auto"/>
                <w:sz w:val="22"/>
                <w:szCs w:val="22"/>
              </w:rPr>
            </w:pPr>
            <w:r>
              <w:rPr>
                <w:color w:val="auto"/>
                <w:sz w:val="22"/>
                <w:szCs w:val="22"/>
              </w:rPr>
              <w:t>项目审批</w:t>
            </w:r>
          </w:p>
          <w:p w14:paraId="3D651BA2">
            <w:pPr>
              <w:adjustRightInd w:val="0"/>
              <w:snapToGrid w:val="0"/>
              <w:jc w:val="center"/>
              <w:rPr>
                <w:color w:val="auto"/>
                <w:sz w:val="22"/>
                <w:szCs w:val="22"/>
              </w:rPr>
            </w:pPr>
            <w:r>
              <w:rPr>
                <w:color w:val="auto"/>
                <w:sz w:val="22"/>
                <w:szCs w:val="22"/>
              </w:rPr>
              <w:t>（核准/备案）部门（选填）</w:t>
            </w:r>
          </w:p>
        </w:tc>
        <w:tc>
          <w:tcPr>
            <w:tcW w:w="1609" w:type="pct"/>
            <w:vAlign w:val="center"/>
          </w:tcPr>
          <w:p w14:paraId="043B490E">
            <w:pPr>
              <w:adjustRightInd w:val="0"/>
              <w:snapToGrid w:val="0"/>
              <w:jc w:val="center"/>
              <w:rPr>
                <w:color w:val="auto"/>
                <w:sz w:val="22"/>
                <w:szCs w:val="22"/>
              </w:rPr>
            </w:pPr>
            <w:r>
              <w:rPr>
                <w:color w:val="auto"/>
                <w:sz w:val="22"/>
                <w:szCs w:val="22"/>
              </w:rPr>
              <w:t>无</w:t>
            </w:r>
          </w:p>
        </w:tc>
        <w:tc>
          <w:tcPr>
            <w:tcW w:w="766" w:type="pct"/>
            <w:vAlign w:val="center"/>
          </w:tcPr>
          <w:p w14:paraId="14065720">
            <w:pPr>
              <w:adjustRightInd w:val="0"/>
              <w:snapToGrid w:val="0"/>
              <w:jc w:val="center"/>
              <w:rPr>
                <w:color w:val="auto"/>
                <w:sz w:val="22"/>
                <w:szCs w:val="22"/>
              </w:rPr>
            </w:pPr>
            <w:r>
              <w:rPr>
                <w:color w:val="auto"/>
                <w:sz w:val="22"/>
                <w:szCs w:val="22"/>
              </w:rPr>
              <w:t>项目审批</w:t>
            </w:r>
          </w:p>
          <w:p w14:paraId="4208AD59">
            <w:pPr>
              <w:adjustRightInd w:val="0"/>
              <w:snapToGrid w:val="0"/>
              <w:jc w:val="center"/>
              <w:rPr>
                <w:color w:val="auto"/>
                <w:sz w:val="22"/>
                <w:szCs w:val="22"/>
              </w:rPr>
            </w:pPr>
            <w:r>
              <w:rPr>
                <w:color w:val="auto"/>
                <w:sz w:val="22"/>
                <w:szCs w:val="22"/>
              </w:rPr>
              <w:t>（核准/备案）</w:t>
            </w:r>
          </w:p>
          <w:p w14:paraId="27AE66D8">
            <w:pPr>
              <w:adjustRightInd w:val="0"/>
              <w:snapToGrid w:val="0"/>
              <w:jc w:val="center"/>
              <w:rPr>
                <w:color w:val="auto"/>
                <w:sz w:val="22"/>
                <w:szCs w:val="22"/>
              </w:rPr>
            </w:pPr>
            <w:r>
              <w:rPr>
                <w:color w:val="auto"/>
                <w:sz w:val="22"/>
                <w:szCs w:val="22"/>
              </w:rPr>
              <w:t>文号（选填）</w:t>
            </w:r>
          </w:p>
        </w:tc>
        <w:tc>
          <w:tcPr>
            <w:tcW w:w="1866" w:type="pct"/>
            <w:vAlign w:val="center"/>
          </w:tcPr>
          <w:p w14:paraId="6A3D71CB">
            <w:pPr>
              <w:adjustRightInd w:val="0"/>
              <w:snapToGrid w:val="0"/>
              <w:jc w:val="center"/>
              <w:rPr>
                <w:color w:val="auto"/>
                <w:sz w:val="22"/>
                <w:szCs w:val="22"/>
              </w:rPr>
            </w:pPr>
            <w:r>
              <w:rPr>
                <w:color w:val="auto"/>
                <w:sz w:val="22"/>
                <w:szCs w:val="22"/>
              </w:rPr>
              <w:t>无</w:t>
            </w:r>
          </w:p>
        </w:tc>
      </w:tr>
      <w:tr w14:paraId="071163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42" w:hRule="atLeast"/>
          <w:jc w:val="center"/>
        </w:trPr>
        <w:tc>
          <w:tcPr>
            <w:tcW w:w="757" w:type="pct"/>
            <w:tcMar>
              <w:top w:w="16" w:type="dxa"/>
              <w:left w:w="16" w:type="dxa"/>
              <w:right w:w="16" w:type="dxa"/>
            </w:tcMar>
            <w:vAlign w:val="center"/>
          </w:tcPr>
          <w:p w14:paraId="19193755">
            <w:pPr>
              <w:adjustRightInd w:val="0"/>
              <w:snapToGrid w:val="0"/>
              <w:jc w:val="center"/>
              <w:rPr>
                <w:color w:val="auto"/>
                <w:sz w:val="22"/>
                <w:szCs w:val="22"/>
              </w:rPr>
            </w:pPr>
            <w:r>
              <w:rPr>
                <w:color w:val="auto"/>
                <w:sz w:val="22"/>
                <w:szCs w:val="22"/>
              </w:rPr>
              <w:t>总投资</w:t>
            </w:r>
          </w:p>
          <w:p w14:paraId="18A636C5">
            <w:pPr>
              <w:adjustRightInd w:val="0"/>
              <w:snapToGrid w:val="0"/>
              <w:jc w:val="center"/>
              <w:rPr>
                <w:color w:val="auto"/>
                <w:sz w:val="22"/>
                <w:szCs w:val="22"/>
              </w:rPr>
            </w:pPr>
            <w:r>
              <w:rPr>
                <w:color w:val="auto"/>
                <w:sz w:val="22"/>
                <w:szCs w:val="22"/>
              </w:rPr>
              <w:t>（万元）</w:t>
            </w:r>
          </w:p>
        </w:tc>
        <w:tc>
          <w:tcPr>
            <w:tcW w:w="1609" w:type="pct"/>
            <w:vAlign w:val="center"/>
          </w:tcPr>
          <w:p w14:paraId="3DE11409">
            <w:pPr>
              <w:adjustRightInd w:val="0"/>
              <w:snapToGrid w:val="0"/>
              <w:jc w:val="center"/>
              <w:rPr>
                <w:rFonts w:hint="default" w:eastAsia="宋体"/>
                <w:color w:val="auto"/>
                <w:sz w:val="22"/>
                <w:szCs w:val="22"/>
                <w:lang w:val="en-US" w:eastAsia="zh-CN"/>
              </w:rPr>
            </w:pPr>
            <w:r>
              <w:rPr>
                <w:rFonts w:hint="eastAsia"/>
                <w:color w:val="auto"/>
                <w:sz w:val="22"/>
                <w:szCs w:val="22"/>
                <w:lang w:val="en-US" w:eastAsia="zh-CN"/>
              </w:rPr>
              <w:t>100</w:t>
            </w:r>
          </w:p>
        </w:tc>
        <w:tc>
          <w:tcPr>
            <w:tcW w:w="766" w:type="pct"/>
            <w:tcMar>
              <w:top w:w="16" w:type="dxa"/>
              <w:left w:w="16" w:type="dxa"/>
              <w:right w:w="16" w:type="dxa"/>
            </w:tcMar>
            <w:vAlign w:val="center"/>
          </w:tcPr>
          <w:p w14:paraId="7D2248EE">
            <w:pPr>
              <w:adjustRightInd w:val="0"/>
              <w:snapToGrid w:val="0"/>
              <w:jc w:val="center"/>
              <w:rPr>
                <w:color w:val="auto"/>
                <w:sz w:val="22"/>
                <w:szCs w:val="22"/>
              </w:rPr>
            </w:pPr>
            <w:r>
              <w:rPr>
                <w:color w:val="auto"/>
                <w:sz w:val="22"/>
                <w:szCs w:val="22"/>
              </w:rPr>
              <w:t>环保投资</w:t>
            </w:r>
          </w:p>
          <w:p w14:paraId="75F2C9AF">
            <w:pPr>
              <w:adjustRightInd w:val="0"/>
              <w:snapToGrid w:val="0"/>
              <w:jc w:val="center"/>
              <w:rPr>
                <w:color w:val="auto"/>
                <w:sz w:val="22"/>
                <w:szCs w:val="22"/>
              </w:rPr>
            </w:pPr>
            <w:r>
              <w:rPr>
                <w:color w:val="auto"/>
                <w:sz w:val="22"/>
                <w:szCs w:val="22"/>
              </w:rPr>
              <w:t>（万元）</w:t>
            </w:r>
          </w:p>
        </w:tc>
        <w:tc>
          <w:tcPr>
            <w:tcW w:w="1866" w:type="pct"/>
            <w:vAlign w:val="center"/>
          </w:tcPr>
          <w:p w14:paraId="750744E5">
            <w:pPr>
              <w:adjustRightInd w:val="0"/>
              <w:snapToGrid w:val="0"/>
              <w:jc w:val="center"/>
              <w:rPr>
                <w:rFonts w:hint="default" w:eastAsia="宋体"/>
                <w:color w:val="auto"/>
                <w:sz w:val="22"/>
                <w:szCs w:val="22"/>
                <w:lang w:val="en-US" w:eastAsia="zh-CN"/>
              </w:rPr>
            </w:pPr>
            <w:r>
              <w:rPr>
                <w:rFonts w:hint="eastAsia"/>
                <w:color w:val="auto"/>
                <w:sz w:val="22"/>
                <w:szCs w:val="22"/>
                <w:lang w:val="en-US" w:eastAsia="zh-CN"/>
              </w:rPr>
              <w:t>14</w:t>
            </w:r>
          </w:p>
        </w:tc>
      </w:tr>
      <w:tr w14:paraId="3249E0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757" w:type="pct"/>
            <w:tcMar>
              <w:top w:w="16" w:type="dxa"/>
              <w:left w:w="16" w:type="dxa"/>
              <w:right w:w="16" w:type="dxa"/>
            </w:tcMar>
            <w:vAlign w:val="center"/>
          </w:tcPr>
          <w:p w14:paraId="018EA1C0">
            <w:pPr>
              <w:adjustRightInd w:val="0"/>
              <w:snapToGrid w:val="0"/>
              <w:jc w:val="center"/>
              <w:rPr>
                <w:color w:val="auto"/>
                <w:sz w:val="22"/>
                <w:szCs w:val="22"/>
              </w:rPr>
            </w:pPr>
            <w:r>
              <w:rPr>
                <w:color w:val="auto"/>
                <w:sz w:val="22"/>
                <w:szCs w:val="22"/>
              </w:rPr>
              <w:t>环保投资占比（%）</w:t>
            </w:r>
          </w:p>
        </w:tc>
        <w:tc>
          <w:tcPr>
            <w:tcW w:w="1609" w:type="pct"/>
            <w:vAlign w:val="center"/>
          </w:tcPr>
          <w:p w14:paraId="5D362775">
            <w:pPr>
              <w:adjustRightInd w:val="0"/>
              <w:snapToGrid w:val="0"/>
              <w:jc w:val="center"/>
              <w:rPr>
                <w:rFonts w:hint="default" w:eastAsia="宋体"/>
                <w:color w:val="auto"/>
                <w:sz w:val="22"/>
                <w:szCs w:val="22"/>
                <w:lang w:val="en-US" w:eastAsia="zh-CN"/>
              </w:rPr>
            </w:pPr>
            <w:r>
              <w:rPr>
                <w:rFonts w:hint="eastAsia"/>
                <w:color w:val="auto"/>
                <w:sz w:val="22"/>
                <w:szCs w:val="22"/>
                <w:lang w:val="en-US" w:eastAsia="zh-CN"/>
              </w:rPr>
              <w:t>14</w:t>
            </w:r>
          </w:p>
        </w:tc>
        <w:tc>
          <w:tcPr>
            <w:tcW w:w="766" w:type="pct"/>
            <w:tcMar>
              <w:top w:w="16" w:type="dxa"/>
              <w:left w:w="16" w:type="dxa"/>
              <w:right w:w="16" w:type="dxa"/>
            </w:tcMar>
            <w:vAlign w:val="center"/>
          </w:tcPr>
          <w:p w14:paraId="0898E469">
            <w:pPr>
              <w:adjustRightInd w:val="0"/>
              <w:snapToGrid w:val="0"/>
              <w:jc w:val="center"/>
              <w:rPr>
                <w:color w:val="auto"/>
                <w:sz w:val="22"/>
                <w:szCs w:val="22"/>
              </w:rPr>
            </w:pPr>
            <w:r>
              <w:rPr>
                <w:color w:val="auto"/>
                <w:sz w:val="22"/>
                <w:szCs w:val="22"/>
              </w:rPr>
              <w:t>施工工期</w:t>
            </w:r>
          </w:p>
        </w:tc>
        <w:tc>
          <w:tcPr>
            <w:tcW w:w="1866" w:type="pct"/>
            <w:vAlign w:val="center"/>
          </w:tcPr>
          <w:p w14:paraId="01D13CEB">
            <w:pPr>
              <w:adjustRightInd w:val="0"/>
              <w:snapToGrid w:val="0"/>
              <w:jc w:val="center"/>
              <w:rPr>
                <w:color w:val="auto"/>
                <w:sz w:val="22"/>
                <w:szCs w:val="22"/>
              </w:rPr>
            </w:pPr>
            <w:r>
              <w:rPr>
                <w:rFonts w:hint="eastAsia"/>
                <w:color w:val="auto"/>
                <w:sz w:val="22"/>
                <w:szCs w:val="22"/>
              </w:rPr>
              <w:t>202</w:t>
            </w:r>
            <w:r>
              <w:rPr>
                <w:rFonts w:hint="eastAsia"/>
                <w:color w:val="auto"/>
                <w:sz w:val="22"/>
                <w:szCs w:val="22"/>
                <w:lang w:val="en-US" w:eastAsia="zh-CN"/>
              </w:rPr>
              <w:t>6</w:t>
            </w:r>
            <w:r>
              <w:rPr>
                <w:rFonts w:hint="eastAsia"/>
                <w:color w:val="auto"/>
                <w:sz w:val="22"/>
                <w:szCs w:val="22"/>
              </w:rPr>
              <w:t>年</w:t>
            </w:r>
            <w:r>
              <w:rPr>
                <w:rFonts w:hint="eastAsia"/>
                <w:color w:val="auto"/>
                <w:sz w:val="22"/>
                <w:szCs w:val="22"/>
                <w:lang w:val="en-US" w:eastAsia="zh-CN"/>
              </w:rPr>
              <w:t>1</w:t>
            </w:r>
            <w:r>
              <w:rPr>
                <w:rFonts w:hint="eastAsia"/>
                <w:color w:val="auto"/>
                <w:sz w:val="22"/>
                <w:szCs w:val="22"/>
              </w:rPr>
              <w:t>月-</w:t>
            </w:r>
            <w:r>
              <w:rPr>
                <w:rFonts w:hint="eastAsia"/>
                <w:color w:val="auto"/>
                <w:sz w:val="22"/>
                <w:szCs w:val="22"/>
                <w:lang w:val="en-US" w:eastAsia="zh-CN"/>
              </w:rPr>
              <w:t>2026年2</w:t>
            </w:r>
            <w:r>
              <w:rPr>
                <w:rFonts w:hint="eastAsia"/>
                <w:color w:val="auto"/>
                <w:sz w:val="22"/>
                <w:szCs w:val="22"/>
              </w:rPr>
              <w:t>月</w:t>
            </w:r>
          </w:p>
        </w:tc>
      </w:tr>
      <w:tr w14:paraId="674879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15" w:hRule="atLeast"/>
          <w:jc w:val="center"/>
        </w:trPr>
        <w:tc>
          <w:tcPr>
            <w:tcW w:w="757" w:type="pct"/>
            <w:tcMar>
              <w:top w:w="16" w:type="dxa"/>
              <w:left w:w="16" w:type="dxa"/>
              <w:right w:w="16" w:type="dxa"/>
            </w:tcMar>
            <w:vAlign w:val="center"/>
          </w:tcPr>
          <w:p w14:paraId="5BECCD32">
            <w:pPr>
              <w:adjustRightInd w:val="0"/>
              <w:snapToGrid w:val="0"/>
              <w:jc w:val="center"/>
              <w:rPr>
                <w:color w:val="auto"/>
                <w:sz w:val="22"/>
                <w:szCs w:val="22"/>
              </w:rPr>
            </w:pPr>
            <w:r>
              <w:rPr>
                <w:color w:val="auto"/>
                <w:sz w:val="22"/>
                <w:szCs w:val="22"/>
              </w:rPr>
              <w:t>是否开工建设</w:t>
            </w:r>
          </w:p>
        </w:tc>
        <w:tc>
          <w:tcPr>
            <w:tcW w:w="1609" w:type="pct"/>
            <w:vAlign w:val="center"/>
          </w:tcPr>
          <w:p w14:paraId="226E4E63">
            <w:pPr>
              <w:adjustRightInd w:val="0"/>
              <w:snapToGrid w:val="0"/>
              <w:rPr>
                <w:color w:val="auto"/>
                <w:sz w:val="22"/>
                <w:szCs w:val="22"/>
              </w:rPr>
            </w:pPr>
            <w:r>
              <w:rPr>
                <w:color w:val="auto"/>
                <w:sz w:val="22"/>
                <w:szCs w:val="22"/>
              </w:rPr>
              <w:sym w:font="Wingdings 2" w:char="0052"/>
            </w:r>
            <w:r>
              <w:rPr>
                <w:color w:val="auto"/>
                <w:sz w:val="22"/>
                <w:szCs w:val="22"/>
              </w:rPr>
              <w:t>否</w:t>
            </w:r>
          </w:p>
          <w:p w14:paraId="23292896">
            <w:pPr>
              <w:adjustRightInd w:val="0"/>
              <w:snapToGrid w:val="0"/>
              <w:rPr>
                <w:color w:val="auto"/>
                <w:sz w:val="22"/>
                <w:szCs w:val="22"/>
              </w:rPr>
            </w:pPr>
            <w:r>
              <w:rPr>
                <w:color w:val="auto"/>
                <w:sz w:val="22"/>
                <w:szCs w:val="22"/>
              </w:rPr>
              <w:sym w:font="Wingdings 2" w:char="00A3"/>
            </w:r>
            <w:r>
              <w:rPr>
                <w:color w:val="auto"/>
                <w:sz w:val="22"/>
                <w:szCs w:val="22"/>
              </w:rPr>
              <w:t>是</w:t>
            </w:r>
            <w:r>
              <w:rPr>
                <w:rFonts w:hint="eastAsia"/>
                <w:color w:val="auto"/>
                <w:sz w:val="22"/>
                <w:szCs w:val="22"/>
              </w:rPr>
              <w:t>：</w:t>
            </w:r>
            <w:r>
              <w:rPr>
                <w:rFonts w:hint="eastAsia"/>
                <w:color w:val="auto"/>
                <w:sz w:val="22"/>
                <w:szCs w:val="22"/>
                <w:u w:val="single"/>
              </w:rPr>
              <w:t xml:space="preserve">       </w:t>
            </w:r>
          </w:p>
        </w:tc>
        <w:tc>
          <w:tcPr>
            <w:tcW w:w="766" w:type="pct"/>
            <w:tcMar>
              <w:top w:w="16" w:type="dxa"/>
              <w:left w:w="16" w:type="dxa"/>
              <w:right w:w="16" w:type="dxa"/>
            </w:tcMar>
            <w:vAlign w:val="center"/>
          </w:tcPr>
          <w:p w14:paraId="06CF7A2D">
            <w:pPr>
              <w:adjustRightInd w:val="0"/>
              <w:snapToGrid w:val="0"/>
              <w:jc w:val="center"/>
              <w:rPr>
                <w:color w:val="auto"/>
                <w:sz w:val="22"/>
                <w:szCs w:val="22"/>
              </w:rPr>
            </w:pPr>
            <w:r>
              <w:rPr>
                <w:color w:val="auto"/>
                <w:sz w:val="22"/>
                <w:szCs w:val="22"/>
              </w:rPr>
              <w:t>用地（用海）</w:t>
            </w:r>
          </w:p>
          <w:p w14:paraId="440E337D">
            <w:pPr>
              <w:adjustRightInd w:val="0"/>
              <w:snapToGrid w:val="0"/>
              <w:jc w:val="center"/>
              <w:rPr>
                <w:color w:val="auto"/>
                <w:sz w:val="22"/>
                <w:szCs w:val="22"/>
              </w:rPr>
            </w:pPr>
            <w:r>
              <w:rPr>
                <w:color w:val="auto"/>
                <w:sz w:val="22"/>
                <w:szCs w:val="22"/>
              </w:rPr>
              <w:t>面积（m</w:t>
            </w:r>
            <w:r>
              <w:rPr>
                <w:color w:val="auto"/>
                <w:sz w:val="22"/>
                <w:szCs w:val="22"/>
                <w:vertAlign w:val="superscript"/>
              </w:rPr>
              <w:t>2</w:t>
            </w:r>
            <w:r>
              <w:rPr>
                <w:color w:val="auto"/>
                <w:sz w:val="22"/>
                <w:szCs w:val="22"/>
              </w:rPr>
              <w:t>）</w:t>
            </w:r>
          </w:p>
        </w:tc>
        <w:tc>
          <w:tcPr>
            <w:tcW w:w="1866" w:type="pct"/>
            <w:vAlign w:val="center"/>
          </w:tcPr>
          <w:p w14:paraId="56775D06">
            <w:pPr>
              <w:adjustRightInd w:val="0"/>
              <w:snapToGrid w:val="0"/>
              <w:jc w:val="center"/>
              <w:rPr>
                <w:rFonts w:hint="default" w:eastAsia="宋体"/>
                <w:color w:val="auto"/>
                <w:sz w:val="22"/>
                <w:szCs w:val="22"/>
                <w:lang w:val="en-US" w:eastAsia="zh-CN"/>
              </w:rPr>
            </w:pPr>
            <w:r>
              <w:rPr>
                <w:rFonts w:hint="eastAsia"/>
                <w:color w:val="auto"/>
                <w:sz w:val="22"/>
                <w:szCs w:val="22"/>
                <w:lang w:val="en-US" w:eastAsia="zh-CN"/>
              </w:rPr>
              <w:t>0</w:t>
            </w:r>
          </w:p>
        </w:tc>
      </w:tr>
      <w:tr w14:paraId="61F5BF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7" w:type="pct"/>
            <w:vAlign w:val="center"/>
          </w:tcPr>
          <w:p w14:paraId="1495B17E">
            <w:pPr>
              <w:adjustRightInd w:val="0"/>
              <w:snapToGrid w:val="0"/>
              <w:jc w:val="center"/>
              <w:rPr>
                <w:color w:val="auto"/>
                <w:kern w:val="0"/>
                <w:sz w:val="22"/>
                <w:szCs w:val="22"/>
              </w:rPr>
            </w:pPr>
            <w:r>
              <w:rPr>
                <w:color w:val="auto"/>
                <w:sz w:val="22"/>
                <w:szCs w:val="22"/>
              </w:rPr>
              <w:t>专项评价设置情况</w:t>
            </w:r>
          </w:p>
        </w:tc>
        <w:tc>
          <w:tcPr>
            <w:tcW w:w="4242" w:type="pct"/>
            <w:gridSpan w:val="3"/>
            <w:vAlign w:val="center"/>
          </w:tcPr>
          <w:p w14:paraId="474E4649">
            <w:pPr>
              <w:adjustRightInd w:val="0"/>
              <w:snapToGrid w:val="0"/>
              <w:jc w:val="center"/>
              <w:rPr>
                <w:b/>
                <w:bCs/>
                <w:color w:val="auto"/>
                <w:kern w:val="0"/>
                <w:szCs w:val="21"/>
              </w:rPr>
            </w:pPr>
            <w:r>
              <w:rPr>
                <w:rFonts w:hint="eastAsia"/>
                <w:b/>
                <w:bCs/>
                <w:color w:val="auto"/>
                <w:kern w:val="0"/>
                <w:szCs w:val="21"/>
              </w:rPr>
              <w:t xml:space="preserve">表1-1  </w:t>
            </w:r>
            <w:r>
              <w:rPr>
                <w:b/>
                <w:bCs/>
                <w:color w:val="auto"/>
                <w:kern w:val="0"/>
                <w:szCs w:val="21"/>
              </w:rPr>
              <w:t>专项评价设置原则及本项目情况对照一览表</w:t>
            </w:r>
          </w:p>
          <w:tbl>
            <w:tblPr>
              <w:tblStyle w:val="40"/>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45"/>
              <w:gridCol w:w="2741"/>
              <w:gridCol w:w="2704"/>
              <w:gridCol w:w="1018"/>
            </w:tblGrid>
            <w:tr w14:paraId="6C6780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9" w:hRule="atLeast"/>
              </w:trPr>
              <w:tc>
                <w:tcPr>
                  <w:tcW w:w="578" w:type="pct"/>
                  <w:tcBorders>
                    <w:tl2br w:val="nil"/>
                    <w:tr2bl w:val="nil"/>
                  </w:tcBorders>
                  <w:vAlign w:val="center"/>
                </w:tcPr>
                <w:p w14:paraId="6E263A82">
                  <w:pPr>
                    <w:pStyle w:val="33"/>
                    <w:spacing w:line="240" w:lineRule="auto"/>
                    <w:ind w:firstLine="0" w:firstLineChars="0"/>
                    <w:jc w:val="center"/>
                    <w:rPr>
                      <w:color w:val="auto"/>
                    </w:rPr>
                  </w:pPr>
                  <w:r>
                    <w:rPr>
                      <w:color w:val="auto"/>
                    </w:rPr>
                    <w:t>专项评价的类别</w:t>
                  </w:r>
                </w:p>
              </w:tc>
              <w:tc>
                <w:tcPr>
                  <w:tcW w:w="1875" w:type="pct"/>
                  <w:tcBorders>
                    <w:tl2br w:val="nil"/>
                    <w:tr2bl w:val="nil"/>
                  </w:tcBorders>
                  <w:vAlign w:val="center"/>
                </w:tcPr>
                <w:p w14:paraId="67A0AC28">
                  <w:pPr>
                    <w:pStyle w:val="33"/>
                    <w:spacing w:line="240" w:lineRule="auto"/>
                    <w:ind w:firstLine="0" w:firstLineChars="0"/>
                    <w:jc w:val="center"/>
                    <w:rPr>
                      <w:color w:val="auto"/>
                    </w:rPr>
                  </w:pPr>
                  <w:r>
                    <w:rPr>
                      <w:rFonts w:hint="eastAsia"/>
                      <w:color w:val="auto"/>
                    </w:rPr>
                    <w:t>设置原则</w:t>
                  </w:r>
                </w:p>
              </w:tc>
              <w:tc>
                <w:tcPr>
                  <w:tcW w:w="1850" w:type="pct"/>
                  <w:tcBorders>
                    <w:tl2br w:val="nil"/>
                    <w:tr2bl w:val="nil"/>
                  </w:tcBorders>
                  <w:vAlign w:val="center"/>
                </w:tcPr>
                <w:p w14:paraId="2841D241">
                  <w:pPr>
                    <w:pStyle w:val="33"/>
                    <w:spacing w:line="240" w:lineRule="auto"/>
                    <w:ind w:firstLine="0" w:firstLineChars="0"/>
                    <w:jc w:val="center"/>
                    <w:rPr>
                      <w:color w:val="auto"/>
                    </w:rPr>
                  </w:pPr>
                  <w:r>
                    <w:rPr>
                      <w:rFonts w:hint="eastAsia"/>
                      <w:color w:val="auto"/>
                    </w:rPr>
                    <w:t>本项目</w:t>
                  </w:r>
                </w:p>
              </w:tc>
              <w:tc>
                <w:tcPr>
                  <w:tcW w:w="696" w:type="pct"/>
                  <w:tcBorders>
                    <w:tl2br w:val="nil"/>
                    <w:tr2bl w:val="nil"/>
                  </w:tcBorders>
                  <w:vAlign w:val="center"/>
                </w:tcPr>
                <w:p w14:paraId="5269864A">
                  <w:pPr>
                    <w:pStyle w:val="33"/>
                    <w:spacing w:line="240" w:lineRule="auto"/>
                    <w:ind w:firstLine="0" w:firstLineChars="0"/>
                    <w:jc w:val="center"/>
                    <w:rPr>
                      <w:rFonts w:hint="default" w:eastAsia="宋体"/>
                      <w:color w:val="auto"/>
                      <w:lang w:val="en-US" w:eastAsia="zh-CN"/>
                    </w:rPr>
                  </w:pPr>
                  <w:r>
                    <w:rPr>
                      <w:rFonts w:hint="eastAsia"/>
                      <w:color w:val="auto"/>
                      <w:lang w:val="en-US" w:eastAsia="zh-CN"/>
                    </w:rPr>
                    <w:t>是否开展专项评价</w:t>
                  </w:r>
                </w:p>
              </w:tc>
            </w:tr>
            <w:tr w14:paraId="415757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5" w:hRule="atLeast"/>
              </w:trPr>
              <w:tc>
                <w:tcPr>
                  <w:tcW w:w="578" w:type="pct"/>
                  <w:tcBorders>
                    <w:tl2br w:val="nil"/>
                    <w:tr2bl w:val="nil"/>
                  </w:tcBorders>
                  <w:vAlign w:val="center"/>
                </w:tcPr>
                <w:p w14:paraId="5BFD160B">
                  <w:pPr>
                    <w:pStyle w:val="33"/>
                    <w:spacing w:line="240" w:lineRule="auto"/>
                    <w:ind w:firstLine="0" w:firstLineChars="0"/>
                    <w:jc w:val="center"/>
                    <w:rPr>
                      <w:color w:val="auto"/>
                    </w:rPr>
                  </w:pPr>
                  <w:r>
                    <w:rPr>
                      <w:rFonts w:hint="eastAsia"/>
                      <w:color w:val="auto"/>
                    </w:rPr>
                    <w:t>大气</w:t>
                  </w:r>
                </w:p>
              </w:tc>
              <w:tc>
                <w:tcPr>
                  <w:tcW w:w="1875" w:type="pct"/>
                  <w:tcBorders>
                    <w:tl2br w:val="nil"/>
                    <w:tr2bl w:val="nil"/>
                  </w:tcBorders>
                  <w:vAlign w:val="center"/>
                </w:tcPr>
                <w:p w14:paraId="7C8FD016">
                  <w:pPr>
                    <w:pStyle w:val="33"/>
                    <w:spacing w:line="240" w:lineRule="auto"/>
                    <w:ind w:firstLine="0" w:firstLineChars="0"/>
                    <w:jc w:val="center"/>
                    <w:rPr>
                      <w:color w:val="auto"/>
                    </w:rPr>
                  </w:pPr>
                  <w:r>
                    <w:rPr>
                      <w:color w:val="auto"/>
                    </w:rPr>
                    <w:t>排放废气含有毒有害污染物</w:t>
                  </w:r>
                  <w:r>
                    <w:rPr>
                      <w:rFonts w:hint="eastAsia"/>
                      <w:color w:val="auto"/>
                      <w:lang w:eastAsia="zh-CN"/>
                    </w:rPr>
                    <w:t>、</w:t>
                  </w:r>
                  <w:r>
                    <w:rPr>
                      <w:color w:val="auto"/>
                    </w:rPr>
                    <w:t>二噁英、苯并[α]芘、氰化物、氯气且厂界外500米范围内有环境空气保护目标的建设项目</w:t>
                  </w:r>
                </w:p>
              </w:tc>
              <w:tc>
                <w:tcPr>
                  <w:tcW w:w="1850" w:type="pct"/>
                  <w:tcBorders>
                    <w:tl2br w:val="nil"/>
                    <w:tr2bl w:val="nil"/>
                  </w:tcBorders>
                  <w:vAlign w:val="center"/>
                </w:tcPr>
                <w:p w14:paraId="0FFCE9B1">
                  <w:pPr>
                    <w:pStyle w:val="33"/>
                    <w:spacing w:line="240" w:lineRule="auto"/>
                    <w:ind w:firstLine="0" w:firstLineChars="0"/>
                    <w:jc w:val="center"/>
                    <w:rPr>
                      <w:color w:val="auto"/>
                    </w:rPr>
                  </w:pPr>
                  <w:r>
                    <w:rPr>
                      <w:rFonts w:hint="eastAsia" w:ascii="Times New Roman" w:hAnsi="Times New Roman" w:eastAsia="宋体"/>
                      <w:smallCaps w:val="0"/>
                      <w:snapToGrid w:val="0"/>
                      <w:color w:val="auto"/>
                      <w:kern w:val="0"/>
                      <w:szCs w:val="21"/>
                    </w:rPr>
                    <w:t>本项目设1台</w:t>
                  </w:r>
                  <w:r>
                    <w:rPr>
                      <w:rFonts w:hint="eastAsia" w:ascii="Times New Roman" w:hAnsi="Times New Roman" w:eastAsia="宋体"/>
                      <w:smallCaps w:val="0"/>
                      <w:snapToGrid w:val="0"/>
                      <w:color w:val="auto"/>
                      <w:kern w:val="0"/>
                      <w:szCs w:val="21"/>
                      <w:lang w:val="en-US" w:eastAsia="zh-CN"/>
                    </w:rPr>
                    <w:t>1</w:t>
                  </w:r>
                  <w:r>
                    <w:rPr>
                      <w:rFonts w:hint="eastAsia"/>
                      <w:smallCaps w:val="0"/>
                      <w:snapToGrid w:val="0"/>
                      <w:color w:val="auto"/>
                      <w:kern w:val="0"/>
                      <w:szCs w:val="21"/>
                      <w:lang w:val="en-US" w:eastAsia="zh-CN"/>
                    </w:rPr>
                    <w:t>8</w:t>
                  </w:r>
                  <w:r>
                    <w:rPr>
                      <w:rFonts w:hint="eastAsia" w:ascii="Times New Roman" w:hAnsi="Times New Roman" w:eastAsia="宋体"/>
                      <w:smallCaps w:val="0"/>
                      <w:snapToGrid w:val="0"/>
                      <w:color w:val="auto"/>
                      <w:kern w:val="0"/>
                      <w:szCs w:val="21"/>
                      <w:lang w:val="en-US" w:eastAsia="zh-CN"/>
                    </w:rPr>
                    <w:t>00KW燃生物质</w:t>
                  </w:r>
                  <w:r>
                    <w:rPr>
                      <w:rFonts w:hint="eastAsia" w:ascii="Times New Roman" w:hAnsi="Times New Roman" w:eastAsia="宋体"/>
                      <w:smallCaps w:val="0"/>
                      <w:snapToGrid w:val="0"/>
                      <w:color w:val="auto"/>
                      <w:kern w:val="0"/>
                      <w:szCs w:val="21"/>
                    </w:rPr>
                    <w:t>导热油炉，不产生二噁英、苯并[a]芘、氰化物、氯气等废气，生物质分析报告中未体现汞含量，根据《直接法测定固体生物质燃料中汞的试验研究》（煤质技术，2020年）可知，生物质汞含量为15.47ng/g。生物质汞含量极低，因此不需设置大气专项评价。</w:t>
                  </w:r>
                </w:p>
              </w:tc>
              <w:tc>
                <w:tcPr>
                  <w:tcW w:w="696" w:type="pct"/>
                  <w:tcBorders>
                    <w:tl2br w:val="nil"/>
                    <w:tr2bl w:val="nil"/>
                  </w:tcBorders>
                  <w:vAlign w:val="center"/>
                </w:tcPr>
                <w:p w14:paraId="62D95A85">
                  <w:pPr>
                    <w:pStyle w:val="33"/>
                    <w:spacing w:line="240" w:lineRule="auto"/>
                    <w:ind w:firstLine="0" w:firstLineChars="0"/>
                    <w:jc w:val="center"/>
                    <w:rPr>
                      <w:rFonts w:hint="eastAsia" w:eastAsia="宋体"/>
                      <w:color w:val="auto"/>
                      <w:lang w:eastAsia="zh-CN"/>
                    </w:rPr>
                  </w:pPr>
                  <w:r>
                    <w:rPr>
                      <w:rFonts w:hint="eastAsia"/>
                      <w:color w:val="auto"/>
                      <w:lang w:val="en-US" w:eastAsia="zh-CN"/>
                    </w:rPr>
                    <w:t>否</w:t>
                  </w:r>
                </w:p>
              </w:tc>
            </w:tr>
            <w:tr w14:paraId="2D014C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2" w:hRule="atLeast"/>
              </w:trPr>
              <w:tc>
                <w:tcPr>
                  <w:tcW w:w="578" w:type="pct"/>
                  <w:tcBorders>
                    <w:tl2br w:val="nil"/>
                    <w:tr2bl w:val="nil"/>
                  </w:tcBorders>
                  <w:vAlign w:val="center"/>
                </w:tcPr>
                <w:p w14:paraId="001C9B08">
                  <w:pPr>
                    <w:pStyle w:val="33"/>
                    <w:spacing w:line="240" w:lineRule="auto"/>
                    <w:ind w:firstLine="0" w:firstLineChars="0"/>
                    <w:jc w:val="center"/>
                    <w:rPr>
                      <w:color w:val="auto"/>
                    </w:rPr>
                  </w:pPr>
                  <w:r>
                    <w:rPr>
                      <w:rFonts w:hint="eastAsia"/>
                      <w:color w:val="auto"/>
                    </w:rPr>
                    <w:t>地表水</w:t>
                  </w:r>
                </w:p>
              </w:tc>
              <w:tc>
                <w:tcPr>
                  <w:tcW w:w="1875" w:type="pct"/>
                  <w:tcBorders>
                    <w:tl2br w:val="nil"/>
                    <w:tr2bl w:val="nil"/>
                  </w:tcBorders>
                  <w:vAlign w:val="center"/>
                </w:tcPr>
                <w:p w14:paraId="2AEAD810">
                  <w:pPr>
                    <w:pStyle w:val="33"/>
                    <w:spacing w:line="240" w:lineRule="auto"/>
                    <w:ind w:firstLine="0" w:firstLineChars="0"/>
                    <w:jc w:val="center"/>
                    <w:rPr>
                      <w:color w:val="auto"/>
                    </w:rPr>
                  </w:pPr>
                  <w:r>
                    <w:rPr>
                      <w:color w:val="auto"/>
                    </w:rPr>
                    <w:t>新增工业废水直排建设项目（槽罐车外送污水处理厂的除外）；新增废水直排的污水集中处理厂</w:t>
                  </w:r>
                </w:p>
              </w:tc>
              <w:tc>
                <w:tcPr>
                  <w:tcW w:w="1850" w:type="pct"/>
                  <w:tcBorders>
                    <w:tl2br w:val="nil"/>
                    <w:tr2bl w:val="nil"/>
                  </w:tcBorders>
                  <w:vAlign w:val="center"/>
                </w:tcPr>
                <w:p w14:paraId="58193843">
                  <w:pPr>
                    <w:pStyle w:val="33"/>
                    <w:spacing w:line="240" w:lineRule="auto"/>
                    <w:ind w:firstLine="0" w:firstLineChars="0"/>
                    <w:jc w:val="center"/>
                    <w:rPr>
                      <w:rFonts w:hint="default"/>
                      <w:color w:val="auto"/>
                      <w:lang w:val="en-US"/>
                    </w:rPr>
                  </w:pPr>
                  <w:r>
                    <w:rPr>
                      <w:rFonts w:hint="eastAsia"/>
                      <w:color w:val="auto"/>
                    </w:rPr>
                    <w:t>本项目</w:t>
                  </w:r>
                  <w:r>
                    <w:rPr>
                      <w:rFonts w:hint="eastAsia"/>
                      <w:color w:val="auto"/>
                      <w:lang w:val="en-US" w:eastAsia="zh-CN"/>
                    </w:rPr>
                    <w:t>生产不用水，不产生废水</w:t>
                  </w:r>
                </w:p>
              </w:tc>
              <w:tc>
                <w:tcPr>
                  <w:tcW w:w="696" w:type="pct"/>
                  <w:tcBorders>
                    <w:tl2br w:val="nil"/>
                    <w:tr2bl w:val="nil"/>
                  </w:tcBorders>
                  <w:vAlign w:val="center"/>
                </w:tcPr>
                <w:p w14:paraId="5DBCAFEC">
                  <w:pPr>
                    <w:pStyle w:val="33"/>
                    <w:spacing w:line="240" w:lineRule="auto"/>
                    <w:ind w:firstLine="0" w:firstLineChars="0"/>
                    <w:jc w:val="center"/>
                    <w:rPr>
                      <w:rFonts w:hint="eastAsia" w:eastAsia="宋体"/>
                      <w:color w:val="auto"/>
                      <w:lang w:val="en-US" w:eastAsia="zh-CN"/>
                    </w:rPr>
                  </w:pPr>
                  <w:r>
                    <w:rPr>
                      <w:rFonts w:hint="eastAsia"/>
                      <w:color w:val="auto"/>
                      <w:lang w:val="en-US" w:eastAsia="zh-CN"/>
                    </w:rPr>
                    <w:t>否</w:t>
                  </w:r>
                </w:p>
              </w:tc>
            </w:tr>
            <w:tr w14:paraId="121435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9" w:hRule="atLeast"/>
              </w:trPr>
              <w:tc>
                <w:tcPr>
                  <w:tcW w:w="578" w:type="pct"/>
                  <w:tcBorders>
                    <w:tl2br w:val="nil"/>
                    <w:tr2bl w:val="nil"/>
                  </w:tcBorders>
                  <w:vAlign w:val="center"/>
                </w:tcPr>
                <w:p w14:paraId="13D7D7C6">
                  <w:pPr>
                    <w:pStyle w:val="33"/>
                    <w:spacing w:line="240" w:lineRule="auto"/>
                    <w:ind w:firstLine="0" w:firstLineChars="0"/>
                    <w:jc w:val="center"/>
                    <w:rPr>
                      <w:color w:val="auto"/>
                    </w:rPr>
                  </w:pPr>
                  <w:r>
                    <w:rPr>
                      <w:rFonts w:hint="eastAsia"/>
                      <w:color w:val="auto"/>
                    </w:rPr>
                    <w:t>环境风险</w:t>
                  </w:r>
                </w:p>
              </w:tc>
              <w:tc>
                <w:tcPr>
                  <w:tcW w:w="1875" w:type="pct"/>
                  <w:tcBorders>
                    <w:tl2br w:val="nil"/>
                    <w:tr2bl w:val="nil"/>
                  </w:tcBorders>
                  <w:vAlign w:val="center"/>
                </w:tcPr>
                <w:p w14:paraId="44A7088D">
                  <w:pPr>
                    <w:pStyle w:val="33"/>
                    <w:spacing w:line="240" w:lineRule="auto"/>
                    <w:ind w:firstLine="0" w:firstLineChars="0"/>
                    <w:jc w:val="center"/>
                    <w:rPr>
                      <w:color w:val="auto"/>
                    </w:rPr>
                  </w:pPr>
                  <w:r>
                    <w:rPr>
                      <w:color w:val="auto"/>
                    </w:rPr>
                    <w:t>有毒有害和易燃易爆危险物质存储量超过临界量的建设项目</w:t>
                  </w:r>
                </w:p>
              </w:tc>
              <w:tc>
                <w:tcPr>
                  <w:tcW w:w="1850" w:type="pct"/>
                  <w:tcBorders>
                    <w:tl2br w:val="nil"/>
                    <w:tr2bl w:val="nil"/>
                  </w:tcBorders>
                  <w:vAlign w:val="center"/>
                </w:tcPr>
                <w:p w14:paraId="736CC6C4">
                  <w:pPr>
                    <w:pStyle w:val="33"/>
                    <w:keepNext w:val="0"/>
                    <w:keepLines w:val="0"/>
                    <w:pageBreakBefore w:val="0"/>
                    <w:widowControl w:val="0"/>
                    <w:kinsoku/>
                    <w:wordWrap w:val="0"/>
                    <w:overflowPunct/>
                    <w:topLinePunct w:val="0"/>
                    <w:autoSpaceDE/>
                    <w:autoSpaceDN/>
                    <w:bidi w:val="0"/>
                    <w:adjustRightInd/>
                    <w:snapToGrid/>
                    <w:spacing w:line="240" w:lineRule="auto"/>
                    <w:ind w:firstLine="0" w:firstLineChars="0"/>
                    <w:jc w:val="center"/>
                    <w:textAlignment w:val="auto"/>
                    <w:rPr>
                      <w:rFonts w:hint="default" w:eastAsiaTheme="minorEastAsia"/>
                      <w:color w:val="auto"/>
                      <w:lang w:val="en-US" w:eastAsia="zh-CN"/>
                    </w:rPr>
                  </w:pPr>
                  <w:r>
                    <w:rPr>
                      <w:rFonts w:hint="eastAsia"/>
                      <w:color w:val="auto"/>
                      <w:highlight w:val="none"/>
                      <w:vertAlign w:val="baseline"/>
                      <w:lang w:val="en-US" w:eastAsia="zh-CN"/>
                    </w:rPr>
                    <w:t>本项目</w:t>
                  </w:r>
                  <w:r>
                    <w:rPr>
                      <w:rFonts w:hint="eastAsia"/>
                      <w:color w:val="auto"/>
                      <w:szCs w:val="21"/>
                    </w:rPr>
                    <w:t>危险物质</w:t>
                  </w:r>
                  <w:r>
                    <w:rPr>
                      <w:rFonts w:hint="eastAsia"/>
                      <w:color w:val="auto"/>
                    </w:rPr>
                    <w:t>储存量</w:t>
                  </w:r>
                  <w:r>
                    <w:rPr>
                      <w:rFonts w:hint="eastAsia"/>
                      <w:color w:val="auto"/>
                      <w:szCs w:val="21"/>
                    </w:rPr>
                    <w:t>低于临界量</w:t>
                  </w:r>
                  <w:r>
                    <w:rPr>
                      <w:rFonts w:hint="eastAsia"/>
                      <w:color w:val="auto"/>
                      <w:highlight w:val="none"/>
                      <w:vertAlign w:val="baseline"/>
                      <w:lang w:val="en-US" w:eastAsia="zh-CN"/>
                    </w:rPr>
                    <w:t>，因此不需设置环境风险专项评价</w:t>
                  </w:r>
                </w:p>
              </w:tc>
              <w:tc>
                <w:tcPr>
                  <w:tcW w:w="696" w:type="pct"/>
                  <w:tcBorders>
                    <w:tl2br w:val="nil"/>
                    <w:tr2bl w:val="nil"/>
                  </w:tcBorders>
                  <w:vAlign w:val="center"/>
                </w:tcPr>
                <w:p w14:paraId="3D6D4377">
                  <w:pPr>
                    <w:pStyle w:val="33"/>
                    <w:spacing w:line="240" w:lineRule="auto"/>
                    <w:ind w:firstLine="0" w:firstLineChars="0"/>
                    <w:jc w:val="center"/>
                    <w:rPr>
                      <w:rFonts w:hint="eastAsia" w:eastAsia="宋体"/>
                      <w:color w:val="auto"/>
                      <w:lang w:eastAsia="zh-CN"/>
                    </w:rPr>
                  </w:pPr>
                  <w:r>
                    <w:rPr>
                      <w:rFonts w:hint="eastAsia"/>
                      <w:color w:val="auto"/>
                      <w:lang w:val="en-US" w:eastAsia="zh-CN"/>
                    </w:rPr>
                    <w:t>否</w:t>
                  </w:r>
                </w:p>
              </w:tc>
            </w:tr>
            <w:tr w14:paraId="576B54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9" w:hRule="atLeast"/>
              </w:trPr>
              <w:tc>
                <w:tcPr>
                  <w:tcW w:w="578" w:type="pct"/>
                  <w:tcBorders>
                    <w:tl2br w:val="nil"/>
                    <w:tr2bl w:val="nil"/>
                  </w:tcBorders>
                  <w:vAlign w:val="center"/>
                </w:tcPr>
                <w:p w14:paraId="4F4EB119">
                  <w:pPr>
                    <w:pStyle w:val="33"/>
                    <w:spacing w:line="240" w:lineRule="auto"/>
                    <w:ind w:firstLine="0" w:firstLineChars="0"/>
                    <w:jc w:val="center"/>
                    <w:rPr>
                      <w:color w:val="auto"/>
                    </w:rPr>
                  </w:pPr>
                  <w:r>
                    <w:rPr>
                      <w:rFonts w:hint="eastAsia"/>
                      <w:color w:val="auto"/>
                    </w:rPr>
                    <w:t>生态</w:t>
                  </w:r>
                </w:p>
              </w:tc>
              <w:tc>
                <w:tcPr>
                  <w:tcW w:w="1875" w:type="pct"/>
                  <w:tcBorders>
                    <w:tl2br w:val="nil"/>
                    <w:tr2bl w:val="nil"/>
                  </w:tcBorders>
                  <w:vAlign w:val="center"/>
                </w:tcPr>
                <w:p w14:paraId="046380AB">
                  <w:pPr>
                    <w:pStyle w:val="33"/>
                    <w:spacing w:line="240" w:lineRule="auto"/>
                    <w:ind w:firstLine="0" w:firstLineChars="0"/>
                    <w:jc w:val="center"/>
                    <w:rPr>
                      <w:color w:val="auto"/>
                    </w:rPr>
                  </w:pPr>
                  <w:r>
                    <w:rPr>
                      <w:color w:val="auto"/>
                    </w:rPr>
                    <w:t>取水口下游500米范围内有重要水生生物的自然产卵场、索饵场、越冬场和洄游通道的新增河道取水的污染类建设项目</w:t>
                  </w:r>
                </w:p>
              </w:tc>
              <w:tc>
                <w:tcPr>
                  <w:tcW w:w="1850" w:type="pct"/>
                  <w:tcBorders>
                    <w:tl2br w:val="nil"/>
                    <w:tr2bl w:val="nil"/>
                  </w:tcBorders>
                  <w:vAlign w:val="center"/>
                </w:tcPr>
                <w:p w14:paraId="56748EE8">
                  <w:pPr>
                    <w:pStyle w:val="33"/>
                    <w:spacing w:line="240" w:lineRule="auto"/>
                    <w:ind w:firstLine="0" w:firstLineChars="0"/>
                    <w:jc w:val="center"/>
                    <w:rPr>
                      <w:color w:val="auto"/>
                    </w:rPr>
                  </w:pPr>
                  <w:r>
                    <w:rPr>
                      <w:rFonts w:hint="eastAsia"/>
                      <w:color w:val="auto"/>
                    </w:rPr>
                    <w:t>不涉及取水工程</w:t>
                  </w:r>
                </w:p>
              </w:tc>
              <w:tc>
                <w:tcPr>
                  <w:tcW w:w="696" w:type="pct"/>
                  <w:tcBorders>
                    <w:tl2br w:val="nil"/>
                    <w:tr2bl w:val="nil"/>
                  </w:tcBorders>
                  <w:vAlign w:val="center"/>
                </w:tcPr>
                <w:p w14:paraId="5926A9FF">
                  <w:pPr>
                    <w:pStyle w:val="33"/>
                    <w:spacing w:line="240" w:lineRule="auto"/>
                    <w:ind w:firstLine="0" w:firstLineChars="0"/>
                    <w:jc w:val="center"/>
                    <w:rPr>
                      <w:rFonts w:hint="eastAsia" w:eastAsia="宋体"/>
                      <w:color w:val="auto"/>
                      <w:lang w:eastAsia="zh-CN"/>
                    </w:rPr>
                  </w:pPr>
                  <w:r>
                    <w:rPr>
                      <w:rFonts w:hint="eastAsia"/>
                      <w:color w:val="auto"/>
                      <w:lang w:val="en-US" w:eastAsia="zh-CN"/>
                    </w:rPr>
                    <w:t>否</w:t>
                  </w:r>
                </w:p>
              </w:tc>
            </w:tr>
            <w:tr w14:paraId="29B263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5" w:hRule="atLeast"/>
              </w:trPr>
              <w:tc>
                <w:tcPr>
                  <w:tcW w:w="578" w:type="pct"/>
                  <w:tcBorders>
                    <w:tl2br w:val="nil"/>
                    <w:tr2bl w:val="nil"/>
                  </w:tcBorders>
                  <w:vAlign w:val="center"/>
                </w:tcPr>
                <w:p w14:paraId="13DC6B8B">
                  <w:pPr>
                    <w:pStyle w:val="33"/>
                    <w:spacing w:line="240" w:lineRule="auto"/>
                    <w:ind w:firstLine="0" w:firstLineChars="0"/>
                    <w:jc w:val="center"/>
                    <w:rPr>
                      <w:color w:val="auto"/>
                    </w:rPr>
                  </w:pPr>
                  <w:r>
                    <w:rPr>
                      <w:rFonts w:hint="eastAsia"/>
                      <w:color w:val="auto"/>
                    </w:rPr>
                    <w:t>海洋</w:t>
                  </w:r>
                </w:p>
              </w:tc>
              <w:tc>
                <w:tcPr>
                  <w:tcW w:w="1875" w:type="pct"/>
                  <w:tcBorders>
                    <w:tl2br w:val="nil"/>
                    <w:tr2bl w:val="nil"/>
                  </w:tcBorders>
                  <w:vAlign w:val="center"/>
                </w:tcPr>
                <w:p w14:paraId="5054CF6B">
                  <w:pPr>
                    <w:pStyle w:val="33"/>
                    <w:spacing w:line="240" w:lineRule="auto"/>
                    <w:ind w:firstLine="0" w:firstLineChars="0"/>
                    <w:jc w:val="center"/>
                    <w:rPr>
                      <w:color w:val="auto"/>
                    </w:rPr>
                  </w:pPr>
                  <w:r>
                    <w:rPr>
                      <w:color w:val="auto"/>
                    </w:rPr>
                    <w:t>直接向海排放污染物的海洋工程建设项目</w:t>
                  </w:r>
                </w:p>
              </w:tc>
              <w:tc>
                <w:tcPr>
                  <w:tcW w:w="1850" w:type="pct"/>
                  <w:tcBorders>
                    <w:tl2br w:val="nil"/>
                    <w:tr2bl w:val="nil"/>
                  </w:tcBorders>
                  <w:vAlign w:val="center"/>
                </w:tcPr>
                <w:p w14:paraId="4F59BCEC">
                  <w:pPr>
                    <w:pStyle w:val="33"/>
                    <w:spacing w:line="240" w:lineRule="auto"/>
                    <w:ind w:firstLine="0" w:firstLineChars="0"/>
                    <w:jc w:val="center"/>
                    <w:rPr>
                      <w:color w:val="auto"/>
                    </w:rPr>
                  </w:pPr>
                  <w:r>
                    <w:rPr>
                      <w:rFonts w:hint="eastAsia"/>
                      <w:color w:val="auto"/>
                    </w:rPr>
                    <w:t>不涉及</w:t>
                  </w:r>
                </w:p>
              </w:tc>
              <w:tc>
                <w:tcPr>
                  <w:tcW w:w="696" w:type="pct"/>
                  <w:tcBorders>
                    <w:tl2br w:val="nil"/>
                    <w:tr2bl w:val="nil"/>
                  </w:tcBorders>
                  <w:vAlign w:val="center"/>
                </w:tcPr>
                <w:p w14:paraId="30C86D7D">
                  <w:pPr>
                    <w:pStyle w:val="33"/>
                    <w:spacing w:line="240" w:lineRule="auto"/>
                    <w:ind w:firstLine="0" w:firstLineChars="0"/>
                    <w:jc w:val="center"/>
                    <w:rPr>
                      <w:rFonts w:hint="eastAsia" w:eastAsia="宋体"/>
                      <w:color w:val="auto"/>
                      <w:lang w:eastAsia="zh-CN"/>
                    </w:rPr>
                  </w:pPr>
                  <w:r>
                    <w:rPr>
                      <w:rFonts w:hint="eastAsia"/>
                      <w:color w:val="auto"/>
                      <w:lang w:val="en-US" w:eastAsia="zh-CN"/>
                    </w:rPr>
                    <w:t>否</w:t>
                  </w:r>
                </w:p>
              </w:tc>
            </w:tr>
            <w:tr w14:paraId="3C5C3F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5" w:hRule="atLeast"/>
              </w:trPr>
              <w:tc>
                <w:tcPr>
                  <w:tcW w:w="845" w:type="dxa"/>
                  <w:tcBorders>
                    <w:tl2br w:val="nil"/>
                    <w:tr2bl w:val="nil"/>
                  </w:tcBorders>
                  <w:vAlign w:val="center"/>
                </w:tcPr>
                <w:p w14:paraId="4A59BA88">
                  <w:pPr>
                    <w:widowControl/>
                    <w:jc w:val="center"/>
                    <w:rPr>
                      <w:rFonts w:hint="eastAsia" w:eastAsia="宋体"/>
                      <w:color w:val="auto"/>
                      <w:lang w:val="en-US" w:eastAsia="zh-CN"/>
                    </w:rPr>
                  </w:pPr>
                  <w:r>
                    <w:rPr>
                      <w:rFonts w:hint="eastAsia"/>
                      <w:color w:val="auto"/>
                      <w:kern w:val="0"/>
                      <w:szCs w:val="21"/>
                      <w:lang w:bidi="ar"/>
                    </w:rPr>
                    <w:t>地下水</w:t>
                  </w:r>
                </w:p>
              </w:tc>
              <w:tc>
                <w:tcPr>
                  <w:tcW w:w="2741" w:type="dxa"/>
                  <w:tcBorders>
                    <w:tl2br w:val="nil"/>
                    <w:tr2bl w:val="nil"/>
                  </w:tcBorders>
                  <w:vAlign w:val="center"/>
                </w:tcPr>
                <w:p w14:paraId="53A9DC4A">
                  <w:pPr>
                    <w:widowControl/>
                    <w:jc w:val="center"/>
                    <w:rPr>
                      <w:color w:val="auto"/>
                    </w:rPr>
                  </w:pPr>
                  <w:r>
                    <w:rPr>
                      <w:rFonts w:hint="eastAsia"/>
                      <w:color w:val="auto"/>
                      <w:kern w:val="0"/>
                      <w:szCs w:val="21"/>
                      <w:lang w:bidi="ar"/>
                    </w:rPr>
                    <w:t>地下水原则上不开展专项评价，涉及集中式饮用水水源和热水、矿泉水、温泉等特殊地下水资源保护区的开展地下水专项评价工作</w:t>
                  </w:r>
                </w:p>
              </w:tc>
              <w:tc>
                <w:tcPr>
                  <w:tcW w:w="1850" w:type="pct"/>
                  <w:tcBorders>
                    <w:tl2br w:val="nil"/>
                    <w:tr2bl w:val="nil"/>
                  </w:tcBorders>
                  <w:vAlign w:val="center"/>
                </w:tcPr>
                <w:p w14:paraId="7346062C">
                  <w:pPr>
                    <w:pStyle w:val="33"/>
                    <w:spacing w:line="240" w:lineRule="auto"/>
                    <w:ind w:firstLine="0" w:firstLineChars="0"/>
                    <w:jc w:val="center"/>
                    <w:rPr>
                      <w:rFonts w:hint="default" w:eastAsia="宋体"/>
                      <w:color w:val="auto"/>
                      <w:lang w:val="en-US" w:eastAsia="zh-CN"/>
                    </w:rPr>
                  </w:pPr>
                  <w:r>
                    <w:rPr>
                      <w:rFonts w:hint="eastAsia"/>
                      <w:color w:val="auto"/>
                      <w:lang w:val="en-US" w:eastAsia="zh-CN"/>
                    </w:rPr>
                    <w:t>本项目500m范围内无</w:t>
                  </w:r>
                  <w:r>
                    <w:rPr>
                      <w:rFonts w:hint="eastAsia"/>
                      <w:color w:val="auto"/>
                      <w:kern w:val="0"/>
                      <w:szCs w:val="21"/>
                      <w:lang w:bidi="ar"/>
                    </w:rPr>
                    <w:t>集中式饮用水水源和热水、矿泉水、温泉等特殊地下水资源保护区</w:t>
                  </w:r>
                  <w:r>
                    <w:rPr>
                      <w:rFonts w:hint="eastAsia"/>
                      <w:color w:val="auto"/>
                      <w:kern w:val="0"/>
                      <w:szCs w:val="21"/>
                      <w:lang w:eastAsia="zh-CN" w:bidi="ar"/>
                    </w:rPr>
                    <w:t>，</w:t>
                  </w:r>
                  <w:r>
                    <w:rPr>
                      <w:rFonts w:hint="eastAsia"/>
                      <w:color w:val="auto"/>
                      <w:kern w:val="0"/>
                      <w:szCs w:val="21"/>
                      <w:lang w:val="en-US" w:eastAsia="zh-CN" w:bidi="ar"/>
                    </w:rPr>
                    <w:t>因此，不需设置地下水专项评价</w:t>
                  </w:r>
                </w:p>
              </w:tc>
              <w:tc>
                <w:tcPr>
                  <w:tcW w:w="696" w:type="pct"/>
                  <w:tcBorders>
                    <w:tl2br w:val="nil"/>
                    <w:tr2bl w:val="nil"/>
                  </w:tcBorders>
                  <w:vAlign w:val="center"/>
                </w:tcPr>
                <w:p w14:paraId="7F1E8A2B">
                  <w:pPr>
                    <w:pStyle w:val="33"/>
                    <w:spacing w:line="240" w:lineRule="auto"/>
                    <w:ind w:firstLine="0" w:firstLineChars="0"/>
                    <w:jc w:val="center"/>
                    <w:rPr>
                      <w:rFonts w:hint="eastAsia"/>
                      <w:color w:val="auto"/>
                      <w:lang w:val="en-US" w:eastAsia="zh-CN"/>
                    </w:rPr>
                  </w:pPr>
                  <w:r>
                    <w:rPr>
                      <w:rFonts w:hint="eastAsia"/>
                      <w:color w:val="auto"/>
                      <w:lang w:val="en-US" w:eastAsia="zh-CN"/>
                    </w:rPr>
                    <w:t>否</w:t>
                  </w:r>
                </w:p>
              </w:tc>
            </w:tr>
          </w:tbl>
          <w:p w14:paraId="61F69BD1">
            <w:pPr>
              <w:pStyle w:val="33"/>
              <w:ind w:firstLine="480"/>
              <w:rPr>
                <w:color w:val="auto"/>
              </w:rPr>
            </w:pPr>
            <w:r>
              <w:rPr>
                <w:rFonts w:hint="eastAsia"/>
                <w:iCs w:val="0"/>
                <w:color w:val="auto"/>
                <w:sz w:val="24"/>
                <w:szCs w:val="24"/>
              </w:rPr>
              <w:t>综上，本项目不开展大气、地表水、环境风险、生态及海洋专项评价。</w:t>
            </w:r>
          </w:p>
        </w:tc>
      </w:tr>
      <w:tr w14:paraId="33C94E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757" w:type="pct"/>
            <w:vAlign w:val="center"/>
          </w:tcPr>
          <w:p w14:paraId="15EFDFEA">
            <w:pPr>
              <w:adjustRightInd w:val="0"/>
              <w:snapToGrid w:val="0"/>
              <w:jc w:val="center"/>
              <w:rPr>
                <w:color w:val="auto"/>
                <w:kern w:val="0"/>
                <w:sz w:val="22"/>
                <w:szCs w:val="22"/>
              </w:rPr>
            </w:pPr>
            <w:r>
              <w:rPr>
                <w:color w:val="auto"/>
                <w:sz w:val="22"/>
                <w:szCs w:val="22"/>
              </w:rPr>
              <w:t>规划情况</w:t>
            </w:r>
          </w:p>
        </w:tc>
        <w:tc>
          <w:tcPr>
            <w:tcW w:w="4242" w:type="pct"/>
            <w:gridSpan w:val="3"/>
            <w:vAlign w:val="center"/>
          </w:tcPr>
          <w:p w14:paraId="370B7026">
            <w:pPr>
              <w:spacing w:line="360" w:lineRule="auto"/>
              <w:ind w:firstLine="480" w:firstLineChars="200"/>
              <w:jc w:val="center"/>
              <w:rPr>
                <w:color w:val="auto"/>
                <w:sz w:val="24"/>
              </w:rPr>
            </w:pPr>
            <w:r>
              <w:rPr>
                <w:rFonts w:hint="eastAsia"/>
                <w:color w:val="auto"/>
                <w:sz w:val="24"/>
              </w:rPr>
              <w:t>无</w:t>
            </w:r>
          </w:p>
        </w:tc>
      </w:tr>
      <w:tr w14:paraId="198612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7" w:hRule="atLeast"/>
          <w:jc w:val="center"/>
        </w:trPr>
        <w:tc>
          <w:tcPr>
            <w:tcW w:w="757" w:type="pct"/>
            <w:vAlign w:val="center"/>
          </w:tcPr>
          <w:p w14:paraId="4220DCDC">
            <w:pPr>
              <w:adjustRightInd w:val="0"/>
              <w:snapToGrid w:val="0"/>
              <w:jc w:val="center"/>
              <w:rPr>
                <w:color w:val="auto"/>
                <w:sz w:val="22"/>
                <w:szCs w:val="22"/>
              </w:rPr>
            </w:pPr>
            <w:r>
              <w:rPr>
                <w:color w:val="auto"/>
                <w:sz w:val="22"/>
                <w:szCs w:val="22"/>
              </w:rPr>
              <w:t>规划环境影响评价情况</w:t>
            </w:r>
          </w:p>
        </w:tc>
        <w:tc>
          <w:tcPr>
            <w:tcW w:w="4242" w:type="pct"/>
            <w:gridSpan w:val="3"/>
            <w:vAlign w:val="center"/>
          </w:tcPr>
          <w:p w14:paraId="492396A0">
            <w:pPr>
              <w:spacing w:line="360" w:lineRule="auto"/>
              <w:ind w:firstLine="480" w:firstLineChars="200"/>
              <w:jc w:val="center"/>
              <w:rPr>
                <w:color w:val="auto"/>
                <w:sz w:val="24"/>
              </w:rPr>
            </w:pPr>
            <w:r>
              <w:rPr>
                <w:rFonts w:hint="eastAsia"/>
                <w:color w:val="auto"/>
                <w:sz w:val="24"/>
              </w:rPr>
              <w:t>无</w:t>
            </w:r>
          </w:p>
        </w:tc>
      </w:tr>
      <w:tr w14:paraId="52B159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02" w:hRule="atLeast"/>
          <w:jc w:val="center"/>
        </w:trPr>
        <w:tc>
          <w:tcPr>
            <w:tcW w:w="757" w:type="pct"/>
            <w:vAlign w:val="center"/>
          </w:tcPr>
          <w:p w14:paraId="6D76099E">
            <w:pPr>
              <w:adjustRightInd w:val="0"/>
              <w:snapToGrid w:val="0"/>
              <w:jc w:val="center"/>
              <w:rPr>
                <w:color w:val="auto"/>
                <w:sz w:val="22"/>
                <w:szCs w:val="22"/>
              </w:rPr>
            </w:pPr>
            <w:r>
              <w:rPr>
                <w:color w:val="auto"/>
                <w:sz w:val="22"/>
                <w:szCs w:val="22"/>
              </w:rPr>
              <w:t>规划及规划环境影响评价符合性分析</w:t>
            </w:r>
          </w:p>
        </w:tc>
        <w:tc>
          <w:tcPr>
            <w:tcW w:w="4242" w:type="pct"/>
            <w:gridSpan w:val="3"/>
            <w:vAlign w:val="center"/>
          </w:tcPr>
          <w:p w14:paraId="252B25D6">
            <w:pPr>
              <w:spacing w:line="360" w:lineRule="auto"/>
              <w:ind w:firstLine="480" w:firstLineChars="200"/>
              <w:jc w:val="center"/>
              <w:rPr>
                <w:color w:val="auto"/>
              </w:rPr>
            </w:pPr>
            <w:r>
              <w:rPr>
                <w:rFonts w:hint="eastAsia"/>
                <w:color w:val="auto"/>
                <w:sz w:val="24"/>
              </w:rPr>
              <w:t>无</w:t>
            </w:r>
          </w:p>
        </w:tc>
      </w:tr>
      <w:tr w14:paraId="6C0A84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02" w:hRule="atLeast"/>
          <w:jc w:val="center"/>
        </w:trPr>
        <w:tc>
          <w:tcPr>
            <w:tcW w:w="757" w:type="pct"/>
            <w:vAlign w:val="center"/>
          </w:tcPr>
          <w:p w14:paraId="532AB831">
            <w:pPr>
              <w:adjustRightInd w:val="0"/>
              <w:snapToGrid w:val="0"/>
              <w:jc w:val="center"/>
              <w:rPr>
                <w:color w:val="auto"/>
                <w:sz w:val="22"/>
                <w:szCs w:val="22"/>
              </w:rPr>
            </w:pPr>
            <w:r>
              <w:rPr>
                <w:b/>
                <w:color w:val="auto"/>
                <w:kern w:val="0"/>
                <w:szCs w:val="21"/>
              </w:rPr>
              <w:t>其他符合性分析</w:t>
            </w:r>
          </w:p>
        </w:tc>
        <w:tc>
          <w:tcPr>
            <w:tcW w:w="4242" w:type="pct"/>
            <w:gridSpan w:val="3"/>
            <w:vAlign w:val="center"/>
          </w:tcPr>
          <w:p w14:paraId="7649E368">
            <w:pPr>
              <w:keepNext w:val="0"/>
              <w:keepLines w:val="0"/>
              <w:pageBreakBefore w:val="0"/>
              <w:kinsoku/>
              <w:overflowPunct/>
              <w:topLinePunct w:val="0"/>
              <w:bidi w:val="0"/>
              <w:spacing w:line="360" w:lineRule="auto"/>
              <w:ind w:firstLine="480" w:firstLineChars="200"/>
              <w:rPr>
                <w:color w:val="auto"/>
                <w:sz w:val="24"/>
                <w:szCs w:val="32"/>
              </w:rPr>
            </w:pPr>
            <w:r>
              <w:rPr>
                <w:color w:val="auto"/>
                <w:sz w:val="24"/>
                <w:szCs w:val="32"/>
              </w:rPr>
              <w:t>1、产业政策符合性分析</w:t>
            </w:r>
          </w:p>
          <w:p w14:paraId="3C144F65">
            <w:pPr>
              <w:keepNext w:val="0"/>
              <w:keepLines w:val="0"/>
              <w:pageBreakBefore w:val="0"/>
              <w:kinsoku/>
              <w:overflowPunct/>
              <w:topLinePunct w:val="0"/>
              <w:bidi w:val="0"/>
              <w:spacing w:line="360" w:lineRule="auto"/>
              <w:ind w:firstLine="480" w:firstLineChars="200"/>
              <w:rPr>
                <w:rFonts w:hint="eastAsia" w:ascii="Times New Roman" w:hAnsi="Times New Roman" w:eastAsia="宋体" w:cs="Times New Roman"/>
                <w:color w:val="auto"/>
                <w:sz w:val="24"/>
                <w:szCs w:val="32"/>
              </w:rPr>
            </w:pPr>
            <w:r>
              <w:rPr>
                <w:rFonts w:hint="eastAsia"/>
                <w:color w:val="auto"/>
                <w:sz w:val="24"/>
                <w:szCs w:val="32"/>
              </w:rPr>
              <w:t>本项目为锅炉改建项</w:t>
            </w:r>
            <w:r>
              <w:rPr>
                <w:rFonts w:hint="eastAsia" w:ascii="Times New Roman" w:hAnsi="Times New Roman" w:eastAsia="宋体" w:cs="Times New Roman"/>
                <w:color w:val="auto"/>
                <w:sz w:val="24"/>
                <w:szCs w:val="32"/>
              </w:rPr>
              <w:t>目，对照《产业结构调整指导目录</w:t>
            </w:r>
            <w:r>
              <w:rPr>
                <w:rFonts w:hint="eastAsia" w:ascii="Times New Roman" w:hAnsi="Times New Roman" w:eastAsia="宋体" w:cs="Times New Roman"/>
                <w:color w:val="auto"/>
                <w:sz w:val="24"/>
                <w:szCs w:val="32"/>
                <w:lang w:eastAsia="zh-CN"/>
              </w:rPr>
              <w:t>（</w:t>
            </w:r>
            <w:r>
              <w:rPr>
                <w:rFonts w:hint="eastAsia" w:ascii="Times New Roman" w:hAnsi="Times New Roman" w:eastAsia="宋体" w:cs="Times New Roman"/>
                <w:color w:val="auto"/>
                <w:sz w:val="24"/>
                <w:szCs w:val="32"/>
              </w:rPr>
              <w:t>20</w:t>
            </w:r>
            <w:r>
              <w:rPr>
                <w:rFonts w:hint="eastAsia" w:ascii="Times New Roman" w:hAnsi="Times New Roman" w:eastAsia="宋体" w:cs="Times New Roman"/>
                <w:color w:val="auto"/>
                <w:sz w:val="24"/>
                <w:szCs w:val="32"/>
                <w:lang w:val="en-US" w:eastAsia="zh-CN"/>
              </w:rPr>
              <w:t>24</w:t>
            </w:r>
            <w:r>
              <w:rPr>
                <w:rFonts w:hint="eastAsia" w:ascii="Times New Roman" w:hAnsi="Times New Roman" w:eastAsia="宋体" w:cs="Times New Roman"/>
                <w:color w:val="auto"/>
                <w:sz w:val="24"/>
                <w:szCs w:val="32"/>
              </w:rPr>
              <w:t>年本</w:t>
            </w:r>
            <w:r>
              <w:rPr>
                <w:rFonts w:hint="eastAsia" w:ascii="Times New Roman" w:hAnsi="Times New Roman" w:eastAsia="宋体" w:cs="Times New Roman"/>
                <w:color w:val="auto"/>
                <w:sz w:val="24"/>
                <w:szCs w:val="32"/>
                <w:lang w:eastAsia="zh-CN"/>
              </w:rPr>
              <w:t>）</w:t>
            </w:r>
            <w:r>
              <w:rPr>
                <w:rFonts w:hint="eastAsia" w:ascii="Times New Roman" w:hAnsi="Times New Roman" w:eastAsia="宋体" w:cs="Times New Roman"/>
                <w:color w:val="auto"/>
                <w:sz w:val="24"/>
                <w:szCs w:val="32"/>
              </w:rPr>
              <w:t>》，项目不属于“淘汰类”</w:t>
            </w:r>
            <w:r>
              <w:rPr>
                <w:rFonts w:hint="eastAsia" w:ascii="Times New Roman" w:hAnsi="Times New Roman" w:eastAsia="宋体" w:cs="Times New Roman"/>
                <w:color w:val="auto"/>
                <w:sz w:val="24"/>
                <w:szCs w:val="32"/>
                <w:lang w:val="en-US" w:eastAsia="zh-CN"/>
              </w:rPr>
              <w:t>中每小时2蒸吨及以下生物质锅炉。</w:t>
            </w:r>
            <w:r>
              <w:rPr>
                <w:rFonts w:hint="eastAsia" w:ascii="Times New Roman" w:hAnsi="Times New Roman" w:eastAsia="宋体" w:cs="Times New Roman"/>
                <w:color w:val="auto"/>
                <w:sz w:val="24"/>
                <w:szCs w:val="32"/>
              </w:rPr>
              <w:t>《产业结构调整指导目录</w:t>
            </w:r>
            <w:r>
              <w:rPr>
                <w:rFonts w:hint="eastAsia" w:ascii="Times New Roman" w:hAnsi="Times New Roman" w:eastAsia="宋体" w:cs="Times New Roman"/>
                <w:color w:val="auto"/>
                <w:sz w:val="24"/>
                <w:szCs w:val="32"/>
                <w:lang w:eastAsia="zh-CN"/>
              </w:rPr>
              <w:t>（</w:t>
            </w:r>
            <w:r>
              <w:rPr>
                <w:rFonts w:hint="eastAsia" w:ascii="Times New Roman" w:hAnsi="Times New Roman" w:eastAsia="宋体" w:cs="Times New Roman"/>
                <w:color w:val="auto"/>
                <w:sz w:val="24"/>
                <w:szCs w:val="32"/>
              </w:rPr>
              <w:t>20</w:t>
            </w:r>
            <w:r>
              <w:rPr>
                <w:rFonts w:hint="eastAsia" w:ascii="Times New Roman" w:hAnsi="Times New Roman" w:eastAsia="宋体" w:cs="Times New Roman"/>
                <w:color w:val="auto"/>
                <w:sz w:val="24"/>
                <w:szCs w:val="32"/>
                <w:lang w:val="en-US" w:eastAsia="zh-CN"/>
              </w:rPr>
              <w:t>24</w:t>
            </w:r>
            <w:r>
              <w:rPr>
                <w:rFonts w:hint="eastAsia" w:ascii="Times New Roman" w:hAnsi="Times New Roman" w:eastAsia="宋体" w:cs="Times New Roman"/>
                <w:color w:val="auto"/>
                <w:sz w:val="24"/>
                <w:szCs w:val="32"/>
              </w:rPr>
              <w:t>年本</w:t>
            </w:r>
            <w:r>
              <w:rPr>
                <w:rFonts w:hint="eastAsia" w:ascii="Times New Roman" w:hAnsi="Times New Roman" w:eastAsia="宋体" w:cs="Times New Roman"/>
                <w:color w:val="auto"/>
                <w:sz w:val="24"/>
                <w:szCs w:val="32"/>
                <w:lang w:eastAsia="zh-CN"/>
              </w:rPr>
              <w:t>）</w:t>
            </w:r>
            <w:r>
              <w:rPr>
                <w:rFonts w:hint="eastAsia" w:ascii="Times New Roman" w:hAnsi="Times New Roman" w:eastAsia="宋体" w:cs="Times New Roman"/>
                <w:color w:val="auto"/>
                <w:sz w:val="24"/>
                <w:szCs w:val="32"/>
              </w:rPr>
              <w:t>》</w:t>
            </w:r>
            <w:r>
              <w:rPr>
                <w:rFonts w:hint="eastAsia" w:ascii="Times New Roman" w:hAnsi="Times New Roman" w:eastAsia="宋体" w:cs="Times New Roman"/>
                <w:color w:val="auto"/>
                <w:sz w:val="24"/>
                <w:szCs w:val="32"/>
                <w:lang w:val="en-US" w:eastAsia="zh-CN"/>
              </w:rPr>
              <w:t>指出</w:t>
            </w:r>
            <w:r>
              <w:rPr>
                <w:rFonts w:hint="eastAsia" w:ascii="Times New Roman" w:hAnsi="Times New Roman" w:eastAsia="宋体" w:cs="Times New Roman"/>
                <w:color w:val="auto"/>
                <w:sz w:val="24"/>
                <w:szCs w:val="32"/>
              </w:rPr>
              <w:t>鼓励类、限制类和淘汰类之外的，且符合国家有关法律、法规和政策规定的属于允许类。</w:t>
            </w:r>
            <w:r>
              <w:rPr>
                <w:rFonts w:hint="eastAsia" w:ascii="Times New Roman" w:hAnsi="Times New Roman" w:eastAsia="宋体" w:cs="Times New Roman"/>
                <w:color w:val="auto"/>
                <w:sz w:val="24"/>
                <w:szCs w:val="32"/>
                <w:lang w:val="en-US" w:eastAsia="zh-CN"/>
              </w:rPr>
              <w:t>因此，</w:t>
            </w:r>
            <w:r>
              <w:rPr>
                <w:rFonts w:hint="default" w:ascii="Times New Roman" w:hAnsi="Times New Roman" w:eastAsia="宋体" w:cs="Times New Roman"/>
                <w:color w:val="auto"/>
                <w:sz w:val="24"/>
                <w:szCs w:val="32"/>
              </w:rPr>
              <w:t>本项目的建设符合国家产业政策要求。</w:t>
            </w:r>
          </w:p>
          <w:p w14:paraId="2306C3AC">
            <w:pPr>
              <w:keepNext w:val="0"/>
              <w:keepLines w:val="0"/>
              <w:pageBreakBefore w:val="0"/>
              <w:kinsoku/>
              <w:overflowPunct/>
              <w:topLinePunct w:val="0"/>
              <w:bidi w:val="0"/>
              <w:spacing w:line="360" w:lineRule="auto"/>
              <w:ind w:firstLine="480" w:firstLineChars="200"/>
              <w:rPr>
                <w:color w:val="auto"/>
                <w:sz w:val="24"/>
                <w:szCs w:val="32"/>
              </w:rPr>
            </w:pPr>
            <w:r>
              <w:rPr>
                <w:color w:val="auto"/>
                <w:sz w:val="24"/>
                <w:szCs w:val="32"/>
              </w:rPr>
              <w:t>2、项目</w:t>
            </w:r>
            <w:r>
              <w:rPr>
                <w:rFonts w:hint="default" w:ascii="Times New Roman" w:hAnsi="Times New Roman" w:eastAsia="宋体" w:cs="Times New Roman"/>
                <w:color w:val="auto"/>
                <w:sz w:val="24"/>
                <w:szCs w:val="32"/>
              </w:rPr>
              <w:t>与</w:t>
            </w:r>
            <w:r>
              <w:rPr>
                <w:rFonts w:hint="eastAsia" w:ascii="Times New Roman" w:hAnsi="Times New Roman" w:eastAsia="宋体" w:cs="Times New Roman"/>
                <w:color w:val="auto"/>
                <w:sz w:val="24"/>
                <w:szCs w:val="32"/>
              </w:rPr>
              <w:t>“</w:t>
            </w:r>
            <w:r>
              <w:rPr>
                <w:rFonts w:hint="eastAsia" w:ascii="Times New Roman" w:hAnsi="Times New Roman" w:eastAsia="宋体" w:cs="Times New Roman"/>
                <w:color w:val="auto"/>
                <w:sz w:val="24"/>
                <w:szCs w:val="32"/>
                <w:lang w:val="en-US" w:eastAsia="zh-CN"/>
              </w:rPr>
              <w:t>生态环境分区管控</w:t>
            </w:r>
            <w:r>
              <w:rPr>
                <w:rFonts w:hint="eastAsia" w:ascii="Times New Roman" w:hAnsi="Times New Roman" w:eastAsia="宋体" w:cs="Times New Roman"/>
                <w:color w:val="auto"/>
                <w:sz w:val="24"/>
                <w:szCs w:val="32"/>
              </w:rPr>
              <w:t>”</w:t>
            </w:r>
            <w:r>
              <w:rPr>
                <w:color w:val="auto"/>
                <w:sz w:val="24"/>
                <w:szCs w:val="32"/>
              </w:rPr>
              <w:t>符合性分析</w:t>
            </w:r>
          </w:p>
          <w:p w14:paraId="7540EAA2">
            <w:pPr>
              <w:keepNext w:val="0"/>
              <w:keepLines w:val="0"/>
              <w:pageBreakBefore w:val="0"/>
              <w:kinsoku/>
              <w:overflowPunct/>
              <w:topLinePunct w:val="0"/>
              <w:bidi w:val="0"/>
              <w:spacing w:line="360" w:lineRule="auto"/>
              <w:ind w:firstLine="480" w:firstLineChars="200"/>
              <w:rPr>
                <w:rFonts w:hint="eastAsia" w:ascii="Times New Roman" w:hAnsi="Times New Roman" w:eastAsia="宋体" w:cs="Times New Roman"/>
                <w:color w:val="auto"/>
                <w:sz w:val="24"/>
                <w:szCs w:val="32"/>
                <w:lang w:val="en-US" w:eastAsia="zh-CN"/>
              </w:rPr>
            </w:pPr>
            <w:r>
              <w:rPr>
                <w:rFonts w:hint="eastAsia" w:ascii="Times New Roman" w:hAnsi="Times New Roman" w:eastAsia="宋体" w:cs="Times New Roman"/>
                <w:color w:val="auto"/>
                <w:sz w:val="24"/>
                <w:szCs w:val="32"/>
                <w:lang w:val="en-US" w:eastAsia="zh-CN"/>
              </w:rPr>
              <w:t>（1）生态保护红线符合性</w:t>
            </w:r>
          </w:p>
          <w:p w14:paraId="39849099">
            <w:pPr>
              <w:keepNext w:val="0"/>
              <w:keepLines w:val="0"/>
              <w:pageBreakBefore w:val="0"/>
              <w:kinsoku/>
              <w:overflowPunct/>
              <w:topLinePunct w:val="0"/>
              <w:bidi w:val="0"/>
              <w:spacing w:line="360" w:lineRule="auto"/>
              <w:ind w:firstLine="480" w:firstLineChars="200"/>
              <w:rPr>
                <w:rFonts w:hint="eastAsia" w:ascii="Times New Roman" w:hAnsi="Times New Roman" w:eastAsia="宋体" w:cs="Times New Roman"/>
                <w:color w:val="auto"/>
                <w:sz w:val="24"/>
                <w:szCs w:val="32"/>
                <w:lang w:val="en-US" w:eastAsia="zh-CN"/>
              </w:rPr>
            </w:pPr>
            <w:r>
              <w:rPr>
                <w:rFonts w:hint="eastAsia" w:ascii="Times New Roman" w:hAnsi="Times New Roman" w:eastAsia="宋体" w:cs="Times New Roman"/>
                <w:color w:val="auto"/>
                <w:sz w:val="24"/>
                <w:szCs w:val="32"/>
                <w:lang w:val="en-US" w:eastAsia="zh-CN"/>
              </w:rPr>
              <w:t>本项目位于黑龙江省鸡西市梨树区穆棱办新兴委，根据《生态环境分区管控分析报告》（见附件</w:t>
            </w:r>
            <w:r>
              <w:rPr>
                <w:rFonts w:hint="eastAsia" w:cs="Times New Roman"/>
                <w:color w:val="auto"/>
                <w:sz w:val="24"/>
                <w:szCs w:val="32"/>
                <w:lang w:val="en-US" w:eastAsia="zh-CN"/>
              </w:rPr>
              <w:t>9</w:t>
            </w:r>
            <w:r>
              <w:rPr>
                <w:rFonts w:hint="eastAsia" w:ascii="Times New Roman" w:hAnsi="Times New Roman" w:eastAsia="宋体" w:cs="Times New Roman"/>
                <w:color w:val="auto"/>
                <w:sz w:val="24"/>
                <w:szCs w:val="32"/>
                <w:lang w:val="en-US" w:eastAsia="zh-CN"/>
              </w:rPr>
              <w:t>）进行分析，本项目不涉及生态保护红线。</w:t>
            </w:r>
          </w:p>
          <w:p w14:paraId="7F6C2A65">
            <w:pPr>
              <w:keepNext w:val="0"/>
              <w:keepLines w:val="0"/>
              <w:pageBreakBefore w:val="0"/>
              <w:kinsoku/>
              <w:overflowPunct/>
              <w:topLinePunct w:val="0"/>
              <w:bidi w:val="0"/>
              <w:spacing w:line="360" w:lineRule="auto"/>
              <w:ind w:firstLine="480" w:firstLineChars="200"/>
              <w:rPr>
                <w:color w:val="auto"/>
                <w:sz w:val="24"/>
                <w:szCs w:val="32"/>
              </w:rPr>
            </w:pPr>
            <w:r>
              <w:rPr>
                <w:color w:val="auto"/>
                <w:sz w:val="24"/>
                <w:szCs w:val="32"/>
              </w:rPr>
              <w:t>（2）环境质量底线</w:t>
            </w:r>
          </w:p>
          <w:p w14:paraId="72BCABBE">
            <w:pPr>
              <w:keepNext w:val="0"/>
              <w:keepLines w:val="0"/>
              <w:pageBreakBefore w:val="0"/>
              <w:kinsoku/>
              <w:overflowPunct/>
              <w:topLinePunct w:val="0"/>
              <w:bidi w:val="0"/>
              <w:spacing w:line="360" w:lineRule="auto"/>
              <w:ind w:firstLine="480" w:firstLineChars="200"/>
              <w:rPr>
                <w:rFonts w:hint="default" w:eastAsia="宋体"/>
                <w:color w:val="auto"/>
                <w:sz w:val="24"/>
                <w:szCs w:val="32"/>
                <w:lang w:val="en-US" w:eastAsia="zh-CN"/>
              </w:rPr>
            </w:pPr>
            <w:r>
              <w:rPr>
                <w:rFonts w:hint="eastAsia" w:hAnsi="宋体"/>
                <w:color w:val="auto"/>
                <w:sz w:val="24"/>
              </w:rPr>
              <w:t>根据对项目所在区域环境质量现状的调查，项目所在区域属于环境空气质量达标区，环境空气质量较好，项目所在区域声环境质量以及地表水质量较好。本项目正常生产情况下，采取本报告提出的环境保护措施后，项目对评价区环境敏感目标影响较小，不会降低周边环境质量等级，本项目的建设不会突破当地环境质量底线。</w:t>
            </w:r>
          </w:p>
          <w:p w14:paraId="2FB77E4C">
            <w:pPr>
              <w:keepNext w:val="0"/>
              <w:keepLines w:val="0"/>
              <w:pageBreakBefore w:val="0"/>
              <w:widowControl/>
              <w:kinsoku/>
              <w:overflowPunct/>
              <w:topLinePunct w:val="0"/>
              <w:bidi w:val="0"/>
              <w:adjustRightInd w:val="0"/>
              <w:snapToGrid w:val="0"/>
              <w:spacing w:line="360" w:lineRule="auto"/>
              <w:ind w:firstLine="480" w:firstLineChars="200"/>
              <w:rPr>
                <w:color w:val="auto"/>
                <w:sz w:val="24"/>
              </w:rPr>
            </w:pPr>
            <w:r>
              <w:rPr>
                <w:color w:val="auto"/>
                <w:sz w:val="24"/>
              </w:rPr>
              <w:t>（3）资源利用上线</w:t>
            </w:r>
          </w:p>
          <w:p w14:paraId="2AEAB205">
            <w:pPr>
              <w:keepNext w:val="0"/>
              <w:keepLines w:val="0"/>
              <w:pageBreakBefore w:val="0"/>
              <w:kinsoku/>
              <w:overflowPunct/>
              <w:topLinePunct w:val="0"/>
              <w:bidi w:val="0"/>
              <w:spacing w:line="360" w:lineRule="auto"/>
              <w:ind w:firstLine="480" w:firstLineChars="200"/>
              <w:rPr>
                <w:color w:val="auto"/>
                <w:sz w:val="24"/>
                <w:szCs w:val="32"/>
              </w:rPr>
            </w:pPr>
            <w:r>
              <w:rPr>
                <w:color w:val="auto"/>
                <w:sz w:val="24"/>
                <w:szCs w:val="32"/>
              </w:rPr>
              <w:t>本项目</w:t>
            </w:r>
            <w:r>
              <w:rPr>
                <w:rFonts w:hint="eastAsia"/>
                <w:color w:val="auto"/>
                <w:sz w:val="24"/>
                <w:szCs w:val="32"/>
                <w:lang w:val="en-US" w:eastAsia="zh-CN"/>
              </w:rPr>
              <w:t>生产不用水，</w:t>
            </w:r>
            <w:r>
              <w:rPr>
                <w:rFonts w:hint="eastAsia"/>
                <w:color w:val="auto"/>
                <w:sz w:val="24"/>
              </w:rPr>
              <w:t>供电电源由城镇电网提供，供电电源可靠，</w:t>
            </w:r>
            <w:r>
              <w:rPr>
                <w:rFonts w:hint="eastAsia"/>
                <w:snapToGrid w:val="0"/>
                <w:color w:val="auto"/>
                <w:kern w:val="0"/>
                <w:sz w:val="24"/>
              </w:rPr>
              <w:t>资源消耗量相对于区域资源利用总量较小，符合资源利用上线要求。</w:t>
            </w:r>
          </w:p>
          <w:p w14:paraId="6D45D782">
            <w:pPr>
              <w:keepNext w:val="0"/>
              <w:keepLines w:val="0"/>
              <w:pageBreakBefore w:val="0"/>
              <w:kinsoku/>
              <w:overflowPunct/>
              <w:topLinePunct w:val="0"/>
              <w:bidi w:val="0"/>
              <w:spacing w:line="360" w:lineRule="auto"/>
              <w:ind w:firstLine="480" w:firstLineChars="200"/>
              <w:rPr>
                <w:rFonts w:ascii="Times New Roman" w:hAnsi="Times New Roman" w:eastAsia="宋体" w:cs="Times New Roman"/>
                <w:color w:val="auto"/>
                <w:sz w:val="24"/>
                <w:szCs w:val="32"/>
              </w:rPr>
            </w:pPr>
            <w:r>
              <w:rPr>
                <w:rFonts w:ascii="Times New Roman" w:hAnsi="Times New Roman" w:eastAsia="宋体" w:cs="Times New Roman"/>
                <w:color w:val="auto"/>
                <w:sz w:val="24"/>
                <w:szCs w:val="32"/>
              </w:rPr>
              <w:t>（4）生态环境准入清单</w:t>
            </w:r>
          </w:p>
          <w:p w14:paraId="74BC4C88">
            <w:pPr>
              <w:keepNext w:val="0"/>
              <w:keepLines w:val="0"/>
              <w:pageBreakBefore w:val="0"/>
              <w:kinsoku/>
              <w:overflowPunct/>
              <w:topLinePunct w:val="0"/>
              <w:bidi w:val="0"/>
              <w:spacing w:line="360" w:lineRule="auto"/>
              <w:ind w:firstLine="480" w:firstLineChars="200"/>
              <w:rPr>
                <w:rFonts w:ascii="Times New Roman" w:hAnsi="Times New Roman" w:eastAsia="宋体" w:cs="Times New Roman"/>
                <w:color w:val="auto"/>
                <w:sz w:val="24"/>
                <w:szCs w:val="32"/>
              </w:rPr>
            </w:pPr>
            <w:r>
              <w:rPr>
                <w:rFonts w:ascii="Times New Roman" w:hAnsi="Times New Roman" w:eastAsia="宋体" w:cs="Times New Roman"/>
                <w:color w:val="auto"/>
                <w:sz w:val="24"/>
                <w:szCs w:val="32"/>
              </w:rPr>
              <w:t>本项目位于</w:t>
            </w:r>
            <w:r>
              <w:rPr>
                <w:rFonts w:hint="eastAsia" w:ascii="Times New Roman" w:hAnsi="Times New Roman" w:eastAsia="宋体" w:cs="Times New Roman"/>
                <w:color w:val="auto"/>
                <w:spacing w:val="4"/>
                <w:sz w:val="24"/>
                <w:lang w:val="en-US" w:eastAsia="zh-CN"/>
              </w:rPr>
              <w:t>黑龙江省鸡西市梨树区穆棱办新兴委，根据《鸡西市海盛新能源材料有限公司锅炉改造项目生态环境</w:t>
            </w:r>
            <w:r>
              <w:rPr>
                <w:rFonts w:hint="eastAsia" w:ascii="Times New Roman" w:hAnsi="Times New Roman" w:eastAsia="宋体" w:cs="Times New Roman"/>
                <w:color w:val="auto"/>
                <w:sz w:val="24"/>
                <w:szCs w:val="32"/>
                <w:lang w:val="en-US" w:eastAsia="zh-CN"/>
              </w:rPr>
              <w:t>分区管控分析报告</w:t>
            </w:r>
            <w:r>
              <w:rPr>
                <w:rFonts w:hint="eastAsia" w:ascii="Times New Roman" w:hAnsi="Times New Roman" w:eastAsia="宋体" w:cs="Times New Roman"/>
                <w:color w:val="auto"/>
                <w:sz w:val="24"/>
                <w:szCs w:val="32"/>
                <w:lang w:eastAsia="zh-CN"/>
              </w:rPr>
              <w:t>》（</w:t>
            </w:r>
            <w:r>
              <w:rPr>
                <w:rFonts w:hint="eastAsia" w:ascii="Times New Roman" w:hAnsi="Times New Roman" w:eastAsia="宋体" w:cs="Times New Roman"/>
                <w:color w:val="auto"/>
                <w:sz w:val="24"/>
                <w:szCs w:val="32"/>
                <w:lang w:val="en-US" w:eastAsia="zh-CN"/>
              </w:rPr>
              <w:t>见附件</w:t>
            </w:r>
            <w:r>
              <w:rPr>
                <w:rFonts w:hint="eastAsia" w:cs="Times New Roman"/>
                <w:color w:val="auto"/>
                <w:sz w:val="24"/>
                <w:szCs w:val="32"/>
                <w:lang w:val="en-US" w:eastAsia="zh-CN"/>
              </w:rPr>
              <w:t>9</w:t>
            </w:r>
            <w:r>
              <w:rPr>
                <w:rFonts w:hint="eastAsia" w:ascii="Times New Roman" w:hAnsi="Times New Roman" w:eastAsia="宋体" w:cs="Times New Roman"/>
                <w:color w:val="auto"/>
                <w:sz w:val="24"/>
                <w:szCs w:val="32"/>
                <w:lang w:eastAsia="zh-CN"/>
              </w:rPr>
              <w:t>）</w:t>
            </w:r>
            <w:r>
              <w:rPr>
                <w:rFonts w:hint="eastAsia" w:ascii="Times New Roman" w:hAnsi="Times New Roman" w:eastAsia="宋体" w:cs="Times New Roman"/>
                <w:color w:val="auto"/>
                <w:sz w:val="24"/>
                <w:szCs w:val="32"/>
              </w:rPr>
              <w:t>，</w:t>
            </w:r>
            <w:r>
              <w:rPr>
                <w:rFonts w:ascii="Times New Roman" w:hAnsi="Times New Roman" w:eastAsia="宋体" w:cs="Times New Roman"/>
                <w:color w:val="auto"/>
                <w:sz w:val="24"/>
                <w:szCs w:val="32"/>
              </w:rPr>
              <w:t>属于重点管控单元</w:t>
            </w:r>
            <w:r>
              <w:rPr>
                <w:rFonts w:hint="eastAsia" w:ascii="Times New Roman" w:hAnsi="Times New Roman" w:eastAsia="宋体" w:cs="Times New Roman"/>
                <w:color w:val="auto"/>
                <w:sz w:val="24"/>
                <w:szCs w:val="32"/>
              </w:rPr>
              <w:t>。本项目与</w:t>
            </w:r>
            <w:r>
              <w:rPr>
                <w:rFonts w:hint="eastAsia" w:ascii="Times New Roman" w:hAnsi="Times New Roman" w:eastAsia="宋体" w:cs="Times New Roman"/>
                <w:color w:val="auto"/>
                <w:sz w:val="24"/>
                <w:szCs w:val="32"/>
                <w:lang w:eastAsia="zh-CN"/>
              </w:rPr>
              <w:t>《</w:t>
            </w:r>
            <w:r>
              <w:rPr>
                <w:rFonts w:hint="eastAsia" w:ascii="Times New Roman" w:hAnsi="Times New Roman" w:eastAsia="宋体" w:cs="Times New Roman"/>
                <w:color w:val="auto"/>
                <w:spacing w:val="4"/>
                <w:sz w:val="24"/>
                <w:lang w:val="en-US" w:eastAsia="zh-CN"/>
              </w:rPr>
              <w:t>鸡西市海盛新能源材料有限公司锅炉改造项目</w:t>
            </w:r>
            <w:r>
              <w:rPr>
                <w:rFonts w:hint="eastAsia" w:ascii="Times New Roman" w:hAnsi="Times New Roman" w:eastAsia="宋体" w:cs="Times New Roman"/>
                <w:color w:val="auto"/>
                <w:sz w:val="24"/>
                <w:szCs w:val="32"/>
                <w:lang w:val="en-US" w:eastAsia="zh-CN"/>
              </w:rPr>
              <w:t>生态环境分区管控分析报告</w:t>
            </w:r>
            <w:r>
              <w:rPr>
                <w:rFonts w:hint="eastAsia" w:ascii="Times New Roman" w:hAnsi="Times New Roman" w:eastAsia="宋体" w:cs="Times New Roman"/>
                <w:color w:val="auto"/>
                <w:sz w:val="24"/>
                <w:szCs w:val="32"/>
                <w:lang w:eastAsia="zh-CN"/>
              </w:rPr>
              <w:t>》</w:t>
            </w:r>
            <w:r>
              <w:rPr>
                <w:rFonts w:hint="eastAsia" w:ascii="Times New Roman" w:hAnsi="Times New Roman" w:eastAsia="宋体" w:cs="Times New Roman"/>
                <w:color w:val="auto"/>
                <w:sz w:val="24"/>
                <w:szCs w:val="32"/>
              </w:rPr>
              <w:t>符合性分析见表</w:t>
            </w:r>
            <w:r>
              <w:rPr>
                <w:rFonts w:ascii="Times New Roman" w:hAnsi="Times New Roman" w:eastAsia="宋体" w:cs="Times New Roman"/>
                <w:color w:val="auto"/>
                <w:sz w:val="24"/>
                <w:szCs w:val="32"/>
              </w:rPr>
              <w:t>1-</w:t>
            </w:r>
            <w:r>
              <w:rPr>
                <w:rFonts w:hint="eastAsia" w:ascii="Times New Roman" w:hAnsi="Times New Roman" w:eastAsia="宋体" w:cs="Times New Roman"/>
                <w:color w:val="auto"/>
                <w:sz w:val="24"/>
                <w:szCs w:val="32"/>
                <w:lang w:val="en-US" w:eastAsia="zh-CN"/>
              </w:rPr>
              <w:t>2</w:t>
            </w:r>
            <w:r>
              <w:rPr>
                <w:rFonts w:hint="eastAsia" w:ascii="Times New Roman" w:hAnsi="Times New Roman" w:eastAsia="宋体" w:cs="Times New Roman"/>
                <w:color w:val="auto"/>
                <w:sz w:val="24"/>
                <w:szCs w:val="32"/>
              </w:rPr>
              <w:t>。</w:t>
            </w:r>
          </w:p>
          <w:p w14:paraId="56E21BD3">
            <w:pPr>
              <w:pStyle w:val="187"/>
              <w:keepNext w:val="0"/>
              <w:keepLines w:val="0"/>
              <w:pageBreakBefore w:val="0"/>
              <w:kinsoku/>
              <w:overflowPunct/>
              <w:topLinePunct w:val="0"/>
              <w:bidi w:val="0"/>
              <w:spacing w:line="240" w:lineRule="auto"/>
              <w:rPr>
                <w:rFonts w:ascii="Times New Roman" w:eastAsia="宋体"/>
                <w:b/>
                <w:bCs/>
                <w:color w:val="auto"/>
                <w:sz w:val="21"/>
                <w:szCs w:val="21"/>
              </w:rPr>
            </w:pPr>
            <w:r>
              <w:rPr>
                <w:rFonts w:ascii="Times New Roman" w:eastAsia="宋体"/>
                <w:b/>
                <w:bCs/>
                <w:color w:val="auto"/>
                <w:sz w:val="21"/>
                <w:szCs w:val="21"/>
              </w:rPr>
              <w:t>表1-</w:t>
            </w:r>
            <w:r>
              <w:rPr>
                <w:rFonts w:hint="eastAsia" w:ascii="Times New Roman" w:eastAsia="宋体"/>
                <w:b/>
                <w:bCs/>
                <w:color w:val="auto"/>
                <w:sz w:val="21"/>
                <w:szCs w:val="21"/>
              </w:rPr>
              <w:t>2</w:t>
            </w:r>
            <w:r>
              <w:rPr>
                <w:rFonts w:ascii="Times New Roman" w:eastAsia="宋体"/>
                <w:b/>
                <w:bCs/>
                <w:color w:val="auto"/>
                <w:sz w:val="21"/>
                <w:szCs w:val="21"/>
              </w:rPr>
              <w:t xml:space="preserve">  本项目与</w:t>
            </w:r>
            <w:r>
              <w:rPr>
                <w:rFonts w:hint="eastAsia" w:ascii="Times New Roman" w:eastAsia="宋体"/>
                <w:b/>
                <w:bCs/>
                <w:color w:val="auto"/>
                <w:sz w:val="21"/>
                <w:szCs w:val="21"/>
              </w:rPr>
              <w:t>鸡西市生态环境准入清单符合性分析</w:t>
            </w:r>
          </w:p>
          <w:tbl>
            <w:tblPr>
              <w:tblStyle w:val="39"/>
              <w:tblpPr w:leftFromText="180" w:rightFromText="180" w:vertAnchor="text" w:horzAnchor="page" w:tblpX="78" w:tblpY="129"/>
              <w:tblOverlap w:val="never"/>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941"/>
              <w:gridCol w:w="817"/>
              <w:gridCol w:w="3584"/>
              <w:gridCol w:w="1963"/>
            </w:tblGrid>
            <w:tr w14:paraId="6033B13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644" w:type="pct"/>
                  <w:vAlign w:val="center"/>
                </w:tcPr>
                <w:p w14:paraId="5B488BBE">
                  <w:pPr>
                    <w:keepNext w:val="0"/>
                    <w:keepLines w:val="0"/>
                    <w:pageBreakBefore w:val="0"/>
                    <w:kinsoku/>
                    <w:overflowPunct/>
                    <w:topLinePunct w:val="0"/>
                    <w:bidi w:val="0"/>
                    <w:jc w:val="center"/>
                    <w:rPr>
                      <w:color w:val="auto"/>
                      <w:szCs w:val="21"/>
                    </w:rPr>
                  </w:pPr>
                  <w:r>
                    <w:rPr>
                      <w:color w:val="auto"/>
                      <w:szCs w:val="21"/>
                    </w:rPr>
                    <w:t>环境管控单元名称</w:t>
                  </w:r>
                </w:p>
              </w:tc>
              <w:tc>
                <w:tcPr>
                  <w:tcW w:w="3012" w:type="pct"/>
                  <w:gridSpan w:val="2"/>
                  <w:tcBorders>
                    <w:left w:val="single" w:color="auto" w:sz="4" w:space="0"/>
                  </w:tcBorders>
                  <w:vAlign w:val="center"/>
                </w:tcPr>
                <w:p w14:paraId="03243E97">
                  <w:pPr>
                    <w:keepNext w:val="0"/>
                    <w:keepLines w:val="0"/>
                    <w:pageBreakBefore w:val="0"/>
                    <w:kinsoku/>
                    <w:overflowPunct/>
                    <w:topLinePunct w:val="0"/>
                    <w:bidi w:val="0"/>
                    <w:jc w:val="center"/>
                    <w:rPr>
                      <w:rFonts w:hint="default" w:eastAsia="宋体"/>
                      <w:color w:val="auto"/>
                      <w:szCs w:val="21"/>
                      <w:lang w:val="en-US" w:eastAsia="zh-CN"/>
                    </w:rPr>
                  </w:pPr>
                  <w:r>
                    <w:rPr>
                      <w:rFonts w:hint="default" w:eastAsia="宋体"/>
                      <w:color w:val="auto"/>
                      <w:szCs w:val="21"/>
                      <w:lang w:val="en-US" w:eastAsia="zh-CN"/>
                    </w:rPr>
                    <w:t>梨树区水环境城镇生活污染重点管控区</w:t>
                  </w:r>
                </w:p>
              </w:tc>
              <w:tc>
                <w:tcPr>
                  <w:tcW w:w="1343" w:type="pct"/>
                  <w:vMerge w:val="restart"/>
                  <w:vAlign w:val="center"/>
                </w:tcPr>
                <w:p w14:paraId="22F8B44F">
                  <w:pPr>
                    <w:keepNext w:val="0"/>
                    <w:keepLines w:val="0"/>
                    <w:pageBreakBefore w:val="0"/>
                    <w:kinsoku/>
                    <w:overflowPunct/>
                    <w:topLinePunct w:val="0"/>
                    <w:bidi w:val="0"/>
                    <w:jc w:val="center"/>
                    <w:rPr>
                      <w:color w:val="auto"/>
                      <w:szCs w:val="21"/>
                    </w:rPr>
                  </w:pPr>
                  <w:r>
                    <w:rPr>
                      <w:rFonts w:hint="eastAsia"/>
                      <w:color w:val="auto"/>
                      <w:szCs w:val="21"/>
                    </w:rPr>
                    <w:t>本项目</w:t>
                  </w:r>
                </w:p>
              </w:tc>
            </w:tr>
            <w:tr w14:paraId="6CB01CF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44" w:type="pct"/>
                  <w:vAlign w:val="center"/>
                </w:tcPr>
                <w:p w14:paraId="6259E92F">
                  <w:pPr>
                    <w:keepNext w:val="0"/>
                    <w:keepLines w:val="0"/>
                    <w:pageBreakBefore w:val="0"/>
                    <w:kinsoku/>
                    <w:overflowPunct/>
                    <w:topLinePunct w:val="0"/>
                    <w:bidi w:val="0"/>
                    <w:jc w:val="center"/>
                    <w:rPr>
                      <w:color w:val="auto"/>
                      <w:szCs w:val="21"/>
                    </w:rPr>
                  </w:pPr>
                  <w:r>
                    <w:rPr>
                      <w:color w:val="auto"/>
                      <w:szCs w:val="21"/>
                    </w:rPr>
                    <w:t>环境管控单元编码</w:t>
                  </w:r>
                </w:p>
              </w:tc>
              <w:tc>
                <w:tcPr>
                  <w:tcW w:w="3012" w:type="pct"/>
                  <w:gridSpan w:val="2"/>
                  <w:tcBorders>
                    <w:left w:val="single" w:color="auto" w:sz="4" w:space="0"/>
                  </w:tcBorders>
                  <w:vAlign w:val="center"/>
                </w:tcPr>
                <w:p w14:paraId="7DD52AFC">
                  <w:pPr>
                    <w:keepNext w:val="0"/>
                    <w:keepLines w:val="0"/>
                    <w:pageBreakBefore w:val="0"/>
                    <w:kinsoku/>
                    <w:overflowPunct/>
                    <w:topLinePunct w:val="0"/>
                    <w:bidi w:val="0"/>
                    <w:jc w:val="center"/>
                    <w:rPr>
                      <w:rFonts w:hint="eastAsia" w:eastAsia="宋体"/>
                      <w:color w:val="auto"/>
                      <w:szCs w:val="21"/>
                      <w:lang w:val="en-US" w:eastAsia="zh-CN"/>
                    </w:rPr>
                  </w:pPr>
                  <w:r>
                    <w:rPr>
                      <w:rFonts w:hint="eastAsia" w:eastAsia="宋体"/>
                      <w:color w:val="auto"/>
                      <w:szCs w:val="21"/>
                      <w:lang w:val="en-US" w:eastAsia="zh-CN"/>
                    </w:rPr>
                    <w:t>ZH23030520003</w:t>
                  </w:r>
                </w:p>
              </w:tc>
              <w:tc>
                <w:tcPr>
                  <w:tcW w:w="1343" w:type="pct"/>
                  <w:vMerge w:val="continue"/>
                  <w:vAlign w:val="center"/>
                </w:tcPr>
                <w:p w14:paraId="3BC423EC">
                  <w:pPr>
                    <w:keepNext w:val="0"/>
                    <w:keepLines w:val="0"/>
                    <w:pageBreakBefore w:val="0"/>
                    <w:kinsoku/>
                    <w:overflowPunct/>
                    <w:topLinePunct w:val="0"/>
                    <w:bidi w:val="0"/>
                    <w:jc w:val="center"/>
                    <w:rPr>
                      <w:color w:val="auto"/>
                      <w:szCs w:val="21"/>
                    </w:rPr>
                  </w:pPr>
                </w:p>
              </w:tc>
            </w:tr>
            <w:tr w14:paraId="2E4E738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55" w:hRule="atLeast"/>
              </w:trPr>
              <w:tc>
                <w:tcPr>
                  <w:tcW w:w="644" w:type="pct"/>
                  <w:vAlign w:val="center"/>
                </w:tcPr>
                <w:p w14:paraId="264E30D3">
                  <w:pPr>
                    <w:keepNext w:val="0"/>
                    <w:keepLines w:val="0"/>
                    <w:pageBreakBefore w:val="0"/>
                    <w:kinsoku/>
                    <w:overflowPunct/>
                    <w:topLinePunct w:val="0"/>
                    <w:bidi w:val="0"/>
                    <w:jc w:val="center"/>
                    <w:rPr>
                      <w:color w:val="auto"/>
                      <w:szCs w:val="21"/>
                    </w:rPr>
                  </w:pPr>
                  <w:r>
                    <w:rPr>
                      <w:color w:val="auto"/>
                      <w:szCs w:val="21"/>
                    </w:rPr>
                    <w:t>管控单元类别</w:t>
                  </w:r>
                </w:p>
              </w:tc>
              <w:tc>
                <w:tcPr>
                  <w:tcW w:w="3012" w:type="pct"/>
                  <w:gridSpan w:val="2"/>
                  <w:tcBorders>
                    <w:left w:val="single" w:color="auto" w:sz="4" w:space="0"/>
                  </w:tcBorders>
                  <w:vAlign w:val="center"/>
                </w:tcPr>
                <w:p w14:paraId="27E4CB3A">
                  <w:pPr>
                    <w:keepNext w:val="0"/>
                    <w:keepLines w:val="0"/>
                    <w:pageBreakBefore w:val="0"/>
                    <w:kinsoku/>
                    <w:overflowPunct/>
                    <w:topLinePunct w:val="0"/>
                    <w:bidi w:val="0"/>
                    <w:jc w:val="center"/>
                    <w:rPr>
                      <w:color w:val="auto"/>
                      <w:szCs w:val="21"/>
                    </w:rPr>
                  </w:pPr>
                  <w:r>
                    <w:rPr>
                      <w:color w:val="auto"/>
                      <w:szCs w:val="21"/>
                    </w:rPr>
                    <w:t>重点管控单元</w:t>
                  </w:r>
                </w:p>
              </w:tc>
              <w:tc>
                <w:tcPr>
                  <w:tcW w:w="1343" w:type="pct"/>
                  <w:vMerge w:val="continue"/>
                  <w:vAlign w:val="center"/>
                </w:tcPr>
                <w:p w14:paraId="6AB10E92">
                  <w:pPr>
                    <w:keepNext w:val="0"/>
                    <w:keepLines w:val="0"/>
                    <w:pageBreakBefore w:val="0"/>
                    <w:kinsoku/>
                    <w:overflowPunct/>
                    <w:topLinePunct w:val="0"/>
                    <w:bidi w:val="0"/>
                    <w:jc w:val="center"/>
                    <w:rPr>
                      <w:color w:val="auto"/>
                      <w:szCs w:val="21"/>
                    </w:rPr>
                  </w:pPr>
                </w:p>
              </w:tc>
            </w:tr>
            <w:tr w14:paraId="28751C8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30" w:hRule="atLeast"/>
              </w:trPr>
              <w:tc>
                <w:tcPr>
                  <w:tcW w:w="644" w:type="pct"/>
                  <w:vMerge w:val="restart"/>
                  <w:vAlign w:val="center"/>
                </w:tcPr>
                <w:p w14:paraId="3828724C">
                  <w:pPr>
                    <w:keepNext w:val="0"/>
                    <w:keepLines w:val="0"/>
                    <w:pageBreakBefore w:val="0"/>
                    <w:kinsoku/>
                    <w:overflowPunct/>
                    <w:topLinePunct w:val="0"/>
                    <w:bidi w:val="0"/>
                    <w:jc w:val="center"/>
                    <w:rPr>
                      <w:color w:val="auto"/>
                      <w:szCs w:val="21"/>
                    </w:rPr>
                  </w:pPr>
                  <w:r>
                    <w:rPr>
                      <w:rFonts w:hint="eastAsia"/>
                      <w:color w:val="auto"/>
                      <w:szCs w:val="21"/>
                    </w:rPr>
                    <w:t>管控要求</w:t>
                  </w:r>
                </w:p>
              </w:tc>
              <w:tc>
                <w:tcPr>
                  <w:tcW w:w="559" w:type="pct"/>
                  <w:tcBorders>
                    <w:left w:val="single" w:color="auto" w:sz="4" w:space="0"/>
                  </w:tcBorders>
                  <w:vAlign w:val="center"/>
                </w:tcPr>
                <w:p w14:paraId="4B7C0EC6">
                  <w:pPr>
                    <w:keepNext w:val="0"/>
                    <w:keepLines w:val="0"/>
                    <w:pageBreakBefore w:val="0"/>
                    <w:widowControl/>
                    <w:kinsoku/>
                    <w:overflowPunct/>
                    <w:topLinePunct w:val="0"/>
                    <w:bidi w:val="0"/>
                    <w:jc w:val="center"/>
                    <w:rPr>
                      <w:color w:val="auto"/>
                      <w:kern w:val="0"/>
                      <w:szCs w:val="21"/>
                    </w:rPr>
                  </w:pPr>
                  <w:r>
                    <w:rPr>
                      <w:rFonts w:hint="eastAsia"/>
                      <w:color w:val="auto"/>
                      <w:kern w:val="0"/>
                      <w:szCs w:val="21"/>
                    </w:rPr>
                    <w:t>空间布局约束</w:t>
                  </w:r>
                </w:p>
              </w:tc>
              <w:tc>
                <w:tcPr>
                  <w:tcW w:w="2453" w:type="pct"/>
                  <w:vAlign w:val="center"/>
                </w:tcPr>
                <w:p w14:paraId="693C8C7E">
                  <w:pPr>
                    <w:keepNext w:val="0"/>
                    <w:keepLines w:val="0"/>
                    <w:pageBreakBefore w:val="0"/>
                    <w:widowControl/>
                    <w:kinsoku/>
                    <w:overflowPunct/>
                    <w:topLinePunct w:val="0"/>
                    <w:bidi w:val="0"/>
                    <w:jc w:val="center"/>
                    <w:rPr>
                      <w:color w:val="auto"/>
                      <w:kern w:val="0"/>
                      <w:szCs w:val="21"/>
                    </w:rPr>
                  </w:pPr>
                  <w:r>
                    <w:rPr>
                      <w:rFonts w:hint="eastAsia"/>
                      <w:color w:val="auto"/>
                      <w:kern w:val="0"/>
                      <w:szCs w:val="21"/>
                    </w:rPr>
                    <w:t>1.除干旱地区外，新建城区应全面实行雨污分流，鼓励对初期雨水进行收集、处理和资源化利用。2.大气环境布局敏感重点管控区同时执行(1)严控“两高”行业产能。严格执行钢铁、水泥、平板玻璃等行业产能置换实施办法。(2)利用水泥窑协同处置城市生活垃圾、危险废弃物、电石渣等固废伴生水泥项目，必须依托现有新型干法水泥熟料生产线进行不扩产能改造。</w:t>
                  </w:r>
                </w:p>
              </w:tc>
              <w:tc>
                <w:tcPr>
                  <w:tcW w:w="1343" w:type="pct"/>
                  <w:vMerge w:val="restart"/>
                  <w:vAlign w:val="center"/>
                </w:tcPr>
                <w:p w14:paraId="425DA1CE">
                  <w:pPr>
                    <w:keepNext w:val="0"/>
                    <w:keepLines w:val="0"/>
                    <w:pageBreakBefore w:val="0"/>
                    <w:kinsoku/>
                    <w:overflowPunct/>
                    <w:topLinePunct w:val="0"/>
                    <w:bidi w:val="0"/>
                    <w:jc w:val="center"/>
                    <w:rPr>
                      <w:rFonts w:hint="eastAsia" w:eastAsia="宋体"/>
                      <w:color w:val="auto"/>
                      <w:szCs w:val="21"/>
                      <w:lang w:val="en-US" w:eastAsia="zh-CN"/>
                    </w:rPr>
                  </w:pPr>
                  <w:r>
                    <w:rPr>
                      <w:rFonts w:hint="eastAsia"/>
                      <w:color w:val="auto"/>
                      <w:szCs w:val="21"/>
                      <w:lang w:val="en-US" w:eastAsia="zh-CN"/>
                    </w:rPr>
                    <w:t>本项目为锅炉改造项目，生产不用水，企业现有工程设有雨水排放口，已实现雨污分流；本项目不属于“两高”行业，不属于</w:t>
                  </w:r>
                  <w:r>
                    <w:rPr>
                      <w:rFonts w:hint="eastAsia"/>
                      <w:color w:val="auto"/>
                      <w:kern w:val="0"/>
                      <w:szCs w:val="21"/>
                    </w:rPr>
                    <w:t>钢铁、水泥、平板玻璃等行业</w:t>
                  </w:r>
                  <w:r>
                    <w:rPr>
                      <w:rFonts w:hint="eastAsia"/>
                      <w:color w:val="auto"/>
                      <w:kern w:val="0"/>
                      <w:szCs w:val="21"/>
                      <w:lang w:eastAsia="zh-CN"/>
                    </w:rPr>
                    <w:t>，</w:t>
                  </w:r>
                  <w:r>
                    <w:rPr>
                      <w:rFonts w:hint="eastAsia"/>
                      <w:color w:val="auto"/>
                      <w:kern w:val="0"/>
                      <w:szCs w:val="21"/>
                    </w:rPr>
                    <w:t>利用水泥窑协同处置城市生活垃圾、危险废弃物、电石渣等固废伴生水泥项目</w:t>
                  </w:r>
                  <w:r>
                    <w:rPr>
                      <w:rFonts w:hint="eastAsia"/>
                      <w:color w:val="auto"/>
                      <w:kern w:val="0"/>
                      <w:szCs w:val="21"/>
                      <w:lang w:eastAsia="zh-CN"/>
                    </w:rPr>
                    <w:t>；</w:t>
                  </w:r>
                  <w:r>
                    <w:rPr>
                      <w:rFonts w:hint="eastAsia"/>
                      <w:color w:val="auto"/>
                      <w:kern w:val="0"/>
                      <w:szCs w:val="21"/>
                      <w:lang w:val="en-US" w:eastAsia="zh-CN"/>
                    </w:rPr>
                    <w:t>本</w:t>
                  </w:r>
                  <w:r>
                    <w:rPr>
                      <w:rFonts w:hint="eastAsia" w:ascii="Times New Roman" w:hAnsi="Times New Roman" w:eastAsia="宋体" w:cs="Times New Roman"/>
                      <w:color w:val="auto"/>
                      <w:kern w:val="0"/>
                      <w:szCs w:val="21"/>
                      <w:lang w:val="en-US" w:eastAsia="zh-CN"/>
                    </w:rPr>
                    <w:t>项目1台1</w:t>
                  </w:r>
                  <w:r>
                    <w:rPr>
                      <w:rFonts w:hint="eastAsia" w:cs="Times New Roman"/>
                      <w:color w:val="auto"/>
                      <w:kern w:val="0"/>
                      <w:szCs w:val="21"/>
                      <w:lang w:val="en-US" w:eastAsia="zh-CN"/>
                    </w:rPr>
                    <w:t>8</w:t>
                  </w:r>
                  <w:r>
                    <w:rPr>
                      <w:rFonts w:hint="eastAsia" w:ascii="Times New Roman" w:hAnsi="Times New Roman" w:eastAsia="宋体" w:cs="Times New Roman"/>
                      <w:color w:val="auto"/>
                      <w:kern w:val="0"/>
                      <w:szCs w:val="21"/>
                      <w:lang w:val="en-US" w:eastAsia="zh-CN"/>
                    </w:rPr>
                    <w:t>00KW燃生物质</w:t>
                  </w:r>
                  <w:r>
                    <w:rPr>
                      <w:rFonts w:hint="eastAsia" w:ascii="Times New Roman" w:hAnsi="Times New Roman" w:eastAsia="宋体" w:cs="Times New Roman"/>
                      <w:color w:val="auto"/>
                      <w:kern w:val="0"/>
                      <w:szCs w:val="21"/>
                    </w:rPr>
                    <w:t>导热油炉</w:t>
                  </w:r>
                  <w:r>
                    <w:rPr>
                      <w:rFonts w:hint="eastAsia" w:ascii="Times New Roman" w:hAnsi="Times New Roman" w:eastAsia="宋体" w:cs="Times New Roman"/>
                      <w:color w:val="auto"/>
                      <w:kern w:val="0"/>
                      <w:szCs w:val="21"/>
                      <w:lang w:val="en-US" w:eastAsia="zh-CN"/>
                    </w:rPr>
                    <w:t>燃料为生物质成型燃料；本项目为锅炉改造项目，不属于</w:t>
                  </w:r>
                  <w:r>
                    <w:rPr>
                      <w:rFonts w:hint="eastAsia"/>
                      <w:color w:val="auto"/>
                      <w:kern w:val="0"/>
                      <w:szCs w:val="21"/>
                    </w:rPr>
                    <w:t>有色金属冶炼、焦化等行业</w:t>
                  </w:r>
                  <w:r>
                    <w:rPr>
                      <w:rFonts w:hint="eastAsia"/>
                      <w:color w:val="auto"/>
                      <w:kern w:val="0"/>
                      <w:szCs w:val="21"/>
                      <w:lang w:eastAsia="zh-CN"/>
                    </w:rPr>
                    <w:t>。</w:t>
                  </w:r>
                </w:p>
              </w:tc>
            </w:tr>
            <w:tr w14:paraId="758A100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80" w:hRule="atLeast"/>
              </w:trPr>
              <w:tc>
                <w:tcPr>
                  <w:tcW w:w="644" w:type="pct"/>
                  <w:vMerge w:val="continue"/>
                  <w:vAlign w:val="center"/>
                </w:tcPr>
                <w:p w14:paraId="52CEDCB6">
                  <w:pPr>
                    <w:keepNext w:val="0"/>
                    <w:keepLines w:val="0"/>
                    <w:pageBreakBefore w:val="0"/>
                    <w:kinsoku/>
                    <w:overflowPunct/>
                    <w:topLinePunct w:val="0"/>
                    <w:bidi w:val="0"/>
                    <w:jc w:val="center"/>
                    <w:rPr>
                      <w:color w:val="auto"/>
                      <w:szCs w:val="21"/>
                    </w:rPr>
                  </w:pPr>
                </w:p>
              </w:tc>
              <w:tc>
                <w:tcPr>
                  <w:tcW w:w="559" w:type="pct"/>
                  <w:tcBorders>
                    <w:left w:val="single" w:color="auto" w:sz="4" w:space="0"/>
                  </w:tcBorders>
                  <w:vAlign w:val="center"/>
                </w:tcPr>
                <w:p w14:paraId="60B5C5F1">
                  <w:pPr>
                    <w:keepNext w:val="0"/>
                    <w:keepLines w:val="0"/>
                    <w:pageBreakBefore w:val="0"/>
                    <w:widowControl/>
                    <w:kinsoku/>
                    <w:overflowPunct/>
                    <w:topLinePunct w:val="0"/>
                    <w:bidi w:val="0"/>
                    <w:jc w:val="center"/>
                    <w:rPr>
                      <w:rFonts w:hint="eastAsia" w:eastAsia="宋体"/>
                      <w:color w:val="auto"/>
                      <w:kern w:val="0"/>
                      <w:szCs w:val="21"/>
                      <w:lang w:val="en-US" w:eastAsia="zh-CN"/>
                    </w:rPr>
                  </w:pPr>
                  <w:r>
                    <w:rPr>
                      <w:color w:val="auto"/>
                      <w:kern w:val="0"/>
                      <w:szCs w:val="21"/>
                    </w:rPr>
                    <w:t>污染物排放管</w:t>
                  </w:r>
                  <w:r>
                    <w:rPr>
                      <w:rFonts w:hint="eastAsia"/>
                      <w:color w:val="auto"/>
                      <w:kern w:val="0"/>
                      <w:szCs w:val="21"/>
                      <w:lang w:val="en-US" w:eastAsia="zh-CN"/>
                    </w:rPr>
                    <w:t>控</w:t>
                  </w:r>
                </w:p>
              </w:tc>
              <w:tc>
                <w:tcPr>
                  <w:tcW w:w="2453" w:type="pct"/>
                  <w:vAlign w:val="center"/>
                </w:tcPr>
                <w:p w14:paraId="6CF4AEC2">
                  <w:pPr>
                    <w:keepNext w:val="0"/>
                    <w:keepLines w:val="0"/>
                    <w:pageBreakBefore w:val="0"/>
                    <w:widowControl/>
                    <w:kinsoku/>
                    <w:overflowPunct/>
                    <w:topLinePunct w:val="0"/>
                    <w:bidi w:val="0"/>
                    <w:jc w:val="center"/>
                    <w:rPr>
                      <w:color w:val="auto"/>
                      <w:kern w:val="0"/>
                      <w:szCs w:val="21"/>
                    </w:rPr>
                  </w:pPr>
                  <w:r>
                    <w:rPr>
                      <w:rFonts w:hint="eastAsia"/>
                      <w:color w:val="auto"/>
                      <w:kern w:val="0"/>
                      <w:szCs w:val="21"/>
                    </w:rPr>
                    <w:t>(1)新区污水管网规划建设应当与城市开发同步推进，除干旱地区外均实行1.同时执行:雨污分流。(3)推进合流制(2)强化城中村、老旧城区和城乡结合部污水截流、收集。排水系统雨污分流改造，难以改造的，应采取截流、调蓄和治理等措施:推进现有污水处理设施配套管网建设;进一步提高城市、县城生活污水收集处理效能。(4)县级以上人民政府应当合理确定城镇排水与污水处理设施建设标准，统筹安排管网、泵站、污水处理厂以及污泥处理处置、再生水利用、雨水调蓄和排放等排水与污水处理设施建设和改造，提高城镇污水收集率和处理率。 2.大气环境布局敏感重点管控区同时执行(1)对以煤、石焦油、渣油、重油等为燃料的锅炉和工业炉窑，加快使用清洁低碳能源以及工厂余热、电力热力等进行替代。(2)到2025年，在用65蒸吨/小时以上的燃煤锅炉(含电力)实现超低排放，钢铁企业基本实现超低排放。</w:t>
                  </w:r>
                </w:p>
              </w:tc>
              <w:tc>
                <w:tcPr>
                  <w:tcW w:w="1343" w:type="pct"/>
                  <w:vMerge w:val="continue"/>
                  <w:vAlign w:val="center"/>
                </w:tcPr>
                <w:p w14:paraId="3AB7B923">
                  <w:pPr>
                    <w:keepNext w:val="0"/>
                    <w:keepLines w:val="0"/>
                    <w:pageBreakBefore w:val="0"/>
                    <w:kinsoku/>
                    <w:overflowPunct/>
                    <w:topLinePunct w:val="0"/>
                    <w:bidi w:val="0"/>
                    <w:jc w:val="center"/>
                    <w:rPr>
                      <w:rFonts w:hint="eastAsia" w:eastAsia="宋体"/>
                      <w:color w:val="auto"/>
                      <w:szCs w:val="21"/>
                      <w:lang w:val="en-US" w:eastAsia="zh-CN"/>
                    </w:rPr>
                  </w:pPr>
                </w:p>
              </w:tc>
            </w:tr>
            <w:tr w14:paraId="0648E98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80" w:hRule="atLeast"/>
              </w:trPr>
              <w:tc>
                <w:tcPr>
                  <w:tcW w:w="644" w:type="pct"/>
                  <w:vMerge w:val="continue"/>
                  <w:vAlign w:val="center"/>
                </w:tcPr>
                <w:p w14:paraId="34ABA4E6">
                  <w:pPr>
                    <w:keepNext w:val="0"/>
                    <w:keepLines w:val="0"/>
                    <w:pageBreakBefore w:val="0"/>
                    <w:kinsoku/>
                    <w:overflowPunct/>
                    <w:topLinePunct w:val="0"/>
                    <w:bidi w:val="0"/>
                    <w:jc w:val="center"/>
                    <w:rPr>
                      <w:color w:val="auto"/>
                      <w:szCs w:val="21"/>
                    </w:rPr>
                  </w:pPr>
                </w:p>
              </w:tc>
              <w:tc>
                <w:tcPr>
                  <w:tcW w:w="559" w:type="pct"/>
                  <w:tcBorders>
                    <w:left w:val="single" w:color="auto" w:sz="4" w:space="0"/>
                  </w:tcBorders>
                  <w:vAlign w:val="center"/>
                </w:tcPr>
                <w:p w14:paraId="540E9E81">
                  <w:pPr>
                    <w:keepNext w:val="0"/>
                    <w:keepLines w:val="0"/>
                    <w:pageBreakBefore w:val="0"/>
                    <w:widowControl/>
                    <w:kinsoku/>
                    <w:overflowPunct/>
                    <w:topLinePunct w:val="0"/>
                    <w:bidi w:val="0"/>
                    <w:jc w:val="center"/>
                    <w:rPr>
                      <w:rFonts w:hint="default" w:eastAsia="宋体"/>
                      <w:color w:val="auto"/>
                      <w:kern w:val="0"/>
                      <w:szCs w:val="21"/>
                      <w:lang w:val="en-US" w:eastAsia="zh-CN"/>
                    </w:rPr>
                  </w:pPr>
                  <w:r>
                    <w:rPr>
                      <w:rFonts w:hint="eastAsia"/>
                      <w:color w:val="auto"/>
                      <w:kern w:val="0"/>
                      <w:szCs w:val="21"/>
                      <w:lang w:val="en-US" w:eastAsia="zh-CN"/>
                    </w:rPr>
                    <w:t>环境风险防控</w:t>
                  </w:r>
                </w:p>
              </w:tc>
              <w:tc>
                <w:tcPr>
                  <w:tcW w:w="2453" w:type="pct"/>
                  <w:vAlign w:val="center"/>
                </w:tcPr>
                <w:p w14:paraId="3CCC2798">
                  <w:pPr>
                    <w:keepNext w:val="0"/>
                    <w:keepLines w:val="0"/>
                    <w:pageBreakBefore w:val="0"/>
                    <w:widowControl/>
                    <w:kinsoku/>
                    <w:overflowPunct/>
                    <w:topLinePunct w:val="0"/>
                    <w:bidi w:val="0"/>
                    <w:jc w:val="center"/>
                    <w:rPr>
                      <w:color w:val="auto"/>
                      <w:kern w:val="0"/>
                      <w:szCs w:val="21"/>
                    </w:rPr>
                  </w:pPr>
                  <w:r>
                    <w:rPr>
                      <w:rFonts w:hint="eastAsia"/>
                      <w:color w:val="auto"/>
                      <w:kern w:val="0"/>
                      <w:szCs w:val="21"/>
                    </w:rPr>
                    <w:t>大气环境布局敏感重点管控区同时执行禁止在居民区、学校、医疗和养老机构等周边新建有色金属冶炼、焦化等行业企业。</w:t>
                  </w:r>
                </w:p>
              </w:tc>
              <w:tc>
                <w:tcPr>
                  <w:tcW w:w="1343" w:type="pct"/>
                  <w:vMerge w:val="continue"/>
                  <w:vAlign w:val="center"/>
                </w:tcPr>
                <w:p w14:paraId="7477F6B0">
                  <w:pPr>
                    <w:keepNext w:val="0"/>
                    <w:keepLines w:val="0"/>
                    <w:pageBreakBefore w:val="0"/>
                    <w:kinsoku/>
                    <w:overflowPunct/>
                    <w:topLinePunct w:val="0"/>
                    <w:bidi w:val="0"/>
                    <w:jc w:val="center"/>
                    <w:rPr>
                      <w:rFonts w:hint="eastAsia" w:eastAsia="宋体"/>
                      <w:color w:val="auto"/>
                      <w:szCs w:val="21"/>
                      <w:lang w:val="en-US" w:eastAsia="zh-CN"/>
                    </w:rPr>
                  </w:pPr>
                </w:p>
              </w:tc>
            </w:tr>
            <w:tr w14:paraId="11752D2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50" w:hRule="atLeast"/>
              </w:trPr>
              <w:tc>
                <w:tcPr>
                  <w:tcW w:w="644" w:type="pct"/>
                  <w:vAlign w:val="center"/>
                </w:tcPr>
                <w:p w14:paraId="1D058FF9">
                  <w:pPr>
                    <w:keepNext w:val="0"/>
                    <w:keepLines w:val="0"/>
                    <w:pageBreakBefore w:val="0"/>
                    <w:kinsoku/>
                    <w:overflowPunct/>
                    <w:topLinePunct w:val="0"/>
                    <w:bidi w:val="0"/>
                    <w:jc w:val="center"/>
                    <w:rPr>
                      <w:color w:val="auto"/>
                      <w:szCs w:val="21"/>
                    </w:rPr>
                  </w:pPr>
                  <w:r>
                    <w:rPr>
                      <w:color w:val="auto"/>
                      <w:szCs w:val="21"/>
                    </w:rPr>
                    <w:t>环境管控</w:t>
                  </w:r>
                  <w:r>
                    <w:rPr>
                      <w:rFonts w:hint="eastAsia"/>
                      <w:color w:val="auto"/>
                      <w:szCs w:val="21"/>
                      <w:lang w:val="en-US" w:eastAsia="zh-CN"/>
                    </w:rPr>
                    <w:t>区</w:t>
                  </w:r>
                  <w:r>
                    <w:rPr>
                      <w:color w:val="auto"/>
                      <w:szCs w:val="21"/>
                    </w:rPr>
                    <w:t>名称</w:t>
                  </w:r>
                </w:p>
              </w:tc>
              <w:tc>
                <w:tcPr>
                  <w:tcW w:w="3012" w:type="pct"/>
                  <w:gridSpan w:val="2"/>
                  <w:tcBorders>
                    <w:left w:val="single" w:color="auto" w:sz="4" w:space="0"/>
                  </w:tcBorders>
                  <w:vAlign w:val="center"/>
                </w:tcPr>
                <w:p w14:paraId="04DE84C7">
                  <w:pPr>
                    <w:keepNext w:val="0"/>
                    <w:keepLines w:val="0"/>
                    <w:pageBreakBefore w:val="0"/>
                    <w:widowControl/>
                    <w:kinsoku/>
                    <w:overflowPunct/>
                    <w:topLinePunct w:val="0"/>
                    <w:bidi w:val="0"/>
                    <w:jc w:val="center"/>
                    <w:rPr>
                      <w:rFonts w:hint="default" w:eastAsia="宋体"/>
                      <w:color w:val="auto"/>
                      <w:kern w:val="0"/>
                      <w:szCs w:val="21"/>
                      <w:lang w:val="en-US" w:eastAsia="zh-CN"/>
                    </w:rPr>
                  </w:pPr>
                  <w:r>
                    <w:rPr>
                      <w:rFonts w:hint="default" w:eastAsia="宋体"/>
                      <w:color w:val="auto"/>
                      <w:kern w:val="0"/>
                      <w:szCs w:val="21"/>
                      <w:lang w:val="en-US" w:eastAsia="zh-CN"/>
                    </w:rPr>
                    <w:t>YS2303056210001</w:t>
                  </w:r>
                </w:p>
              </w:tc>
              <w:tc>
                <w:tcPr>
                  <w:tcW w:w="1343" w:type="pct"/>
                  <w:vMerge w:val="restart"/>
                  <w:vAlign w:val="center"/>
                </w:tcPr>
                <w:p w14:paraId="11EF618E">
                  <w:pPr>
                    <w:keepNext w:val="0"/>
                    <w:keepLines w:val="0"/>
                    <w:pageBreakBefore w:val="0"/>
                    <w:kinsoku/>
                    <w:overflowPunct/>
                    <w:topLinePunct w:val="0"/>
                    <w:bidi w:val="0"/>
                    <w:jc w:val="center"/>
                    <w:rPr>
                      <w:color w:val="auto"/>
                      <w:szCs w:val="21"/>
                    </w:rPr>
                  </w:pPr>
                  <w:r>
                    <w:rPr>
                      <w:rFonts w:hint="eastAsia"/>
                      <w:color w:val="auto"/>
                      <w:szCs w:val="21"/>
                    </w:rPr>
                    <w:t>本项目</w:t>
                  </w:r>
                </w:p>
              </w:tc>
            </w:tr>
            <w:tr w14:paraId="728C14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75" w:hRule="atLeast"/>
              </w:trPr>
              <w:tc>
                <w:tcPr>
                  <w:tcW w:w="644" w:type="pct"/>
                  <w:vAlign w:val="center"/>
                </w:tcPr>
                <w:p w14:paraId="2DA5ED76">
                  <w:pPr>
                    <w:keepNext w:val="0"/>
                    <w:keepLines w:val="0"/>
                    <w:pageBreakBefore w:val="0"/>
                    <w:kinsoku/>
                    <w:overflowPunct/>
                    <w:topLinePunct w:val="0"/>
                    <w:bidi w:val="0"/>
                    <w:jc w:val="center"/>
                    <w:rPr>
                      <w:color w:val="auto"/>
                      <w:szCs w:val="21"/>
                    </w:rPr>
                  </w:pPr>
                  <w:r>
                    <w:rPr>
                      <w:color w:val="auto"/>
                      <w:szCs w:val="21"/>
                    </w:rPr>
                    <w:t>环境管控</w:t>
                  </w:r>
                  <w:r>
                    <w:rPr>
                      <w:rFonts w:hint="eastAsia"/>
                      <w:color w:val="auto"/>
                      <w:szCs w:val="21"/>
                      <w:lang w:val="en-US" w:eastAsia="zh-CN"/>
                    </w:rPr>
                    <w:t>区</w:t>
                  </w:r>
                  <w:r>
                    <w:rPr>
                      <w:color w:val="auto"/>
                      <w:szCs w:val="21"/>
                    </w:rPr>
                    <w:t>编码</w:t>
                  </w:r>
                </w:p>
              </w:tc>
              <w:tc>
                <w:tcPr>
                  <w:tcW w:w="3012" w:type="pct"/>
                  <w:gridSpan w:val="2"/>
                  <w:tcBorders>
                    <w:left w:val="single" w:color="auto" w:sz="4" w:space="0"/>
                  </w:tcBorders>
                  <w:vAlign w:val="center"/>
                </w:tcPr>
                <w:p w14:paraId="578F46E9">
                  <w:pPr>
                    <w:keepNext w:val="0"/>
                    <w:keepLines w:val="0"/>
                    <w:pageBreakBefore w:val="0"/>
                    <w:kinsoku/>
                    <w:overflowPunct/>
                    <w:topLinePunct w:val="0"/>
                    <w:bidi w:val="0"/>
                    <w:jc w:val="center"/>
                    <w:rPr>
                      <w:color w:val="auto"/>
                      <w:kern w:val="0"/>
                      <w:szCs w:val="21"/>
                    </w:rPr>
                  </w:pPr>
                  <w:r>
                    <w:rPr>
                      <w:rFonts w:hint="eastAsia"/>
                      <w:color w:val="auto"/>
                      <w:kern w:val="0"/>
                      <w:szCs w:val="21"/>
                    </w:rPr>
                    <w:t>梨树区地下水环境级管控区</w:t>
                  </w:r>
                </w:p>
              </w:tc>
              <w:tc>
                <w:tcPr>
                  <w:tcW w:w="1343" w:type="pct"/>
                  <w:vMerge w:val="continue"/>
                  <w:vAlign w:val="center"/>
                </w:tcPr>
                <w:p w14:paraId="6BDBAC0A">
                  <w:pPr>
                    <w:keepNext w:val="0"/>
                    <w:keepLines w:val="0"/>
                    <w:pageBreakBefore w:val="0"/>
                    <w:kinsoku/>
                    <w:overflowPunct/>
                    <w:topLinePunct w:val="0"/>
                    <w:bidi w:val="0"/>
                    <w:jc w:val="center"/>
                    <w:rPr>
                      <w:color w:val="auto"/>
                      <w:szCs w:val="21"/>
                    </w:rPr>
                  </w:pPr>
                </w:p>
              </w:tc>
            </w:tr>
            <w:tr w14:paraId="2206343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00" w:hRule="atLeast"/>
              </w:trPr>
              <w:tc>
                <w:tcPr>
                  <w:tcW w:w="644" w:type="pct"/>
                  <w:vAlign w:val="center"/>
                </w:tcPr>
                <w:p w14:paraId="06892ABB">
                  <w:pPr>
                    <w:keepNext w:val="0"/>
                    <w:keepLines w:val="0"/>
                    <w:pageBreakBefore w:val="0"/>
                    <w:kinsoku/>
                    <w:overflowPunct/>
                    <w:topLinePunct w:val="0"/>
                    <w:bidi w:val="0"/>
                    <w:jc w:val="center"/>
                    <w:rPr>
                      <w:rFonts w:hint="eastAsia" w:eastAsia="宋体"/>
                      <w:color w:val="auto"/>
                      <w:szCs w:val="21"/>
                      <w:lang w:eastAsia="zh-CN"/>
                    </w:rPr>
                  </w:pPr>
                  <w:r>
                    <w:rPr>
                      <w:color w:val="auto"/>
                      <w:szCs w:val="21"/>
                    </w:rPr>
                    <w:t>管控</w:t>
                  </w:r>
                  <w:r>
                    <w:rPr>
                      <w:rFonts w:hint="eastAsia"/>
                      <w:color w:val="auto"/>
                      <w:szCs w:val="21"/>
                      <w:lang w:val="en-US" w:eastAsia="zh-CN"/>
                    </w:rPr>
                    <w:t>区</w:t>
                  </w:r>
                  <w:r>
                    <w:rPr>
                      <w:color w:val="auto"/>
                      <w:szCs w:val="21"/>
                    </w:rPr>
                    <w:t>类</w:t>
                  </w:r>
                  <w:r>
                    <w:rPr>
                      <w:rFonts w:hint="eastAsia"/>
                      <w:color w:val="auto"/>
                      <w:szCs w:val="21"/>
                      <w:lang w:val="en-US" w:eastAsia="zh-CN"/>
                    </w:rPr>
                    <w:t>型</w:t>
                  </w:r>
                </w:p>
              </w:tc>
              <w:tc>
                <w:tcPr>
                  <w:tcW w:w="3012" w:type="pct"/>
                  <w:gridSpan w:val="2"/>
                  <w:tcBorders>
                    <w:left w:val="single" w:color="auto" w:sz="4" w:space="0"/>
                  </w:tcBorders>
                  <w:vAlign w:val="center"/>
                </w:tcPr>
                <w:p w14:paraId="05D34CD3">
                  <w:pPr>
                    <w:keepNext w:val="0"/>
                    <w:keepLines w:val="0"/>
                    <w:pageBreakBefore w:val="0"/>
                    <w:kinsoku/>
                    <w:overflowPunct/>
                    <w:topLinePunct w:val="0"/>
                    <w:bidi w:val="0"/>
                    <w:jc w:val="center"/>
                    <w:rPr>
                      <w:rFonts w:hint="default" w:eastAsia="宋体"/>
                      <w:color w:val="auto"/>
                      <w:kern w:val="0"/>
                      <w:szCs w:val="21"/>
                      <w:lang w:val="en-US" w:eastAsia="zh-CN"/>
                    </w:rPr>
                  </w:pPr>
                  <w:r>
                    <w:rPr>
                      <w:rFonts w:hint="eastAsia"/>
                      <w:color w:val="auto"/>
                      <w:kern w:val="0"/>
                      <w:szCs w:val="21"/>
                      <w:lang w:val="en-US" w:eastAsia="zh-CN"/>
                    </w:rPr>
                    <w:t>重点管控区</w:t>
                  </w:r>
                </w:p>
              </w:tc>
              <w:tc>
                <w:tcPr>
                  <w:tcW w:w="1343" w:type="pct"/>
                  <w:vMerge w:val="continue"/>
                  <w:vAlign w:val="center"/>
                </w:tcPr>
                <w:p w14:paraId="0C1ECD23">
                  <w:pPr>
                    <w:keepNext w:val="0"/>
                    <w:keepLines w:val="0"/>
                    <w:pageBreakBefore w:val="0"/>
                    <w:kinsoku/>
                    <w:overflowPunct/>
                    <w:topLinePunct w:val="0"/>
                    <w:bidi w:val="0"/>
                    <w:jc w:val="center"/>
                    <w:rPr>
                      <w:color w:val="auto"/>
                      <w:szCs w:val="21"/>
                    </w:rPr>
                  </w:pPr>
                </w:p>
              </w:tc>
            </w:tr>
            <w:tr w14:paraId="3796B7D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50" w:hRule="atLeast"/>
              </w:trPr>
              <w:tc>
                <w:tcPr>
                  <w:tcW w:w="644" w:type="pct"/>
                  <w:vMerge w:val="restart"/>
                  <w:vAlign w:val="center"/>
                </w:tcPr>
                <w:p w14:paraId="04851168">
                  <w:pPr>
                    <w:keepNext w:val="0"/>
                    <w:keepLines w:val="0"/>
                    <w:pageBreakBefore w:val="0"/>
                    <w:kinsoku/>
                    <w:overflowPunct/>
                    <w:topLinePunct w:val="0"/>
                    <w:bidi w:val="0"/>
                    <w:jc w:val="center"/>
                    <w:rPr>
                      <w:color w:val="auto"/>
                      <w:szCs w:val="21"/>
                    </w:rPr>
                  </w:pPr>
                  <w:r>
                    <w:rPr>
                      <w:rFonts w:hint="eastAsia"/>
                      <w:color w:val="auto"/>
                      <w:szCs w:val="21"/>
                    </w:rPr>
                    <w:t>管控要求</w:t>
                  </w:r>
                </w:p>
              </w:tc>
              <w:tc>
                <w:tcPr>
                  <w:tcW w:w="559" w:type="pct"/>
                  <w:tcBorders>
                    <w:left w:val="single" w:color="auto" w:sz="4" w:space="0"/>
                  </w:tcBorders>
                  <w:vAlign w:val="center"/>
                </w:tcPr>
                <w:p w14:paraId="2E393446">
                  <w:pPr>
                    <w:keepNext w:val="0"/>
                    <w:keepLines w:val="0"/>
                    <w:pageBreakBefore w:val="0"/>
                    <w:widowControl/>
                    <w:kinsoku/>
                    <w:overflowPunct/>
                    <w:topLinePunct w:val="0"/>
                    <w:bidi w:val="0"/>
                    <w:jc w:val="center"/>
                    <w:rPr>
                      <w:rFonts w:hint="default" w:eastAsia="宋体"/>
                      <w:color w:val="auto"/>
                      <w:kern w:val="0"/>
                      <w:szCs w:val="21"/>
                      <w:lang w:val="en-US" w:eastAsia="zh-CN"/>
                    </w:rPr>
                  </w:pPr>
                  <w:r>
                    <w:rPr>
                      <w:rFonts w:hint="eastAsia"/>
                      <w:color w:val="auto"/>
                      <w:kern w:val="0"/>
                      <w:szCs w:val="21"/>
                      <w:lang w:val="en-US" w:eastAsia="zh-CN"/>
                    </w:rPr>
                    <w:t>空间布局约束</w:t>
                  </w:r>
                </w:p>
              </w:tc>
              <w:tc>
                <w:tcPr>
                  <w:tcW w:w="2453" w:type="pct"/>
                  <w:vAlign w:val="center"/>
                </w:tcPr>
                <w:p w14:paraId="0D6C223D">
                  <w:pPr>
                    <w:keepNext w:val="0"/>
                    <w:keepLines w:val="0"/>
                    <w:pageBreakBefore w:val="0"/>
                    <w:widowControl/>
                    <w:kinsoku/>
                    <w:overflowPunct/>
                    <w:topLinePunct w:val="0"/>
                    <w:bidi w:val="0"/>
                    <w:jc w:val="left"/>
                    <w:rPr>
                      <w:color w:val="auto"/>
                      <w:szCs w:val="21"/>
                    </w:rPr>
                  </w:pPr>
                  <w:r>
                    <w:rPr>
                      <w:rFonts w:hint="eastAsia"/>
                      <w:color w:val="auto"/>
                      <w:szCs w:val="21"/>
                    </w:rPr>
                    <w:t>1.严格建设项目土壤环境影响评价制度。对涉及有毒有害物质可能造成土壤污染的新(改、扩)建项目，依法进行环境影响评价，提出并落实防腐蚀、防渗漏、防遗撒等土壤污染防治具体措施。2.合理规划污染地块用途，从严管控农药、化工等行业中的重度污染地块规划用途，确需开发利用的，鼓励用于拓展生态空间。3.污染地块未经治理与修复，或者经治理与修复但未达到相关规划用地土壤环境质量要求的，有关环境保护主管部门不予批准选址涉及该污染地块的建设项目环境影响报告书或者报告表。</w:t>
                  </w:r>
                </w:p>
              </w:tc>
              <w:tc>
                <w:tcPr>
                  <w:tcW w:w="1343" w:type="pct"/>
                  <w:vMerge w:val="restart"/>
                  <w:vAlign w:val="center"/>
                </w:tcPr>
                <w:p w14:paraId="78F06CEC">
                  <w:pPr>
                    <w:keepNext w:val="0"/>
                    <w:keepLines w:val="0"/>
                    <w:pageBreakBefore w:val="0"/>
                    <w:kinsoku/>
                    <w:overflowPunct/>
                    <w:topLinePunct w:val="0"/>
                    <w:bidi w:val="0"/>
                    <w:jc w:val="center"/>
                    <w:rPr>
                      <w:rFonts w:hint="default" w:eastAsia="宋体"/>
                      <w:color w:val="auto"/>
                      <w:lang w:val="en-US" w:eastAsia="zh-CN"/>
                    </w:rPr>
                  </w:pPr>
                  <w:r>
                    <w:rPr>
                      <w:rFonts w:hint="eastAsia"/>
                      <w:color w:val="auto"/>
                      <w:lang w:val="en-US" w:eastAsia="zh-CN"/>
                    </w:rPr>
                    <w:t>本项目为锅炉改造项目，不使用有毒有害物质，项目建设在现有场地上，不新增用地；本项目不属于</w:t>
                  </w:r>
                  <w:r>
                    <w:rPr>
                      <w:rFonts w:hint="eastAsia"/>
                      <w:color w:val="auto"/>
                      <w:szCs w:val="21"/>
                    </w:rPr>
                    <w:t>化学品生产企业以及工业集聚区、矿山开采区、尾矿库、危险废物处置场、垃圾填埋场</w:t>
                  </w:r>
                  <w:r>
                    <w:rPr>
                      <w:rFonts w:hint="eastAsia"/>
                      <w:color w:val="auto"/>
                      <w:szCs w:val="21"/>
                      <w:lang w:eastAsia="zh-CN"/>
                    </w:rPr>
                    <w:t>，</w:t>
                  </w:r>
                  <w:r>
                    <w:rPr>
                      <w:rFonts w:hint="eastAsia"/>
                      <w:color w:val="auto"/>
                      <w:szCs w:val="21"/>
                      <w:lang w:val="en-US" w:eastAsia="zh-CN"/>
                    </w:rPr>
                    <w:t>本项目用地性质为建设用地，不属于工矿用地；本项目不属于“两高”项目。</w:t>
                  </w:r>
                </w:p>
              </w:tc>
            </w:tr>
            <w:tr w14:paraId="035DC19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50" w:hRule="atLeast"/>
              </w:trPr>
              <w:tc>
                <w:tcPr>
                  <w:tcW w:w="644" w:type="pct"/>
                  <w:vMerge w:val="continue"/>
                  <w:vAlign w:val="center"/>
                </w:tcPr>
                <w:p w14:paraId="43370BF0">
                  <w:pPr>
                    <w:keepNext w:val="0"/>
                    <w:keepLines w:val="0"/>
                    <w:pageBreakBefore w:val="0"/>
                    <w:kinsoku/>
                    <w:overflowPunct/>
                    <w:topLinePunct w:val="0"/>
                    <w:bidi w:val="0"/>
                    <w:jc w:val="center"/>
                    <w:rPr>
                      <w:rFonts w:hint="eastAsia"/>
                      <w:color w:val="auto"/>
                      <w:szCs w:val="21"/>
                    </w:rPr>
                  </w:pPr>
                </w:p>
              </w:tc>
              <w:tc>
                <w:tcPr>
                  <w:tcW w:w="559" w:type="pct"/>
                  <w:tcBorders>
                    <w:left w:val="single" w:color="auto" w:sz="4" w:space="0"/>
                  </w:tcBorders>
                  <w:vAlign w:val="center"/>
                </w:tcPr>
                <w:p w14:paraId="1CE5254E">
                  <w:pPr>
                    <w:keepNext w:val="0"/>
                    <w:keepLines w:val="0"/>
                    <w:pageBreakBefore w:val="0"/>
                    <w:widowControl/>
                    <w:kinsoku/>
                    <w:overflowPunct/>
                    <w:topLinePunct w:val="0"/>
                    <w:bidi w:val="0"/>
                    <w:jc w:val="center"/>
                    <w:rPr>
                      <w:rFonts w:hint="default"/>
                      <w:color w:val="auto"/>
                      <w:kern w:val="0"/>
                      <w:szCs w:val="21"/>
                      <w:lang w:val="en-US" w:eastAsia="zh-CN"/>
                    </w:rPr>
                  </w:pPr>
                  <w:r>
                    <w:rPr>
                      <w:rFonts w:hint="eastAsia"/>
                      <w:color w:val="auto"/>
                      <w:kern w:val="0"/>
                      <w:szCs w:val="21"/>
                      <w:lang w:val="en-US" w:eastAsia="zh-CN"/>
                    </w:rPr>
                    <w:t>环境风险防控</w:t>
                  </w:r>
                </w:p>
              </w:tc>
              <w:tc>
                <w:tcPr>
                  <w:tcW w:w="2453" w:type="pct"/>
                  <w:vAlign w:val="center"/>
                </w:tcPr>
                <w:p w14:paraId="5C3445FF">
                  <w:pPr>
                    <w:keepNext w:val="0"/>
                    <w:keepLines w:val="0"/>
                    <w:pageBreakBefore w:val="0"/>
                    <w:widowControl/>
                    <w:kinsoku/>
                    <w:overflowPunct/>
                    <w:topLinePunct w:val="0"/>
                    <w:bidi w:val="0"/>
                    <w:jc w:val="left"/>
                    <w:rPr>
                      <w:color w:val="auto"/>
                      <w:szCs w:val="21"/>
                    </w:rPr>
                  </w:pPr>
                  <w:r>
                    <w:rPr>
                      <w:rFonts w:hint="eastAsia"/>
                      <w:color w:val="auto"/>
                      <w:szCs w:val="21"/>
                    </w:rPr>
                    <w:t>1.化学品生产企业以及工业集聚区、矿山开采区、尾矿库、危险废物处置场、垃圾填埋场等的运营、管理单位，应当采取防渗漏等措施，并建设地下水水质监测井进行监测，防止地下水污染。2.指导地下水污染防治重点排污单位优先开展地下水污染渗漏排查，针对存在问题的设施，采取污染防渗改造措施。3.重点单位在隐患排查、监测等活动中发现工矿用地土壤和地下水存在污染迹象的，应当排查污染源，查明污染原因，采取措施防止新增污染，并参照污染地块土壤环境管理有关规定及时开展土壤和地下水环境调查与风险评估，根据调查与风险评估结果采取风险管控或者治理与修复等措施。</w:t>
                  </w:r>
                </w:p>
              </w:tc>
              <w:tc>
                <w:tcPr>
                  <w:tcW w:w="1343" w:type="pct"/>
                  <w:vMerge w:val="continue"/>
                  <w:vAlign w:val="center"/>
                </w:tcPr>
                <w:p w14:paraId="57C8D397">
                  <w:pPr>
                    <w:keepNext w:val="0"/>
                    <w:keepLines w:val="0"/>
                    <w:pageBreakBefore w:val="0"/>
                    <w:kinsoku/>
                    <w:overflowPunct/>
                    <w:topLinePunct w:val="0"/>
                    <w:bidi w:val="0"/>
                    <w:jc w:val="center"/>
                    <w:rPr>
                      <w:rFonts w:hint="eastAsia" w:eastAsia="宋体"/>
                      <w:color w:val="auto"/>
                      <w:lang w:val="en-US" w:eastAsia="zh-CN"/>
                    </w:rPr>
                  </w:pPr>
                </w:p>
              </w:tc>
            </w:tr>
            <w:tr w14:paraId="7312E54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50" w:hRule="atLeast"/>
              </w:trPr>
              <w:tc>
                <w:tcPr>
                  <w:tcW w:w="644" w:type="pct"/>
                  <w:vMerge w:val="continue"/>
                  <w:vAlign w:val="center"/>
                </w:tcPr>
                <w:p w14:paraId="19499C35">
                  <w:pPr>
                    <w:keepNext w:val="0"/>
                    <w:keepLines w:val="0"/>
                    <w:pageBreakBefore w:val="0"/>
                    <w:kinsoku/>
                    <w:overflowPunct/>
                    <w:topLinePunct w:val="0"/>
                    <w:bidi w:val="0"/>
                    <w:jc w:val="center"/>
                    <w:rPr>
                      <w:rFonts w:hint="eastAsia"/>
                      <w:color w:val="auto"/>
                      <w:szCs w:val="21"/>
                    </w:rPr>
                  </w:pPr>
                </w:p>
              </w:tc>
              <w:tc>
                <w:tcPr>
                  <w:tcW w:w="559" w:type="pct"/>
                  <w:tcBorders>
                    <w:left w:val="single" w:color="auto" w:sz="4" w:space="0"/>
                  </w:tcBorders>
                  <w:vAlign w:val="center"/>
                </w:tcPr>
                <w:p w14:paraId="6B0B8963">
                  <w:pPr>
                    <w:keepNext w:val="0"/>
                    <w:keepLines w:val="0"/>
                    <w:pageBreakBefore w:val="0"/>
                    <w:widowControl/>
                    <w:kinsoku/>
                    <w:overflowPunct/>
                    <w:topLinePunct w:val="0"/>
                    <w:bidi w:val="0"/>
                    <w:jc w:val="center"/>
                    <w:rPr>
                      <w:rFonts w:hint="default"/>
                      <w:color w:val="auto"/>
                      <w:kern w:val="0"/>
                      <w:szCs w:val="21"/>
                      <w:lang w:val="en-US" w:eastAsia="zh-CN"/>
                    </w:rPr>
                  </w:pPr>
                  <w:r>
                    <w:rPr>
                      <w:rFonts w:hint="eastAsia"/>
                      <w:color w:val="auto"/>
                      <w:kern w:val="0"/>
                      <w:szCs w:val="21"/>
                      <w:lang w:val="en-US" w:eastAsia="zh-CN"/>
                    </w:rPr>
                    <w:t>污染物排放管控</w:t>
                  </w:r>
                </w:p>
              </w:tc>
              <w:tc>
                <w:tcPr>
                  <w:tcW w:w="2453" w:type="pct"/>
                  <w:vAlign w:val="center"/>
                </w:tcPr>
                <w:p w14:paraId="0C0C9B2D">
                  <w:pPr>
                    <w:keepNext w:val="0"/>
                    <w:keepLines w:val="0"/>
                    <w:pageBreakBefore w:val="0"/>
                    <w:widowControl/>
                    <w:kinsoku/>
                    <w:overflowPunct/>
                    <w:topLinePunct w:val="0"/>
                    <w:bidi w:val="0"/>
                    <w:jc w:val="left"/>
                    <w:rPr>
                      <w:color w:val="auto"/>
                      <w:szCs w:val="21"/>
                    </w:rPr>
                  </w:pPr>
                  <w:r>
                    <w:rPr>
                      <w:rFonts w:hint="eastAsia"/>
                      <w:color w:val="auto"/>
                      <w:szCs w:val="21"/>
                    </w:rPr>
                    <w:t>新建、扩建“两高”项目应采用先进适用的工艺技术和装备，单位产品物耗、能耗、水耗等达到清洁生产先进水平，依法制定并严格落实防治地下水污染的措施。</w:t>
                  </w:r>
                </w:p>
              </w:tc>
              <w:tc>
                <w:tcPr>
                  <w:tcW w:w="1343" w:type="pct"/>
                  <w:vMerge w:val="continue"/>
                  <w:vAlign w:val="center"/>
                </w:tcPr>
                <w:p w14:paraId="0C367786">
                  <w:pPr>
                    <w:keepNext w:val="0"/>
                    <w:keepLines w:val="0"/>
                    <w:pageBreakBefore w:val="0"/>
                    <w:kinsoku/>
                    <w:overflowPunct/>
                    <w:topLinePunct w:val="0"/>
                    <w:bidi w:val="0"/>
                    <w:jc w:val="center"/>
                    <w:rPr>
                      <w:rFonts w:hint="eastAsia" w:eastAsia="宋体"/>
                      <w:color w:val="auto"/>
                      <w:lang w:val="en-US" w:eastAsia="zh-CN"/>
                    </w:rPr>
                  </w:pPr>
                </w:p>
              </w:tc>
            </w:tr>
            <w:tr w14:paraId="6BF9118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50" w:hRule="atLeast"/>
              </w:trPr>
              <w:tc>
                <w:tcPr>
                  <w:tcW w:w="644" w:type="pct"/>
                  <w:vAlign w:val="center"/>
                </w:tcPr>
                <w:p w14:paraId="13EDEE25">
                  <w:pPr>
                    <w:keepNext w:val="0"/>
                    <w:keepLines w:val="0"/>
                    <w:pageBreakBefore w:val="0"/>
                    <w:kinsoku/>
                    <w:overflowPunct/>
                    <w:topLinePunct w:val="0"/>
                    <w:bidi w:val="0"/>
                    <w:jc w:val="center"/>
                    <w:rPr>
                      <w:rFonts w:hint="eastAsia"/>
                      <w:color w:val="auto"/>
                      <w:szCs w:val="21"/>
                    </w:rPr>
                  </w:pPr>
                  <w:r>
                    <w:rPr>
                      <w:color w:val="auto"/>
                      <w:szCs w:val="21"/>
                    </w:rPr>
                    <w:t>环境管控</w:t>
                  </w:r>
                  <w:r>
                    <w:rPr>
                      <w:rFonts w:hint="eastAsia"/>
                      <w:color w:val="auto"/>
                      <w:szCs w:val="21"/>
                      <w:lang w:val="en-US" w:eastAsia="zh-CN"/>
                    </w:rPr>
                    <w:t>区</w:t>
                  </w:r>
                  <w:r>
                    <w:rPr>
                      <w:color w:val="auto"/>
                      <w:szCs w:val="21"/>
                    </w:rPr>
                    <w:t>名称</w:t>
                  </w:r>
                </w:p>
              </w:tc>
              <w:tc>
                <w:tcPr>
                  <w:tcW w:w="3012" w:type="pct"/>
                  <w:gridSpan w:val="2"/>
                  <w:tcBorders>
                    <w:left w:val="single" w:color="auto" w:sz="4" w:space="0"/>
                  </w:tcBorders>
                  <w:vAlign w:val="center"/>
                </w:tcPr>
                <w:p w14:paraId="44494263">
                  <w:pPr>
                    <w:keepNext w:val="0"/>
                    <w:keepLines w:val="0"/>
                    <w:pageBreakBefore w:val="0"/>
                    <w:widowControl/>
                    <w:kinsoku/>
                    <w:overflowPunct/>
                    <w:topLinePunct w:val="0"/>
                    <w:bidi w:val="0"/>
                    <w:jc w:val="center"/>
                    <w:rPr>
                      <w:color w:val="auto"/>
                      <w:szCs w:val="21"/>
                    </w:rPr>
                  </w:pPr>
                  <w:r>
                    <w:rPr>
                      <w:rFonts w:hint="default" w:eastAsia="宋体"/>
                      <w:color w:val="auto"/>
                      <w:kern w:val="0"/>
                      <w:szCs w:val="21"/>
                      <w:lang w:val="en-US" w:eastAsia="zh-CN"/>
                    </w:rPr>
                    <w:t>YS2303056310001</w:t>
                  </w:r>
                </w:p>
              </w:tc>
              <w:tc>
                <w:tcPr>
                  <w:tcW w:w="1343" w:type="pct"/>
                  <w:vMerge w:val="restart"/>
                  <w:vAlign w:val="center"/>
                </w:tcPr>
                <w:p w14:paraId="27FF8DE0">
                  <w:pPr>
                    <w:keepNext w:val="0"/>
                    <w:keepLines w:val="0"/>
                    <w:pageBreakBefore w:val="0"/>
                    <w:kinsoku/>
                    <w:overflowPunct/>
                    <w:topLinePunct w:val="0"/>
                    <w:bidi w:val="0"/>
                    <w:jc w:val="center"/>
                    <w:rPr>
                      <w:rFonts w:hint="eastAsia" w:eastAsia="宋体"/>
                      <w:color w:val="auto"/>
                      <w:lang w:val="en-US" w:eastAsia="zh-CN"/>
                    </w:rPr>
                  </w:pPr>
                  <w:r>
                    <w:rPr>
                      <w:rFonts w:hint="eastAsia"/>
                      <w:color w:val="auto"/>
                      <w:szCs w:val="21"/>
                    </w:rPr>
                    <w:t>本项目</w:t>
                  </w:r>
                </w:p>
              </w:tc>
            </w:tr>
            <w:tr w14:paraId="30BCE1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50" w:hRule="atLeast"/>
              </w:trPr>
              <w:tc>
                <w:tcPr>
                  <w:tcW w:w="644" w:type="pct"/>
                  <w:vAlign w:val="center"/>
                </w:tcPr>
                <w:p w14:paraId="429C9C55">
                  <w:pPr>
                    <w:keepNext w:val="0"/>
                    <w:keepLines w:val="0"/>
                    <w:pageBreakBefore w:val="0"/>
                    <w:kinsoku/>
                    <w:overflowPunct/>
                    <w:topLinePunct w:val="0"/>
                    <w:bidi w:val="0"/>
                    <w:jc w:val="center"/>
                    <w:rPr>
                      <w:rFonts w:hint="eastAsia"/>
                      <w:color w:val="auto"/>
                      <w:szCs w:val="21"/>
                    </w:rPr>
                  </w:pPr>
                  <w:r>
                    <w:rPr>
                      <w:color w:val="auto"/>
                      <w:szCs w:val="21"/>
                    </w:rPr>
                    <w:t>环境管控</w:t>
                  </w:r>
                  <w:r>
                    <w:rPr>
                      <w:rFonts w:hint="eastAsia"/>
                      <w:color w:val="auto"/>
                      <w:szCs w:val="21"/>
                      <w:lang w:val="en-US" w:eastAsia="zh-CN"/>
                    </w:rPr>
                    <w:t>区</w:t>
                  </w:r>
                  <w:r>
                    <w:rPr>
                      <w:color w:val="auto"/>
                      <w:szCs w:val="21"/>
                    </w:rPr>
                    <w:t>编码</w:t>
                  </w:r>
                </w:p>
              </w:tc>
              <w:tc>
                <w:tcPr>
                  <w:tcW w:w="3012" w:type="pct"/>
                  <w:gridSpan w:val="2"/>
                  <w:tcBorders>
                    <w:left w:val="single" w:color="auto" w:sz="4" w:space="0"/>
                  </w:tcBorders>
                  <w:vAlign w:val="center"/>
                </w:tcPr>
                <w:p w14:paraId="7FC5E4E8">
                  <w:pPr>
                    <w:keepNext w:val="0"/>
                    <w:keepLines w:val="0"/>
                    <w:pageBreakBefore w:val="0"/>
                    <w:kinsoku/>
                    <w:overflowPunct/>
                    <w:topLinePunct w:val="0"/>
                    <w:bidi w:val="0"/>
                    <w:jc w:val="center"/>
                    <w:rPr>
                      <w:color w:val="auto"/>
                      <w:szCs w:val="21"/>
                    </w:rPr>
                  </w:pPr>
                  <w:r>
                    <w:rPr>
                      <w:rFonts w:hint="eastAsia"/>
                      <w:color w:val="auto"/>
                      <w:kern w:val="0"/>
                      <w:szCs w:val="21"/>
                    </w:rPr>
                    <w:t>梨树区地下水环境一般管控区</w:t>
                  </w:r>
                </w:p>
              </w:tc>
              <w:tc>
                <w:tcPr>
                  <w:tcW w:w="1343" w:type="pct"/>
                  <w:vMerge w:val="continue"/>
                  <w:vAlign w:val="center"/>
                </w:tcPr>
                <w:p w14:paraId="3C6A0380">
                  <w:pPr>
                    <w:keepNext w:val="0"/>
                    <w:keepLines w:val="0"/>
                    <w:pageBreakBefore w:val="0"/>
                    <w:kinsoku/>
                    <w:overflowPunct/>
                    <w:topLinePunct w:val="0"/>
                    <w:bidi w:val="0"/>
                    <w:jc w:val="center"/>
                    <w:rPr>
                      <w:rFonts w:hint="eastAsia" w:eastAsia="宋体"/>
                      <w:color w:val="auto"/>
                      <w:lang w:val="en-US" w:eastAsia="zh-CN"/>
                    </w:rPr>
                  </w:pPr>
                </w:p>
              </w:tc>
            </w:tr>
            <w:tr w14:paraId="16977A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50" w:hRule="atLeast"/>
              </w:trPr>
              <w:tc>
                <w:tcPr>
                  <w:tcW w:w="644" w:type="pct"/>
                  <w:vAlign w:val="center"/>
                </w:tcPr>
                <w:p w14:paraId="6175E8FA">
                  <w:pPr>
                    <w:keepNext w:val="0"/>
                    <w:keepLines w:val="0"/>
                    <w:pageBreakBefore w:val="0"/>
                    <w:kinsoku/>
                    <w:overflowPunct/>
                    <w:topLinePunct w:val="0"/>
                    <w:bidi w:val="0"/>
                    <w:jc w:val="center"/>
                    <w:rPr>
                      <w:rFonts w:hint="eastAsia"/>
                      <w:color w:val="auto"/>
                      <w:szCs w:val="21"/>
                    </w:rPr>
                  </w:pPr>
                  <w:r>
                    <w:rPr>
                      <w:color w:val="auto"/>
                      <w:szCs w:val="21"/>
                    </w:rPr>
                    <w:t>管控</w:t>
                  </w:r>
                  <w:r>
                    <w:rPr>
                      <w:rFonts w:hint="eastAsia"/>
                      <w:color w:val="auto"/>
                      <w:szCs w:val="21"/>
                      <w:lang w:val="en-US" w:eastAsia="zh-CN"/>
                    </w:rPr>
                    <w:t>区</w:t>
                  </w:r>
                  <w:r>
                    <w:rPr>
                      <w:color w:val="auto"/>
                      <w:szCs w:val="21"/>
                    </w:rPr>
                    <w:t>类</w:t>
                  </w:r>
                  <w:r>
                    <w:rPr>
                      <w:rFonts w:hint="eastAsia"/>
                      <w:color w:val="auto"/>
                      <w:szCs w:val="21"/>
                      <w:lang w:val="en-US" w:eastAsia="zh-CN"/>
                    </w:rPr>
                    <w:t>型</w:t>
                  </w:r>
                </w:p>
              </w:tc>
              <w:tc>
                <w:tcPr>
                  <w:tcW w:w="3012" w:type="pct"/>
                  <w:gridSpan w:val="2"/>
                  <w:tcBorders>
                    <w:left w:val="single" w:color="auto" w:sz="4" w:space="0"/>
                  </w:tcBorders>
                  <w:vAlign w:val="center"/>
                </w:tcPr>
                <w:p w14:paraId="2CDB0E41">
                  <w:pPr>
                    <w:keepNext w:val="0"/>
                    <w:keepLines w:val="0"/>
                    <w:pageBreakBefore w:val="0"/>
                    <w:kinsoku/>
                    <w:overflowPunct/>
                    <w:topLinePunct w:val="0"/>
                    <w:bidi w:val="0"/>
                    <w:jc w:val="center"/>
                    <w:rPr>
                      <w:color w:val="auto"/>
                      <w:szCs w:val="21"/>
                    </w:rPr>
                  </w:pPr>
                  <w:r>
                    <w:rPr>
                      <w:rFonts w:hint="eastAsia"/>
                      <w:color w:val="auto"/>
                      <w:kern w:val="0"/>
                      <w:szCs w:val="21"/>
                      <w:lang w:val="en-US" w:eastAsia="zh-CN"/>
                    </w:rPr>
                    <w:t>一般管控区</w:t>
                  </w:r>
                </w:p>
              </w:tc>
              <w:tc>
                <w:tcPr>
                  <w:tcW w:w="1343" w:type="pct"/>
                  <w:vMerge w:val="continue"/>
                  <w:vAlign w:val="center"/>
                </w:tcPr>
                <w:p w14:paraId="4ED22255">
                  <w:pPr>
                    <w:keepNext w:val="0"/>
                    <w:keepLines w:val="0"/>
                    <w:pageBreakBefore w:val="0"/>
                    <w:kinsoku/>
                    <w:overflowPunct/>
                    <w:topLinePunct w:val="0"/>
                    <w:bidi w:val="0"/>
                    <w:jc w:val="center"/>
                    <w:rPr>
                      <w:rFonts w:hint="eastAsia" w:eastAsia="宋体"/>
                      <w:color w:val="auto"/>
                      <w:lang w:val="en-US" w:eastAsia="zh-CN"/>
                    </w:rPr>
                  </w:pPr>
                </w:p>
              </w:tc>
            </w:tr>
            <w:tr w14:paraId="732339C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50" w:hRule="atLeast"/>
              </w:trPr>
              <w:tc>
                <w:tcPr>
                  <w:tcW w:w="644" w:type="pct"/>
                  <w:vAlign w:val="center"/>
                </w:tcPr>
                <w:p w14:paraId="19D7C7BC">
                  <w:pPr>
                    <w:keepNext w:val="0"/>
                    <w:keepLines w:val="0"/>
                    <w:pageBreakBefore w:val="0"/>
                    <w:kinsoku/>
                    <w:overflowPunct/>
                    <w:topLinePunct w:val="0"/>
                    <w:bidi w:val="0"/>
                    <w:jc w:val="center"/>
                    <w:rPr>
                      <w:rFonts w:hint="eastAsia"/>
                      <w:color w:val="auto"/>
                      <w:szCs w:val="21"/>
                    </w:rPr>
                  </w:pPr>
                  <w:r>
                    <w:rPr>
                      <w:rFonts w:hint="eastAsia"/>
                      <w:color w:val="auto"/>
                      <w:szCs w:val="21"/>
                    </w:rPr>
                    <w:t>管控要求</w:t>
                  </w:r>
                </w:p>
              </w:tc>
              <w:tc>
                <w:tcPr>
                  <w:tcW w:w="559" w:type="pct"/>
                  <w:tcBorders>
                    <w:left w:val="single" w:color="auto" w:sz="4" w:space="0"/>
                  </w:tcBorders>
                  <w:vAlign w:val="center"/>
                </w:tcPr>
                <w:p w14:paraId="1189D32E">
                  <w:pPr>
                    <w:keepNext w:val="0"/>
                    <w:keepLines w:val="0"/>
                    <w:pageBreakBefore w:val="0"/>
                    <w:widowControl/>
                    <w:kinsoku/>
                    <w:overflowPunct/>
                    <w:topLinePunct w:val="0"/>
                    <w:bidi w:val="0"/>
                    <w:jc w:val="center"/>
                    <w:rPr>
                      <w:rFonts w:hint="default"/>
                      <w:color w:val="auto"/>
                      <w:kern w:val="0"/>
                      <w:szCs w:val="21"/>
                      <w:lang w:val="en-US" w:eastAsia="zh-CN"/>
                    </w:rPr>
                  </w:pPr>
                  <w:r>
                    <w:rPr>
                      <w:rFonts w:hint="eastAsia"/>
                      <w:color w:val="auto"/>
                      <w:kern w:val="0"/>
                      <w:szCs w:val="21"/>
                      <w:lang w:val="en-US" w:eastAsia="zh-CN"/>
                    </w:rPr>
                    <w:t>环境风险管控</w:t>
                  </w:r>
                </w:p>
              </w:tc>
              <w:tc>
                <w:tcPr>
                  <w:tcW w:w="2453" w:type="pct"/>
                  <w:vAlign w:val="center"/>
                </w:tcPr>
                <w:p w14:paraId="4E8AD880">
                  <w:pPr>
                    <w:keepNext w:val="0"/>
                    <w:keepLines w:val="0"/>
                    <w:pageBreakBefore w:val="0"/>
                    <w:widowControl/>
                    <w:kinsoku/>
                    <w:overflowPunct/>
                    <w:topLinePunct w:val="0"/>
                    <w:bidi w:val="0"/>
                    <w:jc w:val="left"/>
                    <w:rPr>
                      <w:color w:val="auto"/>
                      <w:szCs w:val="21"/>
                    </w:rPr>
                  </w:pPr>
                  <w:r>
                    <w:rPr>
                      <w:rFonts w:hint="eastAsia"/>
                      <w:color w:val="auto"/>
                      <w:szCs w:val="21"/>
                    </w:rPr>
                    <w:t>1.土壤污染重点监管单位应当履行下列义务:(一)严格控制有毒有害物质排放，并按年度向生态环境主管部门报告排放情况;(二)建立土壤污染隐患排查制度，保证持续有效防止有毒有害物质渗漏、流失、扬散;(三)制定、实施自行监测方案，并将监测数据报生态环境主管部门。2.重点单位新、改、扩建项目地下储罐储存有毒有害物质的，应当在项目投入生产或者使用之前，将地下储罐的信息报所在地设区的市级生态环境主管部门备案。3.重点单位应当建立土壤和地下水污染隐患排查治理制度，定期对重点区域、重点设施开展隐患排查。发现污染隐患的，应当制定整改方案，及时采取技术、管理措施消除隐患。隐患排查、治理情况应当如实记录并建立档案。重点区域包括涉及有毒有害物质的生产区，原材料及固体废物的堆存区、储放区和转运区等;重点设施包括涉及有毒有害物质的地下储罐、地下管线，以及污染治理设施等。4.化学品生产企业以及工业集聚区、矿山开采区、尾矿库、危险废物处置场、垃圾填埋场等的运营、管理单位，应当采取防渗漏等措施，并建设地下水水质监测井进行监测，防止地下水污染。5.重点单位通过新、改、扩建项目的土壤和地下水环境现状调查，发现项目用地污染物含量超过国家或者地方有关建设用地土壤污染风险管控标准的，土地使用权人或者污染责任人应当参照污染地块土壤环境管理有关规定开展详细调查、风险评估、风险管控、治理与修复等活动。</w:t>
                  </w:r>
                </w:p>
              </w:tc>
              <w:tc>
                <w:tcPr>
                  <w:tcW w:w="1343" w:type="pct"/>
                  <w:vAlign w:val="center"/>
                </w:tcPr>
                <w:p w14:paraId="1D80D92A">
                  <w:pPr>
                    <w:keepNext w:val="0"/>
                    <w:keepLines w:val="0"/>
                    <w:pageBreakBefore w:val="0"/>
                    <w:kinsoku/>
                    <w:overflowPunct/>
                    <w:topLinePunct w:val="0"/>
                    <w:bidi w:val="0"/>
                    <w:jc w:val="center"/>
                    <w:rPr>
                      <w:rFonts w:hint="eastAsia" w:eastAsia="宋体"/>
                      <w:color w:val="auto"/>
                      <w:lang w:val="en-US" w:eastAsia="zh-CN"/>
                    </w:rPr>
                  </w:pPr>
                  <w:r>
                    <w:rPr>
                      <w:rFonts w:hint="eastAsia"/>
                      <w:color w:val="auto"/>
                      <w:lang w:val="en-US" w:eastAsia="zh-CN"/>
                    </w:rPr>
                    <w:t>本项目不产生有毒有害物质，不使用有毒有害物质；本项目为锅炉改造项目，不属于</w:t>
                  </w:r>
                  <w:r>
                    <w:rPr>
                      <w:rFonts w:hint="eastAsia"/>
                      <w:color w:val="auto"/>
                      <w:szCs w:val="21"/>
                    </w:rPr>
                    <w:t>化学品生产企业以及工业集聚区、矿山开采区、尾矿库、危险废物处置场、垃圾填埋场</w:t>
                  </w:r>
                  <w:r>
                    <w:rPr>
                      <w:rFonts w:hint="eastAsia"/>
                      <w:color w:val="auto"/>
                      <w:szCs w:val="21"/>
                      <w:lang w:eastAsia="zh-CN"/>
                    </w:rPr>
                    <w:t>。</w:t>
                  </w:r>
                </w:p>
              </w:tc>
            </w:tr>
          </w:tbl>
          <w:p w14:paraId="4747EC15">
            <w:pPr>
              <w:keepNext w:val="0"/>
              <w:keepLines w:val="0"/>
              <w:pageBreakBefore w:val="0"/>
              <w:kinsoku/>
              <w:overflowPunct/>
              <w:topLinePunct w:val="0"/>
              <w:autoSpaceDE w:val="0"/>
              <w:autoSpaceDN w:val="0"/>
              <w:bidi w:val="0"/>
              <w:spacing w:line="360" w:lineRule="auto"/>
              <w:ind w:firstLine="480" w:firstLineChars="200"/>
              <w:rPr>
                <w:color w:val="auto"/>
                <w:sz w:val="24"/>
              </w:rPr>
            </w:pPr>
            <w:r>
              <w:rPr>
                <w:color w:val="auto"/>
                <w:sz w:val="24"/>
              </w:rPr>
              <w:t>综上所述，本项目符合</w:t>
            </w:r>
            <w:r>
              <w:rPr>
                <w:rFonts w:hint="eastAsia" w:ascii="Times New Roman" w:hAnsi="Times New Roman" w:eastAsia="宋体" w:cs="Times New Roman"/>
                <w:color w:val="auto"/>
                <w:sz w:val="24"/>
                <w:szCs w:val="32"/>
                <w:lang w:eastAsia="zh-CN"/>
              </w:rPr>
              <w:t>《</w:t>
            </w:r>
            <w:r>
              <w:rPr>
                <w:rFonts w:hint="eastAsia" w:ascii="Times New Roman" w:hAnsi="Times New Roman" w:eastAsia="宋体" w:cs="Times New Roman"/>
                <w:color w:val="auto"/>
                <w:spacing w:val="4"/>
                <w:sz w:val="24"/>
                <w:lang w:val="en-US" w:eastAsia="zh-CN"/>
              </w:rPr>
              <w:t>鸡西市海盛新能源材料有限公司锅炉改造项目</w:t>
            </w:r>
            <w:r>
              <w:rPr>
                <w:rFonts w:hint="eastAsia" w:ascii="Times New Roman" w:hAnsi="Times New Roman" w:eastAsia="宋体" w:cs="Times New Roman"/>
                <w:color w:val="auto"/>
                <w:sz w:val="24"/>
                <w:szCs w:val="32"/>
                <w:lang w:val="en-US" w:eastAsia="zh-CN"/>
              </w:rPr>
              <w:t>生态环境分区管控分析报告</w:t>
            </w:r>
            <w:r>
              <w:rPr>
                <w:rFonts w:hint="eastAsia" w:ascii="Times New Roman" w:hAnsi="Times New Roman" w:eastAsia="宋体" w:cs="Times New Roman"/>
                <w:color w:val="auto"/>
                <w:sz w:val="24"/>
                <w:szCs w:val="32"/>
                <w:lang w:eastAsia="zh-CN"/>
              </w:rPr>
              <w:t>》</w:t>
            </w:r>
            <w:r>
              <w:rPr>
                <w:color w:val="auto"/>
                <w:sz w:val="24"/>
              </w:rPr>
              <w:t>的相关要求。</w:t>
            </w:r>
          </w:p>
          <w:p w14:paraId="7ADD338C">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eastAsia"/>
                <w:color w:val="auto"/>
                <w:sz w:val="24"/>
              </w:rPr>
              <w:t>3</w:t>
            </w:r>
            <w:r>
              <w:rPr>
                <w:color w:val="auto"/>
                <w:sz w:val="24"/>
              </w:rPr>
              <w:t>、</w:t>
            </w:r>
            <w:r>
              <w:rPr>
                <w:rFonts w:hint="eastAsia" w:ascii="Times New Roman" w:hAnsi="Times New Roman" w:eastAsia="宋体" w:cs="Times New Roman"/>
                <w:color w:val="auto"/>
                <w:kern w:val="0"/>
                <w:sz w:val="24"/>
                <w:szCs w:val="24"/>
                <w:highlight w:val="none"/>
                <w:lang w:val="en-US" w:eastAsia="zh-CN" w:bidi="ar-SA"/>
              </w:rPr>
              <w:t>与《黑龙江省空气质量持续改善行动计划实施方案》的符合性分析</w:t>
            </w:r>
          </w:p>
          <w:p w14:paraId="484E6CC7">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（1）</w:t>
            </w:r>
            <w:r>
              <w:rPr>
                <w:rFonts w:hint="eastAsia" w:ascii="Times New Roman" w:hAnsi="Times New Roman" w:eastAsia="宋体" w:cs="Times New Roman"/>
                <w:color w:val="auto"/>
                <w:kern w:val="0"/>
                <w:sz w:val="24"/>
                <w:szCs w:val="24"/>
                <w:highlight w:val="none"/>
                <w:lang w:val="en-US" w:eastAsia="zh-CN" w:bidi="ar-SA"/>
              </w:rPr>
              <w:t>持续推进产业结构调整</w:t>
            </w:r>
          </w:p>
          <w:p w14:paraId="7D7E8DB0">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ascii="宋体" w:hAnsi="宋体" w:eastAsia="宋体" w:cs="宋体"/>
                <w:color w:val="auto"/>
                <w:sz w:val="24"/>
                <w:szCs w:val="24"/>
              </w:rPr>
            </w:pPr>
            <w:r>
              <w:rPr>
                <w:rFonts w:ascii="宋体" w:hAnsi="宋体" w:eastAsia="宋体" w:cs="宋体"/>
                <w:color w:val="auto"/>
                <w:sz w:val="24"/>
                <w:szCs w:val="24"/>
              </w:rPr>
              <w:t>加快重点行业落后产能淘汰退出。严格执行《产业结构调整指导目录》要求，加大退出淘汰类产能、工艺、装备，提高限制类产能、工艺、装备淘汰改造引导力度。</w:t>
            </w:r>
          </w:p>
          <w:p w14:paraId="36039438">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ascii="宋体" w:hAnsi="宋体" w:eastAsia="宋体" w:cs="宋体"/>
                <w:color w:val="auto"/>
                <w:sz w:val="24"/>
                <w:szCs w:val="24"/>
                <w:lang w:val="en-US" w:eastAsia="zh-CN"/>
              </w:rPr>
            </w:pPr>
            <w:r>
              <w:rPr>
                <w:rFonts w:hint="eastAsia" w:cs="Times New Roman"/>
                <w:color w:val="auto"/>
                <w:kern w:val="0"/>
                <w:sz w:val="24"/>
                <w:szCs w:val="24"/>
                <w:highlight w:val="none"/>
                <w:lang w:val="en-US" w:eastAsia="zh-CN" w:bidi="ar-SA"/>
              </w:rPr>
              <w:t>（2）持续优化改善能源结构</w:t>
            </w:r>
          </w:p>
          <w:p w14:paraId="7DC63A43">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严格控制煤炭消费总量。全省原则上不再新增自备燃煤机组，按要求支持自备燃煤机组实施清洁能源替代。对支撑电力稳定供应、电网安全运行、清洁能源大规模并网消纳的煤电项目及其用煤量应予以合理保障。到2025年，全省煤炭消费比重下降到60%左右。</w:t>
            </w:r>
          </w:p>
          <w:p w14:paraId="37769BC0">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kern w:val="0"/>
                <w:sz w:val="24"/>
                <w:szCs w:val="24"/>
                <w:highlight w:val="none"/>
                <w:lang w:val="en-US" w:eastAsia="zh-CN" w:bidi="ar-SA"/>
              </w:rPr>
            </w:pPr>
            <w:r>
              <w:rPr>
                <w:rFonts w:hint="eastAsia"/>
                <w:color w:val="auto"/>
                <w:sz w:val="24"/>
                <w:szCs w:val="32"/>
              </w:rPr>
              <w:t>本项目为锅炉改建项</w:t>
            </w:r>
            <w:r>
              <w:rPr>
                <w:rFonts w:hint="eastAsia" w:ascii="Times New Roman" w:hAnsi="Times New Roman" w:eastAsia="宋体" w:cs="Times New Roman"/>
                <w:color w:val="auto"/>
                <w:sz w:val="24"/>
                <w:szCs w:val="32"/>
              </w:rPr>
              <w:t>目，对照《产业结构调整指导目录</w:t>
            </w:r>
            <w:r>
              <w:rPr>
                <w:rFonts w:hint="eastAsia" w:ascii="Times New Roman" w:hAnsi="Times New Roman" w:eastAsia="宋体" w:cs="Times New Roman"/>
                <w:color w:val="auto"/>
                <w:sz w:val="24"/>
                <w:szCs w:val="32"/>
                <w:lang w:eastAsia="zh-CN"/>
              </w:rPr>
              <w:t>（</w:t>
            </w:r>
            <w:r>
              <w:rPr>
                <w:rFonts w:hint="eastAsia" w:ascii="Times New Roman" w:hAnsi="Times New Roman" w:eastAsia="宋体" w:cs="Times New Roman"/>
                <w:color w:val="auto"/>
                <w:sz w:val="24"/>
                <w:szCs w:val="32"/>
              </w:rPr>
              <w:t>20</w:t>
            </w:r>
            <w:r>
              <w:rPr>
                <w:rFonts w:hint="eastAsia" w:ascii="Times New Roman" w:hAnsi="Times New Roman" w:eastAsia="宋体" w:cs="Times New Roman"/>
                <w:color w:val="auto"/>
                <w:sz w:val="24"/>
                <w:szCs w:val="32"/>
                <w:lang w:val="en-US" w:eastAsia="zh-CN"/>
              </w:rPr>
              <w:t>24</w:t>
            </w:r>
            <w:r>
              <w:rPr>
                <w:rFonts w:hint="eastAsia" w:ascii="Times New Roman" w:hAnsi="Times New Roman" w:eastAsia="宋体" w:cs="Times New Roman"/>
                <w:color w:val="auto"/>
                <w:sz w:val="24"/>
                <w:szCs w:val="32"/>
              </w:rPr>
              <w:t>年本</w:t>
            </w:r>
            <w:r>
              <w:rPr>
                <w:rFonts w:hint="eastAsia" w:ascii="Times New Roman" w:hAnsi="Times New Roman" w:eastAsia="宋体" w:cs="Times New Roman"/>
                <w:color w:val="auto"/>
                <w:sz w:val="24"/>
                <w:szCs w:val="32"/>
                <w:lang w:eastAsia="zh-CN"/>
              </w:rPr>
              <w:t>）</w:t>
            </w:r>
            <w:r>
              <w:rPr>
                <w:rFonts w:hint="eastAsia" w:ascii="Times New Roman" w:hAnsi="Times New Roman" w:eastAsia="宋体" w:cs="Times New Roman"/>
                <w:color w:val="auto"/>
                <w:sz w:val="24"/>
                <w:szCs w:val="32"/>
              </w:rPr>
              <w:t>》，项目不属于其中“鼓励类”、“限制类”和“淘汰类”</w:t>
            </w:r>
            <w:r>
              <w:rPr>
                <w:rFonts w:hint="eastAsia" w:ascii="Times New Roman" w:hAnsi="Times New Roman" w:eastAsia="宋体" w:cs="Times New Roman"/>
                <w:color w:val="auto"/>
                <w:sz w:val="24"/>
                <w:szCs w:val="32"/>
                <w:lang w:eastAsia="zh-CN"/>
              </w:rPr>
              <w:t>，</w:t>
            </w:r>
            <w:r>
              <w:rPr>
                <w:rFonts w:hint="eastAsia" w:ascii="Times New Roman" w:hAnsi="Times New Roman" w:eastAsia="宋体" w:cs="Times New Roman"/>
                <w:color w:val="auto"/>
                <w:sz w:val="24"/>
                <w:szCs w:val="32"/>
              </w:rPr>
              <w:t>《产业结构调整指导目录</w:t>
            </w:r>
            <w:r>
              <w:rPr>
                <w:rFonts w:hint="eastAsia" w:ascii="Times New Roman" w:hAnsi="Times New Roman" w:eastAsia="宋体" w:cs="Times New Roman"/>
                <w:color w:val="auto"/>
                <w:sz w:val="24"/>
                <w:szCs w:val="32"/>
                <w:lang w:eastAsia="zh-CN"/>
              </w:rPr>
              <w:t>（</w:t>
            </w:r>
            <w:r>
              <w:rPr>
                <w:rFonts w:hint="eastAsia" w:ascii="Times New Roman" w:hAnsi="Times New Roman" w:eastAsia="宋体" w:cs="Times New Roman"/>
                <w:color w:val="auto"/>
                <w:sz w:val="24"/>
                <w:szCs w:val="32"/>
              </w:rPr>
              <w:t>20</w:t>
            </w:r>
            <w:r>
              <w:rPr>
                <w:rFonts w:hint="eastAsia" w:ascii="Times New Roman" w:hAnsi="Times New Roman" w:eastAsia="宋体" w:cs="Times New Roman"/>
                <w:color w:val="auto"/>
                <w:sz w:val="24"/>
                <w:szCs w:val="32"/>
                <w:lang w:val="en-US" w:eastAsia="zh-CN"/>
              </w:rPr>
              <w:t>24</w:t>
            </w:r>
            <w:r>
              <w:rPr>
                <w:rFonts w:hint="eastAsia" w:ascii="Times New Roman" w:hAnsi="Times New Roman" w:eastAsia="宋体" w:cs="Times New Roman"/>
                <w:color w:val="auto"/>
                <w:sz w:val="24"/>
                <w:szCs w:val="32"/>
              </w:rPr>
              <w:t>年本</w:t>
            </w:r>
            <w:r>
              <w:rPr>
                <w:rFonts w:hint="eastAsia" w:ascii="Times New Roman" w:hAnsi="Times New Roman" w:eastAsia="宋体" w:cs="Times New Roman"/>
                <w:color w:val="auto"/>
                <w:sz w:val="24"/>
                <w:szCs w:val="32"/>
                <w:lang w:eastAsia="zh-CN"/>
              </w:rPr>
              <w:t>）</w:t>
            </w:r>
            <w:r>
              <w:rPr>
                <w:rFonts w:hint="eastAsia" w:ascii="Times New Roman" w:hAnsi="Times New Roman" w:eastAsia="宋体" w:cs="Times New Roman"/>
                <w:color w:val="auto"/>
                <w:sz w:val="24"/>
                <w:szCs w:val="32"/>
              </w:rPr>
              <w:t>》</w:t>
            </w:r>
            <w:r>
              <w:rPr>
                <w:rFonts w:hint="eastAsia" w:ascii="Times New Roman" w:hAnsi="Times New Roman" w:eastAsia="宋体" w:cs="Times New Roman"/>
                <w:color w:val="auto"/>
                <w:sz w:val="24"/>
                <w:szCs w:val="32"/>
                <w:lang w:val="en-US" w:eastAsia="zh-CN"/>
              </w:rPr>
              <w:t>指出</w:t>
            </w:r>
            <w:r>
              <w:rPr>
                <w:rFonts w:hint="eastAsia" w:ascii="Times New Roman" w:hAnsi="Times New Roman" w:eastAsia="宋体" w:cs="Times New Roman"/>
                <w:color w:val="auto"/>
                <w:sz w:val="24"/>
                <w:szCs w:val="32"/>
              </w:rPr>
              <w:t>鼓励类、限制类和淘汰类之外的，且符合国家有关法律、法规和政策规定的属于允许类。</w:t>
            </w:r>
            <w:r>
              <w:rPr>
                <w:rFonts w:hint="eastAsia" w:ascii="Times New Roman" w:hAnsi="Times New Roman" w:eastAsia="宋体" w:cs="Times New Roman"/>
                <w:color w:val="auto"/>
                <w:sz w:val="24"/>
                <w:szCs w:val="32"/>
                <w:lang w:val="en-US" w:eastAsia="zh-CN"/>
              </w:rPr>
              <w:t>因此，</w:t>
            </w:r>
            <w:r>
              <w:rPr>
                <w:rFonts w:hint="default" w:ascii="Times New Roman" w:hAnsi="Times New Roman" w:eastAsia="宋体" w:cs="Times New Roman"/>
                <w:color w:val="auto"/>
                <w:sz w:val="24"/>
                <w:szCs w:val="32"/>
              </w:rPr>
              <w:t>本项目的建设符合国家产业政策要求。</w:t>
            </w:r>
            <w:r>
              <w:rPr>
                <w:rFonts w:hint="eastAsia" w:cs="Times New Roman"/>
                <w:color w:val="auto"/>
                <w:kern w:val="0"/>
                <w:sz w:val="24"/>
                <w:szCs w:val="24"/>
                <w:highlight w:val="none"/>
                <w:lang w:val="en-US" w:eastAsia="zh-CN" w:bidi="ar-SA"/>
              </w:rPr>
              <w:t>本项目</w:t>
            </w:r>
            <w:r>
              <w:rPr>
                <w:rFonts w:hint="eastAsia"/>
                <w:color w:val="auto"/>
                <w:spacing w:val="4"/>
                <w:sz w:val="24"/>
                <w:lang w:val="en-US" w:eastAsia="zh-CN"/>
              </w:rPr>
              <w:t>燃生物质</w:t>
            </w:r>
            <w:r>
              <w:rPr>
                <w:rFonts w:hint="eastAsia"/>
                <w:color w:val="auto"/>
                <w:spacing w:val="4"/>
                <w:sz w:val="24"/>
              </w:rPr>
              <w:t>导热油炉</w:t>
            </w:r>
            <w:r>
              <w:rPr>
                <w:rFonts w:hint="eastAsia" w:cs="Times New Roman"/>
                <w:color w:val="auto"/>
                <w:kern w:val="0"/>
                <w:sz w:val="24"/>
                <w:szCs w:val="24"/>
                <w:highlight w:val="none"/>
                <w:lang w:val="en-US" w:eastAsia="zh-CN" w:bidi="ar-SA"/>
              </w:rPr>
              <w:t>废气采用</w:t>
            </w:r>
            <w:r>
              <w:rPr>
                <w:rFonts w:hint="eastAsia" w:ascii="Times New Roman" w:hAnsi="Times New Roman" w:eastAsia="宋体" w:cs="Times New Roman"/>
                <w:color w:val="auto"/>
                <w:kern w:val="0"/>
                <w:sz w:val="24"/>
                <w:szCs w:val="24"/>
                <w:highlight w:val="none"/>
                <w:lang w:val="en-US" w:eastAsia="zh-CN" w:bidi="ar-SA"/>
              </w:rPr>
              <w:t>旋风除尘+布</w:t>
            </w:r>
            <w:r>
              <w:rPr>
                <w:rFonts w:hint="eastAsia" w:cs="Times New Roman"/>
                <w:color w:val="auto"/>
                <w:kern w:val="0"/>
                <w:sz w:val="24"/>
                <w:szCs w:val="24"/>
                <w:highlight w:val="none"/>
                <w:lang w:val="en-US" w:eastAsia="zh-CN" w:bidi="ar-SA"/>
              </w:rPr>
              <w:t>袋除尘器处理，处理后废气经30m高排气筒（DA001）排放。</w:t>
            </w:r>
            <w:r>
              <w:rPr>
                <w:rFonts w:hint="default"/>
                <w:color w:val="auto"/>
                <w:sz w:val="24"/>
                <w:lang w:val="en-US" w:eastAsia="zh-CN"/>
              </w:rPr>
              <w:t>颗粒物、SO</w:t>
            </w:r>
            <w:r>
              <w:rPr>
                <w:rFonts w:hint="default"/>
                <w:color w:val="auto"/>
                <w:sz w:val="24"/>
                <w:vertAlign w:val="subscript"/>
                <w:lang w:val="en-US" w:eastAsia="zh-CN"/>
              </w:rPr>
              <w:t>2</w:t>
            </w:r>
            <w:r>
              <w:rPr>
                <w:rFonts w:hint="eastAsia"/>
                <w:color w:val="auto"/>
                <w:sz w:val="24"/>
                <w:lang w:val="en-US" w:eastAsia="zh-CN"/>
              </w:rPr>
              <w:t>、</w:t>
            </w:r>
            <w:r>
              <w:rPr>
                <w:rFonts w:hint="default"/>
                <w:color w:val="auto"/>
                <w:sz w:val="24"/>
                <w:lang w:val="en-US" w:eastAsia="zh-CN"/>
              </w:rPr>
              <w:t>NOx排放</w:t>
            </w:r>
            <w:r>
              <w:rPr>
                <w:rFonts w:hint="eastAsia"/>
                <w:color w:val="auto"/>
                <w:sz w:val="24"/>
                <w:lang w:val="en-US" w:eastAsia="zh-CN"/>
              </w:rPr>
              <w:t>浓度</w:t>
            </w:r>
            <w:r>
              <w:rPr>
                <w:rFonts w:hint="default"/>
                <w:color w:val="auto"/>
                <w:sz w:val="24"/>
                <w:lang w:val="en-US" w:eastAsia="zh-CN"/>
              </w:rPr>
              <w:t>均满足</w:t>
            </w:r>
            <w:r>
              <w:rPr>
                <w:rFonts w:hint="eastAsia"/>
                <w:color w:val="auto"/>
                <w:sz w:val="24"/>
                <w:lang w:val="en-US" w:eastAsia="zh-CN"/>
              </w:rPr>
              <w:t>《锅炉大气污染物排放标准》（GB13271-2014）表2中燃煤锅炉大气污染物标准限值要求</w:t>
            </w:r>
            <w:r>
              <w:rPr>
                <w:rFonts w:hint="default"/>
                <w:color w:val="auto"/>
                <w:sz w:val="24"/>
                <w:lang w:val="en-US" w:eastAsia="zh-CN"/>
              </w:rPr>
              <w:t>。</w:t>
            </w:r>
            <w:r>
              <w:rPr>
                <w:rFonts w:hint="eastAsia" w:ascii="Times New Roman" w:hAnsi="Times New Roman" w:eastAsia="宋体" w:cs="Times New Roman"/>
                <w:color w:val="auto"/>
                <w:kern w:val="0"/>
                <w:sz w:val="24"/>
                <w:szCs w:val="24"/>
                <w:highlight w:val="none"/>
                <w:lang w:val="en-US" w:eastAsia="zh-CN" w:bidi="ar-SA"/>
              </w:rPr>
              <w:t>因此，本项目符合《黑龙江省空气质量持续改善行动计划实施方案》相关要求。</w:t>
            </w:r>
          </w:p>
          <w:p w14:paraId="3013B8AB">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default"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4、与《鸡西市空气质量持续改善行动计划贯彻落实方案》的符合性分析</w:t>
            </w:r>
          </w:p>
          <w:p w14:paraId="2B2CA903">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（1）持续推进产业结构调整</w:t>
            </w:r>
          </w:p>
          <w:p w14:paraId="188F1F99">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加快退出重点行业落后产能。严格执行《产业结构调整指导目录》要求，加快退出淘汰类产能、工艺、装备，提高限制类产能、工艺、装备淘汰改造引导力度。</w:t>
            </w:r>
          </w:p>
          <w:p w14:paraId="63FB9F38">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（2）持续优化改善能源结构</w:t>
            </w:r>
          </w:p>
          <w:p w14:paraId="6652A5F6">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rFonts w:hint="eastAsia"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严格合理控制煤炭消费总量。全市原则上不再新增自备燃煤机组，按要求支持自备燃煤机组实施清洁能源替代。合理保障支撑电力稳定供应、电网安全运行、清洁能源大规模并网消纳的煤电项目及其用煤量。鼓励锅炉生产制造企业优化锅炉设计，应用新材料、新技术、新工艺，通过优化参数和燃料结构、采用新型热力循环等方式，从源头提高锅炉绿色低碳水平。到</w:t>
            </w:r>
            <w:r>
              <w:rPr>
                <w:rFonts w:hint="default" w:cs="Times New Roman"/>
                <w:color w:val="auto"/>
                <w:kern w:val="0"/>
                <w:sz w:val="24"/>
                <w:szCs w:val="24"/>
                <w:highlight w:val="none"/>
                <w:lang w:val="en-US" w:eastAsia="zh-CN" w:bidi="ar-SA"/>
              </w:rPr>
              <w:t>2025</w:t>
            </w:r>
            <w:r>
              <w:rPr>
                <w:rFonts w:hint="eastAsia" w:cs="Times New Roman"/>
                <w:color w:val="auto"/>
                <w:kern w:val="0"/>
                <w:sz w:val="24"/>
                <w:szCs w:val="24"/>
                <w:highlight w:val="none"/>
                <w:lang w:val="en-US" w:eastAsia="zh-CN" w:bidi="ar-SA"/>
              </w:rPr>
              <w:t>年，全市煤炭消费比重在</w:t>
            </w:r>
            <w:r>
              <w:rPr>
                <w:rFonts w:hint="default" w:cs="Times New Roman"/>
                <w:color w:val="auto"/>
                <w:kern w:val="0"/>
                <w:sz w:val="24"/>
                <w:szCs w:val="24"/>
                <w:highlight w:val="none"/>
                <w:lang w:val="en-US" w:eastAsia="zh-CN" w:bidi="ar-SA"/>
              </w:rPr>
              <w:t>2020</w:t>
            </w:r>
            <w:r>
              <w:rPr>
                <w:rFonts w:hint="eastAsia" w:cs="Times New Roman"/>
                <w:color w:val="auto"/>
                <w:kern w:val="0"/>
                <w:sz w:val="24"/>
                <w:szCs w:val="24"/>
                <w:highlight w:val="none"/>
                <w:lang w:val="en-US" w:eastAsia="zh-CN" w:bidi="ar-SA"/>
              </w:rPr>
              <w:t>年基础上下降</w:t>
            </w:r>
            <w:r>
              <w:rPr>
                <w:rFonts w:hint="default" w:cs="Times New Roman"/>
                <w:color w:val="auto"/>
                <w:kern w:val="0"/>
                <w:sz w:val="24"/>
                <w:szCs w:val="24"/>
                <w:highlight w:val="none"/>
                <w:lang w:val="en-US" w:eastAsia="zh-CN" w:bidi="ar-SA"/>
              </w:rPr>
              <w:t>4%</w:t>
            </w:r>
            <w:r>
              <w:rPr>
                <w:rFonts w:hint="eastAsia" w:cs="Times New Roman"/>
                <w:color w:val="auto"/>
                <w:kern w:val="0"/>
                <w:sz w:val="24"/>
                <w:szCs w:val="24"/>
                <w:highlight w:val="none"/>
                <w:lang w:val="en-US" w:eastAsia="zh-CN" w:bidi="ar-SA"/>
              </w:rPr>
              <w:t>左右。</w:t>
            </w:r>
          </w:p>
          <w:p w14:paraId="2DDD4D92">
            <w:pPr>
              <w:keepLines w:val="0"/>
              <w:pageBreakBefore w:val="0"/>
              <w:widowControl/>
              <w:shd w:val="clear"/>
              <w:topLinePunct w:val="0"/>
              <w:autoSpaceDE w:val="0"/>
              <w:bidi w:val="0"/>
              <w:spacing w:beforeAutospacing="0" w:afterAutospacing="0" w:line="360" w:lineRule="auto"/>
              <w:ind w:left="0" w:leftChars="0" w:right="0" w:rightChars="0" w:firstLine="480" w:firstLineChars="200"/>
              <w:jc w:val="both"/>
              <w:rPr>
                <w:color w:val="auto"/>
                <w:kern w:val="0"/>
                <w:sz w:val="24"/>
              </w:rPr>
            </w:pPr>
            <w:r>
              <w:rPr>
                <w:rFonts w:hint="eastAsia"/>
                <w:color w:val="auto"/>
                <w:sz w:val="24"/>
                <w:szCs w:val="32"/>
              </w:rPr>
              <w:t>本项目为锅炉改建项</w:t>
            </w:r>
            <w:r>
              <w:rPr>
                <w:rFonts w:hint="eastAsia" w:ascii="Times New Roman" w:hAnsi="Times New Roman" w:eastAsia="宋体" w:cs="Times New Roman"/>
                <w:color w:val="auto"/>
                <w:sz w:val="24"/>
                <w:szCs w:val="32"/>
              </w:rPr>
              <w:t>目，对照《产业结构调整指导目录</w:t>
            </w:r>
            <w:r>
              <w:rPr>
                <w:rFonts w:hint="eastAsia" w:ascii="Times New Roman" w:hAnsi="Times New Roman" w:eastAsia="宋体" w:cs="Times New Roman"/>
                <w:color w:val="auto"/>
                <w:sz w:val="24"/>
                <w:szCs w:val="32"/>
                <w:lang w:eastAsia="zh-CN"/>
              </w:rPr>
              <w:t>（</w:t>
            </w:r>
            <w:r>
              <w:rPr>
                <w:rFonts w:hint="eastAsia" w:ascii="Times New Roman" w:hAnsi="Times New Roman" w:eastAsia="宋体" w:cs="Times New Roman"/>
                <w:color w:val="auto"/>
                <w:sz w:val="24"/>
                <w:szCs w:val="32"/>
              </w:rPr>
              <w:t>20</w:t>
            </w:r>
            <w:r>
              <w:rPr>
                <w:rFonts w:hint="eastAsia" w:ascii="Times New Roman" w:hAnsi="Times New Roman" w:eastAsia="宋体" w:cs="Times New Roman"/>
                <w:color w:val="auto"/>
                <w:sz w:val="24"/>
                <w:szCs w:val="32"/>
                <w:lang w:val="en-US" w:eastAsia="zh-CN"/>
              </w:rPr>
              <w:t>24</w:t>
            </w:r>
            <w:r>
              <w:rPr>
                <w:rFonts w:hint="eastAsia" w:ascii="Times New Roman" w:hAnsi="Times New Roman" w:eastAsia="宋体" w:cs="Times New Roman"/>
                <w:color w:val="auto"/>
                <w:sz w:val="24"/>
                <w:szCs w:val="32"/>
              </w:rPr>
              <w:t>年本</w:t>
            </w:r>
            <w:r>
              <w:rPr>
                <w:rFonts w:hint="eastAsia" w:ascii="Times New Roman" w:hAnsi="Times New Roman" w:eastAsia="宋体" w:cs="Times New Roman"/>
                <w:color w:val="auto"/>
                <w:sz w:val="24"/>
                <w:szCs w:val="32"/>
                <w:lang w:eastAsia="zh-CN"/>
              </w:rPr>
              <w:t>）</w:t>
            </w:r>
            <w:r>
              <w:rPr>
                <w:rFonts w:hint="eastAsia" w:ascii="Times New Roman" w:hAnsi="Times New Roman" w:eastAsia="宋体" w:cs="Times New Roman"/>
                <w:color w:val="auto"/>
                <w:sz w:val="24"/>
                <w:szCs w:val="32"/>
              </w:rPr>
              <w:t>》，项目不属于其中“鼓励类”、“限制类”和“淘汰类”</w:t>
            </w:r>
            <w:r>
              <w:rPr>
                <w:rFonts w:hint="eastAsia" w:ascii="Times New Roman" w:hAnsi="Times New Roman" w:eastAsia="宋体" w:cs="Times New Roman"/>
                <w:color w:val="auto"/>
                <w:sz w:val="24"/>
                <w:szCs w:val="32"/>
                <w:lang w:eastAsia="zh-CN"/>
              </w:rPr>
              <w:t>，</w:t>
            </w:r>
            <w:r>
              <w:rPr>
                <w:rFonts w:hint="eastAsia" w:ascii="Times New Roman" w:hAnsi="Times New Roman" w:eastAsia="宋体" w:cs="Times New Roman"/>
                <w:color w:val="auto"/>
                <w:sz w:val="24"/>
                <w:szCs w:val="32"/>
              </w:rPr>
              <w:t>《产业结构调整指导目录</w:t>
            </w:r>
            <w:r>
              <w:rPr>
                <w:rFonts w:hint="eastAsia" w:ascii="Times New Roman" w:hAnsi="Times New Roman" w:eastAsia="宋体" w:cs="Times New Roman"/>
                <w:color w:val="auto"/>
                <w:sz w:val="24"/>
                <w:szCs w:val="32"/>
                <w:lang w:eastAsia="zh-CN"/>
              </w:rPr>
              <w:t>（</w:t>
            </w:r>
            <w:r>
              <w:rPr>
                <w:rFonts w:hint="eastAsia" w:ascii="Times New Roman" w:hAnsi="Times New Roman" w:eastAsia="宋体" w:cs="Times New Roman"/>
                <w:color w:val="auto"/>
                <w:sz w:val="24"/>
                <w:szCs w:val="32"/>
              </w:rPr>
              <w:t>20</w:t>
            </w:r>
            <w:r>
              <w:rPr>
                <w:rFonts w:hint="eastAsia" w:ascii="Times New Roman" w:hAnsi="Times New Roman" w:eastAsia="宋体" w:cs="Times New Roman"/>
                <w:color w:val="auto"/>
                <w:sz w:val="24"/>
                <w:szCs w:val="32"/>
                <w:lang w:val="en-US" w:eastAsia="zh-CN"/>
              </w:rPr>
              <w:t>24</w:t>
            </w:r>
            <w:r>
              <w:rPr>
                <w:rFonts w:hint="eastAsia" w:ascii="Times New Roman" w:hAnsi="Times New Roman" w:eastAsia="宋体" w:cs="Times New Roman"/>
                <w:color w:val="auto"/>
                <w:sz w:val="24"/>
                <w:szCs w:val="32"/>
              </w:rPr>
              <w:t>年本</w:t>
            </w:r>
            <w:r>
              <w:rPr>
                <w:rFonts w:hint="eastAsia" w:ascii="Times New Roman" w:hAnsi="Times New Roman" w:eastAsia="宋体" w:cs="Times New Roman"/>
                <w:color w:val="auto"/>
                <w:sz w:val="24"/>
                <w:szCs w:val="32"/>
                <w:lang w:eastAsia="zh-CN"/>
              </w:rPr>
              <w:t>）</w:t>
            </w:r>
            <w:r>
              <w:rPr>
                <w:rFonts w:hint="eastAsia" w:ascii="Times New Roman" w:hAnsi="Times New Roman" w:eastAsia="宋体" w:cs="Times New Roman"/>
                <w:color w:val="auto"/>
                <w:sz w:val="24"/>
                <w:szCs w:val="32"/>
              </w:rPr>
              <w:t>》</w:t>
            </w:r>
            <w:r>
              <w:rPr>
                <w:rFonts w:hint="eastAsia" w:ascii="Times New Roman" w:hAnsi="Times New Roman" w:eastAsia="宋体" w:cs="Times New Roman"/>
                <w:color w:val="auto"/>
                <w:sz w:val="24"/>
                <w:szCs w:val="32"/>
                <w:lang w:val="en-US" w:eastAsia="zh-CN"/>
              </w:rPr>
              <w:t>指出</w:t>
            </w:r>
            <w:r>
              <w:rPr>
                <w:rFonts w:hint="eastAsia" w:ascii="Times New Roman" w:hAnsi="Times New Roman" w:eastAsia="宋体" w:cs="Times New Roman"/>
                <w:color w:val="auto"/>
                <w:sz w:val="24"/>
                <w:szCs w:val="32"/>
              </w:rPr>
              <w:t>鼓励类、限制类和淘汰类之外的，且符合国家有关法律、法规和政策规定的属于允许类。</w:t>
            </w:r>
            <w:r>
              <w:rPr>
                <w:rFonts w:hint="eastAsia" w:ascii="Times New Roman" w:hAnsi="Times New Roman" w:eastAsia="宋体" w:cs="Times New Roman"/>
                <w:color w:val="auto"/>
                <w:sz w:val="24"/>
                <w:szCs w:val="32"/>
                <w:lang w:val="en-US" w:eastAsia="zh-CN"/>
              </w:rPr>
              <w:t>因此，</w:t>
            </w:r>
            <w:r>
              <w:rPr>
                <w:rFonts w:hint="default" w:ascii="Times New Roman" w:hAnsi="Times New Roman" w:eastAsia="宋体" w:cs="Times New Roman"/>
                <w:color w:val="auto"/>
                <w:sz w:val="24"/>
                <w:szCs w:val="32"/>
              </w:rPr>
              <w:t>本项目的建设符合国家产业政策要求。</w:t>
            </w:r>
            <w:r>
              <w:rPr>
                <w:rFonts w:hint="eastAsia" w:cs="Times New Roman"/>
                <w:color w:val="auto"/>
                <w:kern w:val="0"/>
                <w:sz w:val="24"/>
                <w:szCs w:val="24"/>
                <w:highlight w:val="none"/>
                <w:lang w:val="en-US" w:eastAsia="zh-CN" w:bidi="ar-SA"/>
              </w:rPr>
              <w:t>本项目</w:t>
            </w:r>
            <w:r>
              <w:rPr>
                <w:rFonts w:hint="eastAsia"/>
                <w:color w:val="auto"/>
                <w:spacing w:val="4"/>
                <w:sz w:val="24"/>
                <w:lang w:val="en-US" w:eastAsia="zh-CN"/>
              </w:rPr>
              <w:t>燃生物质</w:t>
            </w:r>
            <w:r>
              <w:rPr>
                <w:rFonts w:hint="eastAsia"/>
                <w:color w:val="auto"/>
                <w:spacing w:val="4"/>
                <w:sz w:val="24"/>
              </w:rPr>
              <w:t>导热油炉</w:t>
            </w:r>
            <w:r>
              <w:rPr>
                <w:rFonts w:hint="eastAsia" w:cs="Times New Roman"/>
                <w:color w:val="auto"/>
                <w:kern w:val="0"/>
                <w:sz w:val="24"/>
                <w:szCs w:val="24"/>
                <w:highlight w:val="none"/>
                <w:lang w:val="en-US" w:eastAsia="zh-CN" w:bidi="ar-SA"/>
              </w:rPr>
              <w:t>废气采用</w:t>
            </w:r>
            <w:r>
              <w:rPr>
                <w:rFonts w:hint="eastAsia" w:ascii="Times New Roman" w:hAnsi="Times New Roman" w:eastAsia="宋体" w:cs="Times New Roman"/>
                <w:color w:val="auto"/>
                <w:kern w:val="0"/>
                <w:sz w:val="24"/>
                <w:szCs w:val="24"/>
                <w:highlight w:val="none"/>
                <w:lang w:val="en-US" w:eastAsia="zh-CN" w:bidi="ar-SA"/>
              </w:rPr>
              <w:t>旋风除尘+</w:t>
            </w:r>
            <w:r>
              <w:rPr>
                <w:rFonts w:hint="eastAsia" w:cs="Times New Roman"/>
                <w:color w:val="auto"/>
                <w:kern w:val="0"/>
                <w:sz w:val="24"/>
                <w:szCs w:val="24"/>
                <w:highlight w:val="none"/>
                <w:lang w:val="en-US" w:eastAsia="zh-CN" w:bidi="ar-SA"/>
              </w:rPr>
              <w:t>布袋除尘器处理，处理后废气经30m高排气筒（DA001）排放。</w:t>
            </w:r>
            <w:r>
              <w:rPr>
                <w:rFonts w:hint="default"/>
                <w:color w:val="auto"/>
                <w:sz w:val="24"/>
                <w:lang w:val="en-US" w:eastAsia="zh-CN"/>
              </w:rPr>
              <w:t>颗粒物、SO</w:t>
            </w:r>
            <w:r>
              <w:rPr>
                <w:rFonts w:hint="default"/>
                <w:color w:val="auto"/>
                <w:sz w:val="24"/>
                <w:vertAlign w:val="subscript"/>
                <w:lang w:val="en-US" w:eastAsia="zh-CN"/>
              </w:rPr>
              <w:t>2</w:t>
            </w:r>
            <w:r>
              <w:rPr>
                <w:rFonts w:hint="eastAsia"/>
                <w:color w:val="auto"/>
                <w:sz w:val="24"/>
                <w:lang w:val="en-US" w:eastAsia="zh-CN"/>
              </w:rPr>
              <w:t>、</w:t>
            </w:r>
            <w:r>
              <w:rPr>
                <w:rFonts w:hint="default"/>
                <w:color w:val="auto"/>
                <w:sz w:val="24"/>
                <w:lang w:val="en-US" w:eastAsia="zh-CN"/>
              </w:rPr>
              <w:t>NOx排放</w:t>
            </w:r>
            <w:r>
              <w:rPr>
                <w:rFonts w:hint="eastAsia"/>
                <w:color w:val="auto"/>
                <w:sz w:val="24"/>
                <w:lang w:val="en-US" w:eastAsia="zh-CN"/>
              </w:rPr>
              <w:t>浓度</w:t>
            </w:r>
            <w:r>
              <w:rPr>
                <w:rFonts w:hint="default"/>
                <w:color w:val="auto"/>
                <w:sz w:val="24"/>
                <w:lang w:val="en-US" w:eastAsia="zh-CN"/>
              </w:rPr>
              <w:t>均满足</w:t>
            </w:r>
            <w:r>
              <w:rPr>
                <w:rFonts w:hint="eastAsia"/>
                <w:color w:val="auto"/>
                <w:sz w:val="24"/>
                <w:lang w:val="en-US" w:eastAsia="zh-CN"/>
              </w:rPr>
              <w:t>《锅炉大气污染物排放标准》（GB13271-2014）表2中燃煤锅炉大气污染物标准限值要求</w:t>
            </w:r>
            <w:r>
              <w:rPr>
                <w:rFonts w:hint="default"/>
                <w:color w:val="auto"/>
                <w:sz w:val="24"/>
                <w:lang w:val="en-US" w:eastAsia="zh-CN"/>
              </w:rPr>
              <w:t>。</w:t>
            </w:r>
            <w:r>
              <w:rPr>
                <w:rFonts w:hint="eastAsia" w:cs="Times New Roman"/>
                <w:color w:val="auto"/>
                <w:kern w:val="0"/>
                <w:sz w:val="24"/>
                <w:szCs w:val="24"/>
                <w:highlight w:val="none"/>
                <w:lang w:val="en-US" w:eastAsia="zh-CN" w:bidi="ar-SA"/>
              </w:rPr>
              <w:t>因此，本项目符合《鸡西市空气质量持续改善行动计划贯彻落实方案》相关要求。</w:t>
            </w:r>
          </w:p>
          <w:p w14:paraId="1796B7A3">
            <w:pPr>
              <w:keepNext w:val="0"/>
              <w:keepLines w:val="0"/>
              <w:pageBreakBefore w:val="0"/>
              <w:kinsoku/>
              <w:overflowPunct/>
              <w:topLinePunct w:val="0"/>
              <w:bidi w:val="0"/>
              <w:adjustRightInd w:val="0"/>
              <w:snapToGrid w:val="0"/>
              <w:spacing w:line="360" w:lineRule="auto"/>
              <w:ind w:firstLine="480" w:firstLineChars="200"/>
              <w:rPr>
                <w:rFonts w:hint="default"/>
                <w:color w:val="auto"/>
                <w:sz w:val="24"/>
                <w:lang w:val="en-US" w:eastAsia="zh-CN"/>
              </w:rPr>
            </w:pPr>
            <w:r>
              <w:rPr>
                <w:rFonts w:hint="eastAsia"/>
                <w:color w:val="auto"/>
                <w:sz w:val="24"/>
                <w:lang w:val="en-US" w:eastAsia="zh-CN"/>
              </w:rPr>
              <w:t>5、与《环境空气细颗粒物污染综合防治技术政策》的符合性分析</w:t>
            </w:r>
          </w:p>
          <w:p w14:paraId="14BB79E9">
            <w:pPr>
              <w:keepNext w:val="0"/>
              <w:keepLines w:val="0"/>
              <w:pageBreakBefore w:val="0"/>
              <w:kinsoku/>
              <w:overflowPunct/>
              <w:topLinePunct w:val="0"/>
              <w:bidi w:val="0"/>
              <w:adjustRightInd w:val="0"/>
              <w:snapToGrid w:val="0"/>
              <w:spacing w:line="360" w:lineRule="auto"/>
              <w:ind w:firstLine="480" w:firstLineChars="200"/>
              <w:rPr>
                <w:rFonts w:hint="eastAsia"/>
                <w:color w:val="auto"/>
                <w:sz w:val="24"/>
                <w:lang w:val="en-US" w:eastAsia="zh-CN"/>
              </w:rPr>
            </w:pPr>
            <w:r>
              <w:rPr>
                <w:rFonts w:hint="eastAsia"/>
                <w:color w:val="auto"/>
                <w:sz w:val="24"/>
                <w:lang w:val="en-US" w:eastAsia="zh-CN"/>
              </w:rPr>
              <w:t>对于排放细颗粒物的工业污染源，应按照生产工艺、排放方式和烟（废）气组成的特点，选取适用的污染防治技术。工业污染源有组织排放的颗粒物，宜采取袋除尘、电除尘、电袋除尘等高效除尘技术，鼓励火电机组和大型燃煤锅炉采用湿式电除尘等新技术。</w:t>
            </w:r>
          </w:p>
          <w:p w14:paraId="2B1F36DD">
            <w:pPr>
              <w:keepNext w:val="0"/>
              <w:keepLines w:val="0"/>
              <w:pageBreakBefore w:val="0"/>
              <w:kinsoku/>
              <w:overflowPunct/>
              <w:topLinePunct w:val="0"/>
              <w:bidi w:val="0"/>
              <w:adjustRightInd w:val="0"/>
              <w:snapToGrid w:val="0"/>
              <w:spacing w:line="360" w:lineRule="auto"/>
              <w:ind w:firstLine="480" w:firstLineChars="200"/>
              <w:rPr>
                <w:rFonts w:hint="eastAsia"/>
                <w:color w:val="auto"/>
                <w:sz w:val="24"/>
                <w:lang w:val="en-US" w:eastAsia="zh-CN"/>
              </w:rPr>
            </w:pPr>
            <w:r>
              <w:rPr>
                <w:rFonts w:hint="eastAsia" w:cs="Times New Roman"/>
                <w:color w:val="auto"/>
                <w:kern w:val="0"/>
                <w:sz w:val="24"/>
                <w:szCs w:val="24"/>
                <w:highlight w:val="none"/>
                <w:lang w:val="en-US" w:eastAsia="zh-CN" w:bidi="ar-SA"/>
              </w:rPr>
              <w:t>本项目</w:t>
            </w:r>
            <w:r>
              <w:rPr>
                <w:rFonts w:hint="eastAsia"/>
                <w:color w:val="auto"/>
                <w:spacing w:val="4"/>
                <w:sz w:val="24"/>
                <w:lang w:val="en-US" w:eastAsia="zh-CN"/>
              </w:rPr>
              <w:t>燃生物质</w:t>
            </w:r>
            <w:r>
              <w:rPr>
                <w:rFonts w:hint="eastAsia"/>
                <w:color w:val="auto"/>
                <w:spacing w:val="4"/>
                <w:sz w:val="24"/>
              </w:rPr>
              <w:t>导热油炉</w:t>
            </w:r>
            <w:r>
              <w:rPr>
                <w:rFonts w:hint="eastAsia" w:cs="Times New Roman"/>
                <w:color w:val="auto"/>
                <w:kern w:val="0"/>
                <w:sz w:val="24"/>
                <w:szCs w:val="24"/>
                <w:highlight w:val="none"/>
                <w:lang w:val="en-US" w:eastAsia="zh-CN" w:bidi="ar-SA"/>
              </w:rPr>
              <w:t>废气采用</w:t>
            </w:r>
            <w:r>
              <w:rPr>
                <w:rFonts w:hint="eastAsia" w:ascii="Times New Roman" w:hAnsi="Times New Roman" w:eastAsia="宋体" w:cs="Times New Roman"/>
                <w:color w:val="auto"/>
                <w:kern w:val="0"/>
                <w:sz w:val="24"/>
                <w:szCs w:val="24"/>
                <w:highlight w:val="none"/>
                <w:lang w:val="en-US" w:eastAsia="zh-CN" w:bidi="ar-SA"/>
              </w:rPr>
              <w:t>旋风除尘+</w:t>
            </w:r>
            <w:r>
              <w:rPr>
                <w:rFonts w:hint="eastAsia" w:cs="Times New Roman"/>
                <w:color w:val="auto"/>
                <w:kern w:val="0"/>
                <w:sz w:val="24"/>
                <w:szCs w:val="24"/>
                <w:highlight w:val="none"/>
                <w:lang w:val="en-US" w:eastAsia="zh-CN" w:bidi="ar-SA"/>
              </w:rPr>
              <w:t>布袋除尘器处理，处理后废气经30m高排气筒（DA001）排放。</w:t>
            </w:r>
            <w:r>
              <w:rPr>
                <w:rFonts w:hint="default"/>
                <w:color w:val="auto"/>
                <w:sz w:val="24"/>
                <w:lang w:val="en-US" w:eastAsia="zh-CN"/>
              </w:rPr>
              <w:t>颗粒物、SO</w:t>
            </w:r>
            <w:r>
              <w:rPr>
                <w:rFonts w:hint="default"/>
                <w:color w:val="auto"/>
                <w:sz w:val="24"/>
                <w:vertAlign w:val="subscript"/>
                <w:lang w:val="en-US" w:eastAsia="zh-CN"/>
              </w:rPr>
              <w:t>2</w:t>
            </w:r>
            <w:r>
              <w:rPr>
                <w:rFonts w:hint="eastAsia"/>
                <w:color w:val="auto"/>
                <w:sz w:val="24"/>
                <w:lang w:val="en-US" w:eastAsia="zh-CN"/>
              </w:rPr>
              <w:t>、</w:t>
            </w:r>
            <w:r>
              <w:rPr>
                <w:rFonts w:hint="default"/>
                <w:color w:val="auto"/>
                <w:sz w:val="24"/>
                <w:lang w:val="en-US" w:eastAsia="zh-CN"/>
              </w:rPr>
              <w:t>NOx排放</w:t>
            </w:r>
            <w:r>
              <w:rPr>
                <w:rFonts w:hint="eastAsia"/>
                <w:color w:val="auto"/>
                <w:sz w:val="24"/>
                <w:lang w:val="en-US" w:eastAsia="zh-CN"/>
              </w:rPr>
              <w:t>浓度</w:t>
            </w:r>
            <w:r>
              <w:rPr>
                <w:rFonts w:hint="default"/>
                <w:color w:val="auto"/>
                <w:sz w:val="24"/>
                <w:lang w:val="en-US" w:eastAsia="zh-CN"/>
              </w:rPr>
              <w:t>均满足</w:t>
            </w:r>
            <w:r>
              <w:rPr>
                <w:rFonts w:hint="eastAsia"/>
                <w:color w:val="auto"/>
                <w:sz w:val="24"/>
                <w:lang w:val="en-US" w:eastAsia="zh-CN"/>
              </w:rPr>
              <w:t>《锅炉大气污染物排放标准》（GB13271-2014）表2中燃煤锅炉大气污染物标准限值要求</w:t>
            </w:r>
            <w:r>
              <w:rPr>
                <w:rFonts w:hint="default"/>
                <w:color w:val="auto"/>
                <w:sz w:val="24"/>
                <w:lang w:val="en-US" w:eastAsia="zh-CN"/>
              </w:rPr>
              <w:t>。</w:t>
            </w:r>
            <w:r>
              <w:rPr>
                <w:rFonts w:hint="eastAsia" w:cs="Times New Roman"/>
                <w:color w:val="auto"/>
                <w:kern w:val="0"/>
                <w:sz w:val="24"/>
                <w:szCs w:val="24"/>
                <w:highlight w:val="none"/>
                <w:lang w:val="en-US" w:eastAsia="zh-CN" w:bidi="ar-SA"/>
              </w:rPr>
              <w:t>因此，本项目符合</w:t>
            </w:r>
            <w:r>
              <w:rPr>
                <w:rFonts w:hint="eastAsia"/>
                <w:color w:val="auto"/>
                <w:sz w:val="24"/>
                <w:lang w:val="en-US" w:eastAsia="zh-CN"/>
              </w:rPr>
              <w:t>《环境空气细颗粒物污染综合防治技术政策》</w:t>
            </w:r>
            <w:r>
              <w:rPr>
                <w:rFonts w:hint="eastAsia" w:cs="Times New Roman"/>
                <w:color w:val="auto"/>
                <w:kern w:val="0"/>
                <w:sz w:val="24"/>
                <w:szCs w:val="24"/>
                <w:highlight w:val="none"/>
                <w:lang w:val="en-US" w:eastAsia="zh-CN" w:bidi="ar-SA"/>
              </w:rPr>
              <w:t>相关要求。</w:t>
            </w:r>
          </w:p>
          <w:p w14:paraId="7715E339">
            <w:pPr>
              <w:keepNext w:val="0"/>
              <w:keepLines w:val="0"/>
              <w:pageBreakBefore w:val="0"/>
              <w:kinsoku/>
              <w:overflowPunct/>
              <w:topLinePunct w:val="0"/>
              <w:bidi w:val="0"/>
              <w:adjustRightInd w:val="0"/>
              <w:snapToGrid w:val="0"/>
              <w:spacing w:line="360" w:lineRule="auto"/>
              <w:ind w:firstLine="480" w:firstLineChars="200"/>
              <w:rPr>
                <w:rFonts w:hint="default"/>
                <w:color w:val="auto"/>
                <w:sz w:val="24"/>
                <w:lang w:val="en-US" w:eastAsia="zh-CN"/>
              </w:rPr>
            </w:pPr>
            <w:r>
              <w:rPr>
                <w:rFonts w:hint="eastAsia"/>
                <w:color w:val="auto"/>
                <w:sz w:val="24"/>
                <w:lang w:val="en-US" w:eastAsia="zh-CN"/>
              </w:rPr>
              <w:t>6、与《黑龙江省大气污染防治条例》的符合性分析</w:t>
            </w:r>
          </w:p>
          <w:p w14:paraId="76B7C737">
            <w:pPr>
              <w:autoSpaceDE w:val="0"/>
              <w:autoSpaceDN w:val="0"/>
              <w:adjustRightInd w:val="0"/>
              <w:snapToGrid w:val="0"/>
              <w:spacing w:line="360" w:lineRule="auto"/>
              <w:ind w:firstLine="480" w:firstLineChars="200"/>
              <w:rPr>
                <w:rFonts w:hint="eastAsia"/>
                <w:color w:val="auto"/>
                <w:sz w:val="24"/>
                <w:lang w:val="en-US" w:eastAsia="zh-CN"/>
              </w:rPr>
            </w:pPr>
            <w:r>
              <w:rPr>
                <w:rFonts w:hint="default" w:ascii="Times New Roman" w:hAnsi="Times New Roman" w:cs="Times New Roman"/>
                <w:color w:val="auto"/>
                <w:kern w:val="0"/>
                <w:sz w:val="24"/>
                <w:highlight w:val="none"/>
              </w:rPr>
              <w:t>在条例中</w:t>
            </w:r>
            <w:r>
              <w:rPr>
                <w:rFonts w:hint="eastAsia"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第三章 大气污染防治措施，第一节 燃煤污染防治</w:t>
            </w:r>
            <w:r>
              <w:rPr>
                <w:rFonts w:hint="eastAsia"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中</w:t>
            </w:r>
            <w:r>
              <w:rPr>
                <w:rFonts w:hint="eastAsia"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第三十二条 燃煤电厂、燃煤供热锅炉以及其他燃煤单位，应当采用清洁生产工艺，配套建设除尘、脱硫、脱硝等装置或者采用技术改造等措施，减少大气污染物的产生和排放，排放的大气污染物应当达到规定标准。</w:t>
            </w:r>
            <w:r>
              <w:rPr>
                <w:rFonts w:hint="eastAsia"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w:t>
            </w:r>
            <w:r>
              <w:rPr>
                <w:rFonts w:hint="eastAsia"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第三十三条 县级以上人民政府应当向社会公布燃煤锅炉计划淘汰名单和时限，并合理控制城市建成区外规划区内额定蒸发量每小时十吨以下或者额定功率七兆瓦以下燃煤锅炉的建设和使用。工业和信息化、供热行政主管、生态环境主管部门分别 负责工业锅炉、供热锅炉、商业经营锅炉淘汰的具体工作。</w:t>
            </w:r>
            <w:r>
              <w:rPr>
                <w:rFonts w:hint="eastAsia"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w:t>
            </w:r>
            <w:r>
              <w:rPr>
                <w:rFonts w:hint="eastAsia"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第三十五条 设区的市级人民政府和县级人民政府应当积极推进棚户区改造，推行热电联产和区域锅炉等集中供热方式，逐步提高集中供热比例，制定计划将应当淘汰的分散燃煤锅炉供热区域纳入集中供热管网覆盖范围，并负责组织实施。在集中供热管网未覆盖的区域，推广使用高效节能环保型锅炉或者进行锅炉高效除尘改造，或者使用新能源、清洁能源供热。</w:t>
            </w:r>
            <w:r>
              <w:rPr>
                <w:rFonts w:hint="eastAsia" w:ascii="Times New Roman" w:hAnsi="Times New Roman" w:cs="Times New Roman"/>
                <w:color w:val="auto"/>
                <w:kern w:val="0"/>
                <w:sz w:val="24"/>
                <w:highlight w:val="none"/>
                <w:lang w:eastAsia="zh-CN"/>
              </w:rPr>
              <w:t>”</w:t>
            </w:r>
          </w:p>
          <w:p w14:paraId="08ED1516">
            <w:pPr>
              <w:keepNext w:val="0"/>
              <w:keepLines w:val="0"/>
              <w:pageBreakBefore w:val="0"/>
              <w:kinsoku/>
              <w:overflowPunct/>
              <w:topLinePunct w:val="0"/>
              <w:bidi w:val="0"/>
              <w:adjustRightInd w:val="0"/>
              <w:snapToGrid w:val="0"/>
              <w:spacing w:line="360" w:lineRule="auto"/>
              <w:ind w:firstLine="480" w:firstLineChars="200"/>
              <w:rPr>
                <w:rFonts w:hint="eastAsia" w:ascii="Times New Roman" w:hAnsi="Times New Roman" w:eastAsia="宋体" w:cs="Times New Roman"/>
                <w:color w:val="auto"/>
                <w:sz w:val="24"/>
                <w:lang w:val="en-US" w:eastAsia="zh-CN"/>
              </w:rPr>
            </w:pPr>
            <w:r>
              <w:rPr>
                <w:rFonts w:hint="eastAsia"/>
                <w:color w:val="auto"/>
                <w:sz w:val="24"/>
                <w:lang w:val="en-US" w:eastAsia="zh-CN"/>
              </w:rPr>
              <w:t>本项目使用</w:t>
            </w:r>
            <w:r>
              <w:rPr>
                <w:rFonts w:hint="eastAsia"/>
                <w:color w:val="auto"/>
                <w:spacing w:val="4"/>
                <w:sz w:val="24"/>
                <w:lang w:val="en-US" w:eastAsia="zh-CN"/>
              </w:rPr>
              <w:t>燃生物质</w:t>
            </w:r>
            <w:r>
              <w:rPr>
                <w:rFonts w:hint="eastAsia"/>
                <w:color w:val="auto"/>
                <w:spacing w:val="4"/>
                <w:sz w:val="24"/>
              </w:rPr>
              <w:t>导热油炉</w:t>
            </w:r>
            <w:r>
              <w:rPr>
                <w:rFonts w:hint="eastAsia"/>
                <w:color w:val="auto"/>
                <w:spacing w:val="4"/>
                <w:sz w:val="24"/>
                <w:lang w:eastAsia="zh-CN"/>
              </w:rPr>
              <w:t>，</w:t>
            </w:r>
            <w:r>
              <w:rPr>
                <w:rFonts w:hint="eastAsia" w:cs="Times New Roman"/>
                <w:color w:val="auto"/>
                <w:kern w:val="0"/>
                <w:sz w:val="24"/>
                <w:szCs w:val="24"/>
                <w:highlight w:val="none"/>
                <w:lang w:val="en-US" w:eastAsia="zh-CN" w:bidi="ar-SA"/>
              </w:rPr>
              <w:t>废气采用</w:t>
            </w:r>
            <w:r>
              <w:rPr>
                <w:rFonts w:hint="eastAsia" w:ascii="Times New Roman" w:hAnsi="Times New Roman" w:eastAsia="宋体" w:cs="Times New Roman"/>
                <w:color w:val="auto"/>
                <w:kern w:val="0"/>
                <w:sz w:val="24"/>
                <w:szCs w:val="24"/>
                <w:highlight w:val="none"/>
                <w:lang w:val="en-US" w:eastAsia="zh-CN" w:bidi="ar-SA"/>
              </w:rPr>
              <w:t>旋风除尘+</w:t>
            </w:r>
            <w:r>
              <w:rPr>
                <w:rFonts w:hint="eastAsia" w:cs="Times New Roman"/>
                <w:color w:val="auto"/>
                <w:kern w:val="0"/>
                <w:sz w:val="24"/>
                <w:szCs w:val="24"/>
                <w:highlight w:val="none"/>
                <w:lang w:val="en-US" w:eastAsia="zh-CN" w:bidi="ar-SA"/>
              </w:rPr>
              <w:t>布袋除尘器处理，处理后废气经30m高排气筒（DA001）排放。</w:t>
            </w:r>
            <w:r>
              <w:rPr>
                <w:rFonts w:hint="default"/>
                <w:color w:val="auto"/>
                <w:sz w:val="24"/>
                <w:lang w:val="en-US" w:eastAsia="zh-CN"/>
              </w:rPr>
              <w:t>颗粒物、SO</w:t>
            </w:r>
            <w:r>
              <w:rPr>
                <w:rFonts w:hint="default"/>
                <w:color w:val="auto"/>
                <w:sz w:val="24"/>
                <w:vertAlign w:val="subscript"/>
                <w:lang w:val="en-US" w:eastAsia="zh-CN"/>
              </w:rPr>
              <w:t>2</w:t>
            </w:r>
            <w:r>
              <w:rPr>
                <w:rFonts w:hint="eastAsia"/>
                <w:color w:val="auto"/>
                <w:sz w:val="24"/>
                <w:lang w:val="en-US" w:eastAsia="zh-CN"/>
              </w:rPr>
              <w:t>、</w:t>
            </w:r>
            <w:r>
              <w:rPr>
                <w:rFonts w:hint="default"/>
                <w:color w:val="auto"/>
                <w:sz w:val="24"/>
                <w:lang w:val="en-US" w:eastAsia="zh-CN"/>
              </w:rPr>
              <w:t>NOx排放</w:t>
            </w:r>
            <w:r>
              <w:rPr>
                <w:rFonts w:hint="eastAsia"/>
                <w:color w:val="auto"/>
                <w:sz w:val="24"/>
                <w:lang w:val="en-US" w:eastAsia="zh-CN"/>
              </w:rPr>
              <w:t>浓度</w:t>
            </w:r>
            <w:r>
              <w:rPr>
                <w:rFonts w:hint="default"/>
                <w:color w:val="auto"/>
                <w:sz w:val="24"/>
                <w:lang w:val="en-US" w:eastAsia="zh-CN"/>
              </w:rPr>
              <w:t>均满足</w:t>
            </w:r>
            <w:r>
              <w:rPr>
                <w:rFonts w:hint="eastAsia"/>
                <w:color w:val="auto"/>
                <w:sz w:val="24"/>
                <w:lang w:val="en-US" w:eastAsia="zh-CN"/>
              </w:rPr>
              <w:t>《锅炉大气污染物排放标准》（GB13271-2014）表2中燃煤锅炉大气污染物标准限值要求</w:t>
            </w:r>
            <w:r>
              <w:rPr>
                <w:rFonts w:hint="default"/>
                <w:color w:val="auto"/>
                <w:sz w:val="24"/>
                <w:lang w:val="en-US" w:eastAsia="zh-CN"/>
              </w:rPr>
              <w:t>。</w:t>
            </w:r>
            <w:r>
              <w:rPr>
                <w:rFonts w:hint="eastAsia" w:cs="Times New Roman"/>
                <w:color w:val="auto"/>
                <w:kern w:val="0"/>
                <w:sz w:val="24"/>
                <w:szCs w:val="24"/>
                <w:highlight w:val="none"/>
                <w:lang w:val="en-US" w:eastAsia="zh-CN" w:bidi="ar-SA"/>
              </w:rPr>
              <w:t>因此，本项目符合</w:t>
            </w:r>
            <w:r>
              <w:rPr>
                <w:rFonts w:hint="eastAsia"/>
                <w:color w:val="auto"/>
                <w:sz w:val="24"/>
                <w:lang w:val="en-US" w:eastAsia="zh-CN"/>
              </w:rPr>
              <w:t>《黑龙江省大气</w:t>
            </w:r>
            <w:r>
              <w:rPr>
                <w:rFonts w:hint="eastAsia" w:ascii="Times New Roman" w:hAnsi="Times New Roman" w:eastAsia="宋体" w:cs="Times New Roman"/>
                <w:color w:val="auto"/>
                <w:sz w:val="24"/>
                <w:lang w:val="en-US" w:eastAsia="zh-CN"/>
              </w:rPr>
              <w:t>污染防治条例》相关要求。</w:t>
            </w:r>
          </w:p>
          <w:p w14:paraId="0F0A0C8B">
            <w:pPr>
              <w:keepNext w:val="0"/>
              <w:keepLines w:val="0"/>
              <w:pageBreakBefore w:val="0"/>
              <w:kinsoku/>
              <w:overflowPunct/>
              <w:topLinePunct w:val="0"/>
              <w:bidi w:val="0"/>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7、与《黑龙江省固体废物污染环境防治条例》的符合性分析</w:t>
            </w:r>
          </w:p>
          <w:p w14:paraId="227B06AA">
            <w:pPr>
              <w:keepNext w:val="0"/>
              <w:keepLines w:val="0"/>
              <w:pageBreakBefore w:val="0"/>
              <w:kinsoku/>
              <w:overflowPunct/>
              <w:topLinePunct w:val="0"/>
              <w:bidi w:val="0"/>
              <w:adjustRightInd w:val="0"/>
              <w:snapToGrid w:val="0"/>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第四条 任何单位和个人都应当履行生态环境保护义务，减少固体废物的产生量，促进固体废物的综合利用，降低固体废物的危害性。</w:t>
            </w:r>
          </w:p>
          <w:p w14:paraId="5E8DCFDB">
            <w:pPr>
              <w:keepNext w:val="0"/>
              <w:keepLines w:val="0"/>
              <w:pageBreakBefore w:val="0"/>
              <w:kinsoku/>
              <w:overflowPunct/>
              <w:topLinePunct w:val="0"/>
              <w:bidi w:val="0"/>
              <w:adjustRightInd w:val="0"/>
              <w:snapToGrid w:val="0"/>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产生、收集、贮存、运输、利用、处置固体废物的单位和个人，应当采取措施，防止或者减少固体废物对环境的污染，对所造成的环境污染依法承担责任。</w:t>
            </w:r>
          </w:p>
          <w:p w14:paraId="3AC407F1">
            <w:pPr>
              <w:keepNext w:val="0"/>
              <w:keepLines w:val="0"/>
              <w:pageBreakBefore w:val="0"/>
              <w:kinsoku/>
              <w:overflowPunct/>
              <w:topLinePunct w:val="0"/>
              <w:bidi w:val="0"/>
              <w:adjustRightInd w:val="0"/>
              <w:snapToGrid w:val="0"/>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第十条 建设产生、贮存、利用、处置固体废物的项目，应当符合生态环境分区管控要求，依法进行环境影响评价，并遵守国家有关建设项目环境保护管理的规定。</w:t>
            </w:r>
          </w:p>
          <w:p w14:paraId="25EB68F9">
            <w:pPr>
              <w:keepNext w:val="0"/>
              <w:keepLines w:val="0"/>
              <w:pageBreakBefore w:val="0"/>
              <w:kinsoku/>
              <w:overflowPunct/>
              <w:topLinePunct w:val="0"/>
              <w:bidi w:val="0"/>
              <w:adjustRightInd w:val="0"/>
              <w:snapToGrid w:val="0"/>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第二十七条 从事收集、贮存、利用、处置危险废物经营活动的单位，应当按照国家有关规定贮存危险废物，贮存期限不得超过一年；确需延长期限的，应当依法报批；法律、行政法规另有规定的除外。</w:t>
            </w:r>
          </w:p>
          <w:p w14:paraId="23184712">
            <w:pPr>
              <w:keepNext w:val="0"/>
              <w:keepLines w:val="0"/>
              <w:pageBreakBefore w:val="0"/>
              <w:kinsoku/>
              <w:overflowPunct/>
              <w:topLinePunct w:val="0"/>
              <w:bidi w:val="0"/>
              <w:adjustRightInd w:val="0"/>
              <w:snapToGrid w:val="0"/>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本项目建成后生活垃圾集中交由市政环卫部门处理；</w:t>
            </w:r>
            <w:r>
              <w:rPr>
                <w:rFonts w:hint="eastAsia" w:cs="Times New Roman"/>
                <w:color w:val="auto"/>
                <w:sz w:val="24"/>
                <w:lang w:val="en-US" w:eastAsia="zh-CN"/>
              </w:rPr>
              <w:t>车间</w:t>
            </w:r>
            <w:r>
              <w:rPr>
                <w:rFonts w:hint="eastAsia" w:ascii="Times New Roman" w:hAnsi="Times New Roman" w:eastAsia="宋体" w:cs="Times New Roman"/>
                <w:color w:val="auto"/>
                <w:sz w:val="24"/>
                <w:highlight w:val="none"/>
                <w:lang w:val="en-US" w:eastAsia="zh-CN"/>
              </w:rPr>
              <w:t>布袋除尘器收尘集中收集作为产品外售</w:t>
            </w:r>
            <w:r>
              <w:rPr>
                <w:rFonts w:hint="eastAsia" w:ascii="Times New Roman" w:hAnsi="Times New Roman" w:eastAsia="宋体" w:cs="Times New Roman"/>
                <w:color w:val="auto"/>
                <w:sz w:val="24"/>
                <w:lang w:val="en-US" w:eastAsia="zh-CN"/>
              </w:rPr>
              <w:t>；导热油炉锅炉灰渣</w:t>
            </w:r>
            <w:r>
              <w:rPr>
                <w:rFonts w:hint="eastAsia" w:cs="Times New Roman"/>
                <w:color w:val="auto"/>
                <w:sz w:val="24"/>
                <w:lang w:val="en-US" w:eastAsia="zh-CN"/>
              </w:rPr>
              <w:t>及除尘灰</w:t>
            </w:r>
            <w:r>
              <w:rPr>
                <w:rFonts w:hint="eastAsia" w:ascii="Times New Roman" w:hAnsi="Times New Roman" w:eastAsia="宋体" w:cs="Times New Roman"/>
                <w:color w:val="auto"/>
                <w:sz w:val="24"/>
                <w:lang w:val="en-US" w:eastAsia="zh-CN"/>
              </w:rPr>
              <w:t>全部外售综合利用；废布袋由除尘器厂家检修后直接带走；废导热油每五年产生一次，委托有资质单位更换并带走处置，不在厂区内暂存；废机油经收集后用密封铁桶盛装，暂存于危废贮存点，交由有危险废物处置资质单位处置。危险废物贮存严格执行</w:t>
            </w:r>
            <w:r>
              <w:rPr>
                <w:rFonts w:hint="eastAsia"/>
                <w:color w:val="auto"/>
                <w:sz w:val="24"/>
              </w:rPr>
              <w:t>《危险废物贮存污染控制标准》（GB18597-2023）</w:t>
            </w:r>
            <w:r>
              <w:rPr>
                <w:rFonts w:hint="eastAsia"/>
                <w:color w:val="auto"/>
                <w:sz w:val="24"/>
                <w:lang w:eastAsia="zh-CN"/>
              </w:rPr>
              <w:t>。</w:t>
            </w:r>
            <w:r>
              <w:rPr>
                <w:rFonts w:hint="eastAsia" w:cs="Times New Roman"/>
                <w:color w:val="auto"/>
                <w:kern w:val="0"/>
                <w:sz w:val="24"/>
                <w:szCs w:val="24"/>
                <w:highlight w:val="none"/>
                <w:lang w:val="en-US" w:eastAsia="zh-CN" w:bidi="ar-SA"/>
              </w:rPr>
              <w:t>因此，本项目符合</w:t>
            </w:r>
            <w:r>
              <w:rPr>
                <w:rFonts w:hint="eastAsia" w:ascii="Times New Roman" w:hAnsi="Times New Roman" w:eastAsia="宋体" w:cs="Times New Roman"/>
                <w:color w:val="auto"/>
                <w:sz w:val="24"/>
                <w:lang w:val="en-US" w:eastAsia="zh-CN"/>
              </w:rPr>
              <w:t>《黑龙江省固体废物污染环境防治条例》相关要求。</w:t>
            </w:r>
          </w:p>
          <w:p w14:paraId="730D96E7">
            <w:pPr>
              <w:keepNext w:val="0"/>
              <w:keepLines w:val="0"/>
              <w:pageBreakBefore w:val="0"/>
              <w:kinsoku/>
              <w:overflowPunct/>
              <w:topLinePunct w:val="0"/>
              <w:bidi w:val="0"/>
              <w:adjustRightInd w:val="0"/>
              <w:snapToGrid w:val="0"/>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8、选址合理性分析</w:t>
            </w:r>
          </w:p>
          <w:p w14:paraId="05D529B6">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r>
              <w:rPr>
                <w:color w:val="auto"/>
                <w:szCs w:val="24"/>
              </w:rPr>
              <w:t>本项目</w:t>
            </w:r>
            <w:r>
              <w:rPr>
                <w:rFonts w:hint="eastAsia" w:ascii="Times New Roman" w:hAnsi="Times New Roman" w:eastAsia="宋体" w:cs="Times New Roman"/>
                <w:color w:val="auto"/>
                <w:kern w:val="2"/>
                <w:sz w:val="24"/>
                <w:szCs w:val="24"/>
                <w:lang w:val="en-US" w:eastAsia="zh-CN" w:bidi="ar-SA"/>
              </w:rPr>
              <w:t>位于黑龙江省鸡西市梨树区穆棱办新兴委，</w:t>
            </w:r>
            <w:r>
              <w:rPr>
                <w:rFonts w:hint="eastAsia"/>
                <w:color w:val="auto"/>
                <w:lang w:val="en-US" w:eastAsia="zh-CN"/>
              </w:rPr>
              <w:t>依托厂区内现有锅炉房，</w:t>
            </w:r>
            <w:r>
              <w:rPr>
                <w:color w:val="auto"/>
                <w:szCs w:val="24"/>
              </w:rPr>
              <w:t>本项目用地性质为</w:t>
            </w:r>
            <w:r>
              <w:rPr>
                <w:rFonts w:hint="eastAsia"/>
                <w:color w:val="auto"/>
                <w:szCs w:val="24"/>
                <w:lang w:val="en-US" w:eastAsia="zh-CN"/>
              </w:rPr>
              <w:t>建设</w:t>
            </w:r>
            <w:r>
              <w:rPr>
                <w:color w:val="auto"/>
                <w:szCs w:val="24"/>
              </w:rPr>
              <w:t>用地。项目用地不属于生活饮用水源地、地下水补给区、风景名胜区、温泉疗养区、水产养殖区、基本农田保护区、自然保护区等需要特殊保护区域。本项目厂区东侧为</w:t>
            </w:r>
            <w:r>
              <w:rPr>
                <w:rFonts w:hint="eastAsia"/>
                <w:color w:val="auto"/>
                <w:szCs w:val="24"/>
                <w:lang w:val="en-US" w:eastAsia="zh-CN"/>
              </w:rPr>
              <w:t>荒地</w:t>
            </w:r>
            <w:r>
              <w:rPr>
                <w:color w:val="auto"/>
                <w:szCs w:val="24"/>
              </w:rPr>
              <w:t>，厂区西侧为</w:t>
            </w:r>
            <w:r>
              <w:rPr>
                <w:rFonts w:hint="eastAsia"/>
                <w:color w:val="auto"/>
                <w:szCs w:val="24"/>
                <w:lang w:val="en-US" w:eastAsia="zh-CN"/>
              </w:rPr>
              <w:t>荒地</w:t>
            </w:r>
            <w:r>
              <w:rPr>
                <w:color w:val="auto"/>
                <w:szCs w:val="24"/>
              </w:rPr>
              <w:t>，厂区南侧为</w:t>
            </w:r>
            <w:r>
              <w:rPr>
                <w:rFonts w:hint="eastAsia"/>
                <w:color w:val="auto"/>
                <w:szCs w:val="24"/>
                <w:lang w:val="en-US" w:eastAsia="zh-CN"/>
              </w:rPr>
              <w:t>荒地</w:t>
            </w:r>
            <w:r>
              <w:rPr>
                <w:color w:val="auto"/>
                <w:szCs w:val="24"/>
              </w:rPr>
              <w:t>，</w:t>
            </w:r>
            <w:r>
              <w:rPr>
                <w:rFonts w:hint="eastAsia"/>
                <w:color w:val="auto"/>
                <w:szCs w:val="24"/>
              </w:rPr>
              <w:t>厂区北侧为</w:t>
            </w:r>
            <w:r>
              <w:rPr>
                <w:rFonts w:hint="eastAsia"/>
                <w:color w:val="auto"/>
                <w:szCs w:val="24"/>
                <w:lang w:val="en-US" w:eastAsia="zh-CN"/>
              </w:rPr>
              <w:t>荒地</w:t>
            </w:r>
            <w:r>
              <w:rPr>
                <w:color w:val="auto"/>
                <w:szCs w:val="24"/>
              </w:rPr>
              <w:t>。项目选址地势较平坦，交通便利。</w:t>
            </w:r>
          </w:p>
          <w:p w14:paraId="01115CAE">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r>
              <w:rPr>
                <w:rFonts w:hint="eastAsia" w:cs="Times New Roman"/>
                <w:color w:val="auto"/>
                <w:kern w:val="0"/>
                <w:sz w:val="24"/>
                <w:szCs w:val="24"/>
                <w:highlight w:val="none"/>
                <w:lang w:val="en-US" w:eastAsia="zh-CN" w:bidi="ar-SA"/>
              </w:rPr>
              <w:t>本项目</w:t>
            </w:r>
            <w:r>
              <w:rPr>
                <w:rFonts w:hint="eastAsia"/>
                <w:color w:val="auto"/>
                <w:spacing w:val="4"/>
                <w:sz w:val="24"/>
                <w:lang w:val="en-US" w:eastAsia="zh-CN"/>
              </w:rPr>
              <w:t>燃生物质</w:t>
            </w:r>
            <w:r>
              <w:rPr>
                <w:rFonts w:hint="eastAsia"/>
                <w:color w:val="auto"/>
                <w:spacing w:val="4"/>
                <w:sz w:val="24"/>
              </w:rPr>
              <w:t>导热油炉</w:t>
            </w:r>
            <w:r>
              <w:rPr>
                <w:rFonts w:hint="eastAsia" w:cs="Times New Roman"/>
                <w:color w:val="auto"/>
                <w:kern w:val="0"/>
                <w:sz w:val="24"/>
                <w:szCs w:val="24"/>
                <w:highlight w:val="none"/>
                <w:lang w:val="en-US" w:eastAsia="zh-CN" w:bidi="ar-SA"/>
              </w:rPr>
              <w:t>废气采用</w:t>
            </w:r>
            <w:r>
              <w:rPr>
                <w:rFonts w:hint="eastAsia" w:ascii="Times New Roman" w:hAnsi="Times New Roman" w:eastAsia="宋体" w:cs="Times New Roman"/>
                <w:color w:val="auto"/>
                <w:kern w:val="0"/>
                <w:sz w:val="24"/>
                <w:szCs w:val="24"/>
                <w:highlight w:val="none"/>
                <w:lang w:val="en-US" w:eastAsia="zh-CN" w:bidi="ar-SA"/>
              </w:rPr>
              <w:t>旋风除尘+</w:t>
            </w:r>
            <w:r>
              <w:rPr>
                <w:rFonts w:hint="eastAsia" w:cs="Times New Roman"/>
                <w:color w:val="auto"/>
                <w:kern w:val="0"/>
                <w:sz w:val="24"/>
                <w:szCs w:val="24"/>
                <w:highlight w:val="none"/>
                <w:lang w:val="en-US" w:eastAsia="zh-CN" w:bidi="ar-SA"/>
              </w:rPr>
              <w:t>布袋除尘器处理，处理后废气经30m高排气筒（DA001）排放。</w:t>
            </w:r>
            <w:r>
              <w:rPr>
                <w:rFonts w:hint="default"/>
                <w:color w:val="auto"/>
                <w:sz w:val="24"/>
                <w:lang w:val="en-US" w:eastAsia="zh-CN"/>
              </w:rPr>
              <w:t>颗粒物、SO</w:t>
            </w:r>
            <w:r>
              <w:rPr>
                <w:rFonts w:hint="default"/>
                <w:color w:val="auto"/>
                <w:sz w:val="24"/>
                <w:vertAlign w:val="subscript"/>
                <w:lang w:val="en-US" w:eastAsia="zh-CN"/>
              </w:rPr>
              <w:t>2</w:t>
            </w:r>
            <w:r>
              <w:rPr>
                <w:rFonts w:hint="eastAsia"/>
                <w:color w:val="auto"/>
                <w:sz w:val="24"/>
                <w:lang w:val="en-US" w:eastAsia="zh-CN"/>
              </w:rPr>
              <w:t>、</w:t>
            </w:r>
            <w:r>
              <w:rPr>
                <w:rFonts w:hint="default"/>
                <w:color w:val="auto"/>
                <w:sz w:val="24"/>
                <w:lang w:val="en-US" w:eastAsia="zh-CN"/>
              </w:rPr>
              <w:t>NOx排放</w:t>
            </w:r>
            <w:r>
              <w:rPr>
                <w:rFonts w:hint="eastAsia"/>
                <w:color w:val="auto"/>
                <w:sz w:val="24"/>
                <w:lang w:val="en-US" w:eastAsia="zh-CN"/>
              </w:rPr>
              <w:t>浓度</w:t>
            </w:r>
            <w:r>
              <w:rPr>
                <w:rFonts w:hint="default"/>
                <w:color w:val="auto"/>
                <w:sz w:val="24"/>
                <w:lang w:val="en-US" w:eastAsia="zh-CN"/>
              </w:rPr>
              <w:t>均满足</w:t>
            </w:r>
            <w:r>
              <w:rPr>
                <w:rFonts w:hint="eastAsia"/>
                <w:color w:val="auto"/>
                <w:sz w:val="24"/>
                <w:lang w:val="en-US" w:eastAsia="zh-CN"/>
              </w:rPr>
              <w:t>《锅炉大气污染物排放标准》（GB13271-2014）表2中燃煤锅炉大气污染物标准限值要求</w:t>
            </w:r>
            <w:r>
              <w:rPr>
                <w:rFonts w:hint="default"/>
                <w:color w:val="auto"/>
                <w:sz w:val="24"/>
                <w:lang w:val="en-US" w:eastAsia="zh-CN"/>
              </w:rPr>
              <w:t>。</w:t>
            </w:r>
            <w:r>
              <w:rPr>
                <w:rFonts w:hint="eastAsia"/>
                <w:color w:val="auto"/>
                <w:sz w:val="24"/>
                <w:lang w:val="en-US" w:eastAsia="zh-CN"/>
              </w:rPr>
              <w:t>无组织颗粒物采取密闭厂房，加强通风方式，</w:t>
            </w:r>
            <w:r>
              <w:rPr>
                <w:rFonts w:hint="eastAsia" w:cs="Times New Roman"/>
                <w:color w:val="auto"/>
                <w:kern w:val="0"/>
                <w:sz w:val="24"/>
                <w:szCs w:val="24"/>
                <w:lang w:val="en-US" w:eastAsia="zh-CN"/>
              </w:rPr>
              <w:t>厂界无组织颗粒物执行</w:t>
            </w:r>
            <w:r>
              <w:rPr>
                <w:rFonts w:hint="eastAsia" w:ascii="Times New Roman" w:hAnsi="Times New Roman" w:eastAsia="宋体" w:cs="Times New Roman"/>
                <w:bCs/>
                <w:color w:val="auto"/>
                <w:sz w:val="24"/>
              </w:rPr>
              <w:t>《大气污染物综合排放标准》（GB16297-1996）表2中无组织排放限值</w:t>
            </w:r>
            <w:r>
              <w:rPr>
                <w:rFonts w:hint="eastAsia" w:ascii="Times New Roman" w:hAnsi="Times New Roman" w:eastAsia="宋体" w:cs="Times New Roman"/>
                <w:bCs/>
                <w:color w:val="auto"/>
                <w:sz w:val="24"/>
                <w:lang w:eastAsia="zh-CN"/>
              </w:rPr>
              <w:t>。</w:t>
            </w:r>
            <w:r>
              <w:rPr>
                <w:color w:val="auto"/>
                <w:szCs w:val="24"/>
              </w:rPr>
              <w:t>本项目对大气污染物排放采取相应措施，可使污染物得到有效控制</w:t>
            </w:r>
            <w:r>
              <w:rPr>
                <w:rFonts w:hint="eastAsia"/>
                <w:color w:val="auto"/>
                <w:szCs w:val="24"/>
                <w:lang w:eastAsia="zh-CN"/>
              </w:rPr>
              <w:t>。</w:t>
            </w:r>
            <w:r>
              <w:rPr>
                <w:rFonts w:hint="eastAsia"/>
                <w:color w:val="auto"/>
                <w:szCs w:val="24"/>
                <w:lang w:val="en-US" w:eastAsia="zh-CN"/>
              </w:rPr>
              <w:t>本项目生产不用水，不产生废水</w:t>
            </w:r>
            <w:r>
              <w:rPr>
                <w:rFonts w:hint="eastAsia"/>
                <w:color w:val="auto"/>
                <w:szCs w:val="21"/>
              </w:rPr>
              <w:t>。</w:t>
            </w:r>
            <w:r>
              <w:rPr>
                <w:color w:val="auto"/>
                <w:szCs w:val="24"/>
              </w:rPr>
              <w:t>厂界噪声满足《工业企业厂界环境噪声排放标准》</w:t>
            </w:r>
            <w:r>
              <w:rPr>
                <w:rFonts w:hint="eastAsia"/>
                <w:color w:val="auto"/>
                <w:szCs w:val="24"/>
              </w:rPr>
              <w:t>(</w:t>
            </w:r>
            <w:r>
              <w:rPr>
                <w:color w:val="auto"/>
                <w:szCs w:val="24"/>
              </w:rPr>
              <w:t>GB12348-2008</w:t>
            </w:r>
            <w:r>
              <w:rPr>
                <w:rFonts w:hint="eastAsia"/>
                <w:color w:val="auto"/>
                <w:szCs w:val="24"/>
              </w:rPr>
              <w:t>)</w:t>
            </w:r>
            <w:r>
              <w:rPr>
                <w:color w:val="auto"/>
                <w:szCs w:val="24"/>
              </w:rPr>
              <w:t>表1中</w:t>
            </w:r>
            <w:r>
              <w:rPr>
                <w:rFonts w:hint="eastAsia"/>
                <w:color w:val="auto"/>
                <w:szCs w:val="24"/>
                <w:lang w:val="en-US" w:eastAsia="zh-CN"/>
              </w:rPr>
              <w:t>2</w:t>
            </w:r>
            <w:r>
              <w:rPr>
                <w:color w:val="auto"/>
                <w:szCs w:val="24"/>
              </w:rPr>
              <w:t>类标准要求。本工程固体废物综合利用处置率100％。项目固废不会对项目区周边环境造成影响。因此，本项目建设对环境</w:t>
            </w:r>
            <w:r>
              <w:rPr>
                <w:rFonts w:hint="eastAsia"/>
                <w:color w:val="auto"/>
                <w:szCs w:val="24"/>
                <w:lang w:val="en-US" w:eastAsia="zh-CN"/>
              </w:rPr>
              <w:t>及敏感目标</w:t>
            </w:r>
            <w:r>
              <w:rPr>
                <w:color w:val="auto"/>
                <w:szCs w:val="24"/>
              </w:rPr>
              <w:t>影响较小。</w:t>
            </w:r>
          </w:p>
          <w:p w14:paraId="6F35350B">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r>
              <w:rPr>
                <w:color w:val="auto"/>
                <w:szCs w:val="24"/>
              </w:rPr>
              <w:t>综上所述，项目建设符合当地</w:t>
            </w:r>
            <w:r>
              <w:rPr>
                <w:rFonts w:hint="eastAsia"/>
                <w:color w:val="auto"/>
                <w:szCs w:val="24"/>
              </w:rPr>
              <w:t>土地利用</w:t>
            </w:r>
            <w:r>
              <w:rPr>
                <w:color w:val="auto"/>
                <w:szCs w:val="24"/>
              </w:rPr>
              <w:t>规划；营运期产生的各项污染物经采取各种措施治理后均能达标排放，</w:t>
            </w:r>
            <w:r>
              <w:rPr>
                <w:rFonts w:hint="eastAsia"/>
                <w:color w:val="auto"/>
                <w:szCs w:val="24"/>
              </w:rPr>
              <w:t>对环境影响较小</w:t>
            </w:r>
            <w:r>
              <w:rPr>
                <w:color w:val="auto"/>
                <w:szCs w:val="24"/>
              </w:rPr>
              <w:t>；产生的固体废物均得到综合利用与合理处置，生产噪声经采取各种措施后，对周边居民的影响不大。该项目选址可行。</w:t>
            </w:r>
          </w:p>
          <w:p w14:paraId="22E9D6EC">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p>
          <w:p w14:paraId="6D3F62F4">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p>
          <w:p w14:paraId="1836BD66">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p>
          <w:p w14:paraId="4D935219">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p>
          <w:p w14:paraId="30BEF731">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p>
          <w:p w14:paraId="3A061D63">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p>
          <w:p w14:paraId="1EF2B23B">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p>
          <w:p w14:paraId="1780F2AA">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p>
          <w:p w14:paraId="7EB888CF">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p>
          <w:p w14:paraId="2F2EB1BC">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p>
          <w:p w14:paraId="411562E2">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p>
          <w:p w14:paraId="10F60EB8">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p>
          <w:p w14:paraId="46CC83C7">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p>
          <w:p w14:paraId="0EE29B24">
            <w:pPr>
              <w:pStyle w:val="58"/>
              <w:keepNext w:val="0"/>
              <w:keepLines w:val="0"/>
              <w:pageBreakBefore w:val="0"/>
              <w:widowControl w:val="0"/>
              <w:kinsoku/>
              <w:wordWrap w:val="0"/>
              <w:overflowPunct/>
              <w:topLinePunct w:val="0"/>
              <w:autoSpaceDE/>
              <w:autoSpaceDN/>
              <w:bidi w:val="0"/>
              <w:adjustRightInd w:val="0"/>
              <w:snapToGrid w:val="0"/>
              <w:spacing w:line="360" w:lineRule="auto"/>
              <w:ind w:firstLine="480"/>
              <w:textAlignment w:val="auto"/>
              <w:rPr>
                <w:color w:val="auto"/>
                <w:szCs w:val="24"/>
              </w:rPr>
            </w:pPr>
          </w:p>
          <w:p w14:paraId="2142A4C1">
            <w:pPr>
              <w:pStyle w:val="58"/>
              <w:keepNext w:val="0"/>
              <w:keepLines w:val="0"/>
              <w:pageBreakBefore w:val="0"/>
              <w:kinsoku/>
              <w:overflowPunct/>
              <w:topLinePunct w:val="0"/>
              <w:bidi w:val="0"/>
              <w:adjustRightInd w:val="0"/>
              <w:snapToGrid w:val="0"/>
              <w:spacing w:line="360" w:lineRule="auto"/>
              <w:ind w:left="0" w:leftChars="0" w:firstLine="0" w:firstLineChars="0"/>
              <w:rPr>
                <w:color w:val="auto"/>
              </w:rPr>
            </w:pPr>
          </w:p>
        </w:tc>
      </w:tr>
    </w:tbl>
    <w:p w14:paraId="55A14CC0">
      <w:pPr>
        <w:spacing w:line="360" w:lineRule="auto"/>
        <w:outlineLvl w:val="0"/>
        <w:rPr>
          <w:color w:val="auto"/>
          <w:sz w:val="30"/>
        </w:rPr>
        <w:sectPr>
          <w:footerReference r:id="rId5" w:type="default"/>
          <w:pgSz w:w="11906" w:h="16838"/>
          <w:pgMar w:top="1701" w:right="1531" w:bottom="1701" w:left="1531" w:header="1247" w:footer="1247" w:gutter="0"/>
          <w:pgBorders>
            <w:top w:val="none" w:sz="0" w:space="0"/>
            <w:left w:val="none" w:sz="0" w:space="0"/>
            <w:bottom w:val="none" w:sz="0" w:space="0"/>
            <w:right w:val="none" w:sz="0" w:space="0"/>
          </w:pgBorders>
          <w:pgNumType w:start="1"/>
          <w:cols w:space="720" w:num="1"/>
          <w:docGrid w:linePitch="312" w:charSpace="0"/>
        </w:sectPr>
      </w:pPr>
    </w:p>
    <w:p w14:paraId="3A85A1C5">
      <w:pPr>
        <w:pStyle w:val="16"/>
        <w:outlineLvl w:val="0"/>
        <w:rPr>
          <w:rFonts w:ascii="Times New Roman" w:hAnsi="Times New Roman"/>
          <w:snapToGrid w:val="0"/>
          <w:color w:val="auto"/>
          <w:sz w:val="30"/>
          <w:szCs w:val="30"/>
        </w:rPr>
      </w:pPr>
      <w:bookmarkStart w:id="3" w:name="_Toc73523369"/>
      <w:r>
        <w:rPr>
          <w:rFonts w:hint="eastAsia" w:ascii="Times New Roman" w:hAnsi="Times New Roman"/>
          <w:snapToGrid w:val="0"/>
          <w:color w:val="auto"/>
          <w:sz w:val="30"/>
          <w:szCs w:val="30"/>
        </w:rPr>
        <w:t>二、建设项目工程分析</w:t>
      </w:r>
      <w:bookmarkEnd w:id="3"/>
    </w:p>
    <w:tbl>
      <w:tblPr>
        <w:tblStyle w:val="3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20"/>
        <w:gridCol w:w="8340"/>
      </w:tblGrid>
      <w:tr w14:paraId="447DF7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4" w:hRule="atLeast"/>
          <w:jc w:val="center"/>
        </w:trPr>
        <w:tc>
          <w:tcPr>
            <w:tcW w:w="720" w:type="dxa"/>
            <w:vAlign w:val="center"/>
          </w:tcPr>
          <w:p w14:paraId="07AFBE8F">
            <w:pPr>
              <w:pStyle w:val="35"/>
              <w:adjustRightInd w:val="0"/>
              <w:snapToGrid w:val="0"/>
              <w:spacing w:before="0" w:beforeAutospacing="0" w:after="0" w:afterAutospacing="0"/>
              <w:jc w:val="center"/>
              <w:rPr>
                <w:rFonts w:ascii="Times New Roman" w:hAnsi="Times New Roman" w:cs="宋体"/>
                <w:color w:val="auto"/>
                <w:sz w:val="21"/>
                <w:szCs w:val="18"/>
              </w:rPr>
            </w:pPr>
            <w:r>
              <w:rPr>
                <w:rFonts w:ascii="Times New Roman" w:hAnsi="Times New Roman"/>
                <w:b/>
                <w:color w:val="auto"/>
                <w:sz w:val="21"/>
                <w:szCs w:val="21"/>
              </w:rPr>
              <w:t>建设内容</w:t>
            </w:r>
          </w:p>
        </w:tc>
        <w:tc>
          <w:tcPr>
            <w:tcW w:w="8340" w:type="dxa"/>
          </w:tcPr>
          <w:p w14:paraId="06B1CDD3">
            <w:pPr>
              <w:adjustRightInd w:val="0"/>
              <w:snapToGrid w:val="0"/>
              <w:spacing w:line="360" w:lineRule="auto"/>
              <w:ind w:firstLine="482" w:firstLineChars="200"/>
              <w:rPr>
                <w:b/>
                <w:bCs/>
                <w:color w:val="auto"/>
                <w:sz w:val="24"/>
              </w:rPr>
            </w:pPr>
            <w:r>
              <w:rPr>
                <w:b/>
                <w:bCs/>
                <w:color w:val="auto"/>
                <w:sz w:val="24"/>
              </w:rPr>
              <w:t>1、</w:t>
            </w:r>
            <w:r>
              <w:rPr>
                <w:rFonts w:hint="eastAsia"/>
                <w:b/>
                <w:bCs/>
                <w:color w:val="auto"/>
                <w:sz w:val="24"/>
              </w:rPr>
              <w:t>项目分类管理判定</w:t>
            </w:r>
          </w:p>
          <w:p w14:paraId="071DFF14">
            <w:pPr>
              <w:spacing w:line="360" w:lineRule="auto"/>
              <w:ind w:firstLine="496" w:firstLineChars="200"/>
              <w:rPr>
                <w:color w:val="auto"/>
                <w:spacing w:val="4"/>
                <w:sz w:val="24"/>
                <w:highlight w:val="red"/>
              </w:rPr>
            </w:pPr>
            <w:r>
              <w:rPr>
                <w:rFonts w:hint="eastAsia"/>
                <w:color w:val="auto"/>
                <w:spacing w:val="4"/>
                <w:sz w:val="24"/>
              </w:rPr>
              <w:t>根据《</w:t>
            </w:r>
            <w:r>
              <w:rPr>
                <w:color w:val="auto"/>
                <w:spacing w:val="4"/>
                <w:sz w:val="24"/>
              </w:rPr>
              <w:t>建设项目环境影响评价分类管理名录（2021年版）</w:t>
            </w:r>
            <w:r>
              <w:rPr>
                <w:rFonts w:hint="eastAsia"/>
                <w:color w:val="auto"/>
                <w:spacing w:val="4"/>
                <w:sz w:val="24"/>
              </w:rPr>
              <w:t>》分析，项目类别为四十一、电力、热力生产和供应业91.热力生产和供应工程（包括建设单位自建自用的供热工程），本项目为</w:t>
            </w:r>
            <w:r>
              <w:rPr>
                <w:rFonts w:hint="eastAsia"/>
                <w:color w:val="auto"/>
                <w:spacing w:val="4"/>
                <w:sz w:val="24"/>
                <w:lang w:val="en-US" w:eastAsia="zh-CN"/>
              </w:rPr>
              <w:t>改建项目</w:t>
            </w:r>
            <w:r>
              <w:rPr>
                <w:rFonts w:hint="eastAsia"/>
                <w:color w:val="auto"/>
                <w:spacing w:val="4"/>
                <w:sz w:val="24"/>
              </w:rPr>
              <w:t>，</w:t>
            </w:r>
            <w:r>
              <w:rPr>
                <w:rFonts w:hint="eastAsia"/>
                <w:color w:val="auto"/>
                <w:spacing w:val="4"/>
                <w:sz w:val="24"/>
                <w:lang w:val="en-US" w:eastAsia="zh-CN"/>
              </w:rPr>
              <w:t>由</w:t>
            </w:r>
            <w:r>
              <w:rPr>
                <w:rFonts w:hint="eastAsia"/>
                <w:color w:val="auto"/>
                <w:spacing w:val="4"/>
                <w:sz w:val="24"/>
              </w:rPr>
              <w:t>1台20万大卡</w:t>
            </w:r>
            <w:r>
              <w:rPr>
                <w:rFonts w:hint="eastAsia"/>
                <w:color w:val="auto"/>
                <w:spacing w:val="4"/>
                <w:sz w:val="24"/>
                <w:lang w:val="en-US" w:eastAsia="zh-CN"/>
              </w:rPr>
              <w:t>燃生物质</w:t>
            </w:r>
            <w:r>
              <w:rPr>
                <w:rFonts w:hint="eastAsia"/>
                <w:color w:val="auto"/>
                <w:spacing w:val="4"/>
                <w:sz w:val="24"/>
              </w:rPr>
              <w:t>导热油炉</w:t>
            </w:r>
            <w:r>
              <w:rPr>
                <w:rFonts w:hint="eastAsia"/>
                <w:color w:val="auto"/>
                <w:spacing w:val="4"/>
                <w:sz w:val="24"/>
                <w:lang w:val="en-US" w:eastAsia="zh-CN"/>
              </w:rPr>
              <w:t>和</w:t>
            </w:r>
            <w:r>
              <w:rPr>
                <w:rFonts w:hint="eastAsia"/>
                <w:color w:val="auto"/>
                <w:spacing w:val="4"/>
                <w:sz w:val="24"/>
              </w:rPr>
              <w:t>1台</w:t>
            </w:r>
            <w:r>
              <w:rPr>
                <w:rFonts w:hint="eastAsia"/>
                <w:color w:val="auto"/>
                <w:spacing w:val="4"/>
                <w:sz w:val="24"/>
                <w:lang w:val="en-US" w:eastAsia="zh-CN"/>
              </w:rPr>
              <w:t>3</w:t>
            </w:r>
            <w:r>
              <w:rPr>
                <w:rFonts w:hint="eastAsia"/>
                <w:color w:val="auto"/>
                <w:spacing w:val="4"/>
                <w:sz w:val="24"/>
              </w:rPr>
              <w:t>0万大卡</w:t>
            </w:r>
            <w:r>
              <w:rPr>
                <w:rFonts w:hint="eastAsia"/>
                <w:color w:val="auto"/>
                <w:spacing w:val="4"/>
                <w:sz w:val="24"/>
                <w:lang w:val="en-US" w:eastAsia="zh-CN"/>
              </w:rPr>
              <w:t>燃生物质</w:t>
            </w:r>
            <w:r>
              <w:rPr>
                <w:rFonts w:hint="eastAsia"/>
                <w:color w:val="auto"/>
                <w:spacing w:val="4"/>
                <w:sz w:val="24"/>
              </w:rPr>
              <w:t>导热油炉</w:t>
            </w:r>
            <w:r>
              <w:rPr>
                <w:rFonts w:hint="eastAsia"/>
                <w:color w:val="auto"/>
                <w:spacing w:val="4"/>
                <w:sz w:val="24"/>
                <w:lang w:val="en-US" w:eastAsia="zh-CN"/>
              </w:rPr>
              <w:t>替换为1台1800KW（155万大卡）燃生物质</w:t>
            </w:r>
            <w:r>
              <w:rPr>
                <w:rFonts w:hint="eastAsia"/>
                <w:color w:val="auto"/>
                <w:spacing w:val="4"/>
                <w:sz w:val="24"/>
              </w:rPr>
              <w:t>导热油炉，则环评类别为报告表。</w:t>
            </w:r>
          </w:p>
          <w:p w14:paraId="09D9CBBD">
            <w:pPr>
              <w:adjustRightInd w:val="0"/>
              <w:snapToGrid w:val="0"/>
              <w:spacing w:line="360" w:lineRule="auto"/>
              <w:ind w:firstLine="482" w:firstLineChars="200"/>
              <w:rPr>
                <w:b/>
                <w:bCs/>
                <w:color w:val="auto"/>
                <w:sz w:val="24"/>
              </w:rPr>
            </w:pPr>
            <w:r>
              <w:rPr>
                <w:rFonts w:hint="eastAsia"/>
                <w:b/>
                <w:bCs/>
                <w:color w:val="auto"/>
                <w:sz w:val="24"/>
              </w:rPr>
              <w:t>2、</w:t>
            </w:r>
            <w:r>
              <w:rPr>
                <w:b/>
                <w:bCs/>
                <w:color w:val="auto"/>
                <w:sz w:val="24"/>
              </w:rPr>
              <w:t>项目概况</w:t>
            </w:r>
          </w:p>
          <w:p w14:paraId="0426E757">
            <w:pPr>
              <w:spacing w:line="360" w:lineRule="auto"/>
              <w:ind w:firstLine="496" w:firstLineChars="200"/>
              <w:rPr>
                <w:rFonts w:hint="default" w:eastAsia="宋体"/>
                <w:color w:val="auto"/>
                <w:sz w:val="24"/>
                <w:lang w:val="en-US" w:eastAsia="zh-CN"/>
              </w:rPr>
            </w:pPr>
            <w:r>
              <w:rPr>
                <w:rFonts w:hint="eastAsia"/>
                <w:color w:val="auto"/>
                <w:spacing w:val="4"/>
                <w:sz w:val="24"/>
              </w:rPr>
              <w:t>（1）项目名称：</w:t>
            </w:r>
            <w:r>
              <w:rPr>
                <w:rFonts w:hint="eastAsia"/>
                <w:color w:val="auto"/>
                <w:sz w:val="24"/>
                <w:szCs w:val="21"/>
              </w:rPr>
              <w:t>鸡西市海盛新能源材料有限公司锅炉改造项目</w:t>
            </w:r>
          </w:p>
          <w:p w14:paraId="04239828">
            <w:pPr>
              <w:spacing w:line="360" w:lineRule="auto"/>
              <w:ind w:firstLine="496" w:firstLineChars="200"/>
              <w:rPr>
                <w:color w:val="auto"/>
                <w:spacing w:val="4"/>
                <w:sz w:val="24"/>
              </w:rPr>
            </w:pPr>
            <w:r>
              <w:rPr>
                <w:rFonts w:hint="eastAsia"/>
                <w:color w:val="auto"/>
                <w:spacing w:val="4"/>
                <w:sz w:val="24"/>
              </w:rPr>
              <w:t>（2）建设单位：</w:t>
            </w:r>
            <w:r>
              <w:rPr>
                <w:rFonts w:hint="eastAsia"/>
                <w:color w:val="auto"/>
                <w:sz w:val="24"/>
                <w:szCs w:val="21"/>
              </w:rPr>
              <w:t>鸡西市海盛新能源材料有限公司</w:t>
            </w:r>
          </w:p>
          <w:p w14:paraId="7CCCA8A7">
            <w:pPr>
              <w:spacing w:line="360" w:lineRule="auto"/>
              <w:ind w:firstLine="496" w:firstLineChars="200"/>
              <w:rPr>
                <w:rFonts w:hint="eastAsia" w:eastAsia="宋体"/>
                <w:color w:val="auto"/>
                <w:spacing w:val="4"/>
                <w:sz w:val="24"/>
                <w:lang w:eastAsia="zh-CN"/>
              </w:rPr>
            </w:pPr>
            <w:r>
              <w:rPr>
                <w:rFonts w:hint="eastAsia"/>
                <w:color w:val="auto"/>
                <w:spacing w:val="4"/>
                <w:sz w:val="24"/>
              </w:rPr>
              <w:t>（3）建设性质：</w:t>
            </w:r>
            <w:r>
              <w:rPr>
                <w:rFonts w:hint="eastAsia"/>
                <w:color w:val="auto"/>
                <w:spacing w:val="4"/>
                <w:sz w:val="24"/>
                <w:lang w:val="en-US" w:eastAsia="zh-CN"/>
              </w:rPr>
              <w:t>改建</w:t>
            </w:r>
          </w:p>
          <w:p w14:paraId="7D55832A">
            <w:pPr>
              <w:spacing w:line="360" w:lineRule="auto"/>
              <w:ind w:firstLine="496" w:firstLineChars="200"/>
              <w:rPr>
                <w:rFonts w:hint="default" w:eastAsia="宋体"/>
                <w:color w:val="auto"/>
                <w:spacing w:val="4"/>
                <w:sz w:val="24"/>
                <w:lang w:val="en-US" w:eastAsia="zh-CN"/>
              </w:rPr>
            </w:pPr>
            <w:r>
              <w:rPr>
                <w:rFonts w:hint="eastAsia"/>
                <w:color w:val="auto"/>
                <w:spacing w:val="4"/>
                <w:sz w:val="24"/>
              </w:rPr>
              <w:t>（4）建设规模：</w:t>
            </w:r>
            <w:r>
              <w:rPr>
                <w:rFonts w:hint="eastAsia"/>
                <w:color w:val="auto"/>
                <w:spacing w:val="4"/>
                <w:sz w:val="24"/>
                <w:lang w:val="en-US" w:eastAsia="zh-CN"/>
              </w:rPr>
              <w:t>本项目淘汰1</w:t>
            </w:r>
            <w:r>
              <w:rPr>
                <w:rFonts w:hint="eastAsia"/>
                <w:color w:val="auto"/>
                <w:spacing w:val="4"/>
                <w:sz w:val="24"/>
              </w:rPr>
              <w:t>台20万大卡</w:t>
            </w:r>
            <w:r>
              <w:rPr>
                <w:rFonts w:hint="eastAsia"/>
                <w:color w:val="auto"/>
                <w:spacing w:val="4"/>
                <w:sz w:val="24"/>
                <w:lang w:val="en-US" w:eastAsia="zh-CN"/>
              </w:rPr>
              <w:t>燃生物质</w:t>
            </w:r>
            <w:r>
              <w:rPr>
                <w:rFonts w:hint="eastAsia"/>
                <w:color w:val="auto"/>
                <w:spacing w:val="4"/>
                <w:sz w:val="24"/>
              </w:rPr>
              <w:t>导热油炉</w:t>
            </w:r>
            <w:r>
              <w:rPr>
                <w:rFonts w:hint="eastAsia"/>
                <w:color w:val="auto"/>
                <w:spacing w:val="4"/>
                <w:sz w:val="24"/>
                <w:lang w:val="en-US" w:eastAsia="zh-CN"/>
              </w:rPr>
              <w:t>和</w:t>
            </w:r>
            <w:r>
              <w:rPr>
                <w:rFonts w:hint="eastAsia"/>
                <w:color w:val="auto"/>
                <w:spacing w:val="4"/>
                <w:sz w:val="24"/>
              </w:rPr>
              <w:t>1台</w:t>
            </w:r>
            <w:r>
              <w:rPr>
                <w:rFonts w:hint="eastAsia"/>
                <w:color w:val="auto"/>
                <w:spacing w:val="4"/>
                <w:sz w:val="24"/>
                <w:lang w:val="en-US" w:eastAsia="zh-CN"/>
              </w:rPr>
              <w:t>3</w:t>
            </w:r>
            <w:r>
              <w:rPr>
                <w:rFonts w:hint="eastAsia"/>
                <w:color w:val="auto"/>
                <w:spacing w:val="4"/>
                <w:sz w:val="24"/>
              </w:rPr>
              <w:t>0万大卡</w:t>
            </w:r>
            <w:r>
              <w:rPr>
                <w:rFonts w:hint="eastAsia"/>
                <w:color w:val="auto"/>
                <w:spacing w:val="4"/>
                <w:sz w:val="24"/>
                <w:lang w:val="en-US" w:eastAsia="zh-CN"/>
              </w:rPr>
              <w:t>燃生物质</w:t>
            </w:r>
            <w:r>
              <w:rPr>
                <w:rFonts w:hint="eastAsia"/>
                <w:color w:val="auto"/>
                <w:spacing w:val="4"/>
                <w:sz w:val="24"/>
              </w:rPr>
              <w:t>导热油炉并替换为</w:t>
            </w:r>
            <w:r>
              <w:rPr>
                <w:rFonts w:hint="eastAsia"/>
                <w:color w:val="auto"/>
                <w:spacing w:val="4"/>
                <w:sz w:val="24"/>
                <w:lang w:val="en-US" w:eastAsia="zh-CN"/>
              </w:rPr>
              <w:t>1台1800KW（155万大卡）燃生物质</w:t>
            </w:r>
            <w:r>
              <w:rPr>
                <w:rFonts w:hint="eastAsia"/>
                <w:color w:val="auto"/>
                <w:spacing w:val="4"/>
                <w:sz w:val="24"/>
              </w:rPr>
              <w:t>导热油炉</w:t>
            </w:r>
            <w:r>
              <w:rPr>
                <w:rFonts w:hint="eastAsia"/>
                <w:bCs/>
                <w:color w:val="auto"/>
                <w:sz w:val="24"/>
                <w:lang w:val="en-US" w:eastAsia="zh-CN"/>
              </w:rPr>
              <w:t>。更换后</w:t>
            </w:r>
            <w:r>
              <w:rPr>
                <w:rFonts w:hint="eastAsia"/>
                <w:color w:val="auto"/>
                <w:spacing w:val="4"/>
                <w:sz w:val="24"/>
                <w:lang w:val="en-US" w:eastAsia="zh-CN"/>
              </w:rPr>
              <w:t>1800KW（155万大卡）燃生物质</w:t>
            </w:r>
            <w:r>
              <w:rPr>
                <w:rFonts w:hint="eastAsia"/>
                <w:color w:val="auto"/>
                <w:spacing w:val="4"/>
                <w:sz w:val="24"/>
              </w:rPr>
              <w:t>导热油炉</w:t>
            </w:r>
            <w:r>
              <w:rPr>
                <w:rFonts w:hint="eastAsia"/>
                <w:bCs/>
                <w:color w:val="auto"/>
                <w:sz w:val="24"/>
                <w:lang w:val="en-US" w:eastAsia="zh-CN"/>
              </w:rPr>
              <w:t>用于生产供热，本项目建成后石墨生产线保持不变，只是改变供热方式。淘汰的2台导热油炉（</w:t>
            </w:r>
            <w:r>
              <w:rPr>
                <w:rFonts w:hint="eastAsia"/>
                <w:color w:val="auto"/>
                <w:spacing w:val="4"/>
                <w:sz w:val="24"/>
              </w:rPr>
              <w:t>20万大卡</w:t>
            </w:r>
            <w:r>
              <w:rPr>
                <w:rFonts w:hint="eastAsia"/>
                <w:color w:val="auto"/>
                <w:spacing w:val="4"/>
                <w:sz w:val="24"/>
                <w:lang w:val="en-US" w:eastAsia="zh-CN"/>
              </w:rPr>
              <w:t>燃生物质</w:t>
            </w:r>
            <w:r>
              <w:rPr>
                <w:rFonts w:hint="eastAsia"/>
                <w:color w:val="auto"/>
                <w:spacing w:val="4"/>
                <w:sz w:val="24"/>
              </w:rPr>
              <w:t>导热油炉</w:t>
            </w:r>
            <w:r>
              <w:rPr>
                <w:rFonts w:hint="eastAsia"/>
                <w:color w:val="auto"/>
                <w:spacing w:val="4"/>
                <w:sz w:val="24"/>
                <w:lang w:val="en-US" w:eastAsia="zh-CN"/>
              </w:rPr>
              <w:t>、3</w:t>
            </w:r>
            <w:r>
              <w:rPr>
                <w:rFonts w:hint="eastAsia"/>
                <w:color w:val="auto"/>
                <w:spacing w:val="4"/>
                <w:sz w:val="24"/>
              </w:rPr>
              <w:t>0万大卡</w:t>
            </w:r>
            <w:r>
              <w:rPr>
                <w:rFonts w:hint="eastAsia"/>
                <w:color w:val="auto"/>
                <w:spacing w:val="4"/>
                <w:sz w:val="24"/>
                <w:lang w:val="en-US" w:eastAsia="zh-CN"/>
              </w:rPr>
              <w:t>燃生物质</w:t>
            </w:r>
            <w:r>
              <w:rPr>
                <w:rFonts w:hint="eastAsia"/>
                <w:color w:val="auto"/>
                <w:spacing w:val="4"/>
                <w:sz w:val="24"/>
              </w:rPr>
              <w:t>导热油炉</w:t>
            </w:r>
            <w:r>
              <w:rPr>
                <w:rFonts w:hint="eastAsia"/>
                <w:bCs/>
                <w:color w:val="auto"/>
                <w:sz w:val="24"/>
                <w:lang w:val="en-US" w:eastAsia="zh-CN"/>
              </w:rPr>
              <w:t>）、烟道及两根排气筒</w:t>
            </w:r>
            <w:r>
              <w:rPr>
                <w:rFonts w:hint="eastAsia"/>
                <w:color w:val="auto"/>
                <w:spacing w:val="4"/>
                <w:sz w:val="24"/>
                <w:lang w:val="en-US" w:eastAsia="zh-CN"/>
              </w:rPr>
              <w:t>现已拆除并外售。</w:t>
            </w:r>
          </w:p>
          <w:p w14:paraId="7AA30BD1">
            <w:pPr>
              <w:spacing w:line="360" w:lineRule="auto"/>
              <w:ind w:firstLine="480" w:firstLineChars="200"/>
              <w:rPr>
                <w:color w:val="auto"/>
                <w:spacing w:val="4"/>
                <w:sz w:val="24"/>
              </w:rPr>
            </w:pPr>
            <w:r>
              <w:rPr>
                <w:rFonts w:hint="eastAsia"/>
                <w:color w:val="auto"/>
                <w:sz w:val="24"/>
              </w:rPr>
              <w:t>项目位</w:t>
            </w:r>
            <w:r>
              <w:rPr>
                <w:rFonts w:hint="eastAsia" w:ascii="Times New Roman" w:hAnsi="Times New Roman" w:eastAsia="宋体" w:cs="Times New Roman"/>
                <w:color w:val="auto"/>
                <w:spacing w:val="4"/>
                <w:sz w:val="24"/>
                <w:lang w:val="en-US" w:eastAsia="zh-CN"/>
              </w:rPr>
              <w:t>于黑龙江省鸡西市梨树区穆棱办新兴委，依托厂区内现有锅炉房</w:t>
            </w:r>
            <w:r>
              <w:rPr>
                <w:rFonts w:hint="eastAsia" w:cs="Times New Roman"/>
                <w:color w:val="auto"/>
                <w:spacing w:val="4"/>
                <w:sz w:val="24"/>
                <w:lang w:val="en-US" w:eastAsia="zh-CN"/>
              </w:rPr>
              <w:t>，</w:t>
            </w:r>
            <w:r>
              <w:rPr>
                <w:rFonts w:hint="eastAsia"/>
                <w:color w:val="auto"/>
                <w:sz w:val="24"/>
              </w:rPr>
              <w:t>不新增用地，锅炉房占地面积</w:t>
            </w:r>
            <w:r>
              <w:rPr>
                <w:rFonts w:hint="eastAsia"/>
                <w:color w:val="auto"/>
                <w:sz w:val="24"/>
                <w:lang w:val="en-US" w:eastAsia="zh-CN"/>
              </w:rPr>
              <w:t>110</w:t>
            </w:r>
            <w:r>
              <w:rPr>
                <w:rFonts w:hint="eastAsia"/>
                <w:color w:val="auto"/>
                <w:sz w:val="24"/>
              </w:rPr>
              <w:t>m</w:t>
            </w:r>
            <w:r>
              <w:rPr>
                <w:rFonts w:hint="eastAsia"/>
                <w:color w:val="auto"/>
                <w:sz w:val="24"/>
                <w:vertAlign w:val="superscript"/>
              </w:rPr>
              <w:t>2</w:t>
            </w:r>
            <w:r>
              <w:rPr>
                <w:rFonts w:hint="eastAsia"/>
                <w:color w:val="auto"/>
                <w:spacing w:val="4"/>
                <w:sz w:val="24"/>
              </w:rPr>
              <w:t>。</w:t>
            </w:r>
            <w:r>
              <w:rPr>
                <w:color w:val="auto"/>
                <w:spacing w:val="4"/>
                <w:sz w:val="24"/>
              </w:rPr>
              <w:t>具体建设内容以及建设规模</w:t>
            </w:r>
            <w:r>
              <w:rPr>
                <w:rFonts w:hint="eastAsia"/>
                <w:color w:val="auto"/>
                <w:spacing w:val="4"/>
                <w:sz w:val="24"/>
              </w:rPr>
              <w:t>见</w:t>
            </w:r>
            <w:r>
              <w:rPr>
                <w:color w:val="auto"/>
                <w:spacing w:val="4"/>
                <w:sz w:val="24"/>
              </w:rPr>
              <w:t>表</w:t>
            </w:r>
            <w:r>
              <w:rPr>
                <w:rFonts w:hint="eastAsia"/>
                <w:color w:val="auto"/>
                <w:spacing w:val="4"/>
                <w:sz w:val="24"/>
              </w:rPr>
              <w:t>2</w:t>
            </w:r>
            <w:r>
              <w:rPr>
                <w:color w:val="auto"/>
                <w:spacing w:val="4"/>
                <w:sz w:val="24"/>
              </w:rPr>
              <w:t>-1</w:t>
            </w:r>
            <w:r>
              <w:rPr>
                <w:rFonts w:hint="eastAsia"/>
                <w:color w:val="auto"/>
                <w:spacing w:val="4"/>
                <w:sz w:val="24"/>
              </w:rPr>
              <w:t>。</w:t>
            </w:r>
          </w:p>
          <w:p w14:paraId="3E7E303B">
            <w:pPr>
              <w:adjustRightInd w:val="0"/>
              <w:snapToGrid w:val="0"/>
              <w:spacing w:line="360" w:lineRule="auto"/>
              <w:ind w:firstLine="496" w:firstLineChars="200"/>
              <w:rPr>
                <w:color w:val="auto"/>
                <w:sz w:val="24"/>
              </w:rPr>
            </w:pPr>
            <w:r>
              <w:rPr>
                <w:rFonts w:hint="eastAsia"/>
                <w:color w:val="auto"/>
                <w:spacing w:val="4"/>
                <w:sz w:val="24"/>
              </w:rPr>
              <w:t>（5）总投资：本项目</w:t>
            </w:r>
            <w:r>
              <w:rPr>
                <w:rFonts w:hint="eastAsia"/>
                <w:color w:val="auto"/>
                <w:spacing w:val="4"/>
                <w:sz w:val="24"/>
                <w:lang w:val="en-US" w:eastAsia="zh-CN"/>
              </w:rPr>
              <w:t>总投资</w:t>
            </w:r>
            <w:r>
              <w:rPr>
                <w:rFonts w:hint="eastAsia"/>
                <w:color w:val="auto"/>
                <w:spacing w:val="4"/>
                <w:sz w:val="24"/>
              </w:rPr>
              <w:t>1</w:t>
            </w:r>
            <w:r>
              <w:rPr>
                <w:rFonts w:hint="eastAsia"/>
                <w:color w:val="auto"/>
                <w:spacing w:val="4"/>
                <w:sz w:val="24"/>
                <w:lang w:val="en-US" w:eastAsia="zh-CN"/>
              </w:rPr>
              <w:t>0</w:t>
            </w:r>
            <w:r>
              <w:rPr>
                <w:rFonts w:hint="eastAsia"/>
                <w:color w:val="auto"/>
                <w:spacing w:val="4"/>
                <w:sz w:val="24"/>
              </w:rPr>
              <w:t>0万元，</w:t>
            </w:r>
            <w:r>
              <w:rPr>
                <w:color w:val="auto"/>
                <w:sz w:val="24"/>
              </w:rPr>
              <w:t>其中环保投资</w:t>
            </w:r>
            <w:r>
              <w:rPr>
                <w:rFonts w:hint="eastAsia"/>
                <w:color w:val="auto"/>
                <w:spacing w:val="4"/>
                <w:sz w:val="24"/>
                <w:lang w:val="en-US" w:eastAsia="zh-CN"/>
              </w:rPr>
              <w:t>14</w:t>
            </w:r>
            <w:r>
              <w:rPr>
                <w:color w:val="auto"/>
                <w:sz w:val="24"/>
              </w:rPr>
              <w:t>万元，占总投资的</w:t>
            </w:r>
            <w:r>
              <w:rPr>
                <w:rFonts w:hint="eastAsia"/>
                <w:color w:val="auto"/>
                <w:sz w:val="24"/>
                <w:lang w:val="en-US" w:eastAsia="zh-CN"/>
              </w:rPr>
              <w:t>14</w:t>
            </w:r>
            <w:r>
              <w:rPr>
                <w:color w:val="auto"/>
                <w:sz w:val="24"/>
              </w:rPr>
              <w:t>%。</w:t>
            </w:r>
          </w:p>
          <w:p w14:paraId="4D807E4A">
            <w:pPr>
              <w:adjustRightInd w:val="0"/>
              <w:snapToGrid w:val="0"/>
              <w:spacing w:line="360" w:lineRule="auto"/>
              <w:ind w:firstLine="482" w:firstLineChars="200"/>
              <w:rPr>
                <w:b/>
                <w:bCs/>
                <w:color w:val="auto"/>
                <w:sz w:val="24"/>
              </w:rPr>
            </w:pPr>
            <w:r>
              <w:rPr>
                <w:rFonts w:hint="eastAsia"/>
                <w:b/>
                <w:bCs/>
                <w:color w:val="auto"/>
                <w:sz w:val="24"/>
              </w:rPr>
              <w:t>3</w:t>
            </w:r>
            <w:r>
              <w:rPr>
                <w:b/>
                <w:bCs/>
                <w:color w:val="auto"/>
                <w:sz w:val="24"/>
              </w:rPr>
              <w:t>、建设内容</w:t>
            </w:r>
          </w:p>
          <w:p w14:paraId="4B35155C">
            <w:pPr>
              <w:adjustRightInd w:val="0"/>
              <w:snapToGrid w:val="0"/>
              <w:spacing w:line="360" w:lineRule="auto"/>
              <w:ind w:firstLine="480" w:firstLineChars="200"/>
              <w:rPr>
                <w:color w:val="auto"/>
                <w:sz w:val="24"/>
              </w:rPr>
            </w:pPr>
            <w:r>
              <w:rPr>
                <w:color w:val="auto"/>
                <w:sz w:val="24"/>
              </w:rPr>
              <w:t>本次工程项目组成主要包括主体工程、辅助工程、公用工程、储运工程及环保工程，本项目建设内容见表</w:t>
            </w:r>
            <w:r>
              <w:rPr>
                <w:rFonts w:hint="eastAsia"/>
                <w:color w:val="auto"/>
                <w:sz w:val="24"/>
              </w:rPr>
              <w:t>2-1</w:t>
            </w:r>
            <w:r>
              <w:rPr>
                <w:color w:val="auto"/>
                <w:sz w:val="24"/>
              </w:rPr>
              <w:t>。</w:t>
            </w:r>
          </w:p>
          <w:p w14:paraId="0E9AA7F8">
            <w:pPr>
              <w:jc w:val="center"/>
              <w:rPr>
                <w:b/>
                <w:color w:val="auto"/>
                <w:szCs w:val="21"/>
              </w:rPr>
            </w:pPr>
            <w:r>
              <w:rPr>
                <w:b/>
                <w:color w:val="auto"/>
                <w:szCs w:val="21"/>
              </w:rPr>
              <w:t>表2-1</w:t>
            </w:r>
            <w:r>
              <w:rPr>
                <w:rFonts w:hint="eastAsia"/>
                <w:b/>
                <w:color w:val="auto"/>
                <w:szCs w:val="21"/>
              </w:rPr>
              <w:t xml:space="preserve">  </w:t>
            </w:r>
            <w:r>
              <w:rPr>
                <w:b/>
                <w:color w:val="auto"/>
                <w:szCs w:val="21"/>
              </w:rPr>
              <w:t>项目组成一览表</w:t>
            </w:r>
          </w:p>
          <w:tbl>
            <w:tblPr>
              <w:tblStyle w:val="3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53"/>
              <w:gridCol w:w="590"/>
              <w:gridCol w:w="1839"/>
              <w:gridCol w:w="2130"/>
              <w:gridCol w:w="2190"/>
              <w:gridCol w:w="719"/>
            </w:tblGrid>
            <w:tr w14:paraId="7AF15D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2" w:type="pct"/>
                  <w:vAlign w:val="center"/>
                </w:tcPr>
                <w:p w14:paraId="452EA6C2">
                  <w:pPr>
                    <w:adjustRightInd w:val="0"/>
                    <w:snapToGrid w:val="0"/>
                    <w:jc w:val="center"/>
                    <w:rPr>
                      <w:color w:val="auto"/>
                      <w:szCs w:val="21"/>
                    </w:rPr>
                  </w:pPr>
                  <w:r>
                    <w:rPr>
                      <w:color w:val="auto"/>
                      <w:szCs w:val="21"/>
                    </w:rPr>
                    <w:t>工程</w:t>
                  </w:r>
                </w:p>
                <w:p w14:paraId="194958B7">
                  <w:pPr>
                    <w:adjustRightInd w:val="0"/>
                    <w:snapToGrid w:val="0"/>
                    <w:jc w:val="center"/>
                    <w:rPr>
                      <w:color w:val="auto"/>
                      <w:szCs w:val="21"/>
                    </w:rPr>
                  </w:pPr>
                  <w:r>
                    <w:rPr>
                      <w:color w:val="auto"/>
                      <w:szCs w:val="21"/>
                    </w:rPr>
                    <w:t>类别</w:t>
                  </w:r>
                </w:p>
              </w:tc>
              <w:tc>
                <w:tcPr>
                  <w:tcW w:w="363" w:type="pct"/>
                  <w:vAlign w:val="center"/>
                </w:tcPr>
                <w:p w14:paraId="0876057E">
                  <w:pPr>
                    <w:adjustRightInd w:val="0"/>
                    <w:snapToGrid w:val="0"/>
                    <w:jc w:val="center"/>
                    <w:rPr>
                      <w:color w:val="auto"/>
                      <w:szCs w:val="21"/>
                    </w:rPr>
                  </w:pPr>
                  <w:r>
                    <w:rPr>
                      <w:color w:val="auto"/>
                      <w:szCs w:val="21"/>
                    </w:rPr>
                    <w:t>项目名称</w:t>
                  </w:r>
                </w:p>
              </w:tc>
              <w:tc>
                <w:tcPr>
                  <w:tcW w:w="1132" w:type="pct"/>
                  <w:vAlign w:val="center"/>
                </w:tcPr>
                <w:p w14:paraId="3CEE8CE0">
                  <w:pPr>
                    <w:adjustRightInd w:val="0"/>
                    <w:snapToGrid w:val="0"/>
                    <w:jc w:val="center"/>
                    <w:rPr>
                      <w:rFonts w:hint="default" w:eastAsia="宋体"/>
                      <w:color w:val="auto"/>
                      <w:szCs w:val="21"/>
                      <w:lang w:val="en-US" w:eastAsia="zh-CN"/>
                    </w:rPr>
                  </w:pPr>
                  <w:r>
                    <w:rPr>
                      <w:rFonts w:hint="eastAsia"/>
                      <w:color w:val="auto"/>
                      <w:szCs w:val="21"/>
                      <w:lang w:val="en-US" w:eastAsia="zh-CN"/>
                    </w:rPr>
                    <w:t>现有工程</w:t>
                  </w:r>
                </w:p>
              </w:tc>
              <w:tc>
                <w:tcPr>
                  <w:tcW w:w="1311" w:type="pct"/>
                  <w:vAlign w:val="center"/>
                </w:tcPr>
                <w:p w14:paraId="172F641E">
                  <w:pPr>
                    <w:adjustRightInd w:val="0"/>
                    <w:snapToGrid w:val="0"/>
                    <w:jc w:val="center"/>
                    <w:rPr>
                      <w:rFonts w:hint="default" w:eastAsia="宋体"/>
                      <w:color w:val="auto"/>
                      <w:szCs w:val="21"/>
                      <w:lang w:val="en-US" w:eastAsia="zh-CN"/>
                    </w:rPr>
                  </w:pPr>
                  <w:r>
                    <w:rPr>
                      <w:rFonts w:hint="eastAsia"/>
                      <w:color w:val="auto"/>
                      <w:szCs w:val="21"/>
                      <w:lang w:val="en-US" w:eastAsia="zh-CN"/>
                    </w:rPr>
                    <w:t>本次改建内容</w:t>
                  </w:r>
                </w:p>
              </w:tc>
              <w:tc>
                <w:tcPr>
                  <w:tcW w:w="1348" w:type="pct"/>
                  <w:vAlign w:val="center"/>
                </w:tcPr>
                <w:p w14:paraId="21F5CFB1">
                  <w:pPr>
                    <w:adjustRightInd w:val="0"/>
                    <w:snapToGrid w:val="0"/>
                    <w:jc w:val="center"/>
                    <w:rPr>
                      <w:rFonts w:hint="eastAsia" w:eastAsia="宋体"/>
                      <w:color w:val="auto"/>
                      <w:szCs w:val="21"/>
                      <w:lang w:val="en-US" w:eastAsia="zh-CN"/>
                    </w:rPr>
                  </w:pPr>
                  <w:r>
                    <w:rPr>
                      <w:rFonts w:hint="eastAsia"/>
                      <w:color w:val="auto"/>
                      <w:szCs w:val="21"/>
                      <w:lang w:val="en-US" w:eastAsia="zh-CN"/>
                    </w:rPr>
                    <w:t>改建后</w:t>
                  </w:r>
                </w:p>
              </w:tc>
              <w:tc>
                <w:tcPr>
                  <w:tcW w:w="442" w:type="pct"/>
                  <w:vAlign w:val="center"/>
                </w:tcPr>
                <w:p w14:paraId="5B899EB9">
                  <w:pPr>
                    <w:adjustRightInd w:val="0"/>
                    <w:snapToGrid w:val="0"/>
                    <w:jc w:val="center"/>
                    <w:rPr>
                      <w:rFonts w:hint="default"/>
                      <w:color w:val="auto"/>
                      <w:szCs w:val="21"/>
                      <w:lang w:val="en-US" w:eastAsia="zh-CN"/>
                    </w:rPr>
                  </w:pPr>
                  <w:r>
                    <w:rPr>
                      <w:rFonts w:hint="eastAsia"/>
                      <w:color w:val="auto"/>
                      <w:szCs w:val="21"/>
                      <w:lang w:val="en-US" w:eastAsia="zh-CN"/>
                    </w:rPr>
                    <w:t>备注</w:t>
                  </w:r>
                </w:p>
              </w:tc>
            </w:tr>
            <w:tr w14:paraId="37765C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402" w:type="pct"/>
                  <w:vAlign w:val="center"/>
                </w:tcPr>
                <w:p w14:paraId="6C00E651">
                  <w:pPr>
                    <w:adjustRightInd w:val="0"/>
                    <w:snapToGrid w:val="0"/>
                    <w:jc w:val="center"/>
                    <w:rPr>
                      <w:color w:val="auto"/>
                      <w:szCs w:val="21"/>
                    </w:rPr>
                  </w:pPr>
                  <w:r>
                    <w:rPr>
                      <w:color w:val="auto"/>
                      <w:szCs w:val="21"/>
                    </w:rPr>
                    <w:t>主体工程</w:t>
                  </w:r>
                </w:p>
              </w:tc>
              <w:tc>
                <w:tcPr>
                  <w:tcW w:w="363" w:type="pct"/>
                  <w:vAlign w:val="center"/>
                </w:tcPr>
                <w:p w14:paraId="2A807444">
                  <w:pPr>
                    <w:adjustRightInd w:val="0"/>
                    <w:snapToGrid w:val="0"/>
                    <w:jc w:val="center"/>
                    <w:rPr>
                      <w:rFonts w:hint="default" w:eastAsia="宋体"/>
                      <w:color w:val="auto"/>
                      <w:szCs w:val="21"/>
                      <w:lang w:val="en-US" w:eastAsia="zh-CN"/>
                    </w:rPr>
                  </w:pPr>
                  <w:r>
                    <w:rPr>
                      <w:rFonts w:hint="eastAsia"/>
                      <w:color w:val="auto"/>
                      <w:szCs w:val="21"/>
                      <w:lang w:val="en-US" w:eastAsia="zh-CN"/>
                    </w:rPr>
                    <w:t>锅炉及其配套措施</w:t>
                  </w:r>
                </w:p>
              </w:tc>
              <w:tc>
                <w:tcPr>
                  <w:tcW w:w="1132" w:type="pct"/>
                  <w:vAlign w:val="center"/>
                </w:tcPr>
                <w:p w14:paraId="253EA2F0">
                  <w:pPr>
                    <w:adjustRightInd w:val="0"/>
                    <w:snapToGrid w:val="0"/>
                    <w:jc w:val="center"/>
                    <w:rPr>
                      <w:rFonts w:hint="default" w:eastAsia="宋体"/>
                      <w:color w:val="auto"/>
                      <w:szCs w:val="21"/>
                      <w:lang w:val="en-US" w:eastAsia="zh-CN"/>
                    </w:rPr>
                  </w:pPr>
                  <w:r>
                    <w:rPr>
                      <w:rFonts w:hint="eastAsia"/>
                      <w:color w:val="auto"/>
                      <w:szCs w:val="21"/>
                      <w:lang w:val="en-US" w:eastAsia="zh-CN"/>
                    </w:rPr>
                    <w:t>1台20万大卡燃生物质导热油炉和1台30万大卡燃生物质导热油炉，湿式除尘器，两根20m高排气筒</w:t>
                  </w:r>
                  <w:r>
                    <w:rPr>
                      <w:rFonts w:hint="default" w:eastAsia="宋体"/>
                      <w:color w:val="auto"/>
                      <w:szCs w:val="21"/>
                      <w:lang w:val="en-US" w:eastAsia="zh-CN"/>
                    </w:rPr>
                    <w:t>等设施</w:t>
                  </w:r>
                </w:p>
              </w:tc>
              <w:tc>
                <w:tcPr>
                  <w:tcW w:w="1311" w:type="pct"/>
                  <w:vAlign w:val="center"/>
                </w:tcPr>
                <w:p w14:paraId="7AA2FD5C">
                  <w:pPr>
                    <w:adjustRightInd w:val="0"/>
                    <w:snapToGrid w:val="0"/>
                    <w:jc w:val="center"/>
                    <w:rPr>
                      <w:rFonts w:hint="default" w:eastAsia="宋体"/>
                      <w:color w:val="auto"/>
                      <w:szCs w:val="21"/>
                      <w:lang w:val="en-US" w:eastAsia="zh-CN"/>
                    </w:rPr>
                  </w:pPr>
                  <w:r>
                    <w:rPr>
                      <w:rFonts w:hint="default" w:eastAsia="宋体"/>
                      <w:color w:val="auto"/>
                      <w:szCs w:val="21"/>
                      <w:lang w:val="en-US" w:eastAsia="zh-CN"/>
                    </w:rPr>
                    <w:t>在现有锅炉房内，</w:t>
                  </w:r>
                  <w:r>
                    <w:rPr>
                      <w:rFonts w:hint="eastAsia"/>
                      <w:color w:val="auto"/>
                      <w:szCs w:val="21"/>
                      <w:lang w:val="en-US" w:eastAsia="zh-CN"/>
                    </w:rPr>
                    <w:t>锅炉房建筑面积110m</w:t>
                  </w:r>
                  <w:r>
                    <w:rPr>
                      <w:rFonts w:hint="eastAsia"/>
                      <w:color w:val="auto"/>
                      <w:szCs w:val="21"/>
                      <w:vertAlign w:val="superscript"/>
                      <w:lang w:val="en-US" w:eastAsia="zh-CN"/>
                    </w:rPr>
                    <w:t>2</w:t>
                  </w:r>
                  <w:r>
                    <w:rPr>
                      <w:rFonts w:hint="eastAsia"/>
                      <w:color w:val="auto"/>
                      <w:szCs w:val="21"/>
                      <w:lang w:val="en-US" w:eastAsia="zh-CN"/>
                    </w:rPr>
                    <w:t>，建筑高度5m，</w:t>
                  </w:r>
                  <w:r>
                    <w:rPr>
                      <w:rFonts w:hint="default" w:eastAsia="宋体"/>
                      <w:color w:val="auto"/>
                      <w:szCs w:val="21"/>
                      <w:lang w:val="en-US" w:eastAsia="zh-CN"/>
                    </w:rPr>
                    <w:t>淘汰现有</w:t>
                  </w:r>
                  <w:r>
                    <w:rPr>
                      <w:rFonts w:hint="eastAsia"/>
                      <w:color w:val="auto"/>
                      <w:szCs w:val="21"/>
                      <w:lang w:val="en-US" w:eastAsia="zh-CN"/>
                    </w:rPr>
                    <w:t>1台20万大卡燃生物质导热油炉和1台30万大卡燃生物质导热油炉</w:t>
                  </w:r>
                  <w:r>
                    <w:rPr>
                      <w:rFonts w:hint="default" w:eastAsia="宋体"/>
                      <w:color w:val="auto"/>
                      <w:szCs w:val="21"/>
                      <w:lang w:val="en-US" w:eastAsia="zh-CN"/>
                    </w:rPr>
                    <w:t>，并替换为1台1800KW（155万大卡）燃生物质导热油炉，</w:t>
                  </w:r>
                  <w:r>
                    <w:rPr>
                      <w:rFonts w:hint="eastAsia"/>
                      <w:color w:val="auto"/>
                      <w:szCs w:val="21"/>
                      <w:lang w:val="en-US" w:eastAsia="zh-CN"/>
                    </w:rPr>
                    <w:t>配套旋风+布袋除尘器，1根30m高排气筒</w:t>
                  </w:r>
                  <w:r>
                    <w:rPr>
                      <w:rFonts w:hint="default" w:eastAsia="宋体"/>
                      <w:color w:val="auto"/>
                      <w:szCs w:val="21"/>
                      <w:lang w:val="en-US" w:eastAsia="zh-CN"/>
                    </w:rPr>
                    <w:t>等设施</w:t>
                  </w:r>
                </w:p>
              </w:tc>
              <w:tc>
                <w:tcPr>
                  <w:tcW w:w="1348" w:type="pct"/>
                  <w:vAlign w:val="center"/>
                </w:tcPr>
                <w:p w14:paraId="31F46B48">
                  <w:pPr>
                    <w:adjustRightInd w:val="0"/>
                    <w:snapToGrid w:val="0"/>
                    <w:jc w:val="center"/>
                    <w:rPr>
                      <w:color w:val="auto"/>
                      <w:szCs w:val="21"/>
                    </w:rPr>
                  </w:pPr>
                  <w:r>
                    <w:rPr>
                      <w:rFonts w:hint="eastAsia"/>
                      <w:color w:val="auto"/>
                      <w:szCs w:val="21"/>
                      <w:lang w:val="en-US" w:eastAsia="zh-CN"/>
                    </w:rPr>
                    <w:t>1台20万大卡燃生物质导热油炉和1台30万大卡燃生物质导热油炉</w:t>
                  </w:r>
                  <w:r>
                    <w:rPr>
                      <w:rFonts w:hint="default" w:eastAsia="宋体"/>
                      <w:color w:val="auto"/>
                      <w:szCs w:val="21"/>
                      <w:lang w:val="en-US" w:eastAsia="zh-CN"/>
                    </w:rPr>
                    <w:t>，并替换为1台1800KW（155万大卡）燃生物质导热油炉，</w:t>
                  </w:r>
                  <w:r>
                    <w:rPr>
                      <w:rFonts w:hint="eastAsia"/>
                      <w:color w:val="auto"/>
                      <w:szCs w:val="21"/>
                      <w:lang w:val="en-US" w:eastAsia="zh-CN"/>
                    </w:rPr>
                    <w:t>配套</w:t>
                  </w:r>
                  <w:r>
                    <w:rPr>
                      <w:rFonts w:hint="eastAsia" w:ascii="Times New Roman" w:hAnsi="Times New Roman" w:eastAsia="宋体" w:cs="Times New Roman"/>
                      <w:color w:val="auto"/>
                      <w:kern w:val="0"/>
                      <w:sz w:val="21"/>
                      <w:szCs w:val="21"/>
                      <w:highlight w:val="none"/>
                      <w:lang w:val="en-US" w:eastAsia="zh-CN" w:bidi="ar-SA"/>
                    </w:rPr>
                    <w:t>旋风除尘+</w:t>
                  </w:r>
                  <w:r>
                    <w:rPr>
                      <w:rFonts w:hint="eastAsia"/>
                      <w:color w:val="auto"/>
                      <w:szCs w:val="21"/>
                      <w:lang w:val="en-US" w:eastAsia="zh-CN"/>
                    </w:rPr>
                    <w:t>布袋除尘器，1根30m高排气筒</w:t>
                  </w:r>
                  <w:r>
                    <w:rPr>
                      <w:rFonts w:hint="default" w:eastAsia="宋体"/>
                      <w:color w:val="auto"/>
                      <w:szCs w:val="21"/>
                      <w:lang w:val="en-US" w:eastAsia="zh-CN"/>
                    </w:rPr>
                    <w:t>等设施</w:t>
                  </w:r>
                </w:p>
              </w:tc>
              <w:tc>
                <w:tcPr>
                  <w:tcW w:w="442" w:type="pct"/>
                  <w:vAlign w:val="center"/>
                </w:tcPr>
                <w:p w14:paraId="098AD2BA">
                  <w:pPr>
                    <w:adjustRightInd w:val="0"/>
                    <w:snapToGrid w:val="0"/>
                    <w:jc w:val="center"/>
                    <w:rPr>
                      <w:rFonts w:hint="default" w:eastAsia="宋体"/>
                      <w:color w:val="auto"/>
                      <w:szCs w:val="21"/>
                      <w:lang w:val="en-US" w:eastAsia="zh-CN"/>
                    </w:rPr>
                  </w:pPr>
                  <w:r>
                    <w:rPr>
                      <w:rFonts w:hint="eastAsia"/>
                      <w:color w:val="auto"/>
                      <w:szCs w:val="21"/>
                      <w:lang w:val="en-US" w:eastAsia="zh-CN"/>
                    </w:rPr>
                    <w:t>更换导热油炉，新建30m高排气筒</w:t>
                  </w:r>
                </w:p>
              </w:tc>
            </w:tr>
            <w:tr w14:paraId="647D34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2" w:type="pct"/>
                  <w:vMerge w:val="restart"/>
                  <w:vAlign w:val="center"/>
                </w:tcPr>
                <w:p w14:paraId="70D58E64">
                  <w:pPr>
                    <w:adjustRightInd w:val="0"/>
                    <w:snapToGrid w:val="0"/>
                    <w:jc w:val="center"/>
                    <w:rPr>
                      <w:rFonts w:hint="default" w:eastAsia="宋体"/>
                      <w:color w:val="auto"/>
                      <w:szCs w:val="21"/>
                      <w:lang w:val="en-US" w:eastAsia="zh-CN"/>
                    </w:rPr>
                  </w:pPr>
                  <w:r>
                    <w:rPr>
                      <w:rFonts w:hint="eastAsia"/>
                      <w:color w:val="auto"/>
                      <w:szCs w:val="21"/>
                      <w:lang w:val="en-US" w:eastAsia="zh-CN"/>
                    </w:rPr>
                    <w:t>储运工程</w:t>
                  </w:r>
                </w:p>
              </w:tc>
              <w:tc>
                <w:tcPr>
                  <w:tcW w:w="363" w:type="pct"/>
                  <w:vAlign w:val="center"/>
                </w:tcPr>
                <w:p w14:paraId="364BC3FA">
                  <w:pPr>
                    <w:adjustRightInd w:val="0"/>
                    <w:snapToGrid w:val="0"/>
                    <w:jc w:val="center"/>
                    <w:rPr>
                      <w:rFonts w:hint="default"/>
                      <w:color w:val="auto"/>
                      <w:szCs w:val="21"/>
                      <w:lang w:val="en-US" w:eastAsia="zh-CN"/>
                    </w:rPr>
                  </w:pPr>
                  <w:r>
                    <w:rPr>
                      <w:rFonts w:hint="eastAsia"/>
                      <w:color w:val="auto"/>
                      <w:szCs w:val="21"/>
                      <w:lang w:val="en-US" w:eastAsia="zh-CN"/>
                    </w:rPr>
                    <w:t>存料区</w:t>
                  </w:r>
                </w:p>
              </w:tc>
              <w:tc>
                <w:tcPr>
                  <w:tcW w:w="1132" w:type="pct"/>
                  <w:vAlign w:val="center"/>
                </w:tcPr>
                <w:p w14:paraId="6818631A">
                  <w:pPr>
                    <w:adjustRightInd w:val="0"/>
                    <w:snapToGrid w:val="0"/>
                    <w:jc w:val="center"/>
                    <w:rPr>
                      <w:rFonts w:hint="default" w:eastAsia="宋体"/>
                      <w:color w:val="auto"/>
                      <w:szCs w:val="21"/>
                      <w:lang w:val="en-US" w:eastAsia="zh-CN"/>
                    </w:rPr>
                  </w:pPr>
                  <w:r>
                    <w:rPr>
                      <w:rFonts w:hint="eastAsia"/>
                      <w:color w:val="auto"/>
                      <w:szCs w:val="21"/>
                      <w:lang w:val="en-US" w:eastAsia="zh-CN"/>
                    </w:rPr>
                    <w:t>生物质成型燃料袋装密封堆放在锅炉房内，最大存储量为20t，每天转运一次</w:t>
                  </w:r>
                </w:p>
              </w:tc>
              <w:tc>
                <w:tcPr>
                  <w:tcW w:w="1311" w:type="pct"/>
                  <w:vAlign w:val="center"/>
                </w:tcPr>
                <w:p w14:paraId="5F11C331">
                  <w:pPr>
                    <w:adjustRightInd w:val="0"/>
                    <w:snapToGrid w:val="0"/>
                    <w:jc w:val="center"/>
                    <w:rPr>
                      <w:rFonts w:hint="default"/>
                      <w:color w:val="auto"/>
                      <w:szCs w:val="21"/>
                      <w:lang w:val="en-US" w:eastAsia="zh-CN"/>
                    </w:rPr>
                  </w:pPr>
                  <w:r>
                    <w:rPr>
                      <w:rFonts w:hint="eastAsia"/>
                      <w:color w:val="auto"/>
                      <w:szCs w:val="21"/>
                      <w:lang w:val="en-US" w:eastAsia="zh-CN"/>
                    </w:rPr>
                    <w:t>无变化</w:t>
                  </w:r>
                </w:p>
              </w:tc>
              <w:tc>
                <w:tcPr>
                  <w:tcW w:w="1348" w:type="pct"/>
                  <w:vAlign w:val="center"/>
                </w:tcPr>
                <w:p w14:paraId="2C22287F">
                  <w:pPr>
                    <w:adjustRightInd w:val="0"/>
                    <w:snapToGrid w:val="0"/>
                    <w:jc w:val="center"/>
                    <w:rPr>
                      <w:rFonts w:hint="eastAsia"/>
                      <w:color w:val="auto"/>
                      <w:szCs w:val="21"/>
                    </w:rPr>
                  </w:pPr>
                  <w:r>
                    <w:rPr>
                      <w:rFonts w:hint="eastAsia"/>
                      <w:color w:val="auto"/>
                      <w:szCs w:val="21"/>
                      <w:lang w:val="en-US" w:eastAsia="zh-CN"/>
                    </w:rPr>
                    <w:t>生物质成型燃料袋装密封堆放在锅炉房内，最大存储量为20t，每天转运一次</w:t>
                  </w:r>
                </w:p>
              </w:tc>
              <w:tc>
                <w:tcPr>
                  <w:tcW w:w="442" w:type="pct"/>
                  <w:vAlign w:val="center"/>
                </w:tcPr>
                <w:p w14:paraId="79969B73">
                  <w:pPr>
                    <w:adjustRightInd w:val="0"/>
                    <w:snapToGrid w:val="0"/>
                    <w:jc w:val="center"/>
                    <w:rPr>
                      <w:rFonts w:hint="default"/>
                      <w:color w:val="auto"/>
                      <w:szCs w:val="21"/>
                      <w:lang w:val="en-US" w:eastAsia="zh-CN"/>
                    </w:rPr>
                  </w:pPr>
                  <w:r>
                    <w:rPr>
                      <w:rFonts w:hint="eastAsia"/>
                      <w:color w:val="auto"/>
                      <w:szCs w:val="21"/>
                      <w:lang w:val="en-US" w:eastAsia="zh-CN"/>
                    </w:rPr>
                    <w:t>依托现有</w:t>
                  </w:r>
                </w:p>
              </w:tc>
            </w:tr>
            <w:tr w14:paraId="63FCF0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2" w:type="pct"/>
                  <w:vMerge w:val="continue"/>
                  <w:vAlign w:val="center"/>
                </w:tcPr>
                <w:p w14:paraId="220B5D70">
                  <w:pPr>
                    <w:adjustRightInd w:val="0"/>
                    <w:snapToGrid w:val="0"/>
                    <w:jc w:val="center"/>
                    <w:rPr>
                      <w:color w:val="auto"/>
                      <w:szCs w:val="21"/>
                    </w:rPr>
                  </w:pPr>
                </w:p>
              </w:tc>
              <w:tc>
                <w:tcPr>
                  <w:tcW w:w="363" w:type="pct"/>
                  <w:vAlign w:val="center"/>
                </w:tcPr>
                <w:p w14:paraId="18DBFF42">
                  <w:pPr>
                    <w:adjustRightInd w:val="0"/>
                    <w:snapToGrid w:val="0"/>
                    <w:jc w:val="center"/>
                    <w:rPr>
                      <w:rFonts w:hint="default"/>
                      <w:color w:val="auto"/>
                      <w:szCs w:val="21"/>
                      <w:lang w:val="en-US" w:eastAsia="zh-CN"/>
                    </w:rPr>
                  </w:pPr>
                  <w:r>
                    <w:rPr>
                      <w:rFonts w:hint="eastAsia"/>
                      <w:color w:val="auto"/>
                      <w:szCs w:val="21"/>
                      <w:lang w:val="en-US" w:eastAsia="zh-CN"/>
                    </w:rPr>
                    <w:t>灰渣间</w:t>
                  </w:r>
                </w:p>
              </w:tc>
              <w:tc>
                <w:tcPr>
                  <w:tcW w:w="1132" w:type="pct"/>
                  <w:vAlign w:val="center"/>
                </w:tcPr>
                <w:p w14:paraId="113CAC5F">
                  <w:pPr>
                    <w:adjustRightInd w:val="0"/>
                    <w:snapToGrid w:val="0"/>
                    <w:jc w:val="center"/>
                    <w:rPr>
                      <w:rFonts w:hint="default" w:eastAsia="宋体"/>
                      <w:color w:val="auto"/>
                      <w:szCs w:val="21"/>
                      <w:lang w:val="en-US" w:eastAsia="zh-CN"/>
                    </w:rPr>
                  </w:pPr>
                  <w:r>
                    <w:rPr>
                      <w:rFonts w:hint="eastAsia"/>
                      <w:color w:val="auto"/>
                      <w:szCs w:val="21"/>
                      <w:lang w:val="en-US" w:eastAsia="zh-CN"/>
                    </w:rPr>
                    <w:t>灰渣堆放在锅炉房内</w:t>
                  </w:r>
                </w:p>
              </w:tc>
              <w:tc>
                <w:tcPr>
                  <w:tcW w:w="1311" w:type="pct"/>
                  <w:vAlign w:val="center"/>
                </w:tcPr>
                <w:p w14:paraId="6E975569">
                  <w:pPr>
                    <w:adjustRightInd w:val="0"/>
                    <w:snapToGrid w:val="0"/>
                    <w:jc w:val="center"/>
                    <w:rPr>
                      <w:rFonts w:hint="default"/>
                      <w:color w:val="auto"/>
                      <w:szCs w:val="21"/>
                      <w:lang w:val="en-US" w:eastAsia="zh-CN"/>
                    </w:rPr>
                  </w:pPr>
                  <w:r>
                    <w:rPr>
                      <w:rFonts w:hint="eastAsia"/>
                      <w:color w:val="auto"/>
                      <w:szCs w:val="21"/>
                      <w:lang w:val="en-US" w:eastAsia="zh-CN"/>
                    </w:rPr>
                    <w:t>新建灰渣间，位于锅炉房东侧，建筑面积20m</w:t>
                  </w:r>
                  <w:r>
                    <w:rPr>
                      <w:rFonts w:hint="eastAsia"/>
                      <w:color w:val="auto"/>
                      <w:szCs w:val="21"/>
                      <w:vertAlign w:val="superscript"/>
                      <w:lang w:val="en-US" w:eastAsia="zh-CN"/>
                    </w:rPr>
                    <w:t>2</w:t>
                  </w:r>
                  <w:r>
                    <w:rPr>
                      <w:rFonts w:hint="eastAsia"/>
                      <w:color w:val="auto"/>
                      <w:szCs w:val="21"/>
                      <w:lang w:val="en-US" w:eastAsia="zh-CN"/>
                    </w:rPr>
                    <w:t>，建筑高度3.5m砖瓦结构，密闭式，用于存放灰渣，最大存储量为20t</w:t>
                  </w:r>
                </w:p>
              </w:tc>
              <w:tc>
                <w:tcPr>
                  <w:tcW w:w="1348" w:type="pct"/>
                  <w:vAlign w:val="center"/>
                </w:tcPr>
                <w:p w14:paraId="14484B8E">
                  <w:pPr>
                    <w:adjustRightInd w:val="0"/>
                    <w:snapToGrid w:val="0"/>
                    <w:jc w:val="center"/>
                    <w:rPr>
                      <w:rFonts w:hint="eastAsia"/>
                      <w:color w:val="auto"/>
                      <w:szCs w:val="21"/>
                    </w:rPr>
                  </w:pPr>
                  <w:r>
                    <w:rPr>
                      <w:rFonts w:hint="eastAsia"/>
                      <w:color w:val="auto"/>
                      <w:szCs w:val="21"/>
                      <w:lang w:val="en-US" w:eastAsia="zh-CN"/>
                    </w:rPr>
                    <w:t>新建灰渣间，位于锅炉房东侧，建筑面积20m</w:t>
                  </w:r>
                  <w:r>
                    <w:rPr>
                      <w:rFonts w:hint="eastAsia"/>
                      <w:color w:val="auto"/>
                      <w:szCs w:val="21"/>
                      <w:vertAlign w:val="superscript"/>
                      <w:lang w:val="en-US" w:eastAsia="zh-CN"/>
                    </w:rPr>
                    <w:t>2</w:t>
                  </w:r>
                  <w:r>
                    <w:rPr>
                      <w:rFonts w:hint="eastAsia"/>
                      <w:color w:val="auto"/>
                      <w:szCs w:val="21"/>
                      <w:lang w:val="en-US" w:eastAsia="zh-CN"/>
                    </w:rPr>
                    <w:t>，建筑高度3.5m砖瓦结构，密闭式，用于存放灰渣，最大存储量为20t</w:t>
                  </w:r>
                </w:p>
              </w:tc>
              <w:tc>
                <w:tcPr>
                  <w:tcW w:w="442" w:type="pct"/>
                  <w:vAlign w:val="center"/>
                </w:tcPr>
                <w:p w14:paraId="1B468968">
                  <w:pPr>
                    <w:adjustRightInd w:val="0"/>
                    <w:snapToGrid w:val="0"/>
                    <w:jc w:val="center"/>
                    <w:rPr>
                      <w:rFonts w:hint="default"/>
                      <w:color w:val="auto"/>
                      <w:szCs w:val="21"/>
                      <w:lang w:val="en-US" w:eastAsia="zh-CN"/>
                    </w:rPr>
                  </w:pPr>
                  <w:r>
                    <w:rPr>
                      <w:rFonts w:hint="eastAsia"/>
                      <w:color w:val="auto"/>
                      <w:szCs w:val="21"/>
                      <w:lang w:val="en-US" w:eastAsia="zh-CN"/>
                    </w:rPr>
                    <w:t>新建</w:t>
                  </w:r>
                </w:p>
              </w:tc>
            </w:tr>
            <w:tr w14:paraId="3C3F71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2" w:type="pct"/>
                  <w:vMerge w:val="continue"/>
                  <w:vAlign w:val="center"/>
                </w:tcPr>
                <w:p w14:paraId="640D36BB">
                  <w:pPr>
                    <w:adjustRightInd w:val="0"/>
                    <w:snapToGrid w:val="0"/>
                    <w:jc w:val="center"/>
                    <w:rPr>
                      <w:color w:val="auto"/>
                      <w:szCs w:val="21"/>
                    </w:rPr>
                  </w:pPr>
                </w:p>
              </w:tc>
              <w:tc>
                <w:tcPr>
                  <w:tcW w:w="363" w:type="pct"/>
                  <w:vAlign w:val="center"/>
                </w:tcPr>
                <w:p w14:paraId="2EA22665">
                  <w:pPr>
                    <w:adjustRightInd w:val="0"/>
                    <w:snapToGrid w:val="0"/>
                    <w:jc w:val="center"/>
                    <w:rPr>
                      <w:rFonts w:hint="default"/>
                      <w:color w:val="auto"/>
                      <w:szCs w:val="21"/>
                      <w:lang w:val="en-US" w:eastAsia="zh-CN"/>
                    </w:rPr>
                  </w:pPr>
                  <w:r>
                    <w:rPr>
                      <w:rFonts w:hint="eastAsia"/>
                      <w:color w:val="auto"/>
                      <w:szCs w:val="21"/>
                      <w:lang w:val="en-US" w:eastAsia="zh-CN"/>
                    </w:rPr>
                    <w:t>危废贮存点</w:t>
                  </w:r>
                </w:p>
              </w:tc>
              <w:tc>
                <w:tcPr>
                  <w:tcW w:w="1132" w:type="pct"/>
                  <w:vAlign w:val="center"/>
                </w:tcPr>
                <w:p w14:paraId="56710198">
                  <w:pPr>
                    <w:adjustRightInd w:val="0"/>
                    <w:snapToGrid w:val="0"/>
                    <w:jc w:val="center"/>
                    <w:rPr>
                      <w:rFonts w:hint="default"/>
                      <w:color w:val="auto"/>
                      <w:szCs w:val="21"/>
                      <w:lang w:val="en-US" w:eastAsia="zh-CN"/>
                    </w:rPr>
                  </w:pPr>
                  <w:r>
                    <w:rPr>
                      <w:rFonts w:hint="eastAsia"/>
                      <w:color w:val="auto"/>
                      <w:szCs w:val="21"/>
                      <w:lang w:val="en-US" w:eastAsia="zh-CN"/>
                    </w:rPr>
                    <w:t>/</w:t>
                  </w:r>
                </w:p>
              </w:tc>
              <w:tc>
                <w:tcPr>
                  <w:tcW w:w="1311" w:type="pct"/>
                  <w:vAlign w:val="center"/>
                </w:tcPr>
                <w:p w14:paraId="11669340">
                  <w:pPr>
                    <w:adjustRightInd w:val="0"/>
                    <w:snapToGrid w:val="0"/>
                    <w:jc w:val="center"/>
                    <w:rPr>
                      <w:rFonts w:hint="eastAsia"/>
                      <w:color w:val="auto"/>
                      <w:szCs w:val="21"/>
                      <w:lang w:val="en-US" w:eastAsia="zh-CN"/>
                    </w:rPr>
                  </w:pPr>
                  <w:r>
                    <w:rPr>
                      <w:rFonts w:hint="eastAsia"/>
                      <w:color w:val="auto"/>
                    </w:rPr>
                    <w:t>位于</w:t>
                  </w:r>
                  <w:r>
                    <w:rPr>
                      <w:rFonts w:hint="eastAsia"/>
                      <w:color w:val="auto"/>
                      <w:lang w:val="en-US" w:eastAsia="zh-CN"/>
                    </w:rPr>
                    <w:t>厂房东南</w:t>
                  </w:r>
                  <w:r>
                    <w:rPr>
                      <w:rFonts w:hint="eastAsia"/>
                      <w:color w:val="auto"/>
                    </w:rPr>
                    <w:t>侧，</w:t>
                  </w:r>
                  <w:r>
                    <w:rPr>
                      <w:rFonts w:hint="eastAsia"/>
                      <w:color w:val="auto"/>
                      <w:szCs w:val="21"/>
                    </w:rPr>
                    <w:t>建筑高度</w:t>
                  </w:r>
                  <w:r>
                    <w:rPr>
                      <w:rFonts w:hint="eastAsia"/>
                      <w:color w:val="auto"/>
                      <w:szCs w:val="21"/>
                      <w:lang w:val="en-US" w:eastAsia="zh-CN"/>
                    </w:rPr>
                    <w:t>3</w:t>
                  </w:r>
                  <w:r>
                    <w:rPr>
                      <w:rFonts w:hint="eastAsia"/>
                      <w:color w:val="auto"/>
                      <w:szCs w:val="21"/>
                    </w:rPr>
                    <w:t>m，建筑面积</w:t>
                  </w:r>
                  <w:r>
                    <w:rPr>
                      <w:rFonts w:hint="eastAsia"/>
                      <w:color w:val="auto"/>
                      <w:szCs w:val="21"/>
                      <w:lang w:val="en-US" w:eastAsia="zh-CN"/>
                    </w:rPr>
                    <w:t>20</w:t>
                  </w:r>
                  <w:r>
                    <w:rPr>
                      <w:rFonts w:hint="eastAsia"/>
                      <w:color w:val="auto"/>
                      <w:szCs w:val="21"/>
                    </w:rPr>
                    <w:t>m</w:t>
                  </w:r>
                  <w:r>
                    <w:rPr>
                      <w:rFonts w:hint="eastAsia"/>
                      <w:color w:val="auto"/>
                      <w:szCs w:val="21"/>
                      <w:vertAlign w:val="superscript"/>
                    </w:rPr>
                    <w:t>2</w:t>
                  </w:r>
                  <w:r>
                    <w:rPr>
                      <w:rFonts w:hint="eastAsia"/>
                      <w:color w:val="auto"/>
                    </w:rPr>
                    <w:t>，</w:t>
                  </w:r>
                  <w:r>
                    <w:rPr>
                      <w:rFonts w:hint="eastAsia"/>
                      <w:color w:val="auto"/>
                      <w:lang w:val="en-US" w:eastAsia="zh-CN"/>
                    </w:rPr>
                    <w:t>最大贮存量3t，</w:t>
                  </w:r>
                  <w:r>
                    <w:rPr>
                      <w:rFonts w:hint="eastAsia"/>
                      <w:color w:val="auto"/>
                    </w:rPr>
                    <w:t>一层，砖混结构，用于储存</w:t>
                  </w:r>
                  <w:r>
                    <w:rPr>
                      <w:rFonts w:hint="eastAsia"/>
                      <w:color w:val="auto"/>
                      <w:lang w:val="en-US" w:eastAsia="zh-CN"/>
                    </w:rPr>
                    <w:t>危险废物</w:t>
                  </w:r>
                  <w:r>
                    <w:rPr>
                      <w:rFonts w:hint="eastAsia"/>
                      <w:color w:val="auto"/>
                    </w:rPr>
                    <w:t>，</w:t>
                  </w:r>
                  <w:r>
                    <w:rPr>
                      <w:rFonts w:hint="eastAsia"/>
                      <w:color w:val="auto"/>
                      <w:lang w:eastAsia="zh-CN"/>
                    </w:rPr>
                    <w:t>危废贮存点</w:t>
                  </w:r>
                  <w:r>
                    <w:rPr>
                      <w:color w:val="auto"/>
                    </w:rPr>
                    <w:t>严格按照</w:t>
                  </w:r>
                  <w:r>
                    <w:rPr>
                      <w:rFonts w:hint="eastAsia"/>
                      <w:color w:val="auto"/>
                    </w:rPr>
                    <w:t>《危险废物贮存污染控制标准》（GB18597-2023）</w:t>
                  </w:r>
                  <w:r>
                    <w:rPr>
                      <w:color w:val="auto"/>
                    </w:rPr>
                    <w:t>的要求进行建设，采用分区防渗，地面与裙脚采用坚固防渗的材料建造，防风、防晒、防雨；基础</w:t>
                  </w:r>
                  <w:r>
                    <w:rPr>
                      <w:rFonts w:hint="eastAsia"/>
                      <w:color w:val="auto"/>
                    </w:rPr>
                    <w:t>敷设</w:t>
                  </w:r>
                  <w:r>
                    <w:rPr>
                      <w:color w:val="auto"/>
                    </w:rPr>
                    <w:t>至少2mm厚的高密度聚乙烯防水层，上部敷设10cm厚水泥层，渗透系数应≤1×10</w:t>
                  </w:r>
                  <w:r>
                    <w:rPr>
                      <w:color w:val="auto"/>
                      <w:vertAlign w:val="superscript"/>
                    </w:rPr>
                    <w:t>-10</w:t>
                  </w:r>
                  <w:r>
                    <w:rPr>
                      <w:color w:val="auto"/>
                    </w:rPr>
                    <w:t>cm/s</w:t>
                  </w:r>
                </w:p>
              </w:tc>
              <w:tc>
                <w:tcPr>
                  <w:tcW w:w="1348" w:type="pct"/>
                  <w:vAlign w:val="center"/>
                </w:tcPr>
                <w:p w14:paraId="2DB12F2E">
                  <w:pPr>
                    <w:adjustRightInd w:val="0"/>
                    <w:snapToGrid w:val="0"/>
                    <w:jc w:val="center"/>
                    <w:rPr>
                      <w:rFonts w:hint="eastAsia"/>
                      <w:color w:val="auto"/>
                      <w:szCs w:val="21"/>
                      <w:lang w:val="en-US" w:eastAsia="zh-CN"/>
                    </w:rPr>
                  </w:pPr>
                  <w:r>
                    <w:rPr>
                      <w:rFonts w:hint="eastAsia"/>
                      <w:color w:val="auto"/>
                    </w:rPr>
                    <w:t>位于</w:t>
                  </w:r>
                  <w:r>
                    <w:rPr>
                      <w:rFonts w:hint="eastAsia"/>
                      <w:color w:val="auto"/>
                      <w:lang w:val="en-US" w:eastAsia="zh-CN"/>
                    </w:rPr>
                    <w:t>厂房东南</w:t>
                  </w:r>
                  <w:r>
                    <w:rPr>
                      <w:rFonts w:hint="eastAsia"/>
                      <w:color w:val="auto"/>
                    </w:rPr>
                    <w:t>侧，</w:t>
                  </w:r>
                  <w:r>
                    <w:rPr>
                      <w:rFonts w:hint="eastAsia"/>
                      <w:color w:val="auto"/>
                      <w:szCs w:val="21"/>
                    </w:rPr>
                    <w:t>建筑高度</w:t>
                  </w:r>
                  <w:r>
                    <w:rPr>
                      <w:rFonts w:hint="eastAsia"/>
                      <w:color w:val="auto"/>
                      <w:szCs w:val="21"/>
                      <w:lang w:val="en-US" w:eastAsia="zh-CN"/>
                    </w:rPr>
                    <w:t>3</w:t>
                  </w:r>
                  <w:r>
                    <w:rPr>
                      <w:rFonts w:hint="eastAsia"/>
                      <w:color w:val="auto"/>
                      <w:szCs w:val="21"/>
                    </w:rPr>
                    <w:t>m，建筑面积</w:t>
                  </w:r>
                  <w:r>
                    <w:rPr>
                      <w:rFonts w:hint="eastAsia"/>
                      <w:color w:val="auto"/>
                      <w:szCs w:val="21"/>
                      <w:lang w:val="en-US" w:eastAsia="zh-CN"/>
                    </w:rPr>
                    <w:t>20</w:t>
                  </w:r>
                  <w:r>
                    <w:rPr>
                      <w:rFonts w:hint="eastAsia"/>
                      <w:color w:val="auto"/>
                      <w:szCs w:val="21"/>
                    </w:rPr>
                    <w:t>m</w:t>
                  </w:r>
                  <w:r>
                    <w:rPr>
                      <w:rFonts w:hint="eastAsia"/>
                      <w:color w:val="auto"/>
                      <w:szCs w:val="21"/>
                      <w:vertAlign w:val="superscript"/>
                    </w:rPr>
                    <w:t>2</w:t>
                  </w:r>
                  <w:r>
                    <w:rPr>
                      <w:rFonts w:hint="eastAsia"/>
                      <w:color w:val="auto"/>
                    </w:rPr>
                    <w:t>，</w:t>
                  </w:r>
                  <w:r>
                    <w:rPr>
                      <w:rFonts w:hint="eastAsia"/>
                      <w:color w:val="auto"/>
                      <w:lang w:val="en-US" w:eastAsia="zh-CN"/>
                    </w:rPr>
                    <w:t>最大贮存量3t，</w:t>
                  </w:r>
                  <w:r>
                    <w:rPr>
                      <w:rFonts w:hint="eastAsia"/>
                      <w:color w:val="auto"/>
                    </w:rPr>
                    <w:t>一层，砖混结构，用于储存</w:t>
                  </w:r>
                  <w:r>
                    <w:rPr>
                      <w:rFonts w:hint="eastAsia"/>
                      <w:color w:val="auto"/>
                      <w:lang w:val="en-US" w:eastAsia="zh-CN"/>
                    </w:rPr>
                    <w:t>危险废物</w:t>
                  </w:r>
                  <w:r>
                    <w:rPr>
                      <w:rFonts w:hint="eastAsia"/>
                      <w:color w:val="auto"/>
                    </w:rPr>
                    <w:t>，</w:t>
                  </w:r>
                  <w:r>
                    <w:rPr>
                      <w:rFonts w:hint="eastAsia"/>
                      <w:color w:val="auto"/>
                      <w:lang w:eastAsia="zh-CN"/>
                    </w:rPr>
                    <w:t>危废贮存点</w:t>
                  </w:r>
                  <w:r>
                    <w:rPr>
                      <w:color w:val="auto"/>
                    </w:rPr>
                    <w:t>严格按照</w:t>
                  </w:r>
                  <w:r>
                    <w:rPr>
                      <w:rFonts w:hint="eastAsia"/>
                      <w:color w:val="auto"/>
                    </w:rPr>
                    <w:t>《危险废物贮存污染控制标准》（GB18597-2023）</w:t>
                  </w:r>
                  <w:r>
                    <w:rPr>
                      <w:color w:val="auto"/>
                    </w:rPr>
                    <w:t>的要求进行建设，采用分区防渗，地面与裙脚采用坚固防渗的材料建造，防风、防晒、防雨；基础</w:t>
                  </w:r>
                  <w:r>
                    <w:rPr>
                      <w:rFonts w:hint="eastAsia"/>
                      <w:color w:val="auto"/>
                    </w:rPr>
                    <w:t>敷设</w:t>
                  </w:r>
                  <w:r>
                    <w:rPr>
                      <w:color w:val="auto"/>
                    </w:rPr>
                    <w:t>至少2mm厚的高密度聚乙烯防水层，上部敷设10cm厚水泥层，渗透系数应≤1×10</w:t>
                  </w:r>
                  <w:r>
                    <w:rPr>
                      <w:color w:val="auto"/>
                      <w:vertAlign w:val="superscript"/>
                    </w:rPr>
                    <w:t>-10</w:t>
                  </w:r>
                  <w:r>
                    <w:rPr>
                      <w:color w:val="auto"/>
                    </w:rPr>
                    <w:t>cm/s</w:t>
                  </w:r>
                </w:p>
              </w:tc>
              <w:tc>
                <w:tcPr>
                  <w:tcW w:w="442" w:type="pct"/>
                  <w:vAlign w:val="center"/>
                </w:tcPr>
                <w:p w14:paraId="67FC5C8E">
                  <w:pPr>
                    <w:adjustRightInd w:val="0"/>
                    <w:snapToGrid w:val="0"/>
                    <w:jc w:val="center"/>
                    <w:rPr>
                      <w:rFonts w:hint="eastAsia"/>
                      <w:color w:val="auto"/>
                      <w:szCs w:val="21"/>
                      <w:lang w:val="en-US" w:eastAsia="zh-CN"/>
                    </w:rPr>
                  </w:pPr>
                  <w:r>
                    <w:rPr>
                      <w:rFonts w:hint="eastAsia"/>
                      <w:color w:val="auto"/>
                      <w:szCs w:val="21"/>
                      <w:lang w:val="en-US" w:eastAsia="zh-CN"/>
                    </w:rPr>
                    <w:t>新建</w:t>
                  </w:r>
                </w:p>
              </w:tc>
            </w:tr>
            <w:tr w14:paraId="030CEB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2" w:type="pct"/>
                  <w:vMerge w:val="restart"/>
                  <w:vAlign w:val="center"/>
                </w:tcPr>
                <w:p w14:paraId="49678BA0">
                  <w:pPr>
                    <w:adjustRightInd w:val="0"/>
                    <w:snapToGrid w:val="0"/>
                    <w:jc w:val="center"/>
                    <w:rPr>
                      <w:color w:val="auto"/>
                      <w:szCs w:val="21"/>
                    </w:rPr>
                  </w:pPr>
                  <w:r>
                    <w:rPr>
                      <w:color w:val="auto"/>
                      <w:szCs w:val="21"/>
                    </w:rPr>
                    <w:t>公用</w:t>
                  </w:r>
                </w:p>
                <w:p w14:paraId="4D43C3C8">
                  <w:pPr>
                    <w:adjustRightInd w:val="0"/>
                    <w:snapToGrid w:val="0"/>
                    <w:jc w:val="center"/>
                    <w:rPr>
                      <w:color w:val="auto"/>
                      <w:szCs w:val="21"/>
                    </w:rPr>
                  </w:pPr>
                  <w:r>
                    <w:rPr>
                      <w:color w:val="auto"/>
                      <w:szCs w:val="21"/>
                    </w:rPr>
                    <w:t>工程</w:t>
                  </w:r>
                </w:p>
              </w:tc>
              <w:tc>
                <w:tcPr>
                  <w:tcW w:w="363" w:type="pct"/>
                  <w:vAlign w:val="center"/>
                </w:tcPr>
                <w:p w14:paraId="48AA1B82">
                  <w:pPr>
                    <w:adjustRightInd w:val="0"/>
                    <w:snapToGrid w:val="0"/>
                    <w:jc w:val="center"/>
                    <w:rPr>
                      <w:rFonts w:hint="eastAsia" w:eastAsia="宋体"/>
                      <w:color w:val="auto"/>
                      <w:szCs w:val="21"/>
                      <w:lang w:val="en-US" w:eastAsia="zh-CN"/>
                    </w:rPr>
                  </w:pPr>
                  <w:r>
                    <w:rPr>
                      <w:rFonts w:hint="eastAsia"/>
                      <w:color w:val="auto"/>
                      <w:szCs w:val="21"/>
                      <w:lang w:val="en-US" w:eastAsia="zh-CN"/>
                    </w:rPr>
                    <w:t>供电</w:t>
                  </w:r>
                </w:p>
              </w:tc>
              <w:tc>
                <w:tcPr>
                  <w:tcW w:w="1132" w:type="pct"/>
                  <w:vAlign w:val="center"/>
                </w:tcPr>
                <w:p w14:paraId="3F2EB35F">
                  <w:pPr>
                    <w:adjustRightInd w:val="0"/>
                    <w:snapToGrid w:val="0"/>
                    <w:jc w:val="center"/>
                    <w:rPr>
                      <w:color w:val="auto"/>
                      <w:szCs w:val="21"/>
                    </w:rPr>
                  </w:pPr>
                  <w:r>
                    <w:rPr>
                      <w:rFonts w:hint="eastAsia"/>
                      <w:color w:val="auto"/>
                      <w:szCs w:val="21"/>
                    </w:rPr>
                    <w:t>市政供电，经变压后，向各用电处供电</w:t>
                  </w:r>
                </w:p>
              </w:tc>
              <w:tc>
                <w:tcPr>
                  <w:tcW w:w="1311" w:type="pct"/>
                  <w:vAlign w:val="center"/>
                </w:tcPr>
                <w:p w14:paraId="12C4300B">
                  <w:pPr>
                    <w:adjustRightInd w:val="0"/>
                    <w:snapToGrid w:val="0"/>
                    <w:jc w:val="center"/>
                    <w:rPr>
                      <w:rFonts w:hint="eastAsia" w:eastAsia="宋体"/>
                      <w:color w:val="auto"/>
                      <w:szCs w:val="21"/>
                      <w:lang w:val="en-US" w:eastAsia="zh-CN"/>
                    </w:rPr>
                  </w:pPr>
                  <w:r>
                    <w:rPr>
                      <w:rFonts w:hint="eastAsia"/>
                      <w:color w:val="auto"/>
                      <w:szCs w:val="21"/>
                      <w:lang w:val="en-US" w:eastAsia="zh-CN"/>
                    </w:rPr>
                    <w:t>无变化</w:t>
                  </w:r>
                </w:p>
              </w:tc>
              <w:tc>
                <w:tcPr>
                  <w:tcW w:w="1348" w:type="pct"/>
                  <w:vAlign w:val="center"/>
                </w:tcPr>
                <w:p w14:paraId="2347B523">
                  <w:pPr>
                    <w:adjustRightInd w:val="0"/>
                    <w:snapToGrid w:val="0"/>
                    <w:jc w:val="center"/>
                    <w:rPr>
                      <w:color w:val="auto"/>
                      <w:szCs w:val="21"/>
                    </w:rPr>
                  </w:pPr>
                  <w:r>
                    <w:rPr>
                      <w:rFonts w:hint="eastAsia"/>
                      <w:color w:val="auto"/>
                      <w:szCs w:val="21"/>
                    </w:rPr>
                    <w:t>市政供电，经变压后，向各用电处供电</w:t>
                  </w:r>
                </w:p>
              </w:tc>
              <w:tc>
                <w:tcPr>
                  <w:tcW w:w="442" w:type="pct"/>
                  <w:vAlign w:val="center"/>
                </w:tcPr>
                <w:p w14:paraId="6E582605">
                  <w:pPr>
                    <w:adjustRightInd w:val="0"/>
                    <w:snapToGrid w:val="0"/>
                    <w:jc w:val="center"/>
                    <w:rPr>
                      <w:rFonts w:hint="default" w:eastAsia="宋体"/>
                      <w:color w:val="auto"/>
                      <w:szCs w:val="21"/>
                      <w:lang w:val="en-US" w:eastAsia="zh-CN"/>
                    </w:rPr>
                  </w:pPr>
                  <w:r>
                    <w:rPr>
                      <w:rFonts w:hint="eastAsia"/>
                      <w:color w:val="auto"/>
                      <w:szCs w:val="21"/>
                      <w:lang w:val="en-US" w:eastAsia="zh-CN"/>
                    </w:rPr>
                    <w:t>依托现有</w:t>
                  </w:r>
                </w:p>
              </w:tc>
            </w:tr>
            <w:tr w14:paraId="1A35C1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2" w:type="pct"/>
                  <w:vMerge w:val="continue"/>
                  <w:vAlign w:val="center"/>
                </w:tcPr>
                <w:p w14:paraId="278FC7AB">
                  <w:pPr>
                    <w:adjustRightInd w:val="0"/>
                    <w:snapToGrid w:val="0"/>
                    <w:jc w:val="center"/>
                    <w:rPr>
                      <w:color w:val="auto"/>
                      <w:szCs w:val="21"/>
                    </w:rPr>
                  </w:pPr>
                </w:p>
              </w:tc>
              <w:tc>
                <w:tcPr>
                  <w:tcW w:w="363" w:type="pct"/>
                  <w:vAlign w:val="center"/>
                </w:tcPr>
                <w:p w14:paraId="25D69921">
                  <w:pPr>
                    <w:adjustRightInd w:val="0"/>
                    <w:snapToGrid w:val="0"/>
                    <w:jc w:val="center"/>
                    <w:rPr>
                      <w:rFonts w:hint="eastAsia" w:eastAsia="宋体"/>
                      <w:color w:val="auto"/>
                      <w:szCs w:val="21"/>
                      <w:lang w:val="en-US" w:eastAsia="zh-CN"/>
                    </w:rPr>
                  </w:pPr>
                  <w:r>
                    <w:rPr>
                      <w:rFonts w:hint="eastAsia"/>
                      <w:color w:val="auto"/>
                      <w:szCs w:val="21"/>
                      <w:lang w:val="en-US" w:eastAsia="zh-CN"/>
                    </w:rPr>
                    <w:t>供水</w:t>
                  </w:r>
                </w:p>
              </w:tc>
              <w:tc>
                <w:tcPr>
                  <w:tcW w:w="1132" w:type="pct"/>
                  <w:vAlign w:val="center"/>
                </w:tcPr>
                <w:p w14:paraId="7088F92B">
                  <w:pPr>
                    <w:adjustRightInd w:val="0"/>
                    <w:snapToGrid w:val="0"/>
                    <w:jc w:val="center"/>
                    <w:rPr>
                      <w:rFonts w:hint="default" w:eastAsia="宋体"/>
                      <w:color w:val="auto"/>
                      <w:szCs w:val="21"/>
                      <w:lang w:val="en-US" w:eastAsia="zh-CN"/>
                    </w:rPr>
                  </w:pPr>
                  <w:r>
                    <w:rPr>
                      <w:color w:val="auto"/>
                      <w:szCs w:val="21"/>
                    </w:rPr>
                    <w:t>生产不用水，生活用水由自来水供给</w:t>
                  </w:r>
                </w:p>
              </w:tc>
              <w:tc>
                <w:tcPr>
                  <w:tcW w:w="1311" w:type="pct"/>
                  <w:vAlign w:val="center"/>
                </w:tcPr>
                <w:p w14:paraId="405E840F">
                  <w:pPr>
                    <w:adjustRightInd w:val="0"/>
                    <w:snapToGrid w:val="0"/>
                    <w:jc w:val="center"/>
                    <w:rPr>
                      <w:color w:val="auto"/>
                      <w:szCs w:val="21"/>
                    </w:rPr>
                  </w:pPr>
                  <w:r>
                    <w:rPr>
                      <w:rFonts w:hint="eastAsia"/>
                      <w:color w:val="auto"/>
                      <w:szCs w:val="21"/>
                      <w:lang w:val="en-US" w:eastAsia="zh-CN"/>
                    </w:rPr>
                    <w:t>无变化</w:t>
                  </w:r>
                </w:p>
              </w:tc>
              <w:tc>
                <w:tcPr>
                  <w:tcW w:w="1348" w:type="pct"/>
                  <w:vAlign w:val="center"/>
                </w:tcPr>
                <w:p w14:paraId="7F9D9E07">
                  <w:pPr>
                    <w:adjustRightInd w:val="0"/>
                    <w:snapToGrid w:val="0"/>
                    <w:jc w:val="center"/>
                    <w:rPr>
                      <w:rFonts w:hint="eastAsia"/>
                      <w:color w:val="auto"/>
                      <w:szCs w:val="21"/>
                    </w:rPr>
                  </w:pPr>
                  <w:r>
                    <w:rPr>
                      <w:color w:val="auto"/>
                      <w:szCs w:val="21"/>
                    </w:rPr>
                    <w:t>生产不用水，生活用水由自来水供给</w:t>
                  </w:r>
                </w:p>
              </w:tc>
              <w:tc>
                <w:tcPr>
                  <w:tcW w:w="442" w:type="pct"/>
                  <w:vAlign w:val="center"/>
                </w:tcPr>
                <w:p w14:paraId="36E4095B">
                  <w:pPr>
                    <w:adjustRightInd w:val="0"/>
                    <w:snapToGrid w:val="0"/>
                    <w:jc w:val="center"/>
                    <w:rPr>
                      <w:rFonts w:hint="eastAsia"/>
                      <w:color w:val="auto"/>
                      <w:szCs w:val="21"/>
                    </w:rPr>
                  </w:pPr>
                  <w:r>
                    <w:rPr>
                      <w:rFonts w:hint="eastAsia"/>
                      <w:color w:val="auto"/>
                      <w:szCs w:val="21"/>
                      <w:lang w:val="en-US" w:eastAsia="zh-CN"/>
                    </w:rPr>
                    <w:t>/</w:t>
                  </w:r>
                </w:p>
              </w:tc>
            </w:tr>
            <w:tr w14:paraId="7E9CB8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2" w:type="pct"/>
                  <w:vMerge w:val="continue"/>
                  <w:vAlign w:val="center"/>
                </w:tcPr>
                <w:p w14:paraId="364D0358">
                  <w:pPr>
                    <w:adjustRightInd w:val="0"/>
                    <w:snapToGrid w:val="0"/>
                    <w:jc w:val="center"/>
                    <w:rPr>
                      <w:color w:val="auto"/>
                      <w:szCs w:val="21"/>
                    </w:rPr>
                  </w:pPr>
                </w:p>
              </w:tc>
              <w:tc>
                <w:tcPr>
                  <w:tcW w:w="363" w:type="pct"/>
                  <w:vAlign w:val="center"/>
                </w:tcPr>
                <w:p w14:paraId="57610CC1">
                  <w:pPr>
                    <w:adjustRightInd w:val="0"/>
                    <w:snapToGrid w:val="0"/>
                    <w:jc w:val="center"/>
                    <w:rPr>
                      <w:rFonts w:hint="eastAsia" w:eastAsia="宋体"/>
                      <w:color w:val="auto"/>
                      <w:szCs w:val="21"/>
                      <w:lang w:val="en-US" w:eastAsia="zh-CN"/>
                    </w:rPr>
                  </w:pPr>
                  <w:r>
                    <w:rPr>
                      <w:rFonts w:hint="eastAsia"/>
                      <w:color w:val="auto"/>
                      <w:szCs w:val="21"/>
                      <w:lang w:val="en-US" w:eastAsia="zh-CN"/>
                    </w:rPr>
                    <w:t>排水</w:t>
                  </w:r>
                </w:p>
              </w:tc>
              <w:tc>
                <w:tcPr>
                  <w:tcW w:w="1132" w:type="pct"/>
                  <w:vAlign w:val="center"/>
                </w:tcPr>
                <w:p w14:paraId="4061A3CA">
                  <w:pPr>
                    <w:adjustRightInd w:val="0"/>
                    <w:snapToGrid w:val="0"/>
                    <w:jc w:val="center"/>
                    <w:rPr>
                      <w:rFonts w:hint="default" w:eastAsia="宋体"/>
                      <w:color w:val="auto"/>
                      <w:szCs w:val="21"/>
                      <w:lang w:val="en-US" w:eastAsia="zh-CN"/>
                    </w:rPr>
                  </w:pPr>
                  <w:r>
                    <w:rPr>
                      <w:color w:val="auto"/>
                      <w:szCs w:val="21"/>
                    </w:rPr>
                    <w:t>生活污水</w:t>
                  </w:r>
                  <w:r>
                    <w:rPr>
                      <w:rFonts w:hint="eastAsia"/>
                      <w:color w:val="auto"/>
                      <w:szCs w:val="21"/>
                    </w:rPr>
                    <w:t>盥洗</w:t>
                  </w:r>
                  <w:r>
                    <w:rPr>
                      <w:color w:val="auto"/>
                      <w:szCs w:val="21"/>
                    </w:rPr>
                    <w:t>及洗浴废水</w:t>
                  </w:r>
                  <w:r>
                    <w:rPr>
                      <w:rFonts w:hint="eastAsia"/>
                      <w:color w:val="auto"/>
                      <w:szCs w:val="21"/>
                    </w:rPr>
                    <w:t>排入</w:t>
                  </w:r>
                  <w:r>
                    <w:rPr>
                      <w:color w:val="auto"/>
                      <w:szCs w:val="21"/>
                    </w:rPr>
                    <w:t>厂区</w:t>
                  </w:r>
                  <w:r>
                    <w:rPr>
                      <w:rFonts w:hint="eastAsia"/>
                      <w:color w:val="auto"/>
                      <w:szCs w:val="21"/>
                    </w:rPr>
                    <w:t>污水收集池（长2m、宽2m、深1.5m）</w:t>
                  </w:r>
                  <w:r>
                    <w:rPr>
                      <w:color w:val="auto"/>
                      <w:szCs w:val="21"/>
                    </w:rPr>
                    <w:t>，定期</w:t>
                  </w:r>
                  <w:r>
                    <w:rPr>
                      <w:rFonts w:hint="eastAsia"/>
                      <w:color w:val="auto"/>
                      <w:szCs w:val="21"/>
                    </w:rPr>
                    <w:t>委托市政部门清运至梨树区</w:t>
                  </w:r>
                  <w:r>
                    <w:rPr>
                      <w:color w:val="auto"/>
                      <w:szCs w:val="21"/>
                    </w:rPr>
                    <w:t>污水处理厂</w:t>
                  </w:r>
                  <w:r>
                    <w:rPr>
                      <w:rFonts w:hint="eastAsia"/>
                      <w:color w:val="auto"/>
                      <w:szCs w:val="21"/>
                    </w:rPr>
                    <w:t>处理；</w:t>
                  </w:r>
                  <w:r>
                    <w:rPr>
                      <w:color w:val="auto"/>
                      <w:szCs w:val="21"/>
                    </w:rPr>
                    <w:t>粪尿排入厂区防渗旱厕</w:t>
                  </w:r>
                </w:p>
              </w:tc>
              <w:tc>
                <w:tcPr>
                  <w:tcW w:w="1311" w:type="pct"/>
                  <w:vAlign w:val="center"/>
                </w:tcPr>
                <w:p w14:paraId="4CFABE78">
                  <w:pPr>
                    <w:adjustRightInd w:val="0"/>
                    <w:snapToGrid w:val="0"/>
                    <w:jc w:val="center"/>
                    <w:rPr>
                      <w:color w:val="auto"/>
                      <w:szCs w:val="21"/>
                    </w:rPr>
                  </w:pPr>
                  <w:r>
                    <w:rPr>
                      <w:rFonts w:hint="eastAsia"/>
                      <w:color w:val="auto"/>
                      <w:szCs w:val="21"/>
                      <w:lang w:val="en-US" w:eastAsia="zh-CN"/>
                    </w:rPr>
                    <w:t>无变化</w:t>
                  </w:r>
                </w:p>
              </w:tc>
              <w:tc>
                <w:tcPr>
                  <w:tcW w:w="1348" w:type="pct"/>
                  <w:vAlign w:val="center"/>
                </w:tcPr>
                <w:p w14:paraId="04A763FB">
                  <w:pPr>
                    <w:adjustRightInd w:val="0"/>
                    <w:snapToGrid w:val="0"/>
                    <w:jc w:val="center"/>
                    <w:rPr>
                      <w:rFonts w:hint="eastAsia"/>
                      <w:color w:val="auto"/>
                      <w:szCs w:val="21"/>
                    </w:rPr>
                  </w:pPr>
                  <w:r>
                    <w:rPr>
                      <w:color w:val="auto"/>
                      <w:szCs w:val="21"/>
                    </w:rPr>
                    <w:t>生活污水</w:t>
                  </w:r>
                  <w:r>
                    <w:rPr>
                      <w:rFonts w:hint="eastAsia"/>
                      <w:color w:val="auto"/>
                      <w:szCs w:val="21"/>
                    </w:rPr>
                    <w:t>盥洗</w:t>
                  </w:r>
                  <w:r>
                    <w:rPr>
                      <w:color w:val="auto"/>
                      <w:szCs w:val="21"/>
                    </w:rPr>
                    <w:t>及洗浴废水</w:t>
                  </w:r>
                  <w:r>
                    <w:rPr>
                      <w:rFonts w:hint="eastAsia"/>
                      <w:color w:val="auto"/>
                      <w:szCs w:val="21"/>
                    </w:rPr>
                    <w:t>排入</w:t>
                  </w:r>
                  <w:r>
                    <w:rPr>
                      <w:color w:val="auto"/>
                      <w:szCs w:val="21"/>
                    </w:rPr>
                    <w:t>厂区</w:t>
                  </w:r>
                  <w:r>
                    <w:rPr>
                      <w:rFonts w:hint="eastAsia"/>
                      <w:color w:val="auto"/>
                      <w:szCs w:val="21"/>
                    </w:rPr>
                    <w:t>污水收集池（长2m、宽2m、深1.5m）</w:t>
                  </w:r>
                  <w:r>
                    <w:rPr>
                      <w:color w:val="auto"/>
                      <w:szCs w:val="21"/>
                    </w:rPr>
                    <w:t>，定期</w:t>
                  </w:r>
                  <w:r>
                    <w:rPr>
                      <w:rFonts w:hint="eastAsia"/>
                      <w:color w:val="auto"/>
                      <w:szCs w:val="21"/>
                    </w:rPr>
                    <w:t>委托市政部门清运至梨树区</w:t>
                  </w:r>
                  <w:r>
                    <w:rPr>
                      <w:color w:val="auto"/>
                      <w:szCs w:val="21"/>
                    </w:rPr>
                    <w:t>污水处理厂</w:t>
                  </w:r>
                  <w:r>
                    <w:rPr>
                      <w:rFonts w:hint="eastAsia"/>
                      <w:color w:val="auto"/>
                      <w:szCs w:val="21"/>
                    </w:rPr>
                    <w:t>处理；</w:t>
                  </w:r>
                  <w:r>
                    <w:rPr>
                      <w:color w:val="auto"/>
                      <w:szCs w:val="21"/>
                    </w:rPr>
                    <w:t>粪尿排入厂区防渗旱厕</w:t>
                  </w:r>
                </w:p>
              </w:tc>
              <w:tc>
                <w:tcPr>
                  <w:tcW w:w="442" w:type="pct"/>
                  <w:vAlign w:val="center"/>
                </w:tcPr>
                <w:p w14:paraId="0F7ACF01">
                  <w:pPr>
                    <w:adjustRightInd w:val="0"/>
                    <w:snapToGrid w:val="0"/>
                    <w:jc w:val="center"/>
                    <w:rPr>
                      <w:rFonts w:hint="eastAsia"/>
                      <w:color w:val="auto"/>
                      <w:lang w:val="en-US" w:eastAsia="zh-CN"/>
                    </w:rPr>
                  </w:pPr>
                  <w:r>
                    <w:rPr>
                      <w:rFonts w:hint="eastAsia"/>
                      <w:color w:val="auto"/>
                      <w:szCs w:val="21"/>
                      <w:lang w:val="en-US" w:eastAsia="zh-CN"/>
                    </w:rPr>
                    <w:t>/</w:t>
                  </w:r>
                </w:p>
              </w:tc>
            </w:tr>
            <w:tr w14:paraId="7810C2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2" w:hRule="atLeast"/>
                <w:jc w:val="center"/>
              </w:trPr>
              <w:tc>
                <w:tcPr>
                  <w:tcW w:w="402" w:type="pct"/>
                  <w:vMerge w:val="restart"/>
                  <w:vAlign w:val="center"/>
                </w:tcPr>
                <w:p w14:paraId="08549857">
                  <w:pPr>
                    <w:adjustRightInd w:val="0"/>
                    <w:snapToGrid w:val="0"/>
                    <w:jc w:val="center"/>
                    <w:rPr>
                      <w:color w:val="auto"/>
                      <w:szCs w:val="21"/>
                    </w:rPr>
                  </w:pPr>
                  <w:r>
                    <w:rPr>
                      <w:color w:val="auto"/>
                      <w:szCs w:val="21"/>
                    </w:rPr>
                    <w:t>环保</w:t>
                  </w:r>
                </w:p>
                <w:p w14:paraId="7258EB59">
                  <w:pPr>
                    <w:adjustRightInd w:val="0"/>
                    <w:snapToGrid w:val="0"/>
                    <w:jc w:val="center"/>
                    <w:rPr>
                      <w:color w:val="auto"/>
                      <w:szCs w:val="21"/>
                    </w:rPr>
                  </w:pPr>
                  <w:r>
                    <w:rPr>
                      <w:color w:val="auto"/>
                      <w:szCs w:val="21"/>
                    </w:rPr>
                    <w:t>工程</w:t>
                  </w:r>
                </w:p>
              </w:tc>
              <w:tc>
                <w:tcPr>
                  <w:tcW w:w="363" w:type="pct"/>
                  <w:vAlign w:val="center"/>
                </w:tcPr>
                <w:p w14:paraId="25004E04">
                  <w:pPr>
                    <w:adjustRightInd w:val="0"/>
                    <w:snapToGrid w:val="0"/>
                    <w:jc w:val="center"/>
                    <w:rPr>
                      <w:rFonts w:hint="default" w:eastAsia="宋体"/>
                      <w:color w:val="auto"/>
                      <w:szCs w:val="21"/>
                      <w:lang w:val="en-US" w:eastAsia="zh-CN"/>
                    </w:rPr>
                  </w:pPr>
                  <w:r>
                    <w:rPr>
                      <w:rFonts w:hint="eastAsia"/>
                      <w:color w:val="auto"/>
                      <w:szCs w:val="21"/>
                      <w:lang w:val="en-US" w:eastAsia="zh-CN"/>
                    </w:rPr>
                    <w:t>废气防治措施</w:t>
                  </w:r>
                </w:p>
              </w:tc>
              <w:tc>
                <w:tcPr>
                  <w:tcW w:w="1132" w:type="pct"/>
                  <w:vAlign w:val="center"/>
                </w:tcPr>
                <w:p w14:paraId="25C9D2B9">
                  <w:pP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eastAsia"/>
                      <w:color w:val="auto"/>
                      <w:szCs w:val="21"/>
                      <w:lang w:val="en-US" w:eastAsia="zh-CN"/>
                    </w:rPr>
                    <w:t>1台20万大卡燃生物质导热油炉和1台30万大卡燃生物质导热油炉</w:t>
                  </w:r>
                  <w:r>
                    <w:rPr>
                      <w:color w:val="auto"/>
                    </w:rPr>
                    <w:t>设置</w:t>
                  </w:r>
                  <w:r>
                    <w:rPr>
                      <w:rFonts w:hint="eastAsia"/>
                      <w:color w:val="auto"/>
                    </w:rPr>
                    <w:t>1套湿式</w:t>
                  </w:r>
                  <w:r>
                    <w:rPr>
                      <w:color w:val="auto"/>
                    </w:rPr>
                    <w:t>除尘器</w:t>
                  </w:r>
                  <w:r>
                    <w:rPr>
                      <w:rFonts w:hint="eastAsia"/>
                      <w:color w:val="auto"/>
                    </w:rPr>
                    <w:t>，</w:t>
                  </w:r>
                  <w:r>
                    <w:rPr>
                      <w:rFonts w:hint="eastAsia"/>
                      <w:color w:val="auto"/>
                      <w:lang w:eastAsia="zh-CN"/>
                    </w:rPr>
                    <w:t>排气筒</w:t>
                  </w:r>
                  <w:r>
                    <w:rPr>
                      <w:color w:val="auto"/>
                    </w:rPr>
                    <w:t>高度均为</w:t>
                  </w:r>
                  <w:r>
                    <w:rPr>
                      <w:rFonts w:hint="eastAsia"/>
                      <w:color w:val="auto"/>
                    </w:rPr>
                    <w:t>20</w:t>
                  </w:r>
                  <w:r>
                    <w:rPr>
                      <w:color w:val="auto"/>
                    </w:rPr>
                    <w:t>m</w:t>
                  </w:r>
                </w:p>
              </w:tc>
              <w:tc>
                <w:tcPr>
                  <w:tcW w:w="1311" w:type="pct"/>
                  <w:vAlign w:val="center"/>
                </w:tcPr>
                <w:p w14:paraId="4AA78DA2">
                  <w:pPr>
                    <w:adjustRightInd w:val="0"/>
                    <w:snapToGrid w:val="0"/>
                    <w:jc w:val="center"/>
                    <w:rPr>
                      <w:rFonts w:hint="default" w:eastAsia="宋体"/>
                      <w:color w:val="auto"/>
                      <w:szCs w:val="21"/>
                      <w:lang w:val="en-US" w:eastAsia="zh-CN"/>
                    </w:rPr>
                  </w:pPr>
                  <w:r>
                    <w:rPr>
                      <w:rFonts w:hint="default" w:eastAsia="宋体"/>
                      <w:color w:val="auto"/>
                      <w:szCs w:val="21"/>
                      <w:lang w:val="en-US" w:eastAsia="zh-CN"/>
                    </w:rPr>
                    <w:t>1800KW</w:t>
                  </w:r>
                  <w:r>
                    <w:rPr>
                      <w:rFonts w:hint="eastAsia"/>
                      <w:color w:val="auto"/>
                      <w:szCs w:val="21"/>
                      <w:lang w:val="en-US" w:eastAsia="zh-CN"/>
                    </w:rPr>
                    <w:t>燃生物质导热油炉烟气经1配套</w:t>
                  </w:r>
                  <w:r>
                    <w:rPr>
                      <w:rFonts w:hint="eastAsia" w:ascii="Times New Roman" w:hAnsi="Times New Roman" w:eastAsia="宋体" w:cs="Times New Roman"/>
                      <w:color w:val="auto"/>
                      <w:kern w:val="0"/>
                      <w:sz w:val="21"/>
                      <w:szCs w:val="21"/>
                      <w:highlight w:val="none"/>
                      <w:lang w:val="en-US" w:eastAsia="zh-CN" w:bidi="ar-SA"/>
                    </w:rPr>
                    <w:t>旋风除尘+</w:t>
                  </w:r>
                  <w:r>
                    <w:rPr>
                      <w:rFonts w:hint="eastAsia"/>
                      <w:color w:val="auto"/>
                      <w:szCs w:val="21"/>
                      <w:lang w:val="en-US" w:eastAsia="zh-CN"/>
                    </w:rPr>
                    <w:t>布袋</w:t>
                  </w:r>
                  <w:r>
                    <w:rPr>
                      <w:color w:val="auto"/>
                    </w:rPr>
                    <w:t>除尘器</w:t>
                  </w:r>
                  <w:r>
                    <w:rPr>
                      <w:rFonts w:hint="eastAsia"/>
                      <w:color w:val="auto"/>
                      <w:lang w:val="en-US" w:eastAsia="zh-CN"/>
                    </w:rPr>
                    <w:t>处理，处理后经30m高排气筒排放</w:t>
                  </w:r>
                </w:p>
              </w:tc>
              <w:tc>
                <w:tcPr>
                  <w:tcW w:w="1348" w:type="pct"/>
                  <w:vAlign w:val="center"/>
                </w:tcPr>
                <w:p w14:paraId="061786A6">
                  <w:pPr>
                    <w:adjustRightInd w:val="0"/>
                    <w:snapToGrid w:val="0"/>
                    <w:jc w:val="center"/>
                    <w:rPr>
                      <w:color w:val="auto"/>
                      <w:szCs w:val="21"/>
                    </w:rPr>
                  </w:pPr>
                  <w:r>
                    <w:rPr>
                      <w:rFonts w:hint="default" w:eastAsia="宋体"/>
                      <w:color w:val="auto"/>
                      <w:szCs w:val="21"/>
                      <w:lang w:val="en-US" w:eastAsia="zh-CN"/>
                    </w:rPr>
                    <w:t>1800KW</w:t>
                  </w:r>
                  <w:r>
                    <w:rPr>
                      <w:rFonts w:hint="eastAsia"/>
                      <w:color w:val="auto"/>
                      <w:szCs w:val="21"/>
                      <w:lang w:val="en-US" w:eastAsia="zh-CN"/>
                    </w:rPr>
                    <w:t>燃生物质导热油炉烟气经1配套</w:t>
                  </w:r>
                  <w:r>
                    <w:rPr>
                      <w:rFonts w:hint="eastAsia" w:ascii="Times New Roman" w:hAnsi="Times New Roman" w:eastAsia="宋体" w:cs="Times New Roman"/>
                      <w:color w:val="auto"/>
                      <w:kern w:val="0"/>
                      <w:sz w:val="21"/>
                      <w:szCs w:val="21"/>
                      <w:highlight w:val="none"/>
                      <w:lang w:val="en-US" w:eastAsia="zh-CN" w:bidi="ar-SA"/>
                    </w:rPr>
                    <w:t>旋风除尘+</w:t>
                  </w:r>
                  <w:r>
                    <w:rPr>
                      <w:rFonts w:hint="eastAsia"/>
                      <w:color w:val="auto"/>
                      <w:szCs w:val="21"/>
                      <w:lang w:val="en-US" w:eastAsia="zh-CN"/>
                    </w:rPr>
                    <w:t>布袋</w:t>
                  </w:r>
                  <w:r>
                    <w:rPr>
                      <w:color w:val="auto"/>
                    </w:rPr>
                    <w:t>除尘器</w:t>
                  </w:r>
                  <w:r>
                    <w:rPr>
                      <w:rFonts w:hint="eastAsia"/>
                      <w:color w:val="auto"/>
                      <w:lang w:val="en-US" w:eastAsia="zh-CN"/>
                    </w:rPr>
                    <w:t>处理，处理后经30m高排气筒排放</w:t>
                  </w:r>
                </w:p>
              </w:tc>
              <w:tc>
                <w:tcPr>
                  <w:tcW w:w="442" w:type="pct"/>
                  <w:vAlign w:val="center"/>
                </w:tcPr>
                <w:p w14:paraId="5BDD2280">
                  <w:pPr>
                    <w:adjustRightInd w:val="0"/>
                    <w:snapToGrid w:val="0"/>
                    <w:jc w:val="center"/>
                    <w:rPr>
                      <w:rFonts w:hint="default" w:cs="Times New Roman"/>
                      <w:color w:val="auto"/>
                      <w:kern w:val="2"/>
                      <w:sz w:val="21"/>
                      <w:szCs w:val="24"/>
                      <w:lang w:val="en-US" w:eastAsia="zh-CN" w:bidi="ar-SA"/>
                    </w:rPr>
                  </w:pPr>
                  <w:r>
                    <w:rPr>
                      <w:rFonts w:hint="eastAsia" w:cs="Times New Roman"/>
                      <w:color w:val="auto"/>
                      <w:kern w:val="2"/>
                      <w:sz w:val="21"/>
                      <w:szCs w:val="24"/>
                      <w:lang w:val="en-US" w:eastAsia="zh-CN" w:bidi="ar-SA"/>
                    </w:rPr>
                    <w:t>/</w:t>
                  </w:r>
                </w:p>
              </w:tc>
            </w:tr>
            <w:tr w14:paraId="44E676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402" w:type="pct"/>
                  <w:vMerge w:val="continue"/>
                  <w:vAlign w:val="center"/>
                </w:tcPr>
                <w:p w14:paraId="661F1E96">
                  <w:pPr>
                    <w:adjustRightInd w:val="0"/>
                    <w:snapToGrid w:val="0"/>
                    <w:jc w:val="center"/>
                    <w:rPr>
                      <w:color w:val="auto"/>
                      <w:szCs w:val="21"/>
                    </w:rPr>
                  </w:pPr>
                </w:p>
              </w:tc>
              <w:tc>
                <w:tcPr>
                  <w:tcW w:w="363" w:type="pct"/>
                  <w:vAlign w:val="center"/>
                </w:tcPr>
                <w:p w14:paraId="13F2A18A">
                  <w:pPr>
                    <w:adjustRightInd w:val="0"/>
                    <w:snapToGrid w:val="0"/>
                    <w:jc w:val="center"/>
                    <w:rPr>
                      <w:color w:val="auto"/>
                      <w:szCs w:val="21"/>
                    </w:rPr>
                  </w:pPr>
                  <w:r>
                    <w:rPr>
                      <w:rFonts w:hint="eastAsia"/>
                      <w:color w:val="auto"/>
                      <w:szCs w:val="21"/>
                      <w:lang w:val="en-US" w:eastAsia="zh-CN"/>
                    </w:rPr>
                    <w:t>废水防治措施</w:t>
                  </w:r>
                </w:p>
              </w:tc>
              <w:tc>
                <w:tcPr>
                  <w:tcW w:w="1132" w:type="pct"/>
                  <w:vAlign w:val="center"/>
                </w:tcPr>
                <w:p w14:paraId="5F06BB94">
                  <w:pPr>
                    <w:adjustRightInd w:val="0"/>
                    <w:snapToGrid w:val="0"/>
                    <w:jc w:val="center"/>
                    <w:rPr>
                      <w:rFonts w:hint="default"/>
                      <w:color w:val="auto"/>
                      <w:lang w:val="en-US" w:eastAsia="zh-CN"/>
                    </w:rPr>
                  </w:pPr>
                  <w:r>
                    <w:rPr>
                      <w:color w:val="auto"/>
                      <w:szCs w:val="21"/>
                    </w:rPr>
                    <w:t>生活污水</w:t>
                  </w:r>
                  <w:r>
                    <w:rPr>
                      <w:rFonts w:hint="eastAsia"/>
                      <w:color w:val="auto"/>
                      <w:szCs w:val="21"/>
                    </w:rPr>
                    <w:t>盥洗</w:t>
                  </w:r>
                  <w:r>
                    <w:rPr>
                      <w:color w:val="auto"/>
                      <w:szCs w:val="21"/>
                    </w:rPr>
                    <w:t>及洗浴废水</w:t>
                  </w:r>
                  <w:r>
                    <w:rPr>
                      <w:rFonts w:hint="eastAsia"/>
                      <w:color w:val="auto"/>
                      <w:szCs w:val="21"/>
                    </w:rPr>
                    <w:t>排入</w:t>
                  </w:r>
                  <w:r>
                    <w:rPr>
                      <w:color w:val="auto"/>
                      <w:szCs w:val="21"/>
                    </w:rPr>
                    <w:t>厂区</w:t>
                  </w:r>
                  <w:r>
                    <w:rPr>
                      <w:rFonts w:hint="eastAsia"/>
                      <w:color w:val="auto"/>
                      <w:szCs w:val="21"/>
                    </w:rPr>
                    <w:t>污水收集池（长2m、宽2m、深1.5m）</w:t>
                  </w:r>
                  <w:r>
                    <w:rPr>
                      <w:color w:val="auto"/>
                      <w:szCs w:val="21"/>
                    </w:rPr>
                    <w:t>，定期</w:t>
                  </w:r>
                  <w:r>
                    <w:rPr>
                      <w:rFonts w:hint="eastAsia"/>
                      <w:color w:val="auto"/>
                      <w:szCs w:val="21"/>
                    </w:rPr>
                    <w:t>委托市政部门清运至梨树区</w:t>
                  </w:r>
                  <w:r>
                    <w:rPr>
                      <w:color w:val="auto"/>
                      <w:szCs w:val="21"/>
                    </w:rPr>
                    <w:t>污水处理厂</w:t>
                  </w:r>
                  <w:r>
                    <w:rPr>
                      <w:rFonts w:hint="eastAsia"/>
                      <w:color w:val="auto"/>
                      <w:szCs w:val="21"/>
                    </w:rPr>
                    <w:t>处理；</w:t>
                  </w:r>
                  <w:r>
                    <w:rPr>
                      <w:color w:val="auto"/>
                      <w:szCs w:val="21"/>
                    </w:rPr>
                    <w:t>粪尿排入厂区防渗旱厕</w:t>
                  </w:r>
                </w:p>
              </w:tc>
              <w:tc>
                <w:tcPr>
                  <w:tcW w:w="1311" w:type="pct"/>
                  <w:vAlign w:val="center"/>
                </w:tcPr>
                <w:p w14:paraId="7DCD3FC4">
                  <w:pPr>
                    <w:adjustRightInd w:val="0"/>
                    <w:snapToGrid w:val="0"/>
                    <w:jc w:val="center"/>
                    <w:rPr>
                      <w:rFonts w:hint="eastAsia" w:eastAsia="宋体"/>
                      <w:color w:val="auto"/>
                      <w:szCs w:val="21"/>
                      <w:lang w:val="en-US" w:eastAsia="zh-CN"/>
                    </w:rPr>
                  </w:pPr>
                  <w:r>
                    <w:rPr>
                      <w:rFonts w:hint="eastAsia"/>
                      <w:color w:val="auto"/>
                      <w:szCs w:val="21"/>
                      <w:lang w:val="en-US" w:eastAsia="zh-CN"/>
                    </w:rPr>
                    <w:t>无变化</w:t>
                  </w:r>
                </w:p>
              </w:tc>
              <w:tc>
                <w:tcPr>
                  <w:tcW w:w="1348" w:type="pct"/>
                  <w:vAlign w:val="center"/>
                </w:tcPr>
                <w:p w14:paraId="6D86895E">
                  <w:pPr>
                    <w:adjustRightInd w:val="0"/>
                    <w:snapToGrid w:val="0"/>
                    <w:jc w:val="center"/>
                    <w:rPr>
                      <w:rFonts w:hint="eastAsia"/>
                      <w:color w:val="auto"/>
                      <w:szCs w:val="21"/>
                    </w:rPr>
                  </w:pPr>
                  <w:r>
                    <w:rPr>
                      <w:color w:val="auto"/>
                      <w:szCs w:val="21"/>
                    </w:rPr>
                    <w:t>生活污水</w:t>
                  </w:r>
                  <w:r>
                    <w:rPr>
                      <w:rFonts w:hint="eastAsia"/>
                      <w:color w:val="auto"/>
                      <w:szCs w:val="21"/>
                    </w:rPr>
                    <w:t>盥洗</w:t>
                  </w:r>
                  <w:r>
                    <w:rPr>
                      <w:color w:val="auto"/>
                      <w:szCs w:val="21"/>
                    </w:rPr>
                    <w:t>及洗浴废水</w:t>
                  </w:r>
                  <w:r>
                    <w:rPr>
                      <w:rFonts w:hint="eastAsia"/>
                      <w:color w:val="auto"/>
                      <w:szCs w:val="21"/>
                    </w:rPr>
                    <w:t>排入</w:t>
                  </w:r>
                  <w:r>
                    <w:rPr>
                      <w:color w:val="auto"/>
                      <w:szCs w:val="21"/>
                    </w:rPr>
                    <w:t>厂区</w:t>
                  </w:r>
                  <w:r>
                    <w:rPr>
                      <w:rFonts w:hint="eastAsia"/>
                      <w:color w:val="auto"/>
                      <w:szCs w:val="21"/>
                    </w:rPr>
                    <w:t>污水收集池（长2m、宽2m、深1.5m）</w:t>
                  </w:r>
                  <w:r>
                    <w:rPr>
                      <w:color w:val="auto"/>
                      <w:szCs w:val="21"/>
                    </w:rPr>
                    <w:t>，定期</w:t>
                  </w:r>
                  <w:r>
                    <w:rPr>
                      <w:rFonts w:hint="eastAsia"/>
                      <w:color w:val="auto"/>
                      <w:szCs w:val="21"/>
                    </w:rPr>
                    <w:t>委托市政部门清运至梨树区</w:t>
                  </w:r>
                  <w:r>
                    <w:rPr>
                      <w:color w:val="auto"/>
                      <w:szCs w:val="21"/>
                    </w:rPr>
                    <w:t>污水处理厂</w:t>
                  </w:r>
                  <w:r>
                    <w:rPr>
                      <w:rFonts w:hint="eastAsia"/>
                      <w:color w:val="auto"/>
                      <w:szCs w:val="21"/>
                    </w:rPr>
                    <w:t>处理；</w:t>
                  </w:r>
                  <w:r>
                    <w:rPr>
                      <w:color w:val="auto"/>
                      <w:szCs w:val="21"/>
                    </w:rPr>
                    <w:t>粪尿排入厂区防渗旱厕</w:t>
                  </w:r>
                </w:p>
              </w:tc>
              <w:tc>
                <w:tcPr>
                  <w:tcW w:w="442" w:type="pct"/>
                  <w:vAlign w:val="center"/>
                </w:tcPr>
                <w:p w14:paraId="53624ED8">
                  <w:pPr>
                    <w:adjustRightInd w:val="0"/>
                    <w:snapToGrid w:val="0"/>
                    <w:jc w:val="center"/>
                    <w:rPr>
                      <w:rFonts w:hint="eastAsia"/>
                      <w:color w:val="auto"/>
                      <w:lang w:val="en-US" w:eastAsia="zh-CN"/>
                    </w:rPr>
                  </w:pPr>
                  <w:r>
                    <w:rPr>
                      <w:rFonts w:hint="eastAsia" w:cs="Times New Roman"/>
                      <w:color w:val="auto"/>
                      <w:kern w:val="2"/>
                      <w:sz w:val="21"/>
                      <w:szCs w:val="24"/>
                      <w:lang w:val="en-US" w:eastAsia="zh-CN" w:bidi="ar-SA"/>
                    </w:rPr>
                    <w:t>/</w:t>
                  </w:r>
                </w:p>
              </w:tc>
            </w:tr>
            <w:tr w14:paraId="07089F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2" w:type="pct"/>
                  <w:vMerge w:val="continue"/>
                  <w:vAlign w:val="center"/>
                </w:tcPr>
                <w:p w14:paraId="15066D1F">
                  <w:pPr>
                    <w:adjustRightInd w:val="0"/>
                    <w:snapToGrid w:val="0"/>
                    <w:jc w:val="center"/>
                    <w:rPr>
                      <w:color w:val="auto"/>
                      <w:szCs w:val="21"/>
                    </w:rPr>
                  </w:pPr>
                </w:p>
              </w:tc>
              <w:tc>
                <w:tcPr>
                  <w:tcW w:w="363" w:type="pct"/>
                  <w:vAlign w:val="center"/>
                </w:tcPr>
                <w:p w14:paraId="30645B48">
                  <w:pPr>
                    <w:adjustRightInd w:val="0"/>
                    <w:snapToGrid w:val="0"/>
                    <w:jc w:val="center"/>
                    <w:rPr>
                      <w:color w:val="auto"/>
                      <w:szCs w:val="21"/>
                    </w:rPr>
                  </w:pPr>
                  <w:r>
                    <w:rPr>
                      <w:rFonts w:hint="eastAsia"/>
                      <w:color w:val="auto"/>
                      <w:szCs w:val="21"/>
                      <w:lang w:val="en-US" w:eastAsia="zh-CN"/>
                    </w:rPr>
                    <w:t>噪声防治措施</w:t>
                  </w:r>
                </w:p>
              </w:tc>
              <w:tc>
                <w:tcPr>
                  <w:tcW w:w="1132" w:type="pct"/>
                  <w:vAlign w:val="center"/>
                </w:tcPr>
                <w:p w14:paraId="79411737">
                  <w:pPr>
                    <w:adjustRightInd w:val="0"/>
                    <w:snapToGrid w:val="0"/>
                    <w:jc w:val="center"/>
                    <w:rPr>
                      <w:color w:val="auto"/>
                      <w:szCs w:val="21"/>
                    </w:rPr>
                  </w:pPr>
                  <w:r>
                    <w:rPr>
                      <w:rFonts w:hint="default" w:ascii="Times New Roman" w:hAnsi="Times New Roman" w:eastAsia="宋体" w:cs="Times New Roman"/>
                      <w:color w:val="auto"/>
                      <w:sz w:val="21"/>
                      <w:szCs w:val="21"/>
                      <w:lang w:eastAsia="zh-CN"/>
                    </w:rPr>
                    <w:t>选用低噪声设备，建筑采取隔声、降噪措施，振动较大的设备采取独立基础，设置减振器，风机进出口均设软管连接等措施。合理布局，减少噪声对外环境的影响。</w:t>
                  </w:r>
                </w:p>
              </w:tc>
              <w:tc>
                <w:tcPr>
                  <w:tcW w:w="1311" w:type="pct"/>
                  <w:vAlign w:val="center"/>
                </w:tcPr>
                <w:p w14:paraId="0305B553">
                  <w:pPr>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优先选用低噪声设备，对噪声设备进行基础减振，并设置在封闭锅炉房中，建筑隔声，距离衰减等。</w:t>
                  </w:r>
                </w:p>
              </w:tc>
              <w:tc>
                <w:tcPr>
                  <w:tcW w:w="1348" w:type="pct"/>
                  <w:vAlign w:val="center"/>
                </w:tcPr>
                <w:p w14:paraId="5050B07D">
                  <w:pPr>
                    <w:adjustRightInd w:val="0"/>
                    <w:snapToGrid w:val="0"/>
                    <w:jc w:val="center"/>
                    <w:rPr>
                      <w:color w:val="auto"/>
                      <w:szCs w:val="21"/>
                    </w:rPr>
                  </w:pPr>
                  <w:r>
                    <w:rPr>
                      <w:rFonts w:hint="eastAsia" w:ascii="Times New Roman" w:hAnsi="Times New Roman" w:eastAsia="宋体" w:cs="Times New Roman"/>
                      <w:color w:val="auto"/>
                      <w:szCs w:val="21"/>
                      <w:lang w:val="en-US" w:eastAsia="zh-CN"/>
                    </w:rPr>
                    <w:t>优先选用低噪声设备，对噪声设备进行基础减振，并设置在封闭锅炉房中，</w:t>
                  </w:r>
                  <w:r>
                    <w:rPr>
                      <w:rFonts w:hint="default" w:ascii="Times New Roman" w:hAnsi="Times New Roman" w:eastAsia="宋体" w:cs="Times New Roman"/>
                      <w:color w:val="auto"/>
                      <w:sz w:val="21"/>
                      <w:szCs w:val="21"/>
                      <w:lang w:eastAsia="zh-CN"/>
                    </w:rPr>
                    <w:t>振动较大的设备采取独立基础，设置减振器，风机进出口均设软管连接等措施</w:t>
                  </w:r>
                  <w:r>
                    <w:rPr>
                      <w:rFonts w:hint="eastAsia" w:cs="Times New Roman"/>
                      <w:color w:val="auto"/>
                      <w:sz w:val="21"/>
                      <w:szCs w:val="21"/>
                      <w:lang w:eastAsia="zh-CN"/>
                    </w:rPr>
                    <w:t>，</w:t>
                  </w:r>
                  <w:r>
                    <w:rPr>
                      <w:rFonts w:hint="eastAsia" w:ascii="Times New Roman" w:hAnsi="Times New Roman" w:eastAsia="宋体" w:cs="Times New Roman"/>
                      <w:color w:val="auto"/>
                      <w:szCs w:val="21"/>
                      <w:lang w:val="en-US" w:eastAsia="zh-CN"/>
                    </w:rPr>
                    <w:t>建筑隔声，距离衰减等</w:t>
                  </w:r>
                  <w:r>
                    <w:rPr>
                      <w:rFonts w:hint="default" w:ascii="Times New Roman" w:hAnsi="Times New Roman" w:eastAsia="宋体" w:cs="Times New Roman"/>
                      <w:color w:val="auto"/>
                      <w:sz w:val="21"/>
                      <w:szCs w:val="21"/>
                      <w:lang w:eastAsia="zh-CN"/>
                    </w:rPr>
                    <w:t>。合理布局，减少噪声对外环境的影响。</w:t>
                  </w:r>
                </w:p>
              </w:tc>
              <w:tc>
                <w:tcPr>
                  <w:tcW w:w="442" w:type="pct"/>
                  <w:vAlign w:val="center"/>
                </w:tcPr>
                <w:p w14:paraId="25350309">
                  <w:pPr>
                    <w:adjustRightInd w:val="0"/>
                    <w:snapToGrid w:val="0"/>
                    <w:jc w:val="center"/>
                    <w:rPr>
                      <w:rFonts w:hint="default" w:ascii="Times New Roman" w:hAnsi="Times New Roman" w:eastAsia="宋体" w:cs="Times New Roman"/>
                      <w:color w:val="auto"/>
                      <w:sz w:val="21"/>
                      <w:szCs w:val="21"/>
                      <w:lang w:eastAsia="zh-CN"/>
                    </w:rPr>
                  </w:pPr>
                  <w:r>
                    <w:rPr>
                      <w:rFonts w:hint="eastAsia" w:cs="Times New Roman"/>
                      <w:color w:val="auto"/>
                      <w:kern w:val="2"/>
                      <w:sz w:val="21"/>
                      <w:szCs w:val="24"/>
                      <w:lang w:val="en-US" w:eastAsia="zh-CN" w:bidi="ar-SA"/>
                    </w:rPr>
                    <w:t>/</w:t>
                  </w:r>
                </w:p>
              </w:tc>
            </w:tr>
            <w:tr w14:paraId="4FE95D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16" w:hRule="atLeast"/>
                <w:jc w:val="center"/>
              </w:trPr>
              <w:tc>
                <w:tcPr>
                  <w:tcW w:w="402" w:type="pct"/>
                  <w:vMerge w:val="continue"/>
                  <w:vAlign w:val="center"/>
                </w:tcPr>
                <w:p w14:paraId="0B74F9FC">
                  <w:pPr>
                    <w:adjustRightInd w:val="0"/>
                    <w:snapToGrid w:val="0"/>
                    <w:jc w:val="center"/>
                    <w:rPr>
                      <w:color w:val="auto"/>
                      <w:szCs w:val="21"/>
                    </w:rPr>
                  </w:pPr>
                </w:p>
              </w:tc>
              <w:tc>
                <w:tcPr>
                  <w:tcW w:w="363" w:type="pct"/>
                  <w:vAlign w:val="center"/>
                </w:tcPr>
                <w:p w14:paraId="5DF4C936">
                  <w:pPr>
                    <w:adjustRightInd w:val="0"/>
                    <w:snapToGrid w:val="0"/>
                    <w:jc w:val="center"/>
                    <w:rPr>
                      <w:color w:val="auto"/>
                      <w:szCs w:val="21"/>
                    </w:rPr>
                  </w:pPr>
                  <w:r>
                    <w:rPr>
                      <w:rFonts w:hint="eastAsia"/>
                      <w:color w:val="auto"/>
                      <w:szCs w:val="21"/>
                      <w:lang w:val="en-US" w:eastAsia="zh-CN"/>
                    </w:rPr>
                    <w:t>固废防治措施</w:t>
                  </w:r>
                </w:p>
              </w:tc>
              <w:tc>
                <w:tcPr>
                  <w:tcW w:w="1132" w:type="pct"/>
                  <w:vAlign w:val="center"/>
                </w:tcPr>
                <w:p w14:paraId="4255B666">
                  <w:pPr>
                    <w:adjustRightInd w:val="0"/>
                    <w:snapToGrid w:val="0"/>
                    <w:jc w:val="center"/>
                    <w:rPr>
                      <w:color w:val="auto"/>
                      <w:szCs w:val="21"/>
                    </w:rPr>
                  </w:pPr>
                  <w:r>
                    <w:rPr>
                      <w:rFonts w:hint="eastAsia"/>
                      <w:color w:val="auto"/>
                    </w:rPr>
                    <w:t>生活垃圾集中交由市政环卫部门处理；</w:t>
                  </w:r>
                  <w:r>
                    <w:rPr>
                      <w:rFonts w:hint="eastAsia"/>
                      <w:color w:val="auto"/>
                      <w:lang w:val="en-US" w:eastAsia="zh-CN"/>
                    </w:rPr>
                    <w:t>车间布袋除尘器收尘集中收集作为产品外售；导热油炉锅炉灰渣及除尘灰全部外售综合利用</w:t>
                  </w:r>
                  <w:r>
                    <w:rPr>
                      <w:rFonts w:hint="eastAsia"/>
                      <w:color w:val="auto"/>
                    </w:rPr>
                    <w:t>；废布袋由除尘器厂家检修后直接带走；废导热油每五年产生一次，委托有资质单位更换并带走处置，不在厂区内暂存。</w:t>
                  </w:r>
                </w:p>
              </w:tc>
              <w:tc>
                <w:tcPr>
                  <w:tcW w:w="1311" w:type="pct"/>
                  <w:vAlign w:val="center"/>
                </w:tcPr>
                <w:p w14:paraId="16F63737">
                  <w:pPr>
                    <w:adjustRightInd w:val="0"/>
                    <w:snapToGrid w:val="0"/>
                    <w:jc w:val="center"/>
                    <w:rPr>
                      <w:rFonts w:hint="eastAsia" w:ascii="Times New Roman" w:hAnsi="Times New Roman" w:eastAsia="宋体" w:cs="Times New Roman"/>
                      <w:color w:val="auto"/>
                      <w:szCs w:val="21"/>
                      <w:lang w:val="en-US" w:eastAsia="zh-CN"/>
                    </w:rPr>
                  </w:pPr>
                  <w:r>
                    <w:rPr>
                      <w:rFonts w:hint="eastAsia"/>
                      <w:color w:val="auto"/>
                      <w:lang w:val="en-US" w:eastAsia="zh-CN"/>
                    </w:rPr>
                    <w:t>导热油炉锅炉灰渣及除尘灰全部外售综合利用</w:t>
                  </w:r>
                  <w:r>
                    <w:rPr>
                      <w:rFonts w:hint="eastAsia" w:ascii="Times New Roman" w:hAnsi="Times New Roman" w:cs="Times New Roman"/>
                      <w:color w:val="auto"/>
                      <w:kern w:val="2"/>
                      <w:sz w:val="21"/>
                      <w:szCs w:val="24"/>
                      <w:lang w:val="en-US" w:eastAsia="zh-CN" w:bidi="ar-SA"/>
                    </w:rPr>
                    <w:t>；</w:t>
                  </w:r>
                  <w:r>
                    <w:rPr>
                      <w:rFonts w:hint="eastAsia"/>
                      <w:color w:val="auto"/>
                    </w:rPr>
                    <w:t>废布袋由除尘器厂家检修后直接带走；废导热油每五年产生一次，委托有资质单位更换并带走处置，不在厂区内暂存</w:t>
                  </w:r>
                  <w:r>
                    <w:rPr>
                      <w:rFonts w:hint="eastAsia"/>
                      <w:color w:val="auto"/>
                      <w:lang w:eastAsia="zh-CN"/>
                    </w:rPr>
                    <w:t>；</w:t>
                  </w:r>
                  <w:r>
                    <w:rPr>
                      <w:rFonts w:hint="eastAsia" w:ascii="Times New Roman" w:hAnsi="Times New Roman" w:eastAsia="宋体" w:cs="Times New Roman"/>
                      <w:color w:val="auto"/>
                      <w:szCs w:val="21"/>
                      <w:lang w:val="en-US" w:eastAsia="zh-CN"/>
                    </w:rPr>
                    <w:t>废机油</w:t>
                  </w:r>
                  <w:r>
                    <w:rPr>
                      <w:rFonts w:hint="eastAsia" w:cs="Times New Roman"/>
                      <w:color w:val="auto"/>
                      <w:szCs w:val="21"/>
                      <w:lang w:val="en-US" w:eastAsia="zh-CN"/>
                    </w:rPr>
                    <w:t>、</w:t>
                  </w:r>
                  <w:r>
                    <w:rPr>
                      <w:rFonts w:hint="eastAsia"/>
                      <w:color w:val="auto"/>
                      <w:lang w:val="en-US" w:eastAsia="zh-CN"/>
                    </w:rPr>
                    <w:t>废含油手套、废含油抹布集中收集暂存在危废贮存点，定期委托有资质公司处理</w:t>
                  </w:r>
                  <w:r>
                    <w:rPr>
                      <w:rFonts w:hint="eastAsia"/>
                      <w:color w:val="auto"/>
                    </w:rPr>
                    <w:t>。</w:t>
                  </w:r>
                </w:p>
              </w:tc>
              <w:tc>
                <w:tcPr>
                  <w:tcW w:w="1348" w:type="pct"/>
                  <w:vAlign w:val="center"/>
                </w:tcPr>
                <w:p w14:paraId="34204331">
                  <w:pPr>
                    <w:adjustRightInd w:val="0"/>
                    <w:snapToGrid w:val="0"/>
                    <w:jc w:val="center"/>
                    <w:rPr>
                      <w:rFonts w:hint="eastAsia" w:ascii="Times New Roman" w:hAnsi="Times New Roman" w:cs="Times New Roman"/>
                      <w:color w:val="auto"/>
                      <w:kern w:val="2"/>
                      <w:sz w:val="21"/>
                      <w:szCs w:val="24"/>
                      <w:lang w:val="en-US" w:eastAsia="zh-CN" w:bidi="ar-SA"/>
                    </w:rPr>
                  </w:pPr>
                  <w:r>
                    <w:rPr>
                      <w:rFonts w:hint="eastAsia" w:ascii="Times New Roman" w:hAnsi="Times New Roman" w:cs="Times New Roman"/>
                      <w:color w:val="auto"/>
                      <w:kern w:val="2"/>
                      <w:sz w:val="21"/>
                      <w:szCs w:val="24"/>
                      <w:lang w:val="en-US" w:eastAsia="zh-CN" w:bidi="ar-SA"/>
                    </w:rPr>
                    <w:t>生活垃圾集中交由市政环卫部门处理；</w:t>
                  </w:r>
                  <w:r>
                    <w:rPr>
                      <w:rFonts w:hint="eastAsia"/>
                      <w:color w:val="auto"/>
                      <w:lang w:val="en-US" w:eastAsia="zh-CN"/>
                    </w:rPr>
                    <w:t>车间布袋除尘器收尘集中收集作为产品外售；导热油炉锅炉灰渣及除尘灰全部外售综合利用</w:t>
                  </w:r>
                  <w:r>
                    <w:rPr>
                      <w:rFonts w:hint="eastAsia" w:ascii="Times New Roman" w:hAnsi="Times New Roman" w:cs="Times New Roman"/>
                      <w:color w:val="auto"/>
                      <w:kern w:val="2"/>
                      <w:sz w:val="21"/>
                      <w:szCs w:val="24"/>
                      <w:lang w:val="en-US" w:eastAsia="zh-CN" w:bidi="ar-SA"/>
                    </w:rPr>
                    <w:t>；废布袋由除尘器厂家检修后直接带走；废导热油每五年产生一次，委托有资质单位更换并带走处置，不在厂区内暂存；废机油</w:t>
                  </w:r>
                  <w:r>
                    <w:rPr>
                      <w:rFonts w:hint="eastAsia" w:cs="Times New Roman"/>
                      <w:color w:val="auto"/>
                      <w:kern w:val="2"/>
                      <w:sz w:val="21"/>
                      <w:szCs w:val="24"/>
                      <w:lang w:val="en-US" w:eastAsia="zh-CN" w:bidi="ar-SA"/>
                    </w:rPr>
                    <w:t>、</w:t>
                  </w:r>
                  <w:r>
                    <w:rPr>
                      <w:rFonts w:hint="eastAsia"/>
                      <w:color w:val="auto"/>
                      <w:lang w:val="en-US" w:eastAsia="zh-CN"/>
                    </w:rPr>
                    <w:t>废含油手套、废含油抹布集中收集暂存在危废贮存点，定期委托有资质公司处理</w:t>
                  </w:r>
                  <w:r>
                    <w:rPr>
                      <w:rFonts w:hint="eastAsia" w:ascii="Times New Roman" w:hAnsi="Times New Roman" w:cs="Times New Roman"/>
                      <w:color w:val="auto"/>
                      <w:kern w:val="2"/>
                      <w:sz w:val="21"/>
                      <w:szCs w:val="24"/>
                      <w:lang w:val="en-US" w:eastAsia="zh-CN" w:bidi="ar-SA"/>
                    </w:rPr>
                    <w:t>。</w:t>
                  </w:r>
                </w:p>
              </w:tc>
              <w:tc>
                <w:tcPr>
                  <w:tcW w:w="442" w:type="pct"/>
                  <w:vAlign w:val="center"/>
                </w:tcPr>
                <w:p w14:paraId="624D45AB">
                  <w:pPr>
                    <w:adjustRightInd w:val="0"/>
                    <w:snapToGrid w:val="0"/>
                    <w:jc w:val="center"/>
                    <w:rPr>
                      <w:rFonts w:hint="eastAsia" w:ascii="Times New Roman" w:hAnsi="Times New Roman" w:cs="Times New Roman"/>
                      <w:color w:val="auto"/>
                      <w:kern w:val="2"/>
                      <w:sz w:val="21"/>
                      <w:szCs w:val="24"/>
                      <w:lang w:val="en-US" w:eastAsia="zh-CN" w:bidi="ar-SA"/>
                    </w:rPr>
                  </w:pPr>
                  <w:r>
                    <w:rPr>
                      <w:rFonts w:hint="eastAsia" w:ascii="Times New Roman" w:hAnsi="Times New Roman" w:cs="Times New Roman"/>
                      <w:color w:val="auto"/>
                      <w:kern w:val="2"/>
                      <w:sz w:val="21"/>
                      <w:szCs w:val="24"/>
                      <w:lang w:val="en-US" w:eastAsia="zh-CN" w:bidi="ar-SA"/>
                    </w:rPr>
                    <w:t>/</w:t>
                  </w:r>
                </w:p>
              </w:tc>
            </w:tr>
          </w:tbl>
          <w:p w14:paraId="00B0BF21">
            <w:pPr>
              <w:adjustRightInd w:val="0"/>
              <w:snapToGrid w:val="0"/>
              <w:spacing w:line="360" w:lineRule="auto"/>
              <w:ind w:firstLine="482" w:firstLineChars="200"/>
              <w:rPr>
                <w:b/>
                <w:color w:val="auto"/>
                <w:sz w:val="24"/>
              </w:rPr>
            </w:pPr>
            <w:r>
              <w:rPr>
                <w:rFonts w:hint="eastAsia"/>
                <w:b/>
                <w:color w:val="auto"/>
                <w:sz w:val="24"/>
              </w:rPr>
              <w:t>4</w:t>
            </w:r>
            <w:r>
              <w:rPr>
                <w:b/>
                <w:color w:val="auto"/>
                <w:sz w:val="24"/>
              </w:rPr>
              <w:t>、主要原辅材料</w:t>
            </w:r>
          </w:p>
          <w:p w14:paraId="5E06CADC">
            <w:pPr>
              <w:adjustRightInd w:val="0"/>
              <w:snapToGrid w:val="0"/>
              <w:spacing w:line="360" w:lineRule="auto"/>
              <w:ind w:firstLine="480" w:firstLineChars="200"/>
              <w:rPr>
                <w:b/>
                <w:color w:val="auto"/>
                <w:sz w:val="24"/>
              </w:rPr>
            </w:pPr>
            <w:r>
              <w:rPr>
                <w:color w:val="auto"/>
                <w:sz w:val="24"/>
              </w:rPr>
              <w:t>本项目主要原辅材料</w:t>
            </w:r>
            <w:r>
              <w:rPr>
                <w:rFonts w:hint="eastAsia"/>
                <w:color w:val="auto"/>
                <w:sz w:val="24"/>
              </w:rPr>
              <w:t>消耗量详见</w:t>
            </w:r>
            <w:r>
              <w:rPr>
                <w:color w:val="auto"/>
                <w:sz w:val="24"/>
              </w:rPr>
              <w:t>一览表2-2</w:t>
            </w:r>
            <w:r>
              <w:rPr>
                <w:snapToGrid w:val="0"/>
                <w:color w:val="auto"/>
                <w:kern w:val="0"/>
                <w:sz w:val="24"/>
              </w:rPr>
              <w:t>。</w:t>
            </w:r>
          </w:p>
          <w:p w14:paraId="60C69299">
            <w:pPr>
              <w:jc w:val="center"/>
              <w:rPr>
                <w:b/>
                <w:color w:val="auto"/>
                <w:szCs w:val="21"/>
              </w:rPr>
            </w:pPr>
            <w:r>
              <w:rPr>
                <w:b/>
                <w:color w:val="auto"/>
                <w:szCs w:val="21"/>
              </w:rPr>
              <w:t>表2-2</w:t>
            </w:r>
            <w:r>
              <w:rPr>
                <w:rFonts w:hint="eastAsia"/>
                <w:b/>
                <w:color w:val="auto"/>
                <w:szCs w:val="21"/>
              </w:rPr>
              <w:t xml:space="preserve">  </w:t>
            </w:r>
            <w:r>
              <w:rPr>
                <w:b/>
                <w:color w:val="auto"/>
                <w:szCs w:val="21"/>
              </w:rPr>
              <w:t>主要原辅材料一览表</w:t>
            </w:r>
          </w:p>
          <w:tbl>
            <w:tblPr>
              <w:tblStyle w:val="3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16"/>
              <w:gridCol w:w="1455"/>
              <w:gridCol w:w="2100"/>
              <w:gridCol w:w="1503"/>
              <w:gridCol w:w="1347"/>
            </w:tblGrid>
            <w:tr w14:paraId="7BDC62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6" w:type="pct"/>
                  <w:noWrap w:val="0"/>
                  <w:vAlign w:val="center"/>
                </w:tcPr>
                <w:p w14:paraId="35A582DE">
                  <w:pPr>
                    <w:adjustRightInd w:val="0"/>
                    <w:snapToGrid w:val="0"/>
                    <w:jc w:val="center"/>
                    <w:rPr>
                      <w:bCs/>
                      <w:snapToGrid w:val="0"/>
                      <w:color w:val="auto"/>
                      <w:szCs w:val="21"/>
                    </w:rPr>
                  </w:pPr>
                  <w:r>
                    <w:rPr>
                      <w:bCs/>
                      <w:snapToGrid w:val="0"/>
                      <w:color w:val="auto"/>
                      <w:szCs w:val="21"/>
                    </w:rPr>
                    <w:t>原料</w:t>
                  </w:r>
                </w:p>
              </w:tc>
              <w:tc>
                <w:tcPr>
                  <w:tcW w:w="895" w:type="pct"/>
                  <w:shd w:val="clear" w:color="auto" w:fill="auto"/>
                  <w:noWrap w:val="0"/>
                  <w:vAlign w:val="center"/>
                </w:tcPr>
                <w:p w14:paraId="6AC19C81">
                  <w:pPr>
                    <w:adjustRightInd w:val="0"/>
                    <w:snapToGrid w:val="0"/>
                    <w:jc w:val="center"/>
                    <w:rPr>
                      <w:rFonts w:ascii="Times New Roman" w:hAnsi="Times New Roman" w:eastAsia="宋体" w:cs="Times New Roman"/>
                      <w:bCs/>
                      <w:snapToGrid w:val="0"/>
                      <w:color w:val="auto"/>
                      <w:kern w:val="2"/>
                      <w:sz w:val="21"/>
                      <w:szCs w:val="21"/>
                      <w:lang w:val="en-US" w:eastAsia="zh-CN" w:bidi="ar-SA"/>
                    </w:rPr>
                  </w:pPr>
                  <w:r>
                    <w:rPr>
                      <w:rFonts w:hint="eastAsia"/>
                      <w:bCs/>
                      <w:color w:val="auto"/>
                      <w:szCs w:val="21"/>
                      <w:lang w:val="en-US" w:eastAsia="zh-CN"/>
                    </w:rPr>
                    <w:t>现有工程用量</w:t>
                  </w:r>
                </w:p>
              </w:tc>
              <w:tc>
                <w:tcPr>
                  <w:tcW w:w="1292" w:type="pct"/>
                  <w:noWrap w:val="0"/>
                  <w:vAlign w:val="center"/>
                </w:tcPr>
                <w:p w14:paraId="29E12E8E">
                  <w:pPr>
                    <w:adjustRightInd w:val="0"/>
                    <w:snapToGrid w:val="0"/>
                    <w:jc w:val="center"/>
                    <w:rPr>
                      <w:bCs/>
                      <w:snapToGrid w:val="0"/>
                      <w:color w:val="auto"/>
                      <w:szCs w:val="21"/>
                    </w:rPr>
                  </w:pPr>
                  <w:r>
                    <w:rPr>
                      <w:rFonts w:hint="eastAsia"/>
                      <w:bCs/>
                      <w:color w:val="auto"/>
                      <w:szCs w:val="21"/>
                      <w:lang w:val="en-US" w:eastAsia="zh-CN"/>
                    </w:rPr>
                    <w:t>本项目用量</w:t>
                  </w:r>
                </w:p>
              </w:tc>
              <w:tc>
                <w:tcPr>
                  <w:tcW w:w="925" w:type="pct"/>
                  <w:noWrap w:val="0"/>
                  <w:vAlign w:val="center"/>
                </w:tcPr>
                <w:p w14:paraId="294F40C5">
                  <w:pPr>
                    <w:adjustRightInd w:val="0"/>
                    <w:snapToGrid w:val="0"/>
                    <w:jc w:val="center"/>
                    <w:rPr>
                      <w:bCs/>
                      <w:snapToGrid w:val="0"/>
                      <w:color w:val="auto"/>
                      <w:szCs w:val="21"/>
                    </w:rPr>
                  </w:pPr>
                  <w:r>
                    <w:rPr>
                      <w:rFonts w:hint="eastAsia"/>
                      <w:bCs/>
                      <w:color w:val="auto"/>
                      <w:szCs w:val="21"/>
                      <w:lang w:val="en-US" w:eastAsia="zh-CN"/>
                    </w:rPr>
                    <w:t>改建后全厂用量</w:t>
                  </w:r>
                </w:p>
              </w:tc>
              <w:tc>
                <w:tcPr>
                  <w:tcW w:w="829" w:type="pct"/>
                  <w:noWrap w:val="0"/>
                  <w:vAlign w:val="center"/>
                </w:tcPr>
                <w:p w14:paraId="2365A777">
                  <w:pPr>
                    <w:adjustRightInd w:val="0"/>
                    <w:snapToGrid w:val="0"/>
                    <w:jc w:val="center"/>
                    <w:rPr>
                      <w:bCs/>
                      <w:snapToGrid w:val="0"/>
                      <w:color w:val="auto"/>
                      <w:szCs w:val="21"/>
                    </w:rPr>
                  </w:pPr>
                  <w:r>
                    <w:rPr>
                      <w:rFonts w:hint="eastAsia"/>
                      <w:bCs/>
                      <w:color w:val="auto"/>
                      <w:szCs w:val="21"/>
                      <w:lang w:val="en-US" w:eastAsia="zh-CN"/>
                    </w:rPr>
                    <w:t>变化量</w:t>
                  </w:r>
                </w:p>
              </w:tc>
            </w:tr>
            <w:tr w14:paraId="0B2637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6" w:type="pct"/>
                  <w:noWrap w:val="0"/>
                  <w:vAlign w:val="center"/>
                </w:tcPr>
                <w:p w14:paraId="1FB2243A">
                  <w:pPr>
                    <w:adjustRightInd w:val="0"/>
                    <w:snapToGrid w:val="0"/>
                    <w:jc w:val="center"/>
                    <w:rPr>
                      <w:bCs/>
                      <w:snapToGrid w:val="0"/>
                      <w:color w:val="auto"/>
                      <w:szCs w:val="21"/>
                    </w:rPr>
                  </w:pPr>
                  <w:r>
                    <w:rPr>
                      <w:bCs/>
                      <w:snapToGrid w:val="0"/>
                      <w:color w:val="auto"/>
                      <w:szCs w:val="21"/>
                    </w:rPr>
                    <w:t>纳米</w:t>
                  </w:r>
                  <w:r>
                    <w:rPr>
                      <w:rFonts w:hint="eastAsia"/>
                      <w:bCs/>
                      <w:snapToGrid w:val="0"/>
                      <w:color w:val="auto"/>
                      <w:szCs w:val="21"/>
                    </w:rPr>
                    <w:t>材料湿料</w:t>
                  </w:r>
                </w:p>
              </w:tc>
              <w:tc>
                <w:tcPr>
                  <w:tcW w:w="895" w:type="pct"/>
                  <w:shd w:val="clear" w:color="auto" w:fill="auto"/>
                  <w:noWrap w:val="0"/>
                  <w:vAlign w:val="center"/>
                </w:tcPr>
                <w:p w14:paraId="15776A2F">
                  <w:pPr>
                    <w:adjustRightInd w:val="0"/>
                    <w:snapToGrid w:val="0"/>
                    <w:jc w:val="center"/>
                    <w:rPr>
                      <w:rFonts w:hint="eastAsia" w:ascii="Times New Roman" w:hAnsi="Times New Roman" w:eastAsia="宋体" w:cs="Times New Roman"/>
                      <w:bCs/>
                      <w:snapToGrid w:val="0"/>
                      <w:color w:val="auto"/>
                      <w:kern w:val="2"/>
                      <w:sz w:val="21"/>
                      <w:szCs w:val="21"/>
                      <w:lang w:val="en-US" w:eastAsia="zh-CN" w:bidi="ar-SA"/>
                    </w:rPr>
                  </w:pPr>
                  <w:r>
                    <w:rPr>
                      <w:bCs/>
                      <w:snapToGrid w:val="0"/>
                      <w:color w:val="auto"/>
                      <w:szCs w:val="21"/>
                    </w:rPr>
                    <w:t>710</w:t>
                  </w:r>
                  <w:r>
                    <w:rPr>
                      <w:rFonts w:hint="eastAsia"/>
                      <w:bCs/>
                      <w:snapToGrid w:val="0"/>
                      <w:color w:val="auto"/>
                      <w:szCs w:val="21"/>
                      <w:lang w:val="en-US" w:eastAsia="zh-CN"/>
                    </w:rPr>
                    <w:t>t/a</w:t>
                  </w:r>
                </w:p>
              </w:tc>
              <w:tc>
                <w:tcPr>
                  <w:tcW w:w="1292" w:type="pct"/>
                  <w:noWrap w:val="0"/>
                  <w:vAlign w:val="center"/>
                </w:tcPr>
                <w:p w14:paraId="59A604BB">
                  <w:pPr>
                    <w:adjustRightInd w:val="0"/>
                    <w:snapToGrid w:val="0"/>
                    <w:jc w:val="center"/>
                    <w:rPr>
                      <w:rFonts w:hint="eastAsia" w:eastAsia="宋体"/>
                      <w:bCs/>
                      <w:snapToGrid w:val="0"/>
                      <w:color w:val="auto"/>
                      <w:szCs w:val="21"/>
                      <w:lang w:val="en-US" w:eastAsia="zh-CN"/>
                    </w:rPr>
                  </w:pPr>
                  <w:r>
                    <w:rPr>
                      <w:rFonts w:hint="eastAsia"/>
                      <w:bCs/>
                      <w:snapToGrid w:val="0"/>
                      <w:color w:val="auto"/>
                      <w:szCs w:val="21"/>
                      <w:lang w:val="en-US" w:eastAsia="zh-CN"/>
                    </w:rPr>
                    <w:t>0</w:t>
                  </w:r>
                </w:p>
              </w:tc>
              <w:tc>
                <w:tcPr>
                  <w:tcW w:w="925" w:type="pct"/>
                  <w:noWrap w:val="0"/>
                  <w:vAlign w:val="center"/>
                </w:tcPr>
                <w:p w14:paraId="0AEB7E0A">
                  <w:pPr>
                    <w:adjustRightInd w:val="0"/>
                    <w:snapToGrid w:val="0"/>
                    <w:jc w:val="center"/>
                    <w:rPr>
                      <w:bCs/>
                      <w:snapToGrid w:val="0"/>
                      <w:color w:val="auto"/>
                      <w:szCs w:val="21"/>
                    </w:rPr>
                  </w:pPr>
                  <w:r>
                    <w:rPr>
                      <w:bCs/>
                      <w:snapToGrid w:val="0"/>
                      <w:color w:val="auto"/>
                      <w:szCs w:val="21"/>
                    </w:rPr>
                    <w:t>710</w:t>
                  </w:r>
                  <w:r>
                    <w:rPr>
                      <w:rFonts w:hint="eastAsia"/>
                      <w:bCs/>
                      <w:snapToGrid w:val="0"/>
                      <w:color w:val="auto"/>
                      <w:szCs w:val="21"/>
                      <w:lang w:val="en-US" w:eastAsia="zh-CN"/>
                    </w:rPr>
                    <w:t>t/a</w:t>
                  </w:r>
                </w:p>
              </w:tc>
              <w:tc>
                <w:tcPr>
                  <w:tcW w:w="829" w:type="pct"/>
                  <w:noWrap w:val="0"/>
                  <w:vAlign w:val="center"/>
                </w:tcPr>
                <w:p w14:paraId="334D332E">
                  <w:pPr>
                    <w:adjustRightInd w:val="0"/>
                    <w:snapToGrid w:val="0"/>
                    <w:jc w:val="center"/>
                    <w:rPr>
                      <w:bCs/>
                      <w:snapToGrid w:val="0"/>
                      <w:color w:val="auto"/>
                      <w:szCs w:val="21"/>
                    </w:rPr>
                  </w:pPr>
                  <w:r>
                    <w:rPr>
                      <w:rFonts w:hint="eastAsia"/>
                      <w:bCs/>
                      <w:snapToGrid w:val="0"/>
                      <w:color w:val="auto"/>
                      <w:szCs w:val="21"/>
                      <w:lang w:val="en-US" w:eastAsia="zh-CN"/>
                    </w:rPr>
                    <w:t>0</w:t>
                  </w:r>
                </w:p>
              </w:tc>
            </w:tr>
            <w:tr w14:paraId="5DD2F6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6" w:type="pct"/>
                  <w:noWrap w:val="0"/>
                  <w:vAlign w:val="center"/>
                </w:tcPr>
                <w:p w14:paraId="613C4F77">
                  <w:pPr>
                    <w:adjustRightInd w:val="0"/>
                    <w:snapToGrid w:val="0"/>
                    <w:jc w:val="center"/>
                    <w:rPr>
                      <w:bCs/>
                      <w:snapToGrid w:val="0"/>
                      <w:color w:val="auto"/>
                      <w:szCs w:val="21"/>
                    </w:rPr>
                  </w:pPr>
                  <w:r>
                    <w:rPr>
                      <w:rFonts w:hint="eastAsia"/>
                      <w:bCs/>
                      <w:snapToGrid w:val="0"/>
                      <w:color w:val="auto"/>
                      <w:szCs w:val="21"/>
                    </w:rPr>
                    <w:t>可膨胀石墨湿料</w:t>
                  </w:r>
                </w:p>
              </w:tc>
              <w:tc>
                <w:tcPr>
                  <w:tcW w:w="895" w:type="pct"/>
                  <w:shd w:val="clear" w:color="auto" w:fill="auto"/>
                  <w:noWrap w:val="0"/>
                  <w:vAlign w:val="center"/>
                </w:tcPr>
                <w:p w14:paraId="3B7684C5">
                  <w:pPr>
                    <w:adjustRightInd w:val="0"/>
                    <w:snapToGrid w:val="0"/>
                    <w:jc w:val="center"/>
                    <w:rPr>
                      <w:rFonts w:ascii="Times New Roman" w:hAnsi="Times New Roman" w:eastAsia="宋体" w:cs="Times New Roman"/>
                      <w:bCs/>
                      <w:snapToGrid w:val="0"/>
                      <w:color w:val="auto"/>
                      <w:kern w:val="2"/>
                      <w:sz w:val="21"/>
                      <w:szCs w:val="21"/>
                      <w:lang w:val="en-US" w:eastAsia="zh-CN" w:bidi="ar-SA"/>
                    </w:rPr>
                  </w:pPr>
                  <w:r>
                    <w:rPr>
                      <w:bCs/>
                      <w:snapToGrid w:val="0"/>
                      <w:color w:val="auto"/>
                      <w:szCs w:val="21"/>
                    </w:rPr>
                    <w:t>2480</w:t>
                  </w:r>
                  <w:r>
                    <w:rPr>
                      <w:rFonts w:hint="eastAsia"/>
                      <w:bCs/>
                      <w:snapToGrid w:val="0"/>
                      <w:color w:val="auto"/>
                      <w:szCs w:val="21"/>
                      <w:lang w:val="en-US" w:eastAsia="zh-CN"/>
                    </w:rPr>
                    <w:t>t/a</w:t>
                  </w:r>
                </w:p>
              </w:tc>
              <w:tc>
                <w:tcPr>
                  <w:tcW w:w="1292" w:type="pct"/>
                  <w:noWrap w:val="0"/>
                  <w:vAlign w:val="center"/>
                </w:tcPr>
                <w:p w14:paraId="0D700D31">
                  <w:pPr>
                    <w:adjustRightInd w:val="0"/>
                    <w:snapToGrid w:val="0"/>
                    <w:jc w:val="center"/>
                    <w:rPr>
                      <w:bCs/>
                      <w:snapToGrid w:val="0"/>
                      <w:color w:val="auto"/>
                      <w:szCs w:val="21"/>
                    </w:rPr>
                  </w:pPr>
                  <w:r>
                    <w:rPr>
                      <w:rFonts w:hint="eastAsia"/>
                      <w:bCs/>
                      <w:snapToGrid w:val="0"/>
                      <w:color w:val="auto"/>
                      <w:szCs w:val="21"/>
                      <w:lang w:val="en-US" w:eastAsia="zh-CN"/>
                    </w:rPr>
                    <w:t>0</w:t>
                  </w:r>
                </w:p>
              </w:tc>
              <w:tc>
                <w:tcPr>
                  <w:tcW w:w="925" w:type="pct"/>
                  <w:noWrap w:val="0"/>
                  <w:vAlign w:val="center"/>
                </w:tcPr>
                <w:p w14:paraId="27129190">
                  <w:pPr>
                    <w:adjustRightInd w:val="0"/>
                    <w:snapToGrid w:val="0"/>
                    <w:jc w:val="center"/>
                    <w:rPr>
                      <w:bCs/>
                      <w:snapToGrid w:val="0"/>
                      <w:color w:val="auto"/>
                      <w:szCs w:val="21"/>
                    </w:rPr>
                  </w:pPr>
                  <w:r>
                    <w:rPr>
                      <w:bCs/>
                      <w:snapToGrid w:val="0"/>
                      <w:color w:val="auto"/>
                      <w:szCs w:val="21"/>
                    </w:rPr>
                    <w:t>2480</w:t>
                  </w:r>
                  <w:r>
                    <w:rPr>
                      <w:rFonts w:hint="eastAsia"/>
                      <w:bCs/>
                      <w:snapToGrid w:val="0"/>
                      <w:color w:val="auto"/>
                      <w:szCs w:val="21"/>
                      <w:lang w:val="en-US" w:eastAsia="zh-CN"/>
                    </w:rPr>
                    <w:t>t/a</w:t>
                  </w:r>
                </w:p>
              </w:tc>
              <w:tc>
                <w:tcPr>
                  <w:tcW w:w="829" w:type="pct"/>
                  <w:noWrap w:val="0"/>
                  <w:vAlign w:val="center"/>
                </w:tcPr>
                <w:p w14:paraId="194BFD22">
                  <w:pPr>
                    <w:adjustRightInd w:val="0"/>
                    <w:snapToGrid w:val="0"/>
                    <w:jc w:val="center"/>
                    <w:rPr>
                      <w:bCs/>
                      <w:snapToGrid w:val="0"/>
                      <w:color w:val="auto"/>
                      <w:szCs w:val="21"/>
                    </w:rPr>
                  </w:pPr>
                  <w:r>
                    <w:rPr>
                      <w:rFonts w:hint="eastAsia"/>
                      <w:bCs/>
                      <w:snapToGrid w:val="0"/>
                      <w:color w:val="auto"/>
                      <w:szCs w:val="21"/>
                      <w:lang w:val="en-US" w:eastAsia="zh-CN"/>
                    </w:rPr>
                    <w:t>0</w:t>
                  </w:r>
                </w:p>
              </w:tc>
            </w:tr>
            <w:tr w14:paraId="3A5B2E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6" w:type="pct"/>
                  <w:noWrap w:val="0"/>
                  <w:vAlign w:val="center"/>
                </w:tcPr>
                <w:p w14:paraId="373A0C33">
                  <w:pPr>
                    <w:adjustRightInd w:val="0"/>
                    <w:snapToGrid w:val="0"/>
                    <w:jc w:val="center"/>
                    <w:rPr>
                      <w:bCs/>
                      <w:snapToGrid w:val="0"/>
                      <w:color w:val="auto"/>
                      <w:szCs w:val="21"/>
                    </w:rPr>
                  </w:pPr>
                  <w:r>
                    <w:rPr>
                      <w:rFonts w:hint="eastAsia"/>
                      <w:bCs/>
                      <w:snapToGrid w:val="0"/>
                      <w:color w:val="auto"/>
                      <w:szCs w:val="21"/>
                    </w:rPr>
                    <w:t>可膨胀石墨湿料</w:t>
                  </w:r>
                </w:p>
              </w:tc>
              <w:tc>
                <w:tcPr>
                  <w:tcW w:w="895" w:type="pct"/>
                  <w:shd w:val="clear" w:color="auto" w:fill="auto"/>
                  <w:noWrap w:val="0"/>
                  <w:vAlign w:val="center"/>
                </w:tcPr>
                <w:p w14:paraId="724E914F">
                  <w:pPr>
                    <w:adjustRightInd w:val="0"/>
                    <w:snapToGrid w:val="0"/>
                    <w:jc w:val="center"/>
                    <w:rPr>
                      <w:rFonts w:ascii="Times New Roman" w:hAnsi="Times New Roman" w:eastAsia="宋体" w:cs="Times New Roman"/>
                      <w:bCs/>
                      <w:snapToGrid w:val="0"/>
                      <w:color w:val="auto"/>
                      <w:kern w:val="2"/>
                      <w:sz w:val="21"/>
                      <w:szCs w:val="21"/>
                      <w:lang w:val="en-US" w:eastAsia="zh-CN" w:bidi="ar-SA"/>
                    </w:rPr>
                  </w:pPr>
                  <w:r>
                    <w:rPr>
                      <w:bCs/>
                      <w:snapToGrid w:val="0"/>
                      <w:color w:val="auto"/>
                      <w:szCs w:val="21"/>
                    </w:rPr>
                    <w:t>3715</w:t>
                  </w:r>
                  <w:r>
                    <w:rPr>
                      <w:rFonts w:hint="eastAsia"/>
                      <w:bCs/>
                      <w:snapToGrid w:val="0"/>
                      <w:color w:val="auto"/>
                      <w:szCs w:val="21"/>
                      <w:lang w:val="en-US" w:eastAsia="zh-CN"/>
                    </w:rPr>
                    <w:t>t/a</w:t>
                  </w:r>
                </w:p>
              </w:tc>
              <w:tc>
                <w:tcPr>
                  <w:tcW w:w="1292" w:type="pct"/>
                  <w:noWrap w:val="0"/>
                  <w:vAlign w:val="center"/>
                </w:tcPr>
                <w:p w14:paraId="26FA397E">
                  <w:pPr>
                    <w:adjustRightInd w:val="0"/>
                    <w:snapToGrid w:val="0"/>
                    <w:jc w:val="center"/>
                    <w:rPr>
                      <w:bCs/>
                      <w:snapToGrid w:val="0"/>
                      <w:color w:val="auto"/>
                      <w:szCs w:val="21"/>
                    </w:rPr>
                  </w:pPr>
                  <w:r>
                    <w:rPr>
                      <w:rFonts w:hint="eastAsia"/>
                      <w:bCs/>
                      <w:snapToGrid w:val="0"/>
                      <w:color w:val="auto"/>
                      <w:szCs w:val="21"/>
                      <w:lang w:val="en-US" w:eastAsia="zh-CN"/>
                    </w:rPr>
                    <w:t>0</w:t>
                  </w:r>
                </w:p>
              </w:tc>
              <w:tc>
                <w:tcPr>
                  <w:tcW w:w="925" w:type="pct"/>
                  <w:noWrap w:val="0"/>
                  <w:vAlign w:val="center"/>
                </w:tcPr>
                <w:p w14:paraId="5B4057EE">
                  <w:pPr>
                    <w:adjustRightInd w:val="0"/>
                    <w:snapToGrid w:val="0"/>
                    <w:jc w:val="center"/>
                    <w:rPr>
                      <w:bCs/>
                      <w:snapToGrid w:val="0"/>
                      <w:color w:val="auto"/>
                      <w:szCs w:val="21"/>
                    </w:rPr>
                  </w:pPr>
                  <w:r>
                    <w:rPr>
                      <w:bCs/>
                      <w:snapToGrid w:val="0"/>
                      <w:color w:val="auto"/>
                      <w:szCs w:val="21"/>
                    </w:rPr>
                    <w:t>3715</w:t>
                  </w:r>
                  <w:r>
                    <w:rPr>
                      <w:rFonts w:hint="eastAsia"/>
                      <w:bCs/>
                      <w:snapToGrid w:val="0"/>
                      <w:color w:val="auto"/>
                      <w:szCs w:val="21"/>
                      <w:lang w:val="en-US" w:eastAsia="zh-CN"/>
                    </w:rPr>
                    <w:t>t/a</w:t>
                  </w:r>
                </w:p>
              </w:tc>
              <w:tc>
                <w:tcPr>
                  <w:tcW w:w="829" w:type="pct"/>
                  <w:noWrap w:val="0"/>
                  <w:vAlign w:val="center"/>
                </w:tcPr>
                <w:p w14:paraId="5D5A1154">
                  <w:pPr>
                    <w:adjustRightInd w:val="0"/>
                    <w:snapToGrid w:val="0"/>
                    <w:jc w:val="center"/>
                    <w:rPr>
                      <w:bCs/>
                      <w:snapToGrid w:val="0"/>
                      <w:color w:val="auto"/>
                      <w:szCs w:val="21"/>
                    </w:rPr>
                  </w:pPr>
                  <w:r>
                    <w:rPr>
                      <w:rFonts w:hint="eastAsia"/>
                      <w:bCs/>
                      <w:snapToGrid w:val="0"/>
                      <w:color w:val="auto"/>
                      <w:szCs w:val="21"/>
                      <w:lang w:val="en-US" w:eastAsia="zh-CN"/>
                    </w:rPr>
                    <w:t>0</w:t>
                  </w:r>
                </w:p>
              </w:tc>
            </w:tr>
            <w:tr w14:paraId="474058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6" w:type="pct"/>
                  <w:noWrap w:val="0"/>
                  <w:vAlign w:val="center"/>
                </w:tcPr>
                <w:p w14:paraId="5E10BAF1">
                  <w:pPr>
                    <w:adjustRightInd w:val="0"/>
                    <w:snapToGrid w:val="0"/>
                    <w:jc w:val="center"/>
                    <w:rPr>
                      <w:bCs/>
                      <w:snapToGrid w:val="0"/>
                      <w:color w:val="auto"/>
                      <w:szCs w:val="21"/>
                    </w:rPr>
                  </w:pPr>
                  <w:r>
                    <w:rPr>
                      <w:rFonts w:hint="eastAsia"/>
                      <w:bCs/>
                      <w:snapToGrid w:val="0"/>
                      <w:color w:val="auto"/>
                      <w:szCs w:val="21"/>
                    </w:rPr>
                    <w:t>稀释油</w:t>
                  </w:r>
                </w:p>
              </w:tc>
              <w:tc>
                <w:tcPr>
                  <w:tcW w:w="895" w:type="pct"/>
                  <w:shd w:val="clear" w:color="auto" w:fill="auto"/>
                  <w:noWrap w:val="0"/>
                  <w:vAlign w:val="center"/>
                </w:tcPr>
                <w:p w14:paraId="577C7C82">
                  <w:pPr>
                    <w:adjustRightInd w:val="0"/>
                    <w:snapToGrid w:val="0"/>
                    <w:jc w:val="center"/>
                    <w:rPr>
                      <w:rFonts w:ascii="Times New Roman" w:hAnsi="Times New Roman" w:eastAsia="宋体" w:cs="Times New Roman"/>
                      <w:bCs/>
                      <w:snapToGrid w:val="0"/>
                      <w:color w:val="auto"/>
                      <w:kern w:val="2"/>
                      <w:sz w:val="21"/>
                      <w:szCs w:val="21"/>
                      <w:lang w:val="en-US" w:eastAsia="zh-CN" w:bidi="ar-SA"/>
                    </w:rPr>
                  </w:pPr>
                  <w:r>
                    <w:rPr>
                      <w:bCs/>
                      <w:snapToGrid w:val="0"/>
                      <w:color w:val="auto"/>
                      <w:szCs w:val="21"/>
                    </w:rPr>
                    <w:t>0.5</w:t>
                  </w:r>
                  <w:r>
                    <w:rPr>
                      <w:rFonts w:hint="eastAsia"/>
                      <w:bCs/>
                      <w:snapToGrid w:val="0"/>
                      <w:color w:val="auto"/>
                      <w:szCs w:val="21"/>
                      <w:lang w:val="en-US" w:eastAsia="zh-CN"/>
                    </w:rPr>
                    <w:t>t/a</w:t>
                  </w:r>
                </w:p>
              </w:tc>
              <w:tc>
                <w:tcPr>
                  <w:tcW w:w="1292" w:type="pct"/>
                  <w:noWrap w:val="0"/>
                  <w:vAlign w:val="center"/>
                </w:tcPr>
                <w:p w14:paraId="70BF519B">
                  <w:pPr>
                    <w:adjustRightInd w:val="0"/>
                    <w:snapToGrid w:val="0"/>
                    <w:jc w:val="center"/>
                    <w:rPr>
                      <w:bCs/>
                      <w:snapToGrid w:val="0"/>
                      <w:color w:val="auto"/>
                      <w:szCs w:val="21"/>
                    </w:rPr>
                  </w:pPr>
                  <w:r>
                    <w:rPr>
                      <w:rFonts w:hint="eastAsia"/>
                      <w:bCs/>
                      <w:snapToGrid w:val="0"/>
                      <w:color w:val="auto"/>
                      <w:szCs w:val="21"/>
                      <w:lang w:val="en-US" w:eastAsia="zh-CN"/>
                    </w:rPr>
                    <w:t>0</w:t>
                  </w:r>
                </w:p>
              </w:tc>
              <w:tc>
                <w:tcPr>
                  <w:tcW w:w="925" w:type="pct"/>
                  <w:noWrap w:val="0"/>
                  <w:vAlign w:val="center"/>
                </w:tcPr>
                <w:p w14:paraId="61D4F86C">
                  <w:pPr>
                    <w:adjustRightInd w:val="0"/>
                    <w:snapToGrid w:val="0"/>
                    <w:jc w:val="center"/>
                    <w:rPr>
                      <w:bCs/>
                      <w:snapToGrid w:val="0"/>
                      <w:color w:val="auto"/>
                      <w:szCs w:val="21"/>
                    </w:rPr>
                  </w:pPr>
                  <w:r>
                    <w:rPr>
                      <w:bCs/>
                      <w:snapToGrid w:val="0"/>
                      <w:color w:val="auto"/>
                      <w:szCs w:val="21"/>
                    </w:rPr>
                    <w:t>0.5</w:t>
                  </w:r>
                  <w:r>
                    <w:rPr>
                      <w:rFonts w:hint="eastAsia"/>
                      <w:bCs/>
                      <w:snapToGrid w:val="0"/>
                      <w:color w:val="auto"/>
                      <w:szCs w:val="21"/>
                      <w:lang w:val="en-US" w:eastAsia="zh-CN"/>
                    </w:rPr>
                    <w:t>t/a</w:t>
                  </w:r>
                </w:p>
              </w:tc>
              <w:tc>
                <w:tcPr>
                  <w:tcW w:w="829" w:type="pct"/>
                  <w:noWrap w:val="0"/>
                  <w:vAlign w:val="center"/>
                </w:tcPr>
                <w:p w14:paraId="598EC4AA">
                  <w:pPr>
                    <w:adjustRightInd w:val="0"/>
                    <w:snapToGrid w:val="0"/>
                    <w:jc w:val="center"/>
                    <w:rPr>
                      <w:bCs/>
                      <w:snapToGrid w:val="0"/>
                      <w:color w:val="auto"/>
                      <w:szCs w:val="21"/>
                    </w:rPr>
                  </w:pPr>
                  <w:r>
                    <w:rPr>
                      <w:rFonts w:hint="eastAsia"/>
                      <w:bCs/>
                      <w:snapToGrid w:val="0"/>
                      <w:color w:val="auto"/>
                      <w:szCs w:val="21"/>
                      <w:lang w:val="en-US" w:eastAsia="zh-CN"/>
                    </w:rPr>
                    <w:t>0</w:t>
                  </w:r>
                </w:p>
              </w:tc>
            </w:tr>
            <w:tr w14:paraId="1D6FEA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6" w:type="pct"/>
                  <w:noWrap w:val="0"/>
                  <w:vAlign w:val="center"/>
                </w:tcPr>
                <w:p w14:paraId="7B13973B">
                  <w:pPr>
                    <w:adjustRightInd w:val="0"/>
                    <w:snapToGrid w:val="0"/>
                    <w:jc w:val="center"/>
                    <w:rPr>
                      <w:rFonts w:hint="eastAsia"/>
                      <w:bCs/>
                      <w:snapToGrid w:val="0"/>
                      <w:color w:val="auto"/>
                      <w:szCs w:val="21"/>
                    </w:rPr>
                  </w:pPr>
                  <w:r>
                    <w:rPr>
                      <w:rFonts w:hint="eastAsia"/>
                      <w:color w:val="auto"/>
                      <w:lang w:val="en-US" w:eastAsia="zh-CN"/>
                    </w:rPr>
                    <w:t>生物质成型燃料</w:t>
                  </w:r>
                </w:p>
              </w:tc>
              <w:tc>
                <w:tcPr>
                  <w:tcW w:w="895" w:type="pct"/>
                  <w:shd w:val="clear" w:color="auto" w:fill="auto"/>
                  <w:noWrap w:val="0"/>
                  <w:vAlign w:val="center"/>
                </w:tcPr>
                <w:p w14:paraId="04009DBF">
                  <w:pPr>
                    <w:adjustRightInd w:val="0"/>
                    <w:snapToGrid w:val="0"/>
                    <w:jc w:val="center"/>
                    <w:rPr>
                      <w:bCs/>
                      <w:snapToGrid w:val="0"/>
                      <w:color w:val="auto"/>
                      <w:szCs w:val="21"/>
                    </w:rPr>
                  </w:pPr>
                  <w:r>
                    <w:rPr>
                      <w:bCs/>
                      <w:snapToGrid w:val="0"/>
                      <w:color w:val="auto"/>
                      <w:szCs w:val="21"/>
                    </w:rPr>
                    <w:t>1350</w:t>
                  </w:r>
                  <w:r>
                    <w:rPr>
                      <w:rFonts w:hint="eastAsia"/>
                      <w:bCs/>
                      <w:snapToGrid w:val="0"/>
                      <w:color w:val="auto"/>
                      <w:szCs w:val="21"/>
                      <w:lang w:val="en-US" w:eastAsia="zh-CN"/>
                    </w:rPr>
                    <w:t>t/a</w:t>
                  </w:r>
                </w:p>
              </w:tc>
              <w:tc>
                <w:tcPr>
                  <w:tcW w:w="1292" w:type="pct"/>
                  <w:noWrap w:val="0"/>
                  <w:vAlign w:val="center"/>
                </w:tcPr>
                <w:p w14:paraId="60AE285F">
                  <w:pPr>
                    <w:adjustRightInd w:val="0"/>
                    <w:snapToGrid w:val="0"/>
                    <w:jc w:val="center"/>
                    <w:rPr>
                      <w:bCs/>
                      <w:snapToGrid w:val="0"/>
                      <w:color w:val="auto"/>
                      <w:szCs w:val="21"/>
                    </w:rPr>
                  </w:pPr>
                  <w:r>
                    <w:rPr>
                      <w:rFonts w:hint="eastAsia"/>
                      <w:bCs/>
                      <w:snapToGrid w:val="0"/>
                      <w:color w:val="auto"/>
                      <w:szCs w:val="21"/>
                      <w:lang w:val="en-US" w:eastAsia="zh-CN"/>
                    </w:rPr>
                    <w:t>5068.8t/a</w:t>
                  </w:r>
                </w:p>
              </w:tc>
              <w:tc>
                <w:tcPr>
                  <w:tcW w:w="925" w:type="pct"/>
                  <w:noWrap w:val="0"/>
                  <w:vAlign w:val="center"/>
                </w:tcPr>
                <w:p w14:paraId="0BE3F5B8">
                  <w:pPr>
                    <w:adjustRightInd w:val="0"/>
                    <w:snapToGrid w:val="0"/>
                    <w:jc w:val="center"/>
                    <w:rPr>
                      <w:rFonts w:hint="eastAsia" w:eastAsia="宋体"/>
                      <w:bCs/>
                      <w:snapToGrid w:val="0"/>
                      <w:color w:val="auto"/>
                      <w:szCs w:val="21"/>
                      <w:lang w:eastAsia="zh-CN"/>
                    </w:rPr>
                  </w:pPr>
                  <w:r>
                    <w:rPr>
                      <w:rFonts w:hint="eastAsia"/>
                      <w:bCs/>
                      <w:snapToGrid w:val="0"/>
                      <w:color w:val="auto"/>
                      <w:szCs w:val="21"/>
                      <w:lang w:val="en-US" w:eastAsia="zh-CN"/>
                    </w:rPr>
                    <w:t>5068.8t/a</w:t>
                  </w:r>
                </w:p>
              </w:tc>
              <w:tc>
                <w:tcPr>
                  <w:tcW w:w="829" w:type="pct"/>
                  <w:noWrap w:val="0"/>
                  <w:vAlign w:val="center"/>
                </w:tcPr>
                <w:p w14:paraId="20A83A3F">
                  <w:pPr>
                    <w:adjustRightInd w:val="0"/>
                    <w:snapToGrid w:val="0"/>
                    <w:jc w:val="center"/>
                    <w:rPr>
                      <w:rFonts w:hint="eastAsia" w:eastAsia="宋体"/>
                      <w:bCs/>
                      <w:snapToGrid w:val="0"/>
                      <w:color w:val="auto"/>
                      <w:szCs w:val="21"/>
                      <w:lang w:val="en-US" w:eastAsia="zh-CN"/>
                    </w:rPr>
                  </w:pPr>
                  <w:r>
                    <w:rPr>
                      <w:rFonts w:hint="eastAsia"/>
                      <w:bCs/>
                      <w:snapToGrid w:val="0"/>
                      <w:color w:val="auto"/>
                      <w:szCs w:val="21"/>
                    </w:rPr>
                    <w:t>3718.8</w:t>
                  </w:r>
                  <w:r>
                    <w:rPr>
                      <w:rFonts w:hint="eastAsia"/>
                      <w:bCs/>
                      <w:snapToGrid w:val="0"/>
                      <w:color w:val="auto"/>
                      <w:szCs w:val="21"/>
                      <w:lang w:val="en-US" w:eastAsia="zh-CN"/>
                    </w:rPr>
                    <w:t>t/a</w:t>
                  </w:r>
                </w:p>
              </w:tc>
            </w:tr>
            <w:tr w14:paraId="1354C4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6" w:type="pct"/>
                  <w:noWrap w:val="0"/>
                  <w:vAlign w:val="center"/>
                </w:tcPr>
                <w:p w14:paraId="4BA31469">
                  <w:pPr>
                    <w:adjustRightInd w:val="0"/>
                    <w:snapToGrid w:val="0"/>
                    <w:jc w:val="center"/>
                    <w:rPr>
                      <w:rFonts w:hint="default"/>
                      <w:color w:val="auto"/>
                      <w:lang w:val="en-US" w:eastAsia="zh-CN"/>
                    </w:rPr>
                  </w:pPr>
                  <w:r>
                    <w:rPr>
                      <w:rFonts w:hint="eastAsia"/>
                      <w:color w:val="auto"/>
                      <w:lang w:val="en-US" w:eastAsia="zh-CN"/>
                    </w:rPr>
                    <w:t>导热油</w:t>
                  </w:r>
                </w:p>
              </w:tc>
              <w:tc>
                <w:tcPr>
                  <w:tcW w:w="895" w:type="pct"/>
                  <w:shd w:val="clear" w:color="auto" w:fill="auto"/>
                  <w:noWrap w:val="0"/>
                  <w:vAlign w:val="center"/>
                </w:tcPr>
                <w:p w14:paraId="0265E6A9">
                  <w:pPr>
                    <w:adjustRightInd w:val="0"/>
                    <w:snapToGrid w:val="0"/>
                    <w:jc w:val="center"/>
                    <w:rPr>
                      <w:rFonts w:hint="default" w:eastAsia="宋体"/>
                      <w:bCs/>
                      <w:snapToGrid w:val="0"/>
                      <w:color w:val="auto"/>
                      <w:szCs w:val="21"/>
                      <w:lang w:val="en-US" w:eastAsia="zh-CN"/>
                    </w:rPr>
                  </w:pPr>
                  <w:r>
                    <w:rPr>
                      <w:rFonts w:hint="eastAsia" w:ascii="Times New Roman" w:hAnsi="Times New Roman" w:eastAsia="宋体" w:cs="Times New Roman"/>
                      <w:color w:val="auto"/>
                      <w:kern w:val="0"/>
                      <w:sz w:val="21"/>
                      <w:szCs w:val="21"/>
                      <w:vertAlign w:val="baseline"/>
                      <w:lang w:val="en-US" w:eastAsia="zh-CN"/>
                    </w:rPr>
                    <w:t>3.5t/5a</w:t>
                  </w:r>
                </w:p>
              </w:tc>
              <w:tc>
                <w:tcPr>
                  <w:tcW w:w="1292" w:type="pct"/>
                  <w:noWrap w:val="0"/>
                  <w:vAlign w:val="center"/>
                </w:tcPr>
                <w:p w14:paraId="47FB1EC6">
                  <w:pPr>
                    <w:adjustRightInd w:val="0"/>
                    <w:snapToGrid w:val="0"/>
                    <w:jc w:val="center"/>
                    <w:rPr>
                      <w:bCs/>
                      <w:snapToGrid w:val="0"/>
                      <w:color w:val="auto"/>
                      <w:szCs w:val="21"/>
                    </w:rPr>
                  </w:pPr>
                  <w:r>
                    <w:rPr>
                      <w:rFonts w:hint="eastAsia"/>
                      <w:bCs/>
                      <w:snapToGrid w:val="0"/>
                      <w:color w:val="auto"/>
                      <w:szCs w:val="21"/>
                      <w:lang w:val="en-US" w:eastAsia="zh-CN"/>
                    </w:rPr>
                    <w:t>5.4t/5a</w:t>
                  </w:r>
                </w:p>
              </w:tc>
              <w:tc>
                <w:tcPr>
                  <w:tcW w:w="925" w:type="pct"/>
                  <w:noWrap w:val="0"/>
                  <w:vAlign w:val="center"/>
                </w:tcPr>
                <w:p w14:paraId="138AAB83">
                  <w:pPr>
                    <w:adjustRightInd w:val="0"/>
                    <w:snapToGrid w:val="0"/>
                    <w:jc w:val="center"/>
                    <w:rPr>
                      <w:bCs/>
                      <w:snapToGrid w:val="0"/>
                      <w:color w:val="auto"/>
                      <w:szCs w:val="21"/>
                    </w:rPr>
                  </w:pPr>
                  <w:r>
                    <w:rPr>
                      <w:rFonts w:hint="eastAsia"/>
                      <w:bCs/>
                      <w:snapToGrid w:val="0"/>
                      <w:color w:val="auto"/>
                      <w:szCs w:val="21"/>
                      <w:lang w:val="en-US" w:eastAsia="zh-CN"/>
                    </w:rPr>
                    <w:t>5.4t/5a</w:t>
                  </w:r>
                </w:p>
              </w:tc>
              <w:tc>
                <w:tcPr>
                  <w:tcW w:w="829" w:type="pct"/>
                  <w:noWrap w:val="0"/>
                  <w:vAlign w:val="center"/>
                </w:tcPr>
                <w:p w14:paraId="2D249861">
                  <w:pPr>
                    <w:adjustRightInd w:val="0"/>
                    <w:snapToGrid w:val="0"/>
                    <w:jc w:val="center"/>
                    <w:rPr>
                      <w:rFonts w:hint="eastAsia" w:eastAsia="宋体"/>
                      <w:bCs/>
                      <w:snapToGrid w:val="0"/>
                      <w:color w:val="auto"/>
                      <w:szCs w:val="21"/>
                      <w:lang w:val="en-US" w:eastAsia="zh-CN"/>
                    </w:rPr>
                  </w:pPr>
                  <w:r>
                    <w:rPr>
                      <w:rFonts w:hint="eastAsia" w:cs="Times New Roman"/>
                      <w:color w:val="auto"/>
                      <w:kern w:val="0"/>
                      <w:sz w:val="21"/>
                      <w:szCs w:val="21"/>
                      <w:vertAlign w:val="baseline"/>
                      <w:lang w:val="en-US" w:eastAsia="zh-CN"/>
                    </w:rPr>
                    <w:t>1.9</w:t>
                  </w:r>
                  <w:r>
                    <w:rPr>
                      <w:rFonts w:hint="eastAsia" w:ascii="Times New Roman" w:hAnsi="Times New Roman" w:eastAsia="宋体" w:cs="Times New Roman"/>
                      <w:color w:val="auto"/>
                      <w:kern w:val="0"/>
                      <w:sz w:val="21"/>
                      <w:szCs w:val="21"/>
                      <w:vertAlign w:val="baseline"/>
                      <w:lang w:val="en-US" w:eastAsia="zh-CN"/>
                    </w:rPr>
                    <w:t>t/5a</w:t>
                  </w:r>
                </w:p>
              </w:tc>
            </w:tr>
          </w:tbl>
          <w:p w14:paraId="7A23F3CE">
            <w:pPr>
              <w:adjustRightInd w:val="0"/>
              <w:snapToGrid w:val="0"/>
              <w:spacing w:line="360" w:lineRule="auto"/>
              <w:ind w:firstLine="482" w:firstLineChars="200"/>
              <w:rPr>
                <w:color w:val="auto"/>
                <w:sz w:val="24"/>
              </w:rPr>
            </w:pPr>
            <w:r>
              <w:rPr>
                <w:rFonts w:hint="eastAsia"/>
                <w:b/>
                <w:color w:val="auto"/>
                <w:sz w:val="24"/>
              </w:rPr>
              <w:t>5</w:t>
            </w:r>
            <w:r>
              <w:rPr>
                <w:b/>
                <w:color w:val="auto"/>
                <w:sz w:val="24"/>
              </w:rPr>
              <w:t>、主要产品方案</w:t>
            </w:r>
          </w:p>
          <w:p w14:paraId="55ADE609">
            <w:pPr>
              <w:adjustRightInd w:val="0"/>
              <w:snapToGrid w:val="0"/>
              <w:spacing w:line="360" w:lineRule="auto"/>
              <w:ind w:firstLine="480" w:firstLineChars="200"/>
              <w:rPr>
                <w:color w:val="auto"/>
                <w:sz w:val="24"/>
              </w:rPr>
            </w:pPr>
            <w:r>
              <w:rPr>
                <w:rFonts w:hint="eastAsia"/>
                <w:color w:val="auto"/>
                <w:sz w:val="24"/>
              </w:rPr>
              <w:t>本项目为锅炉改建项目，本项目建设完成后全厂产品及产能保</w:t>
            </w:r>
            <w:r>
              <w:rPr>
                <w:rFonts w:hint="eastAsia" w:ascii="Times New Roman" w:hAnsi="Times New Roman" w:eastAsia="宋体" w:cs="Times New Roman"/>
                <w:color w:val="auto"/>
                <w:sz w:val="24"/>
              </w:rPr>
              <w:t>持不变，年产可膨胀石墨干料5000t，年产纳米材料干料500t。</w:t>
            </w:r>
          </w:p>
          <w:p w14:paraId="4B95D6FB">
            <w:pPr>
              <w:adjustRightInd w:val="0"/>
              <w:snapToGrid w:val="0"/>
              <w:spacing w:line="360" w:lineRule="auto"/>
              <w:ind w:firstLine="482" w:firstLineChars="200"/>
              <w:rPr>
                <w:b/>
                <w:color w:val="auto"/>
                <w:sz w:val="24"/>
              </w:rPr>
            </w:pPr>
            <w:r>
              <w:rPr>
                <w:rFonts w:hint="eastAsia"/>
                <w:b/>
                <w:color w:val="auto"/>
                <w:sz w:val="24"/>
              </w:rPr>
              <w:t>6、</w:t>
            </w:r>
            <w:r>
              <w:rPr>
                <w:b/>
                <w:color w:val="auto"/>
                <w:sz w:val="24"/>
              </w:rPr>
              <w:t>主要设备</w:t>
            </w:r>
          </w:p>
          <w:p w14:paraId="072A5E89">
            <w:pPr>
              <w:adjustRightInd w:val="0"/>
              <w:snapToGrid w:val="0"/>
              <w:spacing w:line="360" w:lineRule="auto"/>
              <w:ind w:firstLine="480" w:firstLineChars="200"/>
              <w:rPr>
                <w:color w:val="auto"/>
                <w:sz w:val="24"/>
              </w:rPr>
            </w:pPr>
            <w:r>
              <w:rPr>
                <w:color w:val="auto"/>
                <w:sz w:val="24"/>
              </w:rPr>
              <w:t>本项目主要生产设备见表2-</w:t>
            </w:r>
            <w:r>
              <w:rPr>
                <w:rFonts w:hint="eastAsia"/>
                <w:color w:val="auto"/>
                <w:sz w:val="24"/>
                <w:lang w:val="en-US" w:eastAsia="zh-CN"/>
              </w:rPr>
              <w:t>3</w:t>
            </w:r>
            <w:r>
              <w:rPr>
                <w:color w:val="auto"/>
                <w:sz w:val="24"/>
              </w:rPr>
              <w:t>。</w:t>
            </w:r>
          </w:p>
          <w:p w14:paraId="34F44D8E">
            <w:pPr>
              <w:jc w:val="center"/>
              <w:rPr>
                <w:b/>
                <w:color w:val="auto"/>
                <w:szCs w:val="21"/>
              </w:rPr>
            </w:pPr>
            <w:r>
              <w:rPr>
                <w:b/>
                <w:color w:val="auto"/>
                <w:szCs w:val="21"/>
              </w:rPr>
              <w:t>表2-</w:t>
            </w:r>
            <w:r>
              <w:rPr>
                <w:rFonts w:hint="eastAsia"/>
                <w:b/>
                <w:color w:val="auto"/>
                <w:szCs w:val="21"/>
                <w:lang w:val="en-US" w:eastAsia="zh-CN"/>
              </w:rPr>
              <w:t>3</w:t>
            </w:r>
            <w:r>
              <w:rPr>
                <w:rFonts w:hint="eastAsia"/>
                <w:b/>
                <w:color w:val="auto"/>
                <w:szCs w:val="21"/>
              </w:rPr>
              <w:t xml:space="preserve">  </w:t>
            </w:r>
            <w:r>
              <w:rPr>
                <w:b/>
                <w:color w:val="auto"/>
                <w:szCs w:val="21"/>
              </w:rPr>
              <w:t>主要生产设备一览表</w:t>
            </w:r>
          </w:p>
          <w:tbl>
            <w:tblPr>
              <w:tblStyle w:val="3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18"/>
              <w:gridCol w:w="1786"/>
              <w:gridCol w:w="1053"/>
              <w:gridCol w:w="1087"/>
              <w:gridCol w:w="1087"/>
              <w:gridCol w:w="1087"/>
              <w:gridCol w:w="1103"/>
            </w:tblGrid>
            <w:tr w14:paraId="5A8875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565" w:type="pct"/>
                  <w:vMerge w:val="restart"/>
                  <w:vAlign w:val="center"/>
                </w:tcPr>
                <w:p w14:paraId="4ECD1D7C">
                  <w:pPr>
                    <w:spacing w:line="276" w:lineRule="auto"/>
                    <w:jc w:val="center"/>
                    <w:rPr>
                      <w:color w:val="auto"/>
                      <w:szCs w:val="21"/>
                    </w:rPr>
                  </w:pPr>
                  <w:r>
                    <w:rPr>
                      <w:rFonts w:hint="eastAsia"/>
                      <w:color w:val="auto"/>
                      <w:szCs w:val="21"/>
                    </w:rPr>
                    <w:t>单元</w:t>
                  </w:r>
                </w:p>
              </w:tc>
              <w:tc>
                <w:tcPr>
                  <w:tcW w:w="1099" w:type="pct"/>
                  <w:vMerge w:val="restart"/>
                  <w:shd w:val="clear" w:color="auto" w:fill="auto"/>
                  <w:vAlign w:val="center"/>
                </w:tcPr>
                <w:p w14:paraId="2D49B9BA">
                  <w:pPr>
                    <w:spacing w:line="276" w:lineRule="auto"/>
                    <w:jc w:val="center"/>
                    <w:rPr>
                      <w:color w:val="auto"/>
                      <w:szCs w:val="21"/>
                    </w:rPr>
                  </w:pPr>
                  <w:r>
                    <w:rPr>
                      <w:color w:val="auto"/>
                      <w:szCs w:val="21"/>
                    </w:rPr>
                    <w:t>设备名称</w:t>
                  </w:r>
                </w:p>
              </w:tc>
              <w:tc>
                <w:tcPr>
                  <w:tcW w:w="648" w:type="pct"/>
                  <w:vMerge w:val="restart"/>
                  <w:vAlign w:val="center"/>
                </w:tcPr>
                <w:p w14:paraId="72D64553">
                  <w:pPr>
                    <w:spacing w:line="276" w:lineRule="auto"/>
                    <w:jc w:val="center"/>
                    <w:rPr>
                      <w:color w:val="auto"/>
                      <w:szCs w:val="21"/>
                    </w:rPr>
                  </w:pPr>
                  <w:r>
                    <w:rPr>
                      <w:rFonts w:hint="eastAsia"/>
                      <w:color w:val="auto"/>
                      <w:szCs w:val="21"/>
                    </w:rPr>
                    <w:t>规格</w:t>
                  </w:r>
                </w:p>
              </w:tc>
              <w:tc>
                <w:tcPr>
                  <w:tcW w:w="2686" w:type="pct"/>
                  <w:gridSpan w:val="4"/>
                  <w:shd w:val="clear" w:color="auto" w:fill="auto"/>
                  <w:vAlign w:val="center"/>
                </w:tcPr>
                <w:p w14:paraId="0EAF09C2">
                  <w:pPr>
                    <w:spacing w:line="276" w:lineRule="auto"/>
                    <w:jc w:val="center"/>
                    <w:rPr>
                      <w:rFonts w:hint="default" w:eastAsia="宋体"/>
                      <w:color w:val="auto"/>
                      <w:szCs w:val="21"/>
                      <w:lang w:val="en-US" w:eastAsia="zh-CN"/>
                    </w:rPr>
                  </w:pPr>
                  <w:r>
                    <w:rPr>
                      <w:rFonts w:hint="eastAsia"/>
                      <w:color w:val="auto"/>
                      <w:szCs w:val="21"/>
                      <w:lang w:val="en-US" w:eastAsia="zh-CN"/>
                    </w:rPr>
                    <w:t>数量</w:t>
                  </w:r>
                </w:p>
              </w:tc>
            </w:tr>
            <w:tr w14:paraId="1CA919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565" w:type="pct"/>
                  <w:vMerge w:val="continue"/>
                  <w:vAlign w:val="center"/>
                </w:tcPr>
                <w:p w14:paraId="0715754A">
                  <w:pPr>
                    <w:spacing w:line="276" w:lineRule="auto"/>
                    <w:jc w:val="center"/>
                    <w:rPr>
                      <w:color w:val="auto"/>
                    </w:rPr>
                  </w:pPr>
                </w:p>
              </w:tc>
              <w:tc>
                <w:tcPr>
                  <w:tcW w:w="1099" w:type="pct"/>
                  <w:vMerge w:val="continue"/>
                  <w:shd w:val="clear" w:color="auto" w:fill="auto"/>
                  <w:vAlign w:val="center"/>
                </w:tcPr>
                <w:p w14:paraId="14E827DE">
                  <w:pPr>
                    <w:spacing w:line="276" w:lineRule="auto"/>
                    <w:jc w:val="center"/>
                    <w:rPr>
                      <w:color w:val="auto"/>
                    </w:rPr>
                  </w:pPr>
                </w:p>
              </w:tc>
              <w:tc>
                <w:tcPr>
                  <w:tcW w:w="648" w:type="pct"/>
                  <w:vMerge w:val="continue"/>
                  <w:vAlign w:val="center"/>
                </w:tcPr>
                <w:p w14:paraId="0119455D">
                  <w:pPr>
                    <w:spacing w:line="276" w:lineRule="auto"/>
                    <w:jc w:val="center"/>
                    <w:rPr>
                      <w:color w:val="auto"/>
                    </w:rPr>
                  </w:pPr>
                </w:p>
              </w:tc>
              <w:tc>
                <w:tcPr>
                  <w:tcW w:w="669" w:type="pct"/>
                  <w:shd w:val="clear" w:color="auto" w:fill="auto"/>
                  <w:vAlign w:val="center"/>
                </w:tcPr>
                <w:p w14:paraId="50783242">
                  <w:pPr>
                    <w:spacing w:line="276" w:lineRule="auto"/>
                    <w:jc w:val="center"/>
                    <w:rPr>
                      <w:rFonts w:hint="eastAsia"/>
                      <w:color w:val="auto"/>
                      <w:szCs w:val="21"/>
                      <w:lang w:val="en-US" w:eastAsia="zh-CN"/>
                    </w:rPr>
                  </w:pPr>
                  <w:r>
                    <w:rPr>
                      <w:rFonts w:hint="eastAsia"/>
                      <w:color w:val="auto"/>
                      <w:szCs w:val="21"/>
                      <w:lang w:val="en-US" w:eastAsia="zh-CN"/>
                    </w:rPr>
                    <w:t>现有工程</w:t>
                  </w:r>
                </w:p>
              </w:tc>
              <w:tc>
                <w:tcPr>
                  <w:tcW w:w="669" w:type="pct"/>
                  <w:shd w:val="clear" w:color="auto" w:fill="auto"/>
                  <w:vAlign w:val="center"/>
                </w:tcPr>
                <w:p w14:paraId="63976DD0">
                  <w:pPr>
                    <w:jc w:val="center"/>
                    <w:rPr>
                      <w:rFonts w:hint="eastAsia" w:ascii="Times New Roman" w:hAnsi="Times New Roman" w:eastAsia="宋体" w:cs="Times New Roman"/>
                      <w:bCs/>
                      <w:color w:val="auto"/>
                      <w:kern w:val="2"/>
                      <w:sz w:val="21"/>
                      <w:szCs w:val="21"/>
                      <w:lang w:val="en-US" w:eastAsia="zh-CN" w:bidi="ar-SA"/>
                    </w:rPr>
                  </w:pPr>
                  <w:r>
                    <w:rPr>
                      <w:rFonts w:hint="eastAsia" w:cs="Times New Roman"/>
                      <w:bCs/>
                      <w:color w:val="auto"/>
                      <w:szCs w:val="21"/>
                      <w:lang w:val="en-US" w:eastAsia="zh-CN"/>
                    </w:rPr>
                    <w:t>本项目</w:t>
                  </w:r>
                </w:p>
              </w:tc>
              <w:tc>
                <w:tcPr>
                  <w:tcW w:w="669" w:type="pct"/>
                  <w:shd w:val="clear" w:color="auto" w:fill="auto"/>
                  <w:vAlign w:val="center"/>
                </w:tcPr>
                <w:p w14:paraId="38D2A5AC">
                  <w:pPr>
                    <w:jc w:val="center"/>
                    <w:rPr>
                      <w:rFonts w:hint="eastAsia" w:ascii="Times New Roman" w:hAnsi="Times New Roman" w:eastAsia="宋体" w:cs="Times New Roman"/>
                      <w:bCs/>
                      <w:color w:val="auto"/>
                      <w:kern w:val="2"/>
                      <w:sz w:val="21"/>
                      <w:szCs w:val="21"/>
                      <w:lang w:val="en-US" w:eastAsia="zh-CN" w:bidi="ar-SA"/>
                    </w:rPr>
                  </w:pPr>
                  <w:r>
                    <w:rPr>
                      <w:rFonts w:hint="eastAsia" w:cs="Times New Roman"/>
                      <w:bCs/>
                      <w:color w:val="auto"/>
                      <w:szCs w:val="21"/>
                      <w:lang w:val="en-US" w:eastAsia="zh-CN"/>
                    </w:rPr>
                    <w:t>改建后</w:t>
                  </w:r>
                </w:p>
              </w:tc>
              <w:tc>
                <w:tcPr>
                  <w:tcW w:w="679" w:type="pct"/>
                  <w:shd w:val="clear" w:color="auto" w:fill="auto"/>
                  <w:vAlign w:val="center"/>
                </w:tcPr>
                <w:p w14:paraId="3F808F5A">
                  <w:pPr>
                    <w:jc w:val="center"/>
                    <w:rPr>
                      <w:rFonts w:hint="eastAsia" w:ascii="Times New Roman" w:hAnsi="Times New Roman" w:eastAsia="宋体" w:cs="Times New Roman"/>
                      <w:bCs/>
                      <w:color w:val="auto"/>
                      <w:kern w:val="2"/>
                      <w:sz w:val="21"/>
                      <w:szCs w:val="21"/>
                      <w:lang w:val="en-US" w:eastAsia="zh-CN" w:bidi="ar-SA"/>
                    </w:rPr>
                  </w:pPr>
                  <w:r>
                    <w:rPr>
                      <w:rFonts w:hint="eastAsia" w:cs="Times New Roman"/>
                      <w:bCs/>
                      <w:color w:val="auto"/>
                      <w:szCs w:val="21"/>
                      <w:lang w:val="en-US" w:eastAsia="zh-CN"/>
                    </w:rPr>
                    <w:t>变化量</w:t>
                  </w:r>
                </w:p>
              </w:tc>
            </w:tr>
            <w:tr w14:paraId="49DFC4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5" w:type="pct"/>
                  <w:vMerge w:val="restart"/>
                  <w:vAlign w:val="center"/>
                </w:tcPr>
                <w:p w14:paraId="326C65B4">
                  <w:pPr>
                    <w:widowControl/>
                    <w:jc w:val="center"/>
                    <w:rPr>
                      <w:color w:val="auto"/>
                      <w:szCs w:val="21"/>
                    </w:rPr>
                  </w:pPr>
                  <w:r>
                    <w:rPr>
                      <w:rFonts w:hint="eastAsia"/>
                      <w:color w:val="auto"/>
                      <w:szCs w:val="21"/>
                    </w:rPr>
                    <w:t>石墨烘干</w:t>
                  </w:r>
                  <w:r>
                    <w:rPr>
                      <w:color w:val="auto"/>
                      <w:szCs w:val="21"/>
                    </w:rPr>
                    <w:t>车间</w:t>
                  </w:r>
                </w:p>
              </w:tc>
              <w:tc>
                <w:tcPr>
                  <w:tcW w:w="1099" w:type="pct"/>
                  <w:shd w:val="clear" w:color="auto" w:fill="auto"/>
                  <w:vAlign w:val="center"/>
                </w:tcPr>
                <w:p w14:paraId="657EE73C">
                  <w:pPr>
                    <w:spacing w:line="276" w:lineRule="auto"/>
                    <w:jc w:val="center"/>
                    <w:rPr>
                      <w:color w:val="auto"/>
                      <w:szCs w:val="21"/>
                    </w:rPr>
                  </w:pPr>
                  <w:r>
                    <w:rPr>
                      <w:color w:val="auto"/>
                      <w:szCs w:val="21"/>
                    </w:rPr>
                    <w:t>烘干</w:t>
                  </w:r>
                  <w:r>
                    <w:rPr>
                      <w:rFonts w:hint="eastAsia"/>
                      <w:color w:val="auto"/>
                      <w:szCs w:val="21"/>
                    </w:rPr>
                    <w:t>箱</w:t>
                  </w:r>
                </w:p>
              </w:tc>
              <w:tc>
                <w:tcPr>
                  <w:tcW w:w="648" w:type="pct"/>
                  <w:vAlign w:val="center"/>
                </w:tcPr>
                <w:p w14:paraId="4D711FA6">
                  <w:pPr>
                    <w:spacing w:line="276" w:lineRule="auto"/>
                    <w:jc w:val="center"/>
                    <w:rPr>
                      <w:color w:val="auto"/>
                      <w:szCs w:val="21"/>
                    </w:rPr>
                  </w:pPr>
                  <w:r>
                    <w:rPr>
                      <w:rFonts w:hint="eastAsia"/>
                      <w:color w:val="auto"/>
                      <w:szCs w:val="21"/>
                    </w:rPr>
                    <w:t>6×1</w:t>
                  </w:r>
                  <w:r>
                    <w:rPr>
                      <w:color w:val="auto"/>
                      <w:szCs w:val="21"/>
                    </w:rPr>
                    <w:t>.</w:t>
                  </w:r>
                  <w:r>
                    <w:rPr>
                      <w:rFonts w:hint="eastAsia"/>
                      <w:color w:val="auto"/>
                      <w:szCs w:val="21"/>
                    </w:rPr>
                    <w:t>5</w:t>
                  </w:r>
                  <w:r>
                    <w:rPr>
                      <w:color w:val="auto"/>
                      <w:szCs w:val="21"/>
                    </w:rPr>
                    <w:t>m</w:t>
                  </w:r>
                </w:p>
              </w:tc>
              <w:tc>
                <w:tcPr>
                  <w:tcW w:w="669" w:type="pct"/>
                  <w:shd w:val="clear" w:color="auto" w:fill="auto"/>
                  <w:vAlign w:val="center"/>
                </w:tcPr>
                <w:p w14:paraId="31063CC2">
                  <w:pPr>
                    <w:spacing w:line="276" w:lineRule="auto"/>
                    <w:jc w:val="center"/>
                    <w:rPr>
                      <w:rFonts w:ascii="Times New Roman" w:hAnsi="Times New Roman" w:eastAsia="宋体" w:cs="Times New Roman"/>
                      <w:color w:val="auto"/>
                      <w:kern w:val="2"/>
                      <w:sz w:val="21"/>
                      <w:szCs w:val="21"/>
                      <w:lang w:val="en-US" w:eastAsia="zh-CN" w:bidi="ar-SA"/>
                    </w:rPr>
                  </w:pPr>
                  <w:r>
                    <w:rPr>
                      <w:color w:val="auto"/>
                      <w:szCs w:val="21"/>
                    </w:rPr>
                    <w:t>15套</w:t>
                  </w:r>
                </w:p>
              </w:tc>
              <w:tc>
                <w:tcPr>
                  <w:tcW w:w="669" w:type="pct"/>
                  <w:shd w:val="clear" w:color="auto" w:fill="auto"/>
                  <w:vAlign w:val="center"/>
                </w:tcPr>
                <w:p w14:paraId="2693F476">
                  <w:pPr>
                    <w:spacing w:line="276" w:lineRule="auto"/>
                    <w:jc w:val="center"/>
                    <w:rPr>
                      <w:rFonts w:hint="eastAsia" w:eastAsia="宋体"/>
                      <w:color w:val="auto"/>
                      <w:szCs w:val="21"/>
                      <w:lang w:val="en-US" w:eastAsia="zh-CN"/>
                    </w:rPr>
                  </w:pPr>
                  <w:r>
                    <w:rPr>
                      <w:rFonts w:hint="eastAsia"/>
                      <w:color w:val="auto"/>
                      <w:szCs w:val="21"/>
                      <w:lang w:val="en-US" w:eastAsia="zh-CN"/>
                    </w:rPr>
                    <w:t>0</w:t>
                  </w:r>
                </w:p>
              </w:tc>
              <w:tc>
                <w:tcPr>
                  <w:tcW w:w="669" w:type="pct"/>
                  <w:shd w:val="clear" w:color="auto" w:fill="auto"/>
                  <w:vAlign w:val="center"/>
                </w:tcPr>
                <w:p w14:paraId="1877E592">
                  <w:pPr>
                    <w:spacing w:line="276" w:lineRule="auto"/>
                    <w:jc w:val="center"/>
                    <w:rPr>
                      <w:color w:val="auto"/>
                      <w:szCs w:val="21"/>
                    </w:rPr>
                  </w:pPr>
                  <w:r>
                    <w:rPr>
                      <w:color w:val="auto"/>
                      <w:szCs w:val="21"/>
                    </w:rPr>
                    <w:t>15套</w:t>
                  </w:r>
                </w:p>
              </w:tc>
              <w:tc>
                <w:tcPr>
                  <w:tcW w:w="679" w:type="pct"/>
                  <w:shd w:val="clear" w:color="auto" w:fill="auto"/>
                  <w:vAlign w:val="center"/>
                </w:tcPr>
                <w:p w14:paraId="3B167595">
                  <w:pPr>
                    <w:spacing w:line="276" w:lineRule="auto"/>
                    <w:jc w:val="center"/>
                    <w:rPr>
                      <w:color w:val="auto"/>
                      <w:szCs w:val="21"/>
                    </w:rPr>
                  </w:pPr>
                  <w:r>
                    <w:rPr>
                      <w:rFonts w:hint="eastAsia"/>
                      <w:color w:val="auto"/>
                      <w:szCs w:val="21"/>
                      <w:lang w:val="en-US" w:eastAsia="zh-CN"/>
                    </w:rPr>
                    <w:t>0</w:t>
                  </w:r>
                </w:p>
              </w:tc>
            </w:tr>
            <w:tr w14:paraId="2F3E7E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5" w:type="pct"/>
                  <w:vMerge w:val="continue"/>
                  <w:vAlign w:val="center"/>
                </w:tcPr>
                <w:p w14:paraId="01EE37F8">
                  <w:pPr>
                    <w:widowControl/>
                    <w:jc w:val="center"/>
                    <w:rPr>
                      <w:color w:val="auto"/>
                      <w:szCs w:val="21"/>
                    </w:rPr>
                  </w:pPr>
                </w:p>
              </w:tc>
              <w:tc>
                <w:tcPr>
                  <w:tcW w:w="1099" w:type="pct"/>
                  <w:shd w:val="clear" w:color="auto" w:fill="auto"/>
                  <w:vAlign w:val="center"/>
                </w:tcPr>
                <w:p w14:paraId="49A19D50">
                  <w:pPr>
                    <w:spacing w:line="276" w:lineRule="auto"/>
                    <w:jc w:val="center"/>
                    <w:rPr>
                      <w:color w:val="auto"/>
                      <w:szCs w:val="21"/>
                    </w:rPr>
                  </w:pPr>
                  <w:r>
                    <w:rPr>
                      <w:rFonts w:hint="eastAsia"/>
                      <w:color w:val="auto"/>
                      <w:szCs w:val="21"/>
                    </w:rPr>
                    <w:t>布袋</w:t>
                  </w:r>
                  <w:r>
                    <w:rPr>
                      <w:color w:val="auto"/>
                      <w:szCs w:val="21"/>
                    </w:rPr>
                    <w:t>除尘器</w:t>
                  </w:r>
                </w:p>
              </w:tc>
              <w:tc>
                <w:tcPr>
                  <w:tcW w:w="648" w:type="pct"/>
                  <w:vAlign w:val="center"/>
                </w:tcPr>
                <w:p w14:paraId="18D006A4">
                  <w:pPr>
                    <w:spacing w:line="276" w:lineRule="auto"/>
                    <w:jc w:val="center"/>
                    <w:rPr>
                      <w:color w:val="auto"/>
                      <w:szCs w:val="21"/>
                    </w:rPr>
                  </w:pPr>
                  <w:r>
                    <w:rPr>
                      <w:rFonts w:hint="eastAsia"/>
                      <w:color w:val="auto"/>
                      <w:szCs w:val="21"/>
                    </w:rPr>
                    <w:t>/</w:t>
                  </w:r>
                </w:p>
              </w:tc>
              <w:tc>
                <w:tcPr>
                  <w:tcW w:w="669" w:type="pct"/>
                  <w:shd w:val="clear" w:color="auto" w:fill="auto"/>
                  <w:vAlign w:val="center"/>
                </w:tcPr>
                <w:p w14:paraId="08CABE95">
                  <w:pPr>
                    <w:spacing w:line="276" w:lineRule="auto"/>
                    <w:jc w:val="center"/>
                    <w:rPr>
                      <w:rFonts w:ascii="Times New Roman" w:hAnsi="Times New Roman" w:eastAsia="宋体" w:cs="Times New Roman"/>
                      <w:color w:val="auto"/>
                      <w:kern w:val="2"/>
                      <w:sz w:val="21"/>
                      <w:szCs w:val="21"/>
                      <w:lang w:val="en-US" w:eastAsia="zh-CN" w:bidi="ar-SA"/>
                    </w:rPr>
                  </w:pPr>
                  <w:r>
                    <w:rPr>
                      <w:rFonts w:hint="eastAsia"/>
                      <w:color w:val="auto"/>
                      <w:szCs w:val="21"/>
                    </w:rPr>
                    <w:t>1套</w:t>
                  </w:r>
                </w:p>
              </w:tc>
              <w:tc>
                <w:tcPr>
                  <w:tcW w:w="669" w:type="pct"/>
                  <w:shd w:val="clear" w:color="auto" w:fill="auto"/>
                  <w:vAlign w:val="center"/>
                </w:tcPr>
                <w:p w14:paraId="3B43591C">
                  <w:pPr>
                    <w:spacing w:line="276" w:lineRule="auto"/>
                    <w:jc w:val="center"/>
                    <w:rPr>
                      <w:color w:val="auto"/>
                      <w:szCs w:val="21"/>
                    </w:rPr>
                  </w:pPr>
                  <w:r>
                    <w:rPr>
                      <w:rFonts w:hint="eastAsia"/>
                      <w:color w:val="auto"/>
                      <w:szCs w:val="21"/>
                      <w:lang w:val="en-US" w:eastAsia="zh-CN"/>
                    </w:rPr>
                    <w:t>0</w:t>
                  </w:r>
                </w:p>
              </w:tc>
              <w:tc>
                <w:tcPr>
                  <w:tcW w:w="669" w:type="pct"/>
                  <w:shd w:val="clear" w:color="auto" w:fill="auto"/>
                  <w:vAlign w:val="center"/>
                </w:tcPr>
                <w:p w14:paraId="51216501">
                  <w:pPr>
                    <w:spacing w:line="276" w:lineRule="auto"/>
                    <w:jc w:val="center"/>
                    <w:rPr>
                      <w:color w:val="auto"/>
                      <w:szCs w:val="21"/>
                    </w:rPr>
                  </w:pPr>
                  <w:r>
                    <w:rPr>
                      <w:rFonts w:hint="eastAsia"/>
                      <w:color w:val="auto"/>
                      <w:szCs w:val="21"/>
                    </w:rPr>
                    <w:t>1套</w:t>
                  </w:r>
                </w:p>
              </w:tc>
              <w:tc>
                <w:tcPr>
                  <w:tcW w:w="679" w:type="pct"/>
                  <w:shd w:val="clear" w:color="auto" w:fill="auto"/>
                  <w:vAlign w:val="center"/>
                </w:tcPr>
                <w:p w14:paraId="28A99CBF">
                  <w:pPr>
                    <w:spacing w:line="276" w:lineRule="auto"/>
                    <w:jc w:val="center"/>
                    <w:rPr>
                      <w:color w:val="auto"/>
                      <w:szCs w:val="21"/>
                    </w:rPr>
                  </w:pPr>
                  <w:r>
                    <w:rPr>
                      <w:rFonts w:hint="eastAsia"/>
                      <w:color w:val="auto"/>
                      <w:szCs w:val="21"/>
                      <w:lang w:val="en-US" w:eastAsia="zh-CN"/>
                    </w:rPr>
                    <w:t>0</w:t>
                  </w:r>
                </w:p>
              </w:tc>
            </w:tr>
            <w:tr w14:paraId="3ED6AA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5" w:type="pct"/>
                  <w:vMerge w:val="restart"/>
                  <w:vAlign w:val="center"/>
                </w:tcPr>
                <w:p w14:paraId="714E8736">
                  <w:pPr>
                    <w:widowControl/>
                    <w:jc w:val="center"/>
                    <w:rPr>
                      <w:color w:val="auto"/>
                      <w:szCs w:val="21"/>
                    </w:rPr>
                  </w:pPr>
                  <w:r>
                    <w:rPr>
                      <w:rFonts w:hint="eastAsia"/>
                      <w:color w:val="auto"/>
                      <w:szCs w:val="21"/>
                    </w:rPr>
                    <w:t>石墨烘干</w:t>
                  </w:r>
                  <w:r>
                    <w:rPr>
                      <w:color w:val="auto"/>
                      <w:szCs w:val="21"/>
                    </w:rPr>
                    <w:t>筛分</w:t>
                  </w:r>
                  <w:r>
                    <w:rPr>
                      <w:rFonts w:hint="eastAsia"/>
                      <w:color w:val="auto"/>
                      <w:szCs w:val="21"/>
                    </w:rPr>
                    <w:t>车间</w:t>
                  </w:r>
                </w:p>
              </w:tc>
              <w:tc>
                <w:tcPr>
                  <w:tcW w:w="1099" w:type="pct"/>
                  <w:shd w:val="clear" w:color="auto" w:fill="auto"/>
                  <w:vAlign w:val="center"/>
                </w:tcPr>
                <w:p w14:paraId="0AD67ED1">
                  <w:pPr>
                    <w:spacing w:line="276" w:lineRule="auto"/>
                    <w:jc w:val="center"/>
                    <w:rPr>
                      <w:color w:val="auto"/>
                      <w:szCs w:val="21"/>
                    </w:rPr>
                  </w:pPr>
                  <w:r>
                    <w:rPr>
                      <w:rFonts w:hint="eastAsia"/>
                      <w:color w:val="auto"/>
                      <w:szCs w:val="21"/>
                    </w:rPr>
                    <w:t>干燥锅</w:t>
                  </w:r>
                </w:p>
              </w:tc>
              <w:tc>
                <w:tcPr>
                  <w:tcW w:w="648" w:type="pct"/>
                  <w:vAlign w:val="center"/>
                </w:tcPr>
                <w:p w14:paraId="6C858108">
                  <w:pPr>
                    <w:spacing w:line="276" w:lineRule="auto"/>
                    <w:jc w:val="center"/>
                    <w:rPr>
                      <w:color w:val="auto"/>
                      <w:szCs w:val="21"/>
                    </w:rPr>
                  </w:pPr>
                  <w:r>
                    <w:rPr>
                      <w:rFonts w:hint="eastAsia"/>
                      <w:color w:val="auto"/>
                      <w:szCs w:val="21"/>
                    </w:rPr>
                    <w:t>φ2.2</w:t>
                  </w:r>
                  <w:r>
                    <w:rPr>
                      <w:color w:val="auto"/>
                      <w:szCs w:val="21"/>
                    </w:rPr>
                    <w:t>m</w:t>
                  </w:r>
                </w:p>
              </w:tc>
              <w:tc>
                <w:tcPr>
                  <w:tcW w:w="669" w:type="pct"/>
                  <w:shd w:val="clear" w:color="auto" w:fill="auto"/>
                  <w:vAlign w:val="center"/>
                </w:tcPr>
                <w:p w14:paraId="0AAFB8CC">
                  <w:pPr>
                    <w:spacing w:line="276" w:lineRule="auto"/>
                    <w:jc w:val="center"/>
                    <w:rPr>
                      <w:rFonts w:ascii="Times New Roman" w:hAnsi="Times New Roman" w:eastAsia="宋体" w:cs="Times New Roman"/>
                      <w:color w:val="auto"/>
                      <w:kern w:val="2"/>
                      <w:sz w:val="21"/>
                      <w:szCs w:val="21"/>
                      <w:lang w:val="en-US" w:eastAsia="zh-CN" w:bidi="ar-SA"/>
                    </w:rPr>
                  </w:pPr>
                  <w:r>
                    <w:rPr>
                      <w:color w:val="auto"/>
                      <w:szCs w:val="21"/>
                    </w:rPr>
                    <w:t>4台</w:t>
                  </w:r>
                </w:p>
              </w:tc>
              <w:tc>
                <w:tcPr>
                  <w:tcW w:w="669" w:type="pct"/>
                  <w:shd w:val="clear" w:color="auto" w:fill="auto"/>
                  <w:vAlign w:val="center"/>
                </w:tcPr>
                <w:p w14:paraId="6F1AF6C8">
                  <w:pPr>
                    <w:spacing w:line="276" w:lineRule="auto"/>
                    <w:jc w:val="center"/>
                    <w:rPr>
                      <w:color w:val="auto"/>
                      <w:szCs w:val="21"/>
                    </w:rPr>
                  </w:pPr>
                  <w:r>
                    <w:rPr>
                      <w:rFonts w:hint="eastAsia"/>
                      <w:color w:val="auto"/>
                      <w:szCs w:val="21"/>
                      <w:lang w:val="en-US" w:eastAsia="zh-CN"/>
                    </w:rPr>
                    <w:t>0</w:t>
                  </w:r>
                </w:p>
              </w:tc>
              <w:tc>
                <w:tcPr>
                  <w:tcW w:w="669" w:type="pct"/>
                  <w:shd w:val="clear" w:color="auto" w:fill="auto"/>
                  <w:vAlign w:val="center"/>
                </w:tcPr>
                <w:p w14:paraId="0DAA0621">
                  <w:pPr>
                    <w:spacing w:line="276" w:lineRule="auto"/>
                    <w:jc w:val="center"/>
                    <w:rPr>
                      <w:color w:val="auto"/>
                      <w:szCs w:val="21"/>
                    </w:rPr>
                  </w:pPr>
                  <w:r>
                    <w:rPr>
                      <w:color w:val="auto"/>
                      <w:szCs w:val="21"/>
                    </w:rPr>
                    <w:t>4台</w:t>
                  </w:r>
                </w:p>
              </w:tc>
              <w:tc>
                <w:tcPr>
                  <w:tcW w:w="679" w:type="pct"/>
                  <w:shd w:val="clear" w:color="auto" w:fill="auto"/>
                  <w:vAlign w:val="center"/>
                </w:tcPr>
                <w:p w14:paraId="322956F9">
                  <w:pPr>
                    <w:spacing w:line="276" w:lineRule="auto"/>
                    <w:jc w:val="center"/>
                    <w:rPr>
                      <w:color w:val="auto"/>
                      <w:szCs w:val="21"/>
                    </w:rPr>
                  </w:pPr>
                  <w:r>
                    <w:rPr>
                      <w:rFonts w:hint="eastAsia"/>
                      <w:color w:val="auto"/>
                      <w:szCs w:val="21"/>
                      <w:lang w:val="en-US" w:eastAsia="zh-CN"/>
                    </w:rPr>
                    <w:t>0</w:t>
                  </w:r>
                </w:p>
              </w:tc>
            </w:tr>
            <w:tr w14:paraId="46CB7B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5" w:type="pct"/>
                  <w:vMerge w:val="continue"/>
                  <w:vAlign w:val="center"/>
                </w:tcPr>
                <w:p w14:paraId="185841CC">
                  <w:pPr>
                    <w:spacing w:line="276" w:lineRule="auto"/>
                    <w:jc w:val="center"/>
                    <w:rPr>
                      <w:color w:val="auto"/>
                      <w:szCs w:val="21"/>
                    </w:rPr>
                  </w:pPr>
                </w:p>
              </w:tc>
              <w:tc>
                <w:tcPr>
                  <w:tcW w:w="1099" w:type="pct"/>
                  <w:shd w:val="clear" w:color="auto" w:fill="auto"/>
                  <w:vAlign w:val="center"/>
                </w:tcPr>
                <w:p w14:paraId="1458D51D">
                  <w:pPr>
                    <w:spacing w:line="276" w:lineRule="auto"/>
                    <w:jc w:val="center"/>
                    <w:rPr>
                      <w:color w:val="auto"/>
                      <w:szCs w:val="21"/>
                    </w:rPr>
                  </w:pPr>
                  <w:r>
                    <w:rPr>
                      <w:rFonts w:hint="eastAsia"/>
                      <w:color w:val="auto"/>
                      <w:szCs w:val="21"/>
                    </w:rPr>
                    <w:t>滚筒筛</w:t>
                  </w:r>
                </w:p>
              </w:tc>
              <w:tc>
                <w:tcPr>
                  <w:tcW w:w="648" w:type="pct"/>
                  <w:vAlign w:val="center"/>
                </w:tcPr>
                <w:p w14:paraId="6EEEEC69">
                  <w:pPr>
                    <w:spacing w:line="276" w:lineRule="auto"/>
                    <w:jc w:val="center"/>
                    <w:rPr>
                      <w:color w:val="auto"/>
                      <w:szCs w:val="21"/>
                    </w:rPr>
                  </w:pPr>
                  <w:r>
                    <w:rPr>
                      <w:rFonts w:hint="eastAsia"/>
                      <w:color w:val="auto"/>
                      <w:szCs w:val="21"/>
                    </w:rPr>
                    <w:t>/</w:t>
                  </w:r>
                </w:p>
              </w:tc>
              <w:tc>
                <w:tcPr>
                  <w:tcW w:w="669" w:type="pct"/>
                  <w:shd w:val="clear" w:color="auto" w:fill="auto"/>
                  <w:vAlign w:val="center"/>
                </w:tcPr>
                <w:p w14:paraId="05F300DD">
                  <w:pPr>
                    <w:spacing w:line="276" w:lineRule="auto"/>
                    <w:jc w:val="center"/>
                    <w:rPr>
                      <w:rFonts w:ascii="Times New Roman" w:hAnsi="Times New Roman" w:eastAsia="宋体" w:cs="Times New Roman"/>
                      <w:color w:val="auto"/>
                      <w:kern w:val="2"/>
                      <w:sz w:val="21"/>
                      <w:szCs w:val="21"/>
                      <w:lang w:val="en-US" w:eastAsia="zh-CN" w:bidi="ar-SA"/>
                    </w:rPr>
                  </w:pPr>
                  <w:r>
                    <w:rPr>
                      <w:color w:val="auto"/>
                      <w:szCs w:val="21"/>
                    </w:rPr>
                    <w:t>1台</w:t>
                  </w:r>
                </w:p>
              </w:tc>
              <w:tc>
                <w:tcPr>
                  <w:tcW w:w="669" w:type="pct"/>
                  <w:shd w:val="clear" w:color="auto" w:fill="auto"/>
                  <w:vAlign w:val="center"/>
                </w:tcPr>
                <w:p w14:paraId="6A1D632E">
                  <w:pPr>
                    <w:spacing w:line="276" w:lineRule="auto"/>
                    <w:jc w:val="center"/>
                    <w:rPr>
                      <w:color w:val="auto"/>
                      <w:szCs w:val="21"/>
                    </w:rPr>
                  </w:pPr>
                  <w:r>
                    <w:rPr>
                      <w:rFonts w:hint="eastAsia"/>
                      <w:color w:val="auto"/>
                      <w:szCs w:val="21"/>
                      <w:lang w:val="en-US" w:eastAsia="zh-CN"/>
                    </w:rPr>
                    <w:t>0</w:t>
                  </w:r>
                </w:p>
              </w:tc>
              <w:tc>
                <w:tcPr>
                  <w:tcW w:w="669" w:type="pct"/>
                  <w:shd w:val="clear" w:color="auto" w:fill="auto"/>
                  <w:vAlign w:val="center"/>
                </w:tcPr>
                <w:p w14:paraId="737EAE09">
                  <w:pPr>
                    <w:spacing w:line="276" w:lineRule="auto"/>
                    <w:jc w:val="center"/>
                    <w:rPr>
                      <w:color w:val="auto"/>
                      <w:szCs w:val="21"/>
                    </w:rPr>
                  </w:pPr>
                  <w:r>
                    <w:rPr>
                      <w:color w:val="auto"/>
                      <w:szCs w:val="21"/>
                    </w:rPr>
                    <w:t>1台</w:t>
                  </w:r>
                </w:p>
              </w:tc>
              <w:tc>
                <w:tcPr>
                  <w:tcW w:w="679" w:type="pct"/>
                  <w:shd w:val="clear" w:color="auto" w:fill="auto"/>
                  <w:vAlign w:val="center"/>
                </w:tcPr>
                <w:p w14:paraId="77F4F8EB">
                  <w:pPr>
                    <w:spacing w:line="276" w:lineRule="auto"/>
                    <w:jc w:val="center"/>
                    <w:rPr>
                      <w:color w:val="auto"/>
                      <w:szCs w:val="21"/>
                    </w:rPr>
                  </w:pPr>
                  <w:r>
                    <w:rPr>
                      <w:rFonts w:hint="eastAsia"/>
                      <w:color w:val="auto"/>
                      <w:szCs w:val="21"/>
                      <w:lang w:val="en-US" w:eastAsia="zh-CN"/>
                    </w:rPr>
                    <w:t>0</w:t>
                  </w:r>
                </w:p>
              </w:tc>
            </w:tr>
            <w:tr w14:paraId="1913B2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5" w:type="pct"/>
                  <w:vMerge w:val="continue"/>
                  <w:vAlign w:val="center"/>
                </w:tcPr>
                <w:p w14:paraId="41A3E55C">
                  <w:pPr>
                    <w:spacing w:line="276" w:lineRule="auto"/>
                    <w:jc w:val="center"/>
                    <w:rPr>
                      <w:color w:val="auto"/>
                      <w:szCs w:val="21"/>
                    </w:rPr>
                  </w:pPr>
                </w:p>
              </w:tc>
              <w:tc>
                <w:tcPr>
                  <w:tcW w:w="1099" w:type="pct"/>
                  <w:shd w:val="clear" w:color="auto" w:fill="auto"/>
                  <w:vAlign w:val="center"/>
                </w:tcPr>
                <w:p w14:paraId="267C543C">
                  <w:pPr>
                    <w:spacing w:line="276" w:lineRule="auto"/>
                    <w:jc w:val="center"/>
                    <w:rPr>
                      <w:color w:val="auto"/>
                      <w:szCs w:val="21"/>
                    </w:rPr>
                  </w:pPr>
                  <w:r>
                    <w:rPr>
                      <w:color w:val="auto"/>
                      <w:szCs w:val="21"/>
                    </w:rPr>
                    <w:t>混料机</w:t>
                  </w:r>
                </w:p>
              </w:tc>
              <w:tc>
                <w:tcPr>
                  <w:tcW w:w="648" w:type="pct"/>
                  <w:vAlign w:val="center"/>
                </w:tcPr>
                <w:p w14:paraId="4F493AC1">
                  <w:pPr>
                    <w:spacing w:line="276" w:lineRule="auto"/>
                    <w:jc w:val="center"/>
                    <w:rPr>
                      <w:color w:val="auto"/>
                      <w:szCs w:val="21"/>
                    </w:rPr>
                  </w:pPr>
                  <w:r>
                    <w:rPr>
                      <w:rFonts w:hint="eastAsia"/>
                      <w:color w:val="auto"/>
                      <w:szCs w:val="21"/>
                    </w:rPr>
                    <w:t>5</w:t>
                  </w:r>
                  <w:r>
                    <w:rPr>
                      <w:color w:val="auto"/>
                      <w:szCs w:val="21"/>
                    </w:rPr>
                    <w:t>m</w:t>
                  </w:r>
                  <w:r>
                    <w:rPr>
                      <w:color w:val="auto"/>
                      <w:szCs w:val="21"/>
                      <w:vertAlign w:val="superscript"/>
                    </w:rPr>
                    <w:t>3</w:t>
                  </w:r>
                </w:p>
              </w:tc>
              <w:tc>
                <w:tcPr>
                  <w:tcW w:w="669" w:type="pct"/>
                  <w:shd w:val="clear" w:color="auto" w:fill="auto"/>
                  <w:vAlign w:val="center"/>
                </w:tcPr>
                <w:p w14:paraId="5A7414F3">
                  <w:pPr>
                    <w:spacing w:line="276" w:lineRule="auto"/>
                    <w:jc w:val="center"/>
                    <w:rPr>
                      <w:rFonts w:ascii="Times New Roman" w:hAnsi="Times New Roman" w:eastAsia="宋体" w:cs="Times New Roman"/>
                      <w:color w:val="auto"/>
                      <w:kern w:val="2"/>
                      <w:sz w:val="21"/>
                      <w:szCs w:val="21"/>
                      <w:lang w:val="en-US" w:eastAsia="zh-CN" w:bidi="ar-SA"/>
                    </w:rPr>
                  </w:pPr>
                  <w:r>
                    <w:rPr>
                      <w:color w:val="auto"/>
                      <w:szCs w:val="21"/>
                    </w:rPr>
                    <w:t>1台</w:t>
                  </w:r>
                </w:p>
              </w:tc>
              <w:tc>
                <w:tcPr>
                  <w:tcW w:w="669" w:type="pct"/>
                  <w:shd w:val="clear" w:color="auto" w:fill="auto"/>
                  <w:vAlign w:val="center"/>
                </w:tcPr>
                <w:p w14:paraId="1CC2DD26">
                  <w:pPr>
                    <w:spacing w:line="276" w:lineRule="auto"/>
                    <w:jc w:val="center"/>
                    <w:rPr>
                      <w:color w:val="auto"/>
                      <w:szCs w:val="21"/>
                    </w:rPr>
                  </w:pPr>
                  <w:r>
                    <w:rPr>
                      <w:rFonts w:hint="eastAsia"/>
                      <w:color w:val="auto"/>
                      <w:szCs w:val="21"/>
                      <w:lang w:val="en-US" w:eastAsia="zh-CN"/>
                    </w:rPr>
                    <w:t>0</w:t>
                  </w:r>
                </w:p>
              </w:tc>
              <w:tc>
                <w:tcPr>
                  <w:tcW w:w="669" w:type="pct"/>
                  <w:shd w:val="clear" w:color="auto" w:fill="auto"/>
                  <w:vAlign w:val="center"/>
                </w:tcPr>
                <w:p w14:paraId="64381DDA">
                  <w:pPr>
                    <w:spacing w:line="276" w:lineRule="auto"/>
                    <w:jc w:val="center"/>
                    <w:rPr>
                      <w:color w:val="auto"/>
                      <w:szCs w:val="21"/>
                    </w:rPr>
                  </w:pPr>
                  <w:r>
                    <w:rPr>
                      <w:color w:val="auto"/>
                      <w:szCs w:val="21"/>
                    </w:rPr>
                    <w:t>1台</w:t>
                  </w:r>
                </w:p>
              </w:tc>
              <w:tc>
                <w:tcPr>
                  <w:tcW w:w="679" w:type="pct"/>
                  <w:shd w:val="clear" w:color="auto" w:fill="auto"/>
                  <w:vAlign w:val="center"/>
                </w:tcPr>
                <w:p w14:paraId="36AE3196">
                  <w:pPr>
                    <w:spacing w:line="276" w:lineRule="auto"/>
                    <w:jc w:val="center"/>
                    <w:rPr>
                      <w:color w:val="auto"/>
                      <w:szCs w:val="21"/>
                    </w:rPr>
                  </w:pPr>
                  <w:r>
                    <w:rPr>
                      <w:rFonts w:hint="eastAsia"/>
                      <w:color w:val="auto"/>
                      <w:szCs w:val="21"/>
                      <w:lang w:val="en-US" w:eastAsia="zh-CN"/>
                    </w:rPr>
                    <w:t>0</w:t>
                  </w:r>
                </w:p>
              </w:tc>
            </w:tr>
            <w:tr w14:paraId="627173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5" w:type="pct"/>
                  <w:vMerge w:val="continue"/>
                  <w:vAlign w:val="center"/>
                </w:tcPr>
                <w:p w14:paraId="4852BE15">
                  <w:pPr>
                    <w:spacing w:line="276" w:lineRule="auto"/>
                    <w:jc w:val="center"/>
                    <w:rPr>
                      <w:color w:val="auto"/>
                      <w:szCs w:val="21"/>
                    </w:rPr>
                  </w:pPr>
                </w:p>
              </w:tc>
              <w:tc>
                <w:tcPr>
                  <w:tcW w:w="1099" w:type="pct"/>
                  <w:shd w:val="clear" w:color="auto" w:fill="auto"/>
                  <w:vAlign w:val="center"/>
                </w:tcPr>
                <w:p w14:paraId="060CD2F9">
                  <w:pPr>
                    <w:spacing w:line="276" w:lineRule="auto"/>
                    <w:jc w:val="center"/>
                    <w:rPr>
                      <w:color w:val="auto"/>
                      <w:szCs w:val="21"/>
                    </w:rPr>
                  </w:pPr>
                  <w:r>
                    <w:rPr>
                      <w:rFonts w:hint="eastAsia"/>
                      <w:color w:val="auto"/>
                      <w:szCs w:val="21"/>
                    </w:rPr>
                    <w:t>布袋</w:t>
                  </w:r>
                  <w:r>
                    <w:rPr>
                      <w:color w:val="auto"/>
                      <w:szCs w:val="21"/>
                    </w:rPr>
                    <w:t>除尘器</w:t>
                  </w:r>
                </w:p>
              </w:tc>
              <w:tc>
                <w:tcPr>
                  <w:tcW w:w="648" w:type="pct"/>
                  <w:vAlign w:val="center"/>
                </w:tcPr>
                <w:p w14:paraId="4D248BDB">
                  <w:pPr>
                    <w:spacing w:line="276" w:lineRule="auto"/>
                    <w:jc w:val="center"/>
                    <w:rPr>
                      <w:color w:val="auto"/>
                      <w:szCs w:val="21"/>
                    </w:rPr>
                  </w:pPr>
                  <w:r>
                    <w:rPr>
                      <w:rFonts w:hint="eastAsia"/>
                      <w:color w:val="auto"/>
                      <w:szCs w:val="21"/>
                    </w:rPr>
                    <w:t>/</w:t>
                  </w:r>
                </w:p>
              </w:tc>
              <w:tc>
                <w:tcPr>
                  <w:tcW w:w="669" w:type="pct"/>
                  <w:shd w:val="clear" w:color="auto" w:fill="auto"/>
                  <w:vAlign w:val="center"/>
                </w:tcPr>
                <w:p w14:paraId="2B9D938F">
                  <w:pPr>
                    <w:spacing w:line="276" w:lineRule="auto"/>
                    <w:jc w:val="center"/>
                    <w:rPr>
                      <w:rFonts w:ascii="Times New Roman" w:hAnsi="Times New Roman" w:eastAsia="宋体" w:cs="Times New Roman"/>
                      <w:color w:val="auto"/>
                      <w:kern w:val="2"/>
                      <w:sz w:val="21"/>
                      <w:szCs w:val="21"/>
                      <w:lang w:val="en-US" w:eastAsia="zh-CN" w:bidi="ar-SA"/>
                    </w:rPr>
                  </w:pPr>
                  <w:r>
                    <w:rPr>
                      <w:color w:val="auto"/>
                      <w:szCs w:val="21"/>
                    </w:rPr>
                    <w:t>1</w:t>
                  </w:r>
                  <w:r>
                    <w:rPr>
                      <w:rFonts w:hint="eastAsia"/>
                      <w:color w:val="auto"/>
                      <w:szCs w:val="21"/>
                    </w:rPr>
                    <w:t>套</w:t>
                  </w:r>
                </w:p>
              </w:tc>
              <w:tc>
                <w:tcPr>
                  <w:tcW w:w="669" w:type="pct"/>
                  <w:shd w:val="clear" w:color="auto" w:fill="auto"/>
                  <w:vAlign w:val="center"/>
                </w:tcPr>
                <w:p w14:paraId="4A83EDD9">
                  <w:pPr>
                    <w:spacing w:line="276" w:lineRule="auto"/>
                    <w:jc w:val="center"/>
                    <w:rPr>
                      <w:color w:val="auto"/>
                      <w:szCs w:val="21"/>
                    </w:rPr>
                  </w:pPr>
                  <w:r>
                    <w:rPr>
                      <w:rFonts w:hint="eastAsia"/>
                      <w:color w:val="auto"/>
                      <w:szCs w:val="21"/>
                      <w:lang w:val="en-US" w:eastAsia="zh-CN"/>
                    </w:rPr>
                    <w:t>0</w:t>
                  </w:r>
                </w:p>
              </w:tc>
              <w:tc>
                <w:tcPr>
                  <w:tcW w:w="669" w:type="pct"/>
                  <w:shd w:val="clear" w:color="auto" w:fill="auto"/>
                  <w:vAlign w:val="center"/>
                </w:tcPr>
                <w:p w14:paraId="6DE5639B">
                  <w:pPr>
                    <w:spacing w:line="276" w:lineRule="auto"/>
                    <w:jc w:val="center"/>
                    <w:rPr>
                      <w:color w:val="auto"/>
                      <w:szCs w:val="21"/>
                    </w:rPr>
                  </w:pPr>
                  <w:r>
                    <w:rPr>
                      <w:color w:val="auto"/>
                      <w:szCs w:val="21"/>
                    </w:rPr>
                    <w:t>1</w:t>
                  </w:r>
                  <w:r>
                    <w:rPr>
                      <w:rFonts w:hint="eastAsia"/>
                      <w:color w:val="auto"/>
                      <w:szCs w:val="21"/>
                    </w:rPr>
                    <w:t>套</w:t>
                  </w:r>
                </w:p>
              </w:tc>
              <w:tc>
                <w:tcPr>
                  <w:tcW w:w="679" w:type="pct"/>
                  <w:shd w:val="clear" w:color="auto" w:fill="auto"/>
                  <w:vAlign w:val="center"/>
                </w:tcPr>
                <w:p w14:paraId="4FE46CCC">
                  <w:pPr>
                    <w:spacing w:line="276" w:lineRule="auto"/>
                    <w:jc w:val="center"/>
                    <w:rPr>
                      <w:color w:val="auto"/>
                      <w:szCs w:val="21"/>
                    </w:rPr>
                  </w:pPr>
                  <w:r>
                    <w:rPr>
                      <w:rFonts w:hint="eastAsia"/>
                      <w:color w:val="auto"/>
                      <w:szCs w:val="21"/>
                      <w:lang w:val="en-US" w:eastAsia="zh-CN"/>
                    </w:rPr>
                    <w:t>0</w:t>
                  </w:r>
                </w:p>
              </w:tc>
            </w:tr>
            <w:tr w14:paraId="2E1352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5" w:type="pct"/>
                  <w:vAlign w:val="center"/>
                </w:tcPr>
                <w:p w14:paraId="29800E78">
                  <w:pPr>
                    <w:widowControl/>
                    <w:jc w:val="center"/>
                    <w:rPr>
                      <w:color w:val="auto"/>
                      <w:szCs w:val="21"/>
                    </w:rPr>
                  </w:pPr>
                  <w:r>
                    <w:rPr>
                      <w:rFonts w:hint="eastAsia"/>
                      <w:color w:val="auto"/>
                      <w:szCs w:val="21"/>
                    </w:rPr>
                    <w:t>纳米材料车间</w:t>
                  </w:r>
                </w:p>
              </w:tc>
              <w:tc>
                <w:tcPr>
                  <w:tcW w:w="1099" w:type="pct"/>
                  <w:shd w:val="clear" w:color="auto" w:fill="auto"/>
                  <w:vAlign w:val="center"/>
                </w:tcPr>
                <w:p w14:paraId="712C2B83">
                  <w:pPr>
                    <w:spacing w:line="276" w:lineRule="auto"/>
                    <w:jc w:val="center"/>
                    <w:rPr>
                      <w:color w:val="auto"/>
                      <w:szCs w:val="21"/>
                    </w:rPr>
                  </w:pPr>
                  <w:r>
                    <w:rPr>
                      <w:color w:val="auto"/>
                      <w:szCs w:val="21"/>
                    </w:rPr>
                    <w:t>烘干</w:t>
                  </w:r>
                  <w:r>
                    <w:rPr>
                      <w:rFonts w:hint="eastAsia"/>
                      <w:color w:val="auto"/>
                      <w:szCs w:val="21"/>
                    </w:rPr>
                    <w:t>箱</w:t>
                  </w:r>
                </w:p>
              </w:tc>
              <w:tc>
                <w:tcPr>
                  <w:tcW w:w="648" w:type="pct"/>
                  <w:vAlign w:val="center"/>
                </w:tcPr>
                <w:p w14:paraId="2A734ADD">
                  <w:pPr>
                    <w:spacing w:line="276" w:lineRule="auto"/>
                    <w:jc w:val="center"/>
                    <w:rPr>
                      <w:color w:val="auto"/>
                      <w:szCs w:val="21"/>
                    </w:rPr>
                  </w:pPr>
                  <w:r>
                    <w:rPr>
                      <w:rFonts w:hint="eastAsia"/>
                      <w:color w:val="auto"/>
                      <w:szCs w:val="21"/>
                    </w:rPr>
                    <w:t>6×1</w:t>
                  </w:r>
                  <w:r>
                    <w:rPr>
                      <w:color w:val="auto"/>
                      <w:szCs w:val="21"/>
                    </w:rPr>
                    <w:t>.</w:t>
                  </w:r>
                  <w:r>
                    <w:rPr>
                      <w:rFonts w:hint="eastAsia"/>
                      <w:color w:val="auto"/>
                      <w:szCs w:val="21"/>
                    </w:rPr>
                    <w:t>5</w:t>
                  </w:r>
                  <w:r>
                    <w:rPr>
                      <w:color w:val="auto"/>
                      <w:szCs w:val="21"/>
                    </w:rPr>
                    <w:t>m</w:t>
                  </w:r>
                </w:p>
              </w:tc>
              <w:tc>
                <w:tcPr>
                  <w:tcW w:w="669" w:type="pct"/>
                  <w:shd w:val="clear" w:color="auto" w:fill="auto"/>
                  <w:vAlign w:val="center"/>
                </w:tcPr>
                <w:p w14:paraId="0D367CDC">
                  <w:pPr>
                    <w:spacing w:line="276" w:lineRule="auto"/>
                    <w:jc w:val="center"/>
                    <w:rPr>
                      <w:rFonts w:ascii="Times New Roman" w:hAnsi="Times New Roman" w:eastAsia="宋体" w:cs="Times New Roman"/>
                      <w:color w:val="auto"/>
                      <w:kern w:val="2"/>
                      <w:sz w:val="21"/>
                      <w:szCs w:val="21"/>
                      <w:lang w:val="en-US" w:eastAsia="zh-CN" w:bidi="ar-SA"/>
                    </w:rPr>
                  </w:pPr>
                  <w:r>
                    <w:rPr>
                      <w:color w:val="auto"/>
                      <w:szCs w:val="21"/>
                    </w:rPr>
                    <w:t>15</w:t>
                  </w:r>
                  <w:r>
                    <w:rPr>
                      <w:rFonts w:hint="eastAsia"/>
                      <w:color w:val="auto"/>
                      <w:szCs w:val="21"/>
                    </w:rPr>
                    <w:t>套</w:t>
                  </w:r>
                </w:p>
              </w:tc>
              <w:tc>
                <w:tcPr>
                  <w:tcW w:w="669" w:type="pct"/>
                  <w:shd w:val="clear" w:color="auto" w:fill="auto"/>
                  <w:vAlign w:val="center"/>
                </w:tcPr>
                <w:p w14:paraId="1F3FFE2C">
                  <w:pPr>
                    <w:spacing w:line="276" w:lineRule="auto"/>
                    <w:jc w:val="center"/>
                    <w:rPr>
                      <w:color w:val="auto"/>
                      <w:szCs w:val="21"/>
                    </w:rPr>
                  </w:pPr>
                  <w:r>
                    <w:rPr>
                      <w:rFonts w:hint="eastAsia"/>
                      <w:color w:val="auto"/>
                      <w:szCs w:val="21"/>
                      <w:lang w:val="en-US" w:eastAsia="zh-CN"/>
                    </w:rPr>
                    <w:t>0</w:t>
                  </w:r>
                </w:p>
              </w:tc>
              <w:tc>
                <w:tcPr>
                  <w:tcW w:w="669" w:type="pct"/>
                  <w:shd w:val="clear" w:color="auto" w:fill="auto"/>
                  <w:vAlign w:val="center"/>
                </w:tcPr>
                <w:p w14:paraId="6229CB4F">
                  <w:pPr>
                    <w:spacing w:line="276" w:lineRule="auto"/>
                    <w:jc w:val="center"/>
                    <w:rPr>
                      <w:color w:val="auto"/>
                      <w:szCs w:val="21"/>
                    </w:rPr>
                  </w:pPr>
                  <w:r>
                    <w:rPr>
                      <w:color w:val="auto"/>
                      <w:szCs w:val="21"/>
                    </w:rPr>
                    <w:t>15</w:t>
                  </w:r>
                  <w:r>
                    <w:rPr>
                      <w:rFonts w:hint="eastAsia"/>
                      <w:color w:val="auto"/>
                      <w:szCs w:val="21"/>
                    </w:rPr>
                    <w:t>套</w:t>
                  </w:r>
                </w:p>
              </w:tc>
              <w:tc>
                <w:tcPr>
                  <w:tcW w:w="679" w:type="pct"/>
                  <w:shd w:val="clear" w:color="auto" w:fill="auto"/>
                  <w:vAlign w:val="center"/>
                </w:tcPr>
                <w:p w14:paraId="254E1A2C">
                  <w:pPr>
                    <w:spacing w:line="276" w:lineRule="auto"/>
                    <w:jc w:val="center"/>
                    <w:rPr>
                      <w:color w:val="auto"/>
                      <w:szCs w:val="21"/>
                    </w:rPr>
                  </w:pPr>
                  <w:r>
                    <w:rPr>
                      <w:rFonts w:hint="eastAsia"/>
                      <w:color w:val="auto"/>
                      <w:szCs w:val="21"/>
                      <w:lang w:val="en-US" w:eastAsia="zh-CN"/>
                    </w:rPr>
                    <w:t>0</w:t>
                  </w:r>
                </w:p>
              </w:tc>
            </w:tr>
            <w:tr w14:paraId="3EE5AE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5" w:type="pct"/>
                  <w:vMerge w:val="restart"/>
                  <w:vAlign w:val="center"/>
                </w:tcPr>
                <w:p w14:paraId="312CAB17">
                  <w:pPr>
                    <w:widowControl/>
                    <w:jc w:val="center"/>
                    <w:rPr>
                      <w:color w:val="auto"/>
                      <w:szCs w:val="21"/>
                    </w:rPr>
                  </w:pPr>
                  <w:r>
                    <w:rPr>
                      <w:rFonts w:hint="eastAsia"/>
                      <w:color w:val="auto"/>
                      <w:szCs w:val="21"/>
                    </w:rPr>
                    <w:t>烘干</w:t>
                  </w:r>
                  <w:r>
                    <w:rPr>
                      <w:color w:val="auto"/>
                      <w:szCs w:val="21"/>
                    </w:rPr>
                    <w:t>设备</w:t>
                  </w:r>
                </w:p>
              </w:tc>
              <w:tc>
                <w:tcPr>
                  <w:tcW w:w="1099" w:type="pct"/>
                  <w:shd w:val="clear" w:color="auto" w:fill="auto"/>
                  <w:vAlign w:val="center"/>
                </w:tcPr>
                <w:p w14:paraId="7486C6CC">
                  <w:pPr>
                    <w:spacing w:line="276" w:lineRule="auto"/>
                    <w:jc w:val="center"/>
                    <w:rPr>
                      <w:color w:val="auto"/>
                      <w:szCs w:val="21"/>
                    </w:rPr>
                  </w:pPr>
                  <w:r>
                    <w:rPr>
                      <w:color w:val="auto"/>
                      <w:szCs w:val="21"/>
                    </w:rPr>
                    <w:t>生物质</w:t>
                  </w:r>
                  <w:r>
                    <w:rPr>
                      <w:rFonts w:hint="eastAsia"/>
                      <w:color w:val="auto"/>
                      <w:szCs w:val="21"/>
                    </w:rPr>
                    <w:t>导热油炉</w:t>
                  </w:r>
                </w:p>
              </w:tc>
              <w:tc>
                <w:tcPr>
                  <w:tcW w:w="648" w:type="pct"/>
                  <w:vAlign w:val="center"/>
                </w:tcPr>
                <w:p w14:paraId="4ECAA85D">
                  <w:pPr>
                    <w:spacing w:line="276" w:lineRule="auto"/>
                    <w:jc w:val="center"/>
                    <w:rPr>
                      <w:color w:val="auto"/>
                      <w:szCs w:val="21"/>
                    </w:rPr>
                  </w:pPr>
                  <w:r>
                    <w:rPr>
                      <w:rFonts w:hint="eastAsia"/>
                      <w:color w:val="auto"/>
                      <w:szCs w:val="21"/>
                    </w:rPr>
                    <w:t>20万</w:t>
                  </w:r>
                  <w:r>
                    <w:rPr>
                      <w:color w:val="auto"/>
                      <w:szCs w:val="21"/>
                    </w:rPr>
                    <w:t>大卡</w:t>
                  </w:r>
                </w:p>
              </w:tc>
              <w:tc>
                <w:tcPr>
                  <w:tcW w:w="669" w:type="pct"/>
                  <w:shd w:val="clear" w:color="auto" w:fill="auto"/>
                  <w:vAlign w:val="center"/>
                </w:tcPr>
                <w:p w14:paraId="1C7EEFBB">
                  <w:pPr>
                    <w:spacing w:line="276" w:lineRule="auto"/>
                    <w:jc w:val="center"/>
                    <w:rPr>
                      <w:rFonts w:ascii="Times New Roman" w:hAnsi="Times New Roman" w:eastAsia="宋体" w:cs="Times New Roman"/>
                      <w:color w:val="auto"/>
                      <w:kern w:val="2"/>
                      <w:sz w:val="21"/>
                      <w:szCs w:val="21"/>
                      <w:lang w:val="en-US" w:eastAsia="zh-CN" w:bidi="ar-SA"/>
                    </w:rPr>
                  </w:pPr>
                  <w:r>
                    <w:rPr>
                      <w:color w:val="auto"/>
                      <w:szCs w:val="21"/>
                    </w:rPr>
                    <w:t>1台</w:t>
                  </w:r>
                </w:p>
              </w:tc>
              <w:tc>
                <w:tcPr>
                  <w:tcW w:w="669" w:type="pct"/>
                  <w:shd w:val="clear" w:color="auto" w:fill="auto"/>
                  <w:vAlign w:val="center"/>
                </w:tcPr>
                <w:p w14:paraId="09148AEE">
                  <w:pPr>
                    <w:spacing w:line="276" w:lineRule="auto"/>
                    <w:jc w:val="center"/>
                    <w:rPr>
                      <w:color w:val="auto"/>
                      <w:szCs w:val="21"/>
                    </w:rPr>
                  </w:pPr>
                  <w:r>
                    <w:rPr>
                      <w:rFonts w:hint="eastAsia"/>
                      <w:color w:val="auto"/>
                      <w:szCs w:val="21"/>
                      <w:lang w:val="en-US" w:eastAsia="zh-CN"/>
                    </w:rPr>
                    <w:t>0</w:t>
                  </w:r>
                </w:p>
              </w:tc>
              <w:tc>
                <w:tcPr>
                  <w:tcW w:w="669" w:type="pct"/>
                  <w:shd w:val="clear" w:color="auto" w:fill="auto"/>
                  <w:vAlign w:val="center"/>
                </w:tcPr>
                <w:p w14:paraId="51A9D18D">
                  <w:pPr>
                    <w:spacing w:line="276" w:lineRule="auto"/>
                    <w:jc w:val="center"/>
                    <w:rPr>
                      <w:color w:val="auto"/>
                      <w:szCs w:val="21"/>
                    </w:rPr>
                  </w:pPr>
                  <w:r>
                    <w:rPr>
                      <w:rFonts w:hint="eastAsia"/>
                      <w:color w:val="auto"/>
                      <w:szCs w:val="21"/>
                      <w:lang w:val="en-US" w:eastAsia="zh-CN"/>
                    </w:rPr>
                    <w:t>0</w:t>
                  </w:r>
                </w:p>
              </w:tc>
              <w:tc>
                <w:tcPr>
                  <w:tcW w:w="679" w:type="pct"/>
                  <w:shd w:val="clear" w:color="auto" w:fill="auto"/>
                  <w:vAlign w:val="center"/>
                </w:tcPr>
                <w:p w14:paraId="4265E99C">
                  <w:pPr>
                    <w:spacing w:line="276" w:lineRule="auto"/>
                    <w:jc w:val="center"/>
                    <w:rPr>
                      <w:rFonts w:hint="default"/>
                      <w:color w:val="auto"/>
                      <w:szCs w:val="21"/>
                      <w:lang w:val="en-US"/>
                    </w:rPr>
                  </w:pPr>
                  <w:r>
                    <w:rPr>
                      <w:rFonts w:hint="eastAsia"/>
                      <w:color w:val="auto"/>
                      <w:szCs w:val="21"/>
                      <w:lang w:val="en-US" w:eastAsia="zh-CN"/>
                    </w:rPr>
                    <w:t>-1</w:t>
                  </w:r>
                  <w:r>
                    <w:rPr>
                      <w:color w:val="auto"/>
                      <w:szCs w:val="21"/>
                    </w:rPr>
                    <w:t>台</w:t>
                  </w:r>
                </w:p>
              </w:tc>
            </w:tr>
            <w:tr w14:paraId="09661B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5" w:type="pct"/>
                  <w:vMerge w:val="continue"/>
                  <w:vAlign w:val="center"/>
                </w:tcPr>
                <w:p w14:paraId="50A00228">
                  <w:pPr>
                    <w:widowControl/>
                    <w:jc w:val="center"/>
                    <w:textAlignment w:val="center"/>
                    <w:rPr>
                      <w:color w:val="auto"/>
                      <w:szCs w:val="21"/>
                    </w:rPr>
                  </w:pPr>
                </w:p>
              </w:tc>
              <w:tc>
                <w:tcPr>
                  <w:tcW w:w="1099" w:type="pct"/>
                  <w:shd w:val="clear" w:color="auto" w:fill="auto"/>
                  <w:vAlign w:val="center"/>
                </w:tcPr>
                <w:p w14:paraId="3E24D2C5">
                  <w:pPr>
                    <w:spacing w:line="276" w:lineRule="auto"/>
                    <w:jc w:val="center"/>
                    <w:rPr>
                      <w:color w:val="auto"/>
                      <w:szCs w:val="21"/>
                    </w:rPr>
                  </w:pPr>
                  <w:r>
                    <w:rPr>
                      <w:color w:val="auto"/>
                      <w:szCs w:val="21"/>
                    </w:rPr>
                    <w:t>生物质</w:t>
                  </w:r>
                  <w:r>
                    <w:rPr>
                      <w:rFonts w:hint="eastAsia"/>
                      <w:color w:val="auto"/>
                      <w:szCs w:val="21"/>
                    </w:rPr>
                    <w:t>导热油炉</w:t>
                  </w:r>
                </w:p>
              </w:tc>
              <w:tc>
                <w:tcPr>
                  <w:tcW w:w="648" w:type="pct"/>
                  <w:vAlign w:val="center"/>
                </w:tcPr>
                <w:p w14:paraId="747CB265">
                  <w:pPr>
                    <w:spacing w:line="276" w:lineRule="auto"/>
                    <w:jc w:val="center"/>
                    <w:rPr>
                      <w:color w:val="auto"/>
                      <w:szCs w:val="21"/>
                    </w:rPr>
                  </w:pPr>
                  <w:r>
                    <w:rPr>
                      <w:rFonts w:hint="eastAsia"/>
                      <w:color w:val="auto"/>
                      <w:szCs w:val="21"/>
                    </w:rPr>
                    <w:t>30万</w:t>
                  </w:r>
                  <w:r>
                    <w:rPr>
                      <w:color w:val="auto"/>
                      <w:szCs w:val="21"/>
                    </w:rPr>
                    <w:t>大卡</w:t>
                  </w:r>
                </w:p>
              </w:tc>
              <w:tc>
                <w:tcPr>
                  <w:tcW w:w="669" w:type="pct"/>
                  <w:shd w:val="clear" w:color="auto" w:fill="auto"/>
                  <w:vAlign w:val="center"/>
                </w:tcPr>
                <w:p w14:paraId="445CE9AE">
                  <w:pPr>
                    <w:spacing w:line="276" w:lineRule="auto"/>
                    <w:jc w:val="center"/>
                    <w:rPr>
                      <w:rFonts w:ascii="Times New Roman" w:hAnsi="Times New Roman" w:eastAsia="宋体" w:cs="Times New Roman"/>
                      <w:color w:val="auto"/>
                      <w:kern w:val="2"/>
                      <w:sz w:val="21"/>
                      <w:szCs w:val="21"/>
                      <w:lang w:val="en-US" w:eastAsia="zh-CN" w:bidi="ar-SA"/>
                    </w:rPr>
                  </w:pPr>
                  <w:r>
                    <w:rPr>
                      <w:color w:val="auto"/>
                      <w:szCs w:val="21"/>
                    </w:rPr>
                    <w:t>1台</w:t>
                  </w:r>
                </w:p>
              </w:tc>
              <w:tc>
                <w:tcPr>
                  <w:tcW w:w="669" w:type="pct"/>
                  <w:shd w:val="clear" w:color="auto" w:fill="auto"/>
                  <w:vAlign w:val="center"/>
                </w:tcPr>
                <w:p w14:paraId="5C9D67F8">
                  <w:pPr>
                    <w:spacing w:line="276" w:lineRule="auto"/>
                    <w:jc w:val="center"/>
                    <w:rPr>
                      <w:color w:val="auto"/>
                      <w:szCs w:val="21"/>
                    </w:rPr>
                  </w:pPr>
                  <w:r>
                    <w:rPr>
                      <w:rFonts w:hint="eastAsia"/>
                      <w:color w:val="auto"/>
                      <w:szCs w:val="21"/>
                      <w:lang w:val="en-US" w:eastAsia="zh-CN"/>
                    </w:rPr>
                    <w:t>0</w:t>
                  </w:r>
                </w:p>
              </w:tc>
              <w:tc>
                <w:tcPr>
                  <w:tcW w:w="669" w:type="pct"/>
                  <w:shd w:val="clear" w:color="auto" w:fill="auto"/>
                  <w:vAlign w:val="center"/>
                </w:tcPr>
                <w:p w14:paraId="4D500705">
                  <w:pPr>
                    <w:spacing w:line="276" w:lineRule="auto"/>
                    <w:jc w:val="center"/>
                    <w:rPr>
                      <w:color w:val="auto"/>
                      <w:szCs w:val="21"/>
                    </w:rPr>
                  </w:pPr>
                  <w:r>
                    <w:rPr>
                      <w:rFonts w:hint="eastAsia"/>
                      <w:color w:val="auto"/>
                      <w:szCs w:val="21"/>
                      <w:lang w:val="en-US" w:eastAsia="zh-CN"/>
                    </w:rPr>
                    <w:t>0</w:t>
                  </w:r>
                </w:p>
              </w:tc>
              <w:tc>
                <w:tcPr>
                  <w:tcW w:w="679" w:type="pct"/>
                  <w:shd w:val="clear" w:color="auto" w:fill="auto"/>
                  <w:vAlign w:val="center"/>
                </w:tcPr>
                <w:p w14:paraId="66307ABF">
                  <w:pPr>
                    <w:spacing w:line="276" w:lineRule="auto"/>
                    <w:jc w:val="center"/>
                    <w:rPr>
                      <w:color w:val="auto"/>
                      <w:szCs w:val="21"/>
                    </w:rPr>
                  </w:pPr>
                  <w:r>
                    <w:rPr>
                      <w:rFonts w:hint="eastAsia"/>
                      <w:color w:val="auto"/>
                      <w:szCs w:val="21"/>
                      <w:lang w:val="en-US" w:eastAsia="zh-CN"/>
                    </w:rPr>
                    <w:t>-1</w:t>
                  </w:r>
                  <w:r>
                    <w:rPr>
                      <w:color w:val="auto"/>
                      <w:szCs w:val="21"/>
                    </w:rPr>
                    <w:t>台</w:t>
                  </w:r>
                </w:p>
              </w:tc>
            </w:tr>
            <w:tr w14:paraId="524EDE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5" w:type="pct"/>
                  <w:vMerge w:val="continue"/>
                  <w:vAlign w:val="center"/>
                </w:tcPr>
                <w:p w14:paraId="38F4FAB2">
                  <w:pPr>
                    <w:widowControl/>
                    <w:jc w:val="center"/>
                    <w:textAlignment w:val="center"/>
                    <w:rPr>
                      <w:color w:val="auto"/>
                      <w:szCs w:val="21"/>
                    </w:rPr>
                  </w:pPr>
                </w:p>
              </w:tc>
              <w:tc>
                <w:tcPr>
                  <w:tcW w:w="1099" w:type="pct"/>
                  <w:shd w:val="clear" w:color="auto" w:fill="auto"/>
                  <w:vAlign w:val="center"/>
                </w:tcPr>
                <w:p w14:paraId="7CAA552B">
                  <w:pPr>
                    <w:spacing w:line="276" w:lineRule="auto"/>
                    <w:jc w:val="center"/>
                    <w:rPr>
                      <w:color w:val="auto"/>
                      <w:szCs w:val="21"/>
                    </w:rPr>
                  </w:pPr>
                  <w:r>
                    <w:rPr>
                      <w:color w:val="auto"/>
                      <w:szCs w:val="21"/>
                    </w:rPr>
                    <w:t>生物质</w:t>
                  </w:r>
                  <w:r>
                    <w:rPr>
                      <w:rFonts w:hint="eastAsia"/>
                      <w:color w:val="auto"/>
                      <w:szCs w:val="21"/>
                    </w:rPr>
                    <w:t>导热油炉</w:t>
                  </w:r>
                </w:p>
              </w:tc>
              <w:tc>
                <w:tcPr>
                  <w:tcW w:w="648" w:type="pct"/>
                  <w:vAlign w:val="center"/>
                </w:tcPr>
                <w:p w14:paraId="272848C8">
                  <w:pPr>
                    <w:spacing w:line="276" w:lineRule="auto"/>
                    <w:jc w:val="center"/>
                    <w:rPr>
                      <w:rFonts w:hint="default" w:eastAsia="宋体"/>
                      <w:color w:val="auto"/>
                      <w:szCs w:val="21"/>
                      <w:lang w:val="en-US" w:eastAsia="zh-CN"/>
                    </w:rPr>
                  </w:pPr>
                  <w:r>
                    <w:rPr>
                      <w:rFonts w:hint="eastAsia"/>
                      <w:color w:val="auto"/>
                      <w:szCs w:val="21"/>
                      <w:lang w:val="en-US" w:eastAsia="zh-CN"/>
                    </w:rPr>
                    <w:t>1800KW</w:t>
                  </w:r>
                </w:p>
              </w:tc>
              <w:tc>
                <w:tcPr>
                  <w:tcW w:w="669" w:type="pct"/>
                  <w:shd w:val="clear" w:color="auto" w:fill="auto"/>
                  <w:vAlign w:val="center"/>
                </w:tcPr>
                <w:p w14:paraId="0B9A9AE3">
                  <w:pPr>
                    <w:spacing w:line="276" w:lineRule="auto"/>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w:t>
                  </w:r>
                </w:p>
              </w:tc>
              <w:tc>
                <w:tcPr>
                  <w:tcW w:w="669" w:type="pct"/>
                  <w:shd w:val="clear" w:color="auto" w:fill="auto"/>
                  <w:vAlign w:val="center"/>
                </w:tcPr>
                <w:p w14:paraId="3CA9F6A1">
                  <w:pPr>
                    <w:spacing w:line="276" w:lineRule="auto"/>
                    <w:jc w:val="center"/>
                    <w:rPr>
                      <w:color w:val="auto"/>
                      <w:szCs w:val="21"/>
                    </w:rPr>
                  </w:pPr>
                  <w:r>
                    <w:rPr>
                      <w:rFonts w:hint="eastAsia" w:cs="Times New Roman"/>
                      <w:color w:val="auto"/>
                      <w:kern w:val="2"/>
                      <w:sz w:val="21"/>
                      <w:szCs w:val="21"/>
                      <w:lang w:val="en-US" w:eastAsia="zh-CN" w:bidi="ar-SA"/>
                    </w:rPr>
                    <w:t>1台</w:t>
                  </w:r>
                </w:p>
              </w:tc>
              <w:tc>
                <w:tcPr>
                  <w:tcW w:w="669" w:type="pct"/>
                  <w:shd w:val="clear" w:color="auto" w:fill="auto"/>
                  <w:vAlign w:val="center"/>
                </w:tcPr>
                <w:p w14:paraId="09641F15">
                  <w:pPr>
                    <w:spacing w:line="276" w:lineRule="auto"/>
                    <w:jc w:val="center"/>
                    <w:rPr>
                      <w:rFonts w:hint="default" w:eastAsia="宋体"/>
                      <w:color w:val="auto"/>
                      <w:szCs w:val="21"/>
                      <w:lang w:val="en-US" w:eastAsia="zh-CN"/>
                    </w:rPr>
                  </w:pPr>
                  <w:r>
                    <w:rPr>
                      <w:rFonts w:hint="eastAsia"/>
                      <w:color w:val="auto"/>
                      <w:szCs w:val="21"/>
                      <w:lang w:val="en-US" w:eastAsia="zh-CN"/>
                    </w:rPr>
                    <w:t>1台</w:t>
                  </w:r>
                </w:p>
              </w:tc>
              <w:tc>
                <w:tcPr>
                  <w:tcW w:w="679" w:type="pct"/>
                  <w:shd w:val="clear" w:color="auto" w:fill="auto"/>
                  <w:vAlign w:val="center"/>
                </w:tcPr>
                <w:p w14:paraId="671A8581">
                  <w:pPr>
                    <w:spacing w:line="276" w:lineRule="auto"/>
                    <w:jc w:val="center"/>
                    <w:rPr>
                      <w:rFonts w:hint="default" w:eastAsia="宋体"/>
                      <w:color w:val="auto"/>
                      <w:szCs w:val="21"/>
                      <w:lang w:val="en-US" w:eastAsia="zh-CN"/>
                    </w:rPr>
                  </w:pPr>
                  <w:r>
                    <w:rPr>
                      <w:rFonts w:hint="eastAsia"/>
                      <w:color w:val="auto"/>
                      <w:szCs w:val="21"/>
                      <w:lang w:val="en-US" w:eastAsia="zh-CN"/>
                    </w:rPr>
                    <w:t>+1台</w:t>
                  </w:r>
                </w:p>
              </w:tc>
            </w:tr>
            <w:tr w14:paraId="3EC7B2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5" w:type="pct"/>
                  <w:vMerge w:val="continue"/>
                  <w:vAlign w:val="center"/>
                </w:tcPr>
                <w:p w14:paraId="105E580A">
                  <w:pPr>
                    <w:widowControl/>
                    <w:jc w:val="center"/>
                    <w:textAlignment w:val="center"/>
                    <w:rPr>
                      <w:color w:val="auto"/>
                      <w:szCs w:val="21"/>
                    </w:rPr>
                  </w:pPr>
                </w:p>
              </w:tc>
              <w:tc>
                <w:tcPr>
                  <w:tcW w:w="1099" w:type="pct"/>
                  <w:shd w:val="clear" w:color="auto" w:fill="auto"/>
                  <w:vAlign w:val="center"/>
                </w:tcPr>
                <w:p w14:paraId="437851DB">
                  <w:pPr>
                    <w:spacing w:line="276" w:lineRule="auto"/>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湿式除尘器</w:t>
                  </w:r>
                </w:p>
              </w:tc>
              <w:tc>
                <w:tcPr>
                  <w:tcW w:w="648" w:type="pct"/>
                  <w:shd w:val="clear" w:color="auto" w:fill="auto"/>
                  <w:vAlign w:val="center"/>
                </w:tcPr>
                <w:p w14:paraId="252C63D1">
                  <w:pPr>
                    <w:spacing w:line="276" w:lineRule="auto"/>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w:t>
                  </w:r>
                </w:p>
              </w:tc>
              <w:tc>
                <w:tcPr>
                  <w:tcW w:w="669" w:type="pct"/>
                  <w:shd w:val="clear" w:color="auto" w:fill="auto"/>
                  <w:vAlign w:val="center"/>
                </w:tcPr>
                <w:p w14:paraId="5CC60A52">
                  <w:pPr>
                    <w:spacing w:line="276" w:lineRule="auto"/>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2套</w:t>
                  </w:r>
                </w:p>
              </w:tc>
              <w:tc>
                <w:tcPr>
                  <w:tcW w:w="669" w:type="pct"/>
                  <w:shd w:val="clear" w:color="auto" w:fill="auto"/>
                  <w:vAlign w:val="center"/>
                </w:tcPr>
                <w:p w14:paraId="36C6BD47">
                  <w:pPr>
                    <w:spacing w:line="276" w:lineRule="auto"/>
                    <w:jc w:val="center"/>
                    <w:rPr>
                      <w:rFonts w:hint="default" w:eastAsia="宋体"/>
                      <w:color w:val="auto"/>
                      <w:szCs w:val="21"/>
                      <w:lang w:val="en-US" w:eastAsia="zh-CN"/>
                    </w:rPr>
                  </w:pPr>
                  <w:r>
                    <w:rPr>
                      <w:rFonts w:hint="eastAsia"/>
                      <w:color w:val="auto"/>
                      <w:szCs w:val="21"/>
                      <w:lang w:val="en-US" w:eastAsia="zh-CN"/>
                    </w:rPr>
                    <w:t>0</w:t>
                  </w:r>
                </w:p>
              </w:tc>
              <w:tc>
                <w:tcPr>
                  <w:tcW w:w="669" w:type="pct"/>
                  <w:shd w:val="clear" w:color="auto" w:fill="auto"/>
                  <w:vAlign w:val="center"/>
                </w:tcPr>
                <w:p w14:paraId="66846650">
                  <w:pPr>
                    <w:spacing w:line="276" w:lineRule="auto"/>
                    <w:jc w:val="center"/>
                    <w:rPr>
                      <w:color w:val="auto"/>
                      <w:szCs w:val="21"/>
                    </w:rPr>
                  </w:pPr>
                  <w:r>
                    <w:rPr>
                      <w:rFonts w:hint="eastAsia"/>
                      <w:color w:val="auto"/>
                      <w:szCs w:val="21"/>
                      <w:lang w:val="en-US" w:eastAsia="zh-CN"/>
                    </w:rPr>
                    <w:t>0</w:t>
                  </w:r>
                </w:p>
              </w:tc>
              <w:tc>
                <w:tcPr>
                  <w:tcW w:w="679" w:type="pct"/>
                  <w:shd w:val="clear" w:color="auto" w:fill="auto"/>
                  <w:vAlign w:val="center"/>
                </w:tcPr>
                <w:p w14:paraId="0945A310">
                  <w:pPr>
                    <w:spacing w:line="276" w:lineRule="auto"/>
                    <w:jc w:val="center"/>
                    <w:rPr>
                      <w:rFonts w:hint="default" w:eastAsia="宋体"/>
                      <w:color w:val="auto"/>
                      <w:szCs w:val="21"/>
                      <w:lang w:val="en-US" w:eastAsia="zh-CN"/>
                    </w:rPr>
                  </w:pPr>
                  <w:r>
                    <w:rPr>
                      <w:rFonts w:hint="eastAsia"/>
                      <w:color w:val="auto"/>
                      <w:szCs w:val="21"/>
                      <w:lang w:val="en-US" w:eastAsia="zh-CN"/>
                    </w:rPr>
                    <w:t>-2套</w:t>
                  </w:r>
                </w:p>
              </w:tc>
            </w:tr>
            <w:tr w14:paraId="46BAF6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5" w:type="pct"/>
                  <w:vMerge w:val="continue"/>
                  <w:vAlign w:val="center"/>
                </w:tcPr>
                <w:p w14:paraId="58B438A7">
                  <w:pPr>
                    <w:widowControl/>
                    <w:jc w:val="center"/>
                    <w:textAlignment w:val="center"/>
                    <w:rPr>
                      <w:color w:val="auto"/>
                      <w:szCs w:val="21"/>
                    </w:rPr>
                  </w:pPr>
                </w:p>
              </w:tc>
              <w:tc>
                <w:tcPr>
                  <w:tcW w:w="1099" w:type="pct"/>
                  <w:shd w:val="clear" w:color="auto" w:fill="auto"/>
                  <w:vAlign w:val="center"/>
                </w:tcPr>
                <w:p w14:paraId="61898F29">
                  <w:pPr>
                    <w:spacing w:line="276" w:lineRule="auto"/>
                    <w:jc w:val="center"/>
                    <w:rPr>
                      <w:rFonts w:hint="default"/>
                      <w:color w:val="auto"/>
                      <w:szCs w:val="21"/>
                      <w:lang w:val="en-US" w:eastAsia="zh-CN"/>
                    </w:rPr>
                  </w:pPr>
                  <w:r>
                    <w:rPr>
                      <w:rFonts w:hint="eastAsia"/>
                      <w:color w:val="auto"/>
                      <w:szCs w:val="21"/>
                      <w:lang w:val="en-US" w:eastAsia="zh-CN"/>
                    </w:rPr>
                    <w:t>旋风除尘器</w:t>
                  </w:r>
                </w:p>
              </w:tc>
              <w:tc>
                <w:tcPr>
                  <w:tcW w:w="648" w:type="pct"/>
                  <w:shd w:val="clear" w:color="auto" w:fill="auto"/>
                  <w:vAlign w:val="center"/>
                </w:tcPr>
                <w:p w14:paraId="625EB6A6">
                  <w:pPr>
                    <w:spacing w:line="276" w:lineRule="auto"/>
                    <w:jc w:val="center"/>
                    <w:rPr>
                      <w:rFonts w:hint="eastAsia"/>
                      <w:color w:val="auto"/>
                      <w:szCs w:val="21"/>
                    </w:rPr>
                  </w:pPr>
                  <w:r>
                    <w:rPr>
                      <w:rFonts w:hint="eastAsia"/>
                      <w:color w:val="auto"/>
                      <w:szCs w:val="21"/>
                    </w:rPr>
                    <w:t>/</w:t>
                  </w:r>
                </w:p>
              </w:tc>
              <w:tc>
                <w:tcPr>
                  <w:tcW w:w="1087" w:type="dxa"/>
                  <w:shd w:val="clear" w:color="auto" w:fill="auto"/>
                  <w:vAlign w:val="center"/>
                </w:tcPr>
                <w:p w14:paraId="1A30CC23">
                  <w:pPr>
                    <w:spacing w:line="276" w:lineRule="auto"/>
                    <w:jc w:val="center"/>
                    <w:rPr>
                      <w:rFonts w:hint="eastAsia"/>
                      <w:color w:val="auto"/>
                      <w:szCs w:val="21"/>
                      <w:lang w:val="en-US" w:eastAsia="zh-CN"/>
                    </w:rPr>
                  </w:pPr>
                  <w:r>
                    <w:rPr>
                      <w:rFonts w:hint="eastAsia"/>
                      <w:color w:val="auto"/>
                      <w:szCs w:val="21"/>
                      <w:lang w:val="en-US" w:eastAsia="zh-CN"/>
                    </w:rPr>
                    <w:t>0</w:t>
                  </w:r>
                </w:p>
              </w:tc>
              <w:tc>
                <w:tcPr>
                  <w:tcW w:w="1087" w:type="dxa"/>
                  <w:shd w:val="clear" w:color="auto" w:fill="auto"/>
                  <w:vAlign w:val="center"/>
                </w:tcPr>
                <w:p w14:paraId="2DEA728E">
                  <w:pPr>
                    <w:spacing w:line="276" w:lineRule="auto"/>
                    <w:jc w:val="center"/>
                    <w:rPr>
                      <w:rFonts w:hint="eastAsia"/>
                      <w:color w:val="auto"/>
                      <w:szCs w:val="21"/>
                      <w:lang w:val="en-US" w:eastAsia="zh-CN"/>
                    </w:rPr>
                  </w:pPr>
                  <w:r>
                    <w:rPr>
                      <w:rFonts w:hint="eastAsia"/>
                      <w:color w:val="auto"/>
                      <w:szCs w:val="21"/>
                      <w:lang w:val="en-US" w:eastAsia="zh-CN"/>
                    </w:rPr>
                    <w:t>1套</w:t>
                  </w:r>
                </w:p>
              </w:tc>
              <w:tc>
                <w:tcPr>
                  <w:tcW w:w="1087" w:type="dxa"/>
                  <w:shd w:val="clear" w:color="auto" w:fill="auto"/>
                  <w:vAlign w:val="center"/>
                </w:tcPr>
                <w:p w14:paraId="79DAAC8A">
                  <w:pPr>
                    <w:spacing w:line="276" w:lineRule="auto"/>
                    <w:jc w:val="center"/>
                    <w:rPr>
                      <w:rFonts w:hint="eastAsia"/>
                      <w:color w:val="auto"/>
                      <w:szCs w:val="21"/>
                      <w:lang w:val="en-US" w:eastAsia="zh-CN"/>
                    </w:rPr>
                  </w:pPr>
                  <w:r>
                    <w:rPr>
                      <w:rFonts w:hint="eastAsia"/>
                      <w:color w:val="auto"/>
                      <w:szCs w:val="21"/>
                      <w:lang w:val="en-US" w:eastAsia="zh-CN"/>
                    </w:rPr>
                    <w:t>1套</w:t>
                  </w:r>
                </w:p>
              </w:tc>
              <w:tc>
                <w:tcPr>
                  <w:tcW w:w="1103" w:type="dxa"/>
                  <w:shd w:val="clear" w:color="auto" w:fill="auto"/>
                  <w:vAlign w:val="center"/>
                </w:tcPr>
                <w:p w14:paraId="41F14EAC">
                  <w:pPr>
                    <w:spacing w:line="276" w:lineRule="auto"/>
                    <w:jc w:val="center"/>
                    <w:rPr>
                      <w:rFonts w:hint="eastAsia"/>
                      <w:color w:val="auto"/>
                      <w:szCs w:val="21"/>
                      <w:lang w:val="en-US" w:eastAsia="zh-CN"/>
                    </w:rPr>
                  </w:pPr>
                  <w:r>
                    <w:rPr>
                      <w:rFonts w:hint="eastAsia"/>
                      <w:color w:val="auto"/>
                      <w:szCs w:val="21"/>
                      <w:lang w:val="en-US" w:eastAsia="zh-CN"/>
                    </w:rPr>
                    <w:t>+1套</w:t>
                  </w:r>
                </w:p>
              </w:tc>
            </w:tr>
            <w:tr w14:paraId="3D80DA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5" w:type="pct"/>
                  <w:vMerge w:val="continue"/>
                  <w:vAlign w:val="center"/>
                </w:tcPr>
                <w:p w14:paraId="1E1F0F03">
                  <w:pPr>
                    <w:widowControl/>
                    <w:jc w:val="center"/>
                    <w:textAlignment w:val="center"/>
                    <w:rPr>
                      <w:color w:val="auto"/>
                      <w:szCs w:val="21"/>
                    </w:rPr>
                  </w:pPr>
                </w:p>
              </w:tc>
              <w:tc>
                <w:tcPr>
                  <w:tcW w:w="1099" w:type="pct"/>
                  <w:shd w:val="clear" w:color="auto" w:fill="auto"/>
                  <w:vAlign w:val="center"/>
                </w:tcPr>
                <w:p w14:paraId="19E28805">
                  <w:pPr>
                    <w:spacing w:line="276" w:lineRule="auto"/>
                    <w:jc w:val="center"/>
                    <w:rPr>
                      <w:rFonts w:hint="default" w:eastAsia="宋体"/>
                      <w:color w:val="auto"/>
                      <w:szCs w:val="21"/>
                      <w:lang w:val="en-US" w:eastAsia="zh-CN"/>
                    </w:rPr>
                  </w:pPr>
                  <w:r>
                    <w:rPr>
                      <w:rFonts w:hint="eastAsia"/>
                      <w:color w:val="auto"/>
                      <w:szCs w:val="21"/>
                      <w:lang w:val="en-US" w:eastAsia="zh-CN"/>
                    </w:rPr>
                    <w:t>布袋除尘器</w:t>
                  </w:r>
                </w:p>
              </w:tc>
              <w:tc>
                <w:tcPr>
                  <w:tcW w:w="648" w:type="pct"/>
                  <w:shd w:val="clear" w:color="auto" w:fill="auto"/>
                  <w:vAlign w:val="center"/>
                </w:tcPr>
                <w:p w14:paraId="625A49B3">
                  <w:pPr>
                    <w:spacing w:line="276" w:lineRule="auto"/>
                    <w:jc w:val="center"/>
                    <w:rPr>
                      <w:rFonts w:hint="eastAsia"/>
                      <w:color w:val="auto"/>
                      <w:szCs w:val="21"/>
                    </w:rPr>
                  </w:pPr>
                  <w:r>
                    <w:rPr>
                      <w:rFonts w:hint="eastAsia"/>
                      <w:color w:val="auto"/>
                      <w:szCs w:val="21"/>
                    </w:rPr>
                    <w:t>/</w:t>
                  </w:r>
                </w:p>
              </w:tc>
              <w:tc>
                <w:tcPr>
                  <w:tcW w:w="669" w:type="pct"/>
                  <w:shd w:val="clear" w:color="auto" w:fill="auto"/>
                  <w:vAlign w:val="center"/>
                </w:tcPr>
                <w:p w14:paraId="58817DCE">
                  <w:pPr>
                    <w:spacing w:line="276" w:lineRule="auto"/>
                    <w:jc w:val="center"/>
                    <w:rPr>
                      <w:rFonts w:hint="eastAsia"/>
                      <w:color w:val="auto"/>
                      <w:szCs w:val="21"/>
                    </w:rPr>
                  </w:pPr>
                  <w:r>
                    <w:rPr>
                      <w:rFonts w:hint="eastAsia"/>
                      <w:color w:val="auto"/>
                      <w:szCs w:val="21"/>
                      <w:lang w:val="en-US" w:eastAsia="zh-CN"/>
                    </w:rPr>
                    <w:t>0</w:t>
                  </w:r>
                </w:p>
              </w:tc>
              <w:tc>
                <w:tcPr>
                  <w:tcW w:w="669" w:type="pct"/>
                  <w:shd w:val="clear" w:color="auto" w:fill="auto"/>
                  <w:vAlign w:val="center"/>
                </w:tcPr>
                <w:p w14:paraId="7254858E">
                  <w:pPr>
                    <w:spacing w:line="276" w:lineRule="auto"/>
                    <w:jc w:val="center"/>
                    <w:rPr>
                      <w:rFonts w:hint="default"/>
                      <w:color w:val="auto"/>
                      <w:szCs w:val="21"/>
                      <w:lang w:val="en-US" w:eastAsia="zh-CN"/>
                    </w:rPr>
                  </w:pPr>
                  <w:r>
                    <w:rPr>
                      <w:rFonts w:hint="eastAsia"/>
                      <w:color w:val="auto"/>
                      <w:szCs w:val="21"/>
                      <w:lang w:val="en-US" w:eastAsia="zh-CN"/>
                    </w:rPr>
                    <w:t>1套</w:t>
                  </w:r>
                </w:p>
              </w:tc>
              <w:tc>
                <w:tcPr>
                  <w:tcW w:w="669" w:type="pct"/>
                  <w:shd w:val="clear" w:color="auto" w:fill="auto"/>
                  <w:vAlign w:val="center"/>
                </w:tcPr>
                <w:p w14:paraId="5FA4C395">
                  <w:pPr>
                    <w:spacing w:line="276" w:lineRule="auto"/>
                    <w:jc w:val="center"/>
                    <w:rPr>
                      <w:rFonts w:hint="default"/>
                      <w:color w:val="auto"/>
                      <w:szCs w:val="21"/>
                      <w:lang w:val="en-US" w:eastAsia="zh-CN"/>
                    </w:rPr>
                  </w:pPr>
                  <w:r>
                    <w:rPr>
                      <w:rFonts w:hint="eastAsia"/>
                      <w:color w:val="auto"/>
                      <w:szCs w:val="21"/>
                      <w:lang w:val="en-US" w:eastAsia="zh-CN"/>
                    </w:rPr>
                    <w:t>1套</w:t>
                  </w:r>
                </w:p>
              </w:tc>
              <w:tc>
                <w:tcPr>
                  <w:tcW w:w="679" w:type="pct"/>
                  <w:shd w:val="clear" w:color="auto" w:fill="auto"/>
                  <w:vAlign w:val="center"/>
                </w:tcPr>
                <w:p w14:paraId="65B0F01F">
                  <w:pPr>
                    <w:spacing w:line="276" w:lineRule="auto"/>
                    <w:jc w:val="center"/>
                    <w:rPr>
                      <w:rFonts w:hint="default"/>
                      <w:color w:val="auto"/>
                      <w:szCs w:val="21"/>
                      <w:lang w:val="en-US" w:eastAsia="zh-CN"/>
                    </w:rPr>
                  </w:pPr>
                  <w:r>
                    <w:rPr>
                      <w:rFonts w:hint="eastAsia"/>
                      <w:color w:val="auto"/>
                      <w:szCs w:val="21"/>
                      <w:lang w:val="en-US" w:eastAsia="zh-CN"/>
                    </w:rPr>
                    <w:t>+1套</w:t>
                  </w:r>
                </w:p>
              </w:tc>
            </w:tr>
            <w:tr w14:paraId="27CA9D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5" w:type="pct"/>
                  <w:vMerge w:val="continue"/>
                  <w:vAlign w:val="center"/>
                </w:tcPr>
                <w:p w14:paraId="2ABEDAC3">
                  <w:pPr>
                    <w:widowControl/>
                    <w:jc w:val="center"/>
                    <w:textAlignment w:val="center"/>
                    <w:rPr>
                      <w:color w:val="auto"/>
                      <w:szCs w:val="21"/>
                    </w:rPr>
                  </w:pPr>
                </w:p>
              </w:tc>
              <w:tc>
                <w:tcPr>
                  <w:tcW w:w="1099" w:type="pct"/>
                  <w:shd w:val="clear" w:color="auto" w:fill="auto"/>
                  <w:vAlign w:val="center"/>
                </w:tcPr>
                <w:p w14:paraId="120CF1ED">
                  <w:pPr>
                    <w:spacing w:line="276" w:lineRule="auto"/>
                    <w:jc w:val="center"/>
                    <w:rPr>
                      <w:rFonts w:hint="eastAsia" w:eastAsia="宋体"/>
                      <w:color w:val="auto"/>
                      <w:szCs w:val="21"/>
                      <w:lang w:val="en-US" w:eastAsia="zh-CN"/>
                    </w:rPr>
                  </w:pPr>
                  <w:r>
                    <w:rPr>
                      <w:rFonts w:hint="eastAsia"/>
                      <w:color w:val="auto"/>
                      <w:szCs w:val="21"/>
                      <w:lang w:val="en-US" w:eastAsia="zh-CN"/>
                    </w:rPr>
                    <w:t>引风机</w:t>
                  </w:r>
                </w:p>
              </w:tc>
              <w:tc>
                <w:tcPr>
                  <w:tcW w:w="648" w:type="pct"/>
                  <w:shd w:val="clear" w:color="auto" w:fill="auto"/>
                  <w:vAlign w:val="center"/>
                </w:tcPr>
                <w:p w14:paraId="6C680C60">
                  <w:pPr>
                    <w:spacing w:line="276" w:lineRule="auto"/>
                    <w:jc w:val="center"/>
                    <w:rPr>
                      <w:rFonts w:hint="eastAsia"/>
                      <w:color w:val="auto"/>
                      <w:szCs w:val="21"/>
                    </w:rPr>
                  </w:pPr>
                  <w:r>
                    <w:rPr>
                      <w:rFonts w:hint="eastAsia"/>
                      <w:color w:val="auto"/>
                      <w:szCs w:val="21"/>
                    </w:rPr>
                    <w:t>/</w:t>
                  </w:r>
                </w:p>
              </w:tc>
              <w:tc>
                <w:tcPr>
                  <w:tcW w:w="669" w:type="pct"/>
                  <w:shd w:val="clear" w:color="auto" w:fill="auto"/>
                  <w:vAlign w:val="center"/>
                </w:tcPr>
                <w:p w14:paraId="4E504C2E">
                  <w:pPr>
                    <w:spacing w:line="276" w:lineRule="auto"/>
                    <w:jc w:val="center"/>
                    <w:rPr>
                      <w:rFonts w:hint="default" w:eastAsia="宋体"/>
                      <w:color w:val="auto"/>
                      <w:szCs w:val="21"/>
                      <w:lang w:val="en-US" w:eastAsia="zh-CN"/>
                    </w:rPr>
                  </w:pPr>
                  <w:r>
                    <w:rPr>
                      <w:rFonts w:hint="eastAsia"/>
                      <w:color w:val="auto"/>
                      <w:szCs w:val="21"/>
                      <w:lang w:val="en-US" w:eastAsia="zh-CN"/>
                    </w:rPr>
                    <w:t>2套</w:t>
                  </w:r>
                </w:p>
              </w:tc>
              <w:tc>
                <w:tcPr>
                  <w:tcW w:w="669" w:type="pct"/>
                  <w:shd w:val="clear" w:color="auto" w:fill="auto"/>
                  <w:vAlign w:val="center"/>
                </w:tcPr>
                <w:p w14:paraId="362C8CDE">
                  <w:pPr>
                    <w:spacing w:line="276" w:lineRule="auto"/>
                    <w:jc w:val="center"/>
                    <w:rPr>
                      <w:rFonts w:hint="eastAsia"/>
                      <w:color w:val="auto"/>
                      <w:szCs w:val="21"/>
                      <w:lang w:val="en-US" w:eastAsia="zh-CN"/>
                    </w:rPr>
                  </w:pPr>
                  <w:r>
                    <w:rPr>
                      <w:rFonts w:hint="eastAsia"/>
                      <w:color w:val="auto"/>
                      <w:szCs w:val="21"/>
                      <w:lang w:val="en-US" w:eastAsia="zh-CN"/>
                    </w:rPr>
                    <w:t>0</w:t>
                  </w:r>
                </w:p>
              </w:tc>
              <w:tc>
                <w:tcPr>
                  <w:tcW w:w="669" w:type="pct"/>
                  <w:shd w:val="clear" w:color="auto" w:fill="auto"/>
                  <w:vAlign w:val="center"/>
                </w:tcPr>
                <w:p w14:paraId="7460617D">
                  <w:pPr>
                    <w:spacing w:line="276" w:lineRule="auto"/>
                    <w:jc w:val="center"/>
                    <w:rPr>
                      <w:rFonts w:hint="default"/>
                      <w:color w:val="auto"/>
                      <w:szCs w:val="21"/>
                      <w:lang w:val="en-US" w:eastAsia="zh-CN"/>
                    </w:rPr>
                  </w:pPr>
                  <w:r>
                    <w:rPr>
                      <w:rFonts w:hint="eastAsia"/>
                      <w:color w:val="auto"/>
                      <w:szCs w:val="21"/>
                      <w:lang w:val="en-US" w:eastAsia="zh-CN"/>
                    </w:rPr>
                    <w:t>2套</w:t>
                  </w:r>
                </w:p>
              </w:tc>
              <w:tc>
                <w:tcPr>
                  <w:tcW w:w="679" w:type="pct"/>
                  <w:shd w:val="clear" w:color="auto" w:fill="auto"/>
                  <w:vAlign w:val="center"/>
                </w:tcPr>
                <w:p w14:paraId="7F43D614">
                  <w:pPr>
                    <w:spacing w:line="276" w:lineRule="auto"/>
                    <w:jc w:val="center"/>
                    <w:rPr>
                      <w:rFonts w:hint="eastAsia"/>
                      <w:color w:val="auto"/>
                      <w:szCs w:val="21"/>
                      <w:lang w:val="en-US" w:eastAsia="zh-CN"/>
                    </w:rPr>
                  </w:pPr>
                  <w:r>
                    <w:rPr>
                      <w:rFonts w:hint="eastAsia"/>
                      <w:color w:val="auto"/>
                      <w:szCs w:val="21"/>
                      <w:lang w:val="en-US" w:eastAsia="zh-CN"/>
                    </w:rPr>
                    <w:t>0</w:t>
                  </w:r>
                </w:p>
              </w:tc>
            </w:tr>
          </w:tbl>
          <w:p w14:paraId="03D4FC17">
            <w:pPr>
              <w:adjustRightInd w:val="0"/>
              <w:snapToGrid w:val="0"/>
              <w:spacing w:line="360" w:lineRule="auto"/>
              <w:ind w:firstLine="480" w:firstLineChars="200"/>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本项目使用的生物质锅炉满足《生物质成型燃料锅炉》（NB/T47062-2017）要求，项目所用锅炉技术参数见下表。</w:t>
            </w:r>
          </w:p>
          <w:p w14:paraId="7653C7AE">
            <w:pPr>
              <w:jc w:val="center"/>
              <w:rPr>
                <w:rFonts w:hint="eastAsia" w:ascii="Times New Roman" w:hAnsi="Times New Roman" w:eastAsia="宋体" w:cs="Times New Roman"/>
                <w:b/>
                <w:color w:val="auto"/>
                <w:szCs w:val="21"/>
              </w:rPr>
            </w:pPr>
            <w:r>
              <w:rPr>
                <w:rFonts w:hint="eastAsia" w:ascii="Times New Roman" w:hAnsi="Times New Roman" w:eastAsia="宋体" w:cs="Times New Roman"/>
                <w:b/>
                <w:color w:val="auto"/>
                <w:szCs w:val="21"/>
              </w:rPr>
              <w:t>表2-</w:t>
            </w:r>
            <w:r>
              <w:rPr>
                <w:rFonts w:hint="eastAsia" w:cs="Times New Roman"/>
                <w:b/>
                <w:color w:val="auto"/>
                <w:szCs w:val="21"/>
                <w:lang w:val="en-US" w:eastAsia="zh-CN"/>
              </w:rPr>
              <w:t>4</w:t>
            </w:r>
            <w:r>
              <w:rPr>
                <w:rFonts w:hint="eastAsia" w:ascii="Times New Roman" w:hAnsi="Times New Roman" w:eastAsia="宋体" w:cs="Times New Roman"/>
                <w:b/>
                <w:color w:val="auto"/>
                <w:szCs w:val="21"/>
              </w:rPr>
              <w:t xml:space="preserve"> </w:t>
            </w:r>
            <w:r>
              <w:rPr>
                <w:rFonts w:hint="eastAsia" w:ascii="Times New Roman" w:hAnsi="Times New Roman" w:eastAsia="宋体" w:cs="Times New Roman"/>
                <w:b/>
                <w:color w:val="auto"/>
                <w:szCs w:val="21"/>
                <w:lang w:val="en-US" w:eastAsia="zh-CN"/>
              </w:rPr>
              <w:t xml:space="preserve"> </w:t>
            </w:r>
            <w:r>
              <w:rPr>
                <w:rFonts w:hint="eastAsia" w:ascii="Times New Roman" w:hAnsi="Times New Roman" w:eastAsia="宋体" w:cs="Times New Roman"/>
                <w:b/>
                <w:color w:val="auto"/>
                <w:szCs w:val="21"/>
              </w:rPr>
              <w:t>生物质锅炉技术参数一览表</w:t>
            </w:r>
          </w:p>
          <w:tbl>
            <w:tblPr>
              <w:tblStyle w:val="39"/>
              <w:tblW w:w="4998" w:type="pct"/>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717"/>
              <w:gridCol w:w="1992"/>
              <w:gridCol w:w="2949"/>
              <w:gridCol w:w="2463"/>
            </w:tblGrid>
            <w:tr w14:paraId="6066239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41" w:type="pct"/>
                  <w:tcBorders>
                    <w:tl2br w:val="nil"/>
                    <w:tr2bl w:val="nil"/>
                  </w:tcBorders>
                  <w:shd w:val="clear" w:color="auto" w:fill="auto"/>
                  <w:vAlign w:val="center"/>
                </w:tcPr>
                <w:p w14:paraId="7F38C827">
                  <w:pPr>
                    <w:spacing w:line="276" w:lineRule="auto"/>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序号</w:t>
                  </w:r>
                </w:p>
              </w:tc>
              <w:tc>
                <w:tcPr>
                  <w:tcW w:w="1226" w:type="pct"/>
                  <w:tcBorders>
                    <w:tl2br w:val="nil"/>
                    <w:tr2bl w:val="nil"/>
                  </w:tcBorders>
                  <w:shd w:val="clear" w:color="auto" w:fill="auto"/>
                  <w:vAlign w:val="center"/>
                </w:tcPr>
                <w:p w14:paraId="11B7366A">
                  <w:pPr>
                    <w:spacing w:line="276" w:lineRule="auto"/>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名称</w:t>
                  </w:r>
                </w:p>
              </w:tc>
              <w:tc>
                <w:tcPr>
                  <w:tcW w:w="1815" w:type="pct"/>
                  <w:tcBorders>
                    <w:tl2br w:val="nil"/>
                    <w:tr2bl w:val="nil"/>
                  </w:tcBorders>
                  <w:shd w:val="clear" w:color="auto" w:fill="auto"/>
                  <w:vAlign w:val="center"/>
                </w:tcPr>
                <w:p w14:paraId="6A77DAC1">
                  <w:pPr>
                    <w:spacing w:line="276" w:lineRule="auto"/>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技术参数</w:t>
                  </w:r>
                </w:p>
              </w:tc>
              <w:tc>
                <w:tcPr>
                  <w:tcW w:w="1516" w:type="pct"/>
                  <w:tcBorders>
                    <w:tl2br w:val="nil"/>
                    <w:tr2bl w:val="nil"/>
                  </w:tcBorders>
                  <w:shd w:val="clear" w:color="auto" w:fill="auto"/>
                  <w:vAlign w:val="center"/>
                </w:tcPr>
                <w:p w14:paraId="269A0794">
                  <w:pPr>
                    <w:spacing w:line="276" w:lineRule="auto"/>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NB/T47062-2017</w:t>
                  </w:r>
                </w:p>
              </w:tc>
            </w:tr>
            <w:tr w14:paraId="2BA469B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41" w:type="pct"/>
                  <w:tcBorders>
                    <w:tl2br w:val="nil"/>
                    <w:tr2bl w:val="nil"/>
                  </w:tcBorders>
                  <w:shd w:val="clear" w:color="auto" w:fill="auto"/>
                  <w:vAlign w:val="center"/>
                </w:tcPr>
                <w:p w14:paraId="3966938F">
                  <w:pPr>
                    <w:spacing w:line="276" w:lineRule="auto"/>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1</w:t>
                  </w:r>
                </w:p>
              </w:tc>
              <w:tc>
                <w:tcPr>
                  <w:tcW w:w="1226" w:type="pct"/>
                  <w:tcBorders>
                    <w:tl2br w:val="nil"/>
                    <w:tr2bl w:val="nil"/>
                  </w:tcBorders>
                  <w:shd w:val="clear" w:color="auto" w:fill="auto"/>
                  <w:vAlign w:val="center"/>
                </w:tcPr>
                <w:p w14:paraId="3A06609E">
                  <w:pPr>
                    <w:spacing w:line="276" w:lineRule="auto"/>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型号</w:t>
                  </w:r>
                </w:p>
              </w:tc>
              <w:tc>
                <w:tcPr>
                  <w:tcW w:w="1815" w:type="pct"/>
                  <w:tcBorders>
                    <w:tl2br w:val="nil"/>
                    <w:tr2bl w:val="nil"/>
                  </w:tcBorders>
                  <w:shd w:val="clear" w:color="auto" w:fill="auto"/>
                  <w:vAlign w:val="center"/>
                </w:tcPr>
                <w:p w14:paraId="0B0B2E3E">
                  <w:pPr>
                    <w:spacing w:line="276" w:lineRule="auto"/>
                    <w:jc w:val="center"/>
                    <w:rPr>
                      <w:rFonts w:hint="default" w:ascii="Times New Roman" w:hAnsi="Times New Roman" w:eastAsia="宋体" w:cs="Times New Roman"/>
                      <w:color w:val="auto"/>
                      <w:szCs w:val="21"/>
                      <w:lang w:val="en-US"/>
                    </w:rPr>
                  </w:pPr>
                  <w:r>
                    <w:rPr>
                      <w:rFonts w:hint="eastAsia" w:ascii="Times New Roman" w:hAnsi="Times New Roman" w:eastAsia="宋体" w:cs="Times New Roman"/>
                      <w:color w:val="auto"/>
                      <w:szCs w:val="21"/>
                      <w:lang w:val="en-US" w:eastAsia="zh-CN"/>
                    </w:rPr>
                    <w:t>YLL-15000SCⅢ</w:t>
                  </w:r>
                </w:p>
              </w:tc>
              <w:tc>
                <w:tcPr>
                  <w:tcW w:w="1516" w:type="pct"/>
                  <w:tcBorders>
                    <w:tl2br w:val="nil"/>
                    <w:tr2bl w:val="nil"/>
                  </w:tcBorders>
                  <w:shd w:val="clear" w:color="auto" w:fill="auto"/>
                  <w:vAlign w:val="center"/>
                </w:tcPr>
                <w:p w14:paraId="267E9B9E">
                  <w:pPr>
                    <w:spacing w:line="276" w:lineRule="auto"/>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w:t>
                  </w:r>
                </w:p>
              </w:tc>
            </w:tr>
            <w:tr w14:paraId="4A728BA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41" w:type="pct"/>
                  <w:tcBorders>
                    <w:tl2br w:val="nil"/>
                    <w:tr2bl w:val="nil"/>
                  </w:tcBorders>
                  <w:shd w:val="clear" w:color="auto" w:fill="auto"/>
                  <w:vAlign w:val="center"/>
                </w:tcPr>
                <w:p w14:paraId="7E63A6E8">
                  <w:pPr>
                    <w:spacing w:line="276" w:lineRule="auto"/>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2</w:t>
                  </w:r>
                </w:p>
              </w:tc>
              <w:tc>
                <w:tcPr>
                  <w:tcW w:w="1226" w:type="pct"/>
                  <w:tcBorders>
                    <w:tl2br w:val="nil"/>
                    <w:tr2bl w:val="nil"/>
                  </w:tcBorders>
                  <w:shd w:val="clear" w:color="auto" w:fill="auto"/>
                  <w:vAlign w:val="center"/>
                </w:tcPr>
                <w:p w14:paraId="30A9345C">
                  <w:pPr>
                    <w:spacing w:line="276" w:lineRule="auto"/>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数量</w:t>
                  </w:r>
                </w:p>
              </w:tc>
              <w:tc>
                <w:tcPr>
                  <w:tcW w:w="1815" w:type="pct"/>
                  <w:tcBorders>
                    <w:tl2br w:val="nil"/>
                    <w:tr2bl w:val="nil"/>
                  </w:tcBorders>
                  <w:shd w:val="clear" w:color="auto" w:fill="auto"/>
                  <w:vAlign w:val="center"/>
                </w:tcPr>
                <w:p w14:paraId="66BB91DB">
                  <w:pPr>
                    <w:spacing w:line="276" w:lineRule="auto"/>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1台</w:t>
                  </w:r>
                </w:p>
              </w:tc>
              <w:tc>
                <w:tcPr>
                  <w:tcW w:w="1516" w:type="pct"/>
                  <w:tcBorders>
                    <w:tl2br w:val="nil"/>
                    <w:tr2bl w:val="nil"/>
                  </w:tcBorders>
                  <w:shd w:val="clear" w:color="auto" w:fill="auto"/>
                  <w:vAlign w:val="center"/>
                </w:tcPr>
                <w:p w14:paraId="03454C3C">
                  <w:pPr>
                    <w:spacing w:line="276" w:lineRule="auto"/>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w:t>
                  </w:r>
                </w:p>
              </w:tc>
            </w:tr>
            <w:tr w14:paraId="13C36B6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41" w:type="pct"/>
                  <w:tcBorders>
                    <w:tl2br w:val="nil"/>
                    <w:tr2bl w:val="nil"/>
                  </w:tcBorders>
                  <w:shd w:val="clear" w:color="auto" w:fill="auto"/>
                  <w:vAlign w:val="center"/>
                </w:tcPr>
                <w:p w14:paraId="0648C9DA">
                  <w:pPr>
                    <w:spacing w:line="276" w:lineRule="auto"/>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3</w:t>
                  </w:r>
                </w:p>
              </w:tc>
              <w:tc>
                <w:tcPr>
                  <w:tcW w:w="1226" w:type="pct"/>
                  <w:tcBorders>
                    <w:tl2br w:val="nil"/>
                    <w:tr2bl w:val="nil"/>
                  </w:tcBorders>
                  <w:shd w:val="clear" w:color="auto" w:fill="auto"/>
                  <w:vAlign w:val="center"/>
                </w:tcPr>
                <w:p w14:paraId="1DBB5E29">
                  <w:pPr>
                    <w:spacing w:line="276"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额定热功率</w:t>
                  </w:r>
                </w:p>
              </w:tc>
              <w:tc>
                <w:tcPr>
                  <w:tcW w:w="1815" w:type="pct"/>
                  <w:tcBorders>
                    <w:tl2br w:val="nil"/>
                    <w:tr2bl w:val="nil"/>
                  </w:tcBorders>
                  <w:shd w:val="clear" w:color="auto" w:fill="auto"/>
                  <w:vAlign w:val="center"/>
                </w:tcPr>
                <w:p w14:paraId="5E3FEDE8">
                  <w:pPr>
                    <w:spacing w:line="276"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1</w:t>
                  </w:r>
                  <w:r>
                    <w:rPr>
                      <w:rFonts w:hint="eastAsia" w:cs="Times New Roman"/>
                      <w:color w:val="auto"/>
                      <w:szCs w:val="21"/>
                      <w:lang w:val="en-US" w:eastAsia="zh-CN"/>
                    </w:rPr>
                    <w:t>8</w:t>
                  </w:r>
                  <w:r>
                    <w:rPr>
                      <w:rFonts w:hint="eastAsia" w:ascii="Times New Roman" w:hAnsi="Times New Roman" w:eastAsia="宋体" w:cs="Times New Roman"/>
                      <w:color w:val="auto"/>
                      <w:szCs w:val="21"/>
                      <w:lang w:val="en-US" w:eastAsia="zh-CN"/>
                    </w:rPr>
                    <w:t>00KW</w:t>
                  </w:r>
                </w:p>
              </w:tc>
              <w:tc>
                <w:tcPr>
                  <w:tcW w:w="1516" w:type="pct"/>
                  <w:tcBorders>
                    <w:tl2br w:val="nil"/>
                    <w:tr2bl w:val="nil"/>
                  </w:tcBorders>
                  <w:shd w:val="clear" w:color="auto" w:fill="auto"/>
                  <w:vAlign w:val="center"/>
                </w:tcPr>
                <w:p w14:paraId="7555D3EB">
                  <w:pPr>
                    <w:spacing w:line="276" w:lineRule="auto"/>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w:t>
                  </w:r>
                </w:p>
              </w:tc>
            </w:tr>
            <w:tr w14:paraId="25E0372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41" w:type="pct"/>
                  <w:tcBorders>
                    <w:tl2br w:val="nil"/>
                    <w:tr2bl w:val="nil"/>
                  </w:tcBorders>
                  <w:shd w:val="clear" w:color="auto" w:fill="auto"/>
                  <w:vAlign w:val="center"/>
                </w:tcPr>
                <w:p w14:paraId="3F8360CF">
                  <w:pPr>
                    <w:spacing w:line="276" w:lineRule="auto"/>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4</w:t>
                  </w:r>
                </w:p>
              </w:tc>
              <w:tc>
                <w:tcPr>
                  <w:tcW w:w="1226" w:type="pct"/>
                  <w:tcBorders>
                    <w:tl2br w:val="nil"/>
                    <w:tr2bl w:val="nil"/>
                  </w:tcBorders>
                  <w:shd w:val="clear" w:color="auto" w:fill="auto"/>
                  <w:vAlign w:val="center"/>
                </w:tcPr>
                <w:p w14:paraId="5548CF94">
                  <w:pPr>
                    <w:spacing w:line="276"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额定工作温度</w:t>
                  </w:r>
                </w:p>
              </w:tc>
              <w:tc>
                <w:tcPr>
                  <w:tcW w:w="1815" w:type="pct"/>
                  <w:tcBorders>
                    <w:tl2br w:val="nil"/>
                    <w:tr2bl w:val="nil"/>
                  </w:tcBorders>
                  <w:shd w:val="clear" w:color="auto" w:fill="auto"/>
                  <w:vAlign w:val="center"/>
                </w:tcPr>
                <w:p w14:paraId="39D33748">
                  <w:pPr>
                    <w:spacing w:line="276"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320</w:t>
                  </w:r>
                  <w:r>
                    <w:rPr>
                      <w:rFonts w:hint="default" w:ascii="Times New Roman" w:hAnsi="Times New Roman" w:eastAsia="宋体" w:cs="Times New Roman"/>
                      <w:color w:val="auto"/>
                      <w:szCs w:val="21"/>
                      <w:lang w:val="en-US" w:eastAsia="zh-CN"/>
                    </w:rPr>
                    <w:t>℃</w:t>
                  </w:r>
                </w:p>
              </w:tc>
              <w:tc>
                <w:tcPr>
                  <w:tcW w:w="1516" w:type="pct"/>
                  <w:tcBorders>
                    <w:tl2br w:val="nil"/>
                    <w:tr2bl w:val="nil"/>
                  </w:tcBorders>
                  <w:shd w:val="clear" w:color="auto" w:fill="auto"/>
                  <w:vAlign w:val="center"/>
                </w:tcPr>
                <w:p w14:paraId="3D2E7D02">
                  <w:pPr>
                    <w:spacing w:line="276" w:lineRule="auto"/>
                    <w:jc w:val="center"/>
                    <w:rPr>
                      <w:rFonts w:hint="eastAsia" w:ascii="Times New Roman" w:hAnsi="Times New Roman" w:eastAsia="宋体" w:cs="Times New Roman"/>
                      <w:color w:val="auto"/>
                      <w:szCs w:val="21"/>
                    </w:rPr>
                  </w:pPr>
                </w:p>
              </w:tc>
            </w:tr>
            <w:tr w14:paraId="03B00CF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41" w:type="pct"/>
                  <w:tcBorders>
                    <w:tl2br w:val="nil"/>
                    <w:tr2bl w:val="nil"/>
                  </w:tcBorders>
                  <w:shd w:val="clear" w:color="auto" w:fill="auto"/>
                  <w:vAlign w:val="center"/>
                </w:tcPr>
                <w:p w14:paraId="459722F1">
                  <w:pPr>
                    <w:spacing w:line="276" w:lineRule="auto"/>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5</w:t>
                  </w:r>
                </w:p>
              </w:tc>
              <w:tc>
                <w:tcPr>
                  <w:tcW w:w="1226" w:type="pct"/>
                  <w:tcBorders>
                    <w:tl2br w:val="nil"/>
                    <w:tr2bl w:val="nil"/>
                  </w:tcBorders>
                  <w:shd w:val="clear" w:color="auto" w:fill="auto"/>
                  <w:vAlign w:val="center"/>
                </w:tcPr>
                <w:p w14:paraId="44A6194C">
                  <w:pPr>
                    <w:spacing w:line="276"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排烟温度</w:t>
                  </w:r>
                </w:p>
              </w:tc>
              <w:tc>
                <w:tcPr>
                  <w:tcW w:w="1815" w:type="pct"/>
                  <w:tcBorders>
                    <w:tl2br w:val="nil"/>
                    <w:tr2bl w:val="nil"/>
                  </w:tcBorders>
                  <w:shd w:val="clear" w:color="auto" w:fill="auto"/>
                  <w:vAlign w:val="center"/>
                </w:tcPr>
                <w:p w14:paraId="644C1E83">
                  <w:pPr>
                    <w:spacing w:line="276" w:lineRule="auto"/>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130℃</w:t>
                  </w:r>
                </w:p>
              </w:tc>
              <w:tc>
                <w:tcPr>
                  <w:tcW w:w="1516" w:type="pct"/>
                  <w:tcBorders>
                    <w:tl2br w:val="nil"/>
                    <w:tr2bl w:val="nil"/>
                  </w:tcBorders>
                  <w:shd w:val="clear" w:color="auto" w:fill="auto"/>
                  <w:vAlign w:val="center"/>
                </w:tcPr>
                <w:p w14:paraId="158F4E47">
                  <w:pPr>
                    <w:spacing w:line="276"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≤160</w:t>
                  </w:r>
                </w:p>
              </w:tc>
            </w:tr>
            <w:tr w14:paraId="78D621A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41" w:type="pct"/>
                  <w:tcBorders>
                    <w:tl2br w:val="nil"/>
                    <w:tr2bl w:val="nil"/>
                  </w:tcBorders>
                  <w:shd w:val="clear" w:color="auto" w:fill="auto"/>
                  <w:vAlign w:val="center"/>
                </w:tcPr>
                <w:p w14:paraId="79CE0752">
                  <w:pPr>
                    <w:spacing w:line="276" w:lineRule="auto"/>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6</w:t>
                  </w:r>
                </w:p>
              </w:tc>
              <w:tc>
                <w:tcPr>
                  <w:tcW w:w="1226" w:type="pct"/>
                  <w:tcBorders>
                    <w:tl2br w:val="nil"/>
                    <w:tr2bl w:val="nil"/>
                  </w:tcBorders>
                  <w:shd w:val="clear" w:color="auto" w:fill="auto"/>
                  <w:vAlign w:val="center"/>
                </w:tcPr>
                <w:p w14:paraId="70CB4C89">
                  <w:pPr>
                    <w:spacing w:line="276"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额定热效率</w:t>
                  </w:r>
                </w:p>
              </w:tc>
              <w:tc>
                <w:tcPr>
                  <w:tcW w:w="1815" w:type="pct"/>
                  <w:tcBorders>
                    <w:tl2br w:val="nil"/>
                    <w:tr2bl w:val="nil"/>
                  </w:tcBorders>
                  <w:shd w:val="clear" w:color="auto" w:fill="auto"/>
                  <w:vAlign w:val="center"/>
                </w:tcPr>
                <w:p w14:paraId="59944A61">
                  <w:pPr>
                    <w:spacing w:line="276"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86.77%</w:t>
                  </w:r>
                </w:p>
              </w:tc>
              <w:tc>
                <w:tcPr>
                  <w:tcW w:w="1516" w:type="pct"/>
                  <w:tcBorders>
                    <w:tl2br w:val="nil"/>
                    <w:tr2bl w:val="nil"/>
                  </w:tcBorders>
                  <w:shd w:val="clear" w:color="auto" w:fill="auto"/>
                  <w:vAlign w:val="center"/>
                </w:tcPr>
                <w:p w14:paraId="4BBF3879">
                  <w:pPr>
                    <w:spacing w:line="276"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82%</w:t>
                  </w:r>
                </w:p>
              </w:tc>
            </w:tr>
            <w:tr w14:paraId="4C351D3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41" w:type="pct"/>
                  <w:tcBorders>
                    <w:tl2br w:val="nil"/>
                    <w:tr2bl w:val="nil"/>
                  </w:tcBorders>
                  <w:shd w:val="clear" w:color="auto" w:fill="auto"/>
                  <w:vAlign w:val="center"/>
                </w:tcPr>
                <w:p w14:paraId="042F6DA3">
                  <w:pPr>
                    <w:spacing w:line="276" w:lineRule="auto"/>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7</w:t>
                  </w:r>
                </w:p>
              </w:tc>
              <w:tc>
                <w:tcPr>
                  <w:tcW w:w="1226" w:type="pct"/>
                  <w:tcBorders>
                    <w:tl2br w:val="nil"/>
                    <w:tr2bl w:val="nil"/>
                  </w:tcBorders>
                  <w:shd w:val="clear" w:color="auto" w:fill="auto"/>
                  <w:vAlign w:val="center"/>
                </w:tcPr>
                <w:p w14:paraId="05241D78">
                  <w:pPr>
                    <w:spacing w:line="276"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额定工作压力</w:t>
                  </w:r>
                </w:p>
              </w:tc>
              <w:tc>
                <w:tcPr>
                  <w:tcW w:w="1815" w:type="pct"/>
                  <w:tcBorders>
                    <w:tl2br w:val="nil"/>
                    <w:tr2bl w:val="nil"/>
                  </w:tcBorders>
                  <w:shd w:val="clear" w:color="auto" w:fill="auto"/>
                  <w:vAlign w:val="center"/>
                </w:tcPr>
                <w:p w14:paraId="46418D1F">
                  <w:pPr>
                    <w:spacing w:line="276"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0.7MPa</w:t>
                  </w:r>
                </w:p>
              </w:tc>
              <w:tc>
                <w:tcPr>
                  <w:tcW w:w="1516" w:type="pct"/>
                  <w:tcBorders>
                    <w:tl2br w:val="nil"/>
                    <w:tr2bl w:val="nil"/>
                  </w:tcBorders>
                  <w:shd w:val="clear" w:color="auto" w:fill="auto"/>
                  <w:vAlign w:val="center"/>
                </w:tcPr>
                <w:p w14:paraId="58BA4D6E">
                  <w:pPr>
                    <w:spacing w:line="276"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w:t>
                  </w:r>
                </w:p>
              </w:tc>
            </w:tr>
            <w:tr w14:paraId="60F17CD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41" w:type="pct"/>
                  <w:tcBorders>
                    <w:tl2br w:val="nil"/>
                    <w:tr2bl w:val="nil"/>
                  </w:tcBorders>
                  <w:shd w:val="clear" w:color="auto" w:fill="auto"/>
                  <w:vAlign w:val="center"/>
                </w:tcPr>
                <w:p w14:paraId="6E91A562">
                  <w:pPr>
                    <w:spacing w:line="276" w:lineRule="auto"/>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8</w:t>
                  </w:r>
                </w:p>
              </w:tc>
              <w:tc>
                <w:tcPr>
                  <w:tcW w:w="1226" w:type="pct"/>
                  <w:tcBorders>
                    <w:tl2br w:val="nil"/>
                    <w:tr2bl w:val="nil"/>
                  </w:tcBorders>
                  <w:shd w:val="clear" w:color="auto" w:fill="auto"/>
                  <w:vAlign w:val="center"/>
                </w:tcPr>
                <w:p w14:paraId="73CDE409">
                  <w:pPr>
                    <w:spacing w:line="276" w:lineRule="auto"/>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额定出水压力</w:t>
                  </w:r>
                </w:p>
              </w:tc>
              <w:tc>
                <w:tcPr>
                  <w:tcW w:w="1815" w:type="pct"/>
                  <w:tcBorders>
                    <w:tl2br w:val="nil"/>
                    <w:tr2bl w:val="nil"/>
                  </w:tcBorders>
                  <w:shd w:val="clear" w:color="auto" w:fill="auto"/>
                  <w:vAlign w:val="center"/>
                </w:tcPr>
                <w:p w14:paraId="30D1840A">
                  <w:pPr>
                    <w:spacing w:line="276" w:lineRule="auto"/>
                    <w:jc w:val="center"/>
                    <w:rPr>
                      <w:rFonts w:hint="default" w:ascii="Times New Roman" w:hAnsi="Times New Roman" w:eastAsia="宋体" w:cs="Times New Roman"/>
                      <w:color w:val="auto"/>
                      <w:szCs w:val="21"/>
                      <w:lang w:val="en-US"/>
                    </w:rPr>
                  </w:pPr>
                  <w:r>
                    <w:rPr>
                      <w:rFonts w:hint="eastAsia" w:ascii="Times New Roman" w:hAnsi="Times New Roman" w:eastAsia="宋体" w:cs="Times New Roman"/>
                      <w:color w:val="auto"/>
                      <w:szCs w:val="21"/>
                      <w:lang w:val="en-US" w:eastAsia="zh-CN"/>
                    </w:rPr>
                    <w:t>水/1.05MPa</w:t>
                  </w:r>
                </w:p>
              </w:tc>
              <w:tc>
                <w:tcPr>
                  <w:tcW w:w="1516" w:type="pct"/>
                  <w:tcBorders>
                    <w:tl2br w:val="nil"/>
                    <w:tr2bl w:val="nil"/>
                  </w:tcBorders>
                  <w:shd w:val="clear" w:color="auto" w:fill="auto"/>
                  <w:vAlign w:val="center"/>
                </w:tcPr>
                <w:p w14:paraId="3AEE50B4">
                  <w:pPr>
                    <w:spacing w:line="276" w:lineRule="auto"/>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w:t>
                  </w:r>
                </w:p>
              </w:tc>
            </w:tr>
            <w:tr w14:paraId="0E2DE1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41" w:type="pct"/>
                  <w:tcBorders>
                    <w:tl2br w:val="nil"/>
                    <w:tr2bl w:val="nil"/>
                  </w:tcBorders>
                  <w:shd w:val="clear" w:color="auto" w:fill="auto"/>
                  <w:vAlign w:val="center"/>
                </w:tcPr>
                <w:p w14:paraId="468674DA">
                  <w:pPr>
                    <w:spacing w:line="276" w:lineRule="auto"/>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9</w:t>
                  </w:r>
                </w:p>
              </w:tc>
              <w:tc>
                <w:tcPr>
                  <w:tcW w:w="1226" w:type="pct"/>
                  <w:tcBorders>
                    <w:tl2br w:val="nil"/>
                    <w:tr2bl w:val="nil"/>
                  </w:tcBorders>
                  <w:shd w:val="clear" w:color="auto" w:fill="auto"/>
                  <w:vAlign w:val="center"/>
                </w:tcPr>
                <w:p w14:paraId="711A1EC1">
                  <w:pPr>
                    <w:spacing w:line="276" w:lineRule="auto"/>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使用燃料</w:t>
                  </w:r>
                </w:p>
              </w:tc>
              <w:tc>
                <w:tcPr>
                  <w:tcW w:w="1815" w:type="pct"/>
                  <w:tcBorders>
                    <w:tl2br w:val="nil"/>
                    <w:tr2bl w:val="nil"/>
                  </w:tcBorders>
                  <w:shd w:val="clear" w:color="auto" w:fill="auto"/>
                  <w:vAlign w:val="center"/>
                </w:tcPr>
                <w:p w14:paraId="7363BE6C">
                  <w:pPr>
                    <w:spacing w:line="276" w:lineRule="auto"/>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生物质成型燃料</w:t>
                  </w:r>
                </w:p>
              </w:tc>
              <w:tc>
                <w:tcPr>
                  <w:tcW w:w="1516" w:type="pct"/>
                  <w:tcBorders>
                    <w:tl2br w:val="nil"/>
                    <w:tr2bl w:val="nil"/>
                  </w:tcBorders>
                  <w:shd w:val="clear" w:color="auto" w:fill="auto"/>
                  <w:vAlign w:val="center"/>
                </w:tcPr>
                <w:p w14:paraId="3A4F43E9">
                  <w:pPr>
                    <w:spacing w:line="276" w:lineRule="auto"/>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w:t>
                  </w:r>
                </w:p>
              </w:tc>
            </w:tr>
            <w:tr w14:paraId="7E58800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trPr>
              <w:tc>
                <w:tcPr>
                  <w:tcW w:w="441" w:type="pct"/>
                  <w:tcBorders>
                    <w:tl2br w:val="nil"/>
                    <w:tr2bl w:val="nil"/>
                  </w:tcBorders>
                  <w:shd w:val="clear" w:color="auto" w:fill="auto"/>
                  <w:vAlign w:val="center"/>
                </w:tcPr>
                <w:p w14:paraId="62823AAD">
                  <w:pPr>
                    <w:spacing w:line="276" w:lineRule="auto"/>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10</w:t>
                  </w:r>
                </w:p>
              </w:tc>
              <w:tc>
                <w:tcPr>
                  <w:tcW w:w="1226" w:type="pct"/>
                  <w:tcBorders>
                    <w:tl2br w:val="nil"/>
                    <w:tr2bl w:val="nil"/>
                  </w:tcBorders>
                  <w:shd w:val="clear" w:color="auto" w:fill="auto"/>
                  <w:vAlign w:val="center"/>
                </w:tcPr>
                <w:p w14:paraId="5A6BC4C4">
                  <w:pPr>
                    <w:spacing w:line="276" w:lineRule="auto"/>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燃烧方式</w:t>
                  </w:r>
                </w:p>
              </w:tc>
              <w:tc>
                <w:tcPr>
                  <w:tcW w:w="1815" w:type="pct"/>
                  <w:tcBorders>
                    <w:tl2br w:val="nil"/>
                    <w:tr2bl w:val="nil"/>
                  </w:tcBorders>
                  <w:shd w:val="clear" w:color="auto" w:fill="auto"/>
                  <w:vAlign w:val="center"/>
                </w:tcPr>
                <w:p w14:paraId="2C72BDD5">
                  <w:pPr>
                    <w:spacing w:line="276" w:lineRule="auto"/>
                    <w:jc w:val="center"/>
                    <w:rPr>
                      <w:rFonts w:hint="default" w:ascii="Times New Roman" w:hAnsi="Times New Roman" w:eastAsia="宋体" w:cs="Times New Roman"/>
                      <w:color w:val="auto"/>
                      <w:szCs w:val="21"/>
                      <w:lang w:val="en-US"/>
                    </w:rPr>
                  </w:pPr>
                  <w:r>
                    <w:rPr>
                      <w:rFonts w:hint="eastAsia" w:ascii="Times New Roman" w:hAnsi="Times New Roman" w:eastAsia="宋体" w:cs="Times New Roman"/>
                      <w:color w:val="auto"/>
                      <w:szCs w:val="21"/>
                      <w:lang w:val="en-US" w:eastAsia="zh-CN"/>
                    </w:rPr>
                    <w:t>层燃</w:t>
                  </w:r>
                </w:p>
              </w:tc>
              <w:tc>
                <w:tcPr>
                  <w:tcW w:w="1516" w:type="pct"/>
                  <w:tcBorders>
                    <w:tl2br w:val="nil"/>
                    <w:tr2bl w:val="nil"/>
                  </w:tcBorders>
                  <w:shd w:val="clear" w:color="auto" w:fill="auto"/>
                  <w:vAlign w:val="center"/>
                </w:tcPr>
                <w:p w14:paraId="27A088FA">
                  <w:pPr>
                    <w:spacing w:line="276" w:lineRule="auto"/>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w:t>
                  </w:r>
                </w:p>
              </w:tc>
            </w:tr>
          </w:tbl>
          <w:p w14:paraId="66829FA4">
            <w:pPr>
              <w:keepNext w:val="0"/>
              <w:keepLines w:val="0"/>
              <w:numPr>
                <w:ilvl w:val="0"/>
                <w:numId w:val="0"/>
              </w:numPr>
              <w:suppressLineNumbers w:val="0"/>
              <w:adjustRightInd w:val="0"/>
              <w:snapToGrid w:val="0"/>
              <w:spacing w:before="0" w:beforeAutospacing="0" w:after="0" w:afterAutospacing="0" w:line="360" w:lineRule="auto"/>
              <w:ind w:left="420" w:leftChars="200" w:right="0" w:rightChars="0"/>
              <w:rPr>
                <w:rFonts w:hint="eastAsia"/>
                <w:b/>
                <w:color w:val="auto"/>
                <w:sz w:val="24"/>
                <w:highlight w:val="none"/>
                <w:lang w:eastAsia="zh-CN"/>
              </w:rPr>
            </w:pPr>
            <w:r>
              <w:rPr>
                <w:rFonts w:hint="eastAsia"/>
                <w:b/>
                <w:color w:val="auto"/>
                <w:sz w:val="24"/>
              </w:rPr>
              <w:t>7</w:t>
            </w:r>
            <w:r>
              <w:rPr>
                <w:b/>
                <w:color w:val="auto"/>
                <w:sz w:val="24"/>
              </w:rPr>
              <w:t>、</w:t>
            </w:r>
            <w:r>
              <w:rPr>
                <w:rFonts w:hint="eastAsia"/>
                <w:b/>
                <w:color w:val="auto"/>
                <w:sz w:val="24"/>
                <w:highlight w:val="none"/>
                <w:lang w:eastAsia="zh-CN"/>
              </w:rPr>
              <w:t>能源使用情况</w:t>
            </w:r>
          </w:p>
          <w:p w14:paraId="27318B43">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rPr>
              <w:t>本项目</w:t>
            </w:r>
            <w:r>
              <w:rPr>
                <w:rFonts w:hint="eastAsia" w:ascii="Times New Roman" w:hAnsi="Times New Roman" w:eastAsia="宋体" w:cs="Times New Roman"/>
                <w:color w:val="auto"/>
                <w:sz w:val="24"/>
                <w:lang w:val="en-US" w:eastAsia="zh-CN"/>
              </w:rPr>
              <w:t>生产供热使用生物质成型燃料，燃料成分分析见表2-</w:t>
            </w:r>
            <w:r>
              <w:rPr>
                <w:rFonts w:hint="eastAsia" w:cs="Times New Roman"/>
                <w:color w:val="auto"/>
                <w:sz w:val="24"/>
                <w:lang w:val="en-US" w:eastAsia="zh-CN"/>
              </w:rPr>
              <w:t>5</w:t>
            </w:r>
            <w:r>
              <w:rPr>
                <w:rFonts w:hint="default" w:ascii="Times New Roman" w:hAnsi="Times New Roman" w:eastAsia="宋体" w:cs="Times New Roman"/>
                <w:color w:val="auto"/>
                <w:sz w:val="24"/>
              </w:rPr>
              <w:t>。</w:t>
            </w:r>
          </w:p>
          <w:p w14:paraId="03B0609B">
            <w:pPr>
              <w:pStyle w:val="171"/>
              <w:keepLines w:val="0"/>
              <w:pageBreakBefore w:val="0"/>
              <w:topLinePunct w:val="0"/>
              <w:bidi w:val="0"/>
              <w:spacing w:beforeAutospacing="0" w:afterAutospacing="0" w:line="240" w:lineRule="auto"/>
              <w:ind w:right="0" w:right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表2-</w:t>
            </w:r>
            <w:r>
              <w:rPr>
                <w:rFonts w:hint="eastAsia" w:ascii="Times New Roman" w:hAnsi="Times New Roman" w:cs="Times New Roman"/>
                <w:b/>
                <w:bCs/>
                <w:color w:val="auto"/>
                <w:sz w:val="21"/>
                <w:szCs w:val="21"/>
                <w:highlight w:val="none"/>
                <w:lang w:val="en-US" w:eastAsia="zh-CN"/>
              </w:rPr>
              <w:t>5</w:t>
            </w:r>
            <w:r>
              <w:rPr>
                <w:rFonts w:hint="default" w:ascii="Times New Roman" w:hAnsi="Times New Roman" w:eastAsia="宋体" w:cs="Times New Roman"/>
                <w:b/>
                <w:bCs/>
                <w:color w:val="auto"/>
                <w:sz w:val="21"/>
                <w:szCs w:val="21"/>
                <w:highlight w:val="none"/>
                <w:lang w:val="en-US" w:eastAsia="zh-CN"/>
              </w:rPr>
              <w:t xml:space="preserve">  </w:t>
            </w:r>
            <w:r>
              <w:rPr>
                <w:rFonts w:hint="eastAsia" w:ascii="Times New Roman" w:hAnsi="Times New Roman" w:eastAsia="宋体" w:cs="Times New Roman"/>
                <w:b/>
                <w:bCs/>
                <w:color w:val="auto"/>
                <w:sz w:val="21"/>
                <w:szCs w:val="21"/>
                <w:highlight w:val="none"/>
                <w:lang w:val="en-US" w:eastAsia="zh-CN"/>
              </w:rPr>
              <w:t>生物质成型燃料</w:t>
            </w:r>
            <w:r>
              <w:rPr>
                <w:rFonts w:hint="default" w:ascii="Times New Roman" w:hAnsi="Times New Roman" w:eastAsia="宋体" w:cs="Times New Roman"/>
                <w:b/>
                <w:bCs/>
                <w:color w:val="auto"/>
                <w:sz w:val="21"/>
                <w:szCs w:val="21"/>
                <w:highlight w:val="none"/>
                <w:lang w:val="en-US" w:eastAsia="zh-CN"/>
              </w:rPr>
              <w:t>成分分析一览表</w:t>
            </w:r>
          </w:p>
          <w:tbl>
            <w:tblPr>
              <w:tblStyle w:val="3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94"/>
              <w:gridCol w:w="1334"/>
              <w:gridCol w:w="1564"/>
              <w:gridCol w:w="2232"/>
            </w:tblGrid>
            <w:tr w14:paraId="705DB4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 w:hRule="atLeast"/>
                <w:jc w:val="center"/>
              </w:trPr>
              <w:tc>
                <w:tcPr>
                  <w:tcW w:w="1842" w:type="pct"/>
                  <w:noWrap w:val="0"/>
                  <w:vAlign w:val="center"/>
                </w:tcPr>
                <w:p w14:paraId="7DDA3779">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名称</w:t>
                  </w:r>
                </w:p>
              </w:tc>
              <w:tc>
                <w:tcPr>
                  <w:tcW w:w="821" w:type="pct"/>
                  <w:noWrap w:val="0"/>
                  <w:vAlign w:val="center"/>
                </w:tcPr>
                <w:p w14:paraId="4865DFBD">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符号</w:t>
                  </w:r>
                </w:p>
              </w:tc>
              <w:tc>
                <w:tcPr>
                  <w:tcW w:w="962" w:type="pct"/>
                  <w:noWrap w:val="0"/>
                  <w:vAlign w:val="center"/>
                </w:tcPr>
                <w:p w14:paraId="70E03EE2">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单位</w:t>
                  </w:r>
                </w:p>
              </w:tc>
              <w:tc>
                <w:tcPr>
                  <w:tcW w:w="1373" w:type="pct"/>
                  <w:noWrap w:val="0"/>
                  <w:vAlign w:val="center"/>
                </w:tcPr>
                <w:p w14:paraId="1878E038">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eastAsia" w:ascii="Times New Roman" w:hAnsi="Times New Roman" w:cs="Times New Roman"/>
                      <w:color w:val="auto"/>
                      <w:kern w:val="2"/>
                      <w:sz w:val="21"/>
                      <w:szCs w:val="21"/>
                      <w:lang w:val="zh-CN" w:eastAsia="zh-CN" w:bidi="ar-SA"/>
                    </w:rPr>
                    <w:t>生物质成型燃料</w:t>
                  </w:r>
                </w:p>
              </w:tc>
            </w:tr>
            <w:tr w14:paraId="0DEDD7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noWrap w:val="0"/>
                  <w:vAlign w:val="center"/>
                </w:tcPr>
                <w:p w14:paraId="0BA3E285">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全水分</w:t>
                  </w:r>
                </w:p>
              </w:tc>
              <w:tc>
                <w:tcPr>
                  <w:tcW w:w="821" w:type="pct"/>
                  <w:noWrap w:val="0"/>
                  <w:vAlign w:val="center"/>
                </w:tcPr>
                <w:p w14:paraId="521706D8">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Mar</w:t>
                  </w:r>
                </w:p>
              </w:tc>
              <w:tc>
                <w:tcPr>
                  <w:tcW w:w="962" w:type="pct"/>
                  <w:noWrap w:val="0"/>
                  <w:vAlign w:val="center"/>
                </w:tcPr>
                <w:p w14:paraId="07770703">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w:t>
                  </w:r>
                </w:p>
              </w:tc>
              <w:tc>
                <w:tcPr>
                  <w:tcW w:w="1373" w:type="pct"/>
                  <w:noWrap w:val="0"/>
                  <w:vAlign w:val="center"/>
                </w:tcPr>
                <w:p w14:paraId="53C14C08">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37.23</w:t>
                  </w:r>
                </w:p>
              </w:tc>
            </w:tr>
            <w:tr w14:paraId="693A05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42" w:type="pct"/>
                  <w:noWrap w:val="0"/>
                  <w:vAlign w:val="center"/>
                </w:tcPr>
                <w:p w14:paraId="7BB55902">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水分</w:t>
                  </w:r>
                </w:p>
              </w:tc>
              <w:tc>
                <w:tcPr>
                  <w:tcW w:w="821" w:type="pct"/>
                  <w:noWrap w:val="0"/>
                  <w:vAlign w:val="center"/>
                </w:tcPr>
                <w:p w14:paraId="7B245078">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Mad</w:t>
                  </w:r>
                </w:p>
              </w:tc>
              <w:tc>
                <w:tcPr>
                  <w:tcW w:w="962" w:type="pct"/>
                  <w:noWrap w:val="0"/>
                  <w:vAlign w:val="center"/>
                </w:tcPr>
                <w:p w14:paraId="77BB2849">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w:t>
                  </w:r>
                </w:p>
              </w:tc>
              <w:tc>
                <w:tcPr>
                  <w:tcW w:w="1373" w:type="pct"/>
                  <w:noWrap w:val="0"/>
                  <w:vAlign w:val="center"/>
                </w:tcPr>
                <w:p w14:paraId="18769EAA">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4.36</w:t>
                  </w:r>
                </w:p>
              </w:tc>
            </w:tr>
            <w:tr w14:paraId="3DBA5E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noWrap w:val="0"/>
                  <w:vAlign w:val="center"/>
                </w:tcPr>
                <w:p w14:paraId="5B44C363">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灰分</w:t>
                  </w:r>
                </w:p>
              </w:tc>
              <w:tc>
                <w:tcPr>
                  <w:tcW w:w="821" w:type="pct"/>
                  <w:noWrap w:val="0"/>
                  <w:vAlign w:val="center"/>
                </w:tcPr>
                <w:p w14:paraId="50303411">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CN" w:eastAsia="zh-CN" w:bidi="ar-SA"/>
                    </w:rPr>
                    <w:t>Aa</w:t>
                  </w:r>
                  <w:r>
                    <w:rPr>
                      <w:rFonts w:hint="eastAsia" w:ascii="Times New Roman" w:hAnsi="Times New Roman" w:cs="Times New Roman"/>
                      <w:color w:val="auto"/>
                      <w:kern w:val="2"/>
                      <w:sz w:val="21"/>
                      <w:szCs w:val="21"/>
                      <w:lang w:val="en-US" w:eastAsia="zh-CN" w:bidi="ar-SA"/>
                    </w:rPr>
                    <w:t>r</w:t>
                  </w:r>
                </w:p>
              </w:tc>
              <w:tc>
                <w:tcPr>
                  <w:tcW w:w="962" w:type="pct"/>
                  <w:noWrap w:val="0"/>
                  <w:vAlign w:val="center"/>
                </w:tcPr>
                <w:p w14:paraId="0E22A19D">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w:t>
                  </w:r>
                </w:p>
              </w:tc>
              <w:tc>
                <w:tcPr>
                  <w:tcW w:w="1373" w:type="pct"/>
                  <w:noWrap w:val="0"/>
                  <w:vAlign w:val="center"/>
                </w:tcPr>
                <w:p w14:paraId="75FA9E75">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3.06</w:t>
                  </w:r>
                </w:p>
              </w:tc>
            </w:tr>
            <w:tr w14:paraId="447556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42" w:type="pct"/>
                  <w:noWrap w:val="0"/>
                  <w:vAlign w:val="center"/>
                </w:tcPr>
                <w:p w14:paraId="674DE62F">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en-US" w:eastAsia="zh-CN" w:bidi="ar-SA"/>
                    </w:rPr>
                    <w:t>挥发分</w:t>
                  </w:r>
                </w:p>
              </w:tc>
              <w:tc>
                <w:tcPr>
                  <w:tcW w:w="821" w:type="pct"/>
                  <w:noWrap w:val="0"/>
                  <w:vAlign w:val="center"/>
                </w:tcPr>
                <w:p w14:paraId="6DC99174">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en-US" w:eastAsia="zh-CN" w:bidi="ar-SA"/>
                    </w:rPr>
                    <w:t>Vdaf</w:t>
                  </w:r>
                </w:p>
              </w:tc>
              <w:tc>
                <w:tcPr>
                  <w:tcW w:w="962" w:type="pct"/>
                  <w:noWrap w:val="0"/>
                  <w:vAlign w:val="center"/>
                </w:tcPr>
                <w:p w14:paraId="3DC4F361">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en-US" w:eastAsia="zh-CN" w:bidi="ar-SA"/>
                    </w:rPr>
                    <w:t>%</w:t>
                  </w:r>
                </w:p>
              </w:tc>
              <w:tc>
                <w:tcPr>
                  <w:tcW w:w="1373" w:type="pct"/>
                  <w:noWrap w:val="0"/>
                  <w:vAlign w:val="center"/>
                </w:tcPr>
                <w:p w14:paraId="42D859BC">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84.35</w:t>
                  </w:r>
                </w:p>
              </w:tc>
            </w:tr>
            <w:tr w14:paraId="303653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noWrap w:val="0"/>
                  <w:vAlign w:val="center"/>
                </w:tcPr>
                <w:p w14:paraId="3552CBD0">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固定碳</w:t>
                  </w:r>
                </w:p>
              </w:tc>
              <w:tc>
                <w:tcPr>
                  <w:tcW w:w="821" w:type="pct"/>
                  <w:noWrap w:val="0"/>
                  <w:vAlign w:val="center"/>
                </w:tcPr>
                <w:p w14:paraId="2E7F56E6">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FCar</w:t>
                  </w:r>
                </w:p>
              </w:tc>
              <w:tc>
                <w:tcPr>
                  <w:tcW w:w="962" w:type="pct"/>
                  <w:noWrap w:val="0"/>
                  <w:vAlign w:val="center"/>
                </w:tcPr>
                <w:p w14:paraId="0E883889">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1373" w:type="pct"/>
                  <w:noWrap w:val="0"/>
                  <w:vAlign w:val="center"/>
                </w:tcPr>
                <w:p w14:paraId="502BD521">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9.35</w:t>
                  </w:r>
                </w:p>
              </w:tc>
            </w:tr>
            <w:tr w14:paraId="1A35DD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noWrap w:val="0"/>
                  <w:vAlign w:val="center"/>
                </w:tcPr>
                <w:p w14:paraId="57179457">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弹筒发热量</w:t>
                  </w:r>
                </w:p>
              </w:tc>
              <w:tc>
                <w:tcPr>
                  <w:tcW w:w="821" w:type="pct"/>
                  <w:noWrap w:val="0"/>
                  <w:vAlign w:val="center"/>
                </w:tcPr>
                <w:p w14:paraId="3F913CA2">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Qb，ad</w:t>
                  </w:r>
                </w:p>
              </w:tc>
              <w:tc>
                <w:tcPr>
                  <w:tcW w:w="962" w:type="pct"/>
                  <w:noWrap w:val="0"/>
                  <w:vAlign w:val="center"/>
                </w:tcPr>
                <w:p w14:paraId="2CAF6C37">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CN" w:eastAsia="zh-CN" w:bidi="ar-SA"/>
                    </w:rPr>
                    <w:t>MJ/kg</w:t>
                  </w:r>
                </w:p>
              </w:tc>
              <w:tc>
                <w:tcPr>
                  <w:tcW w:w="1373" w:type="pct"/>
                  <w:noWrap w:val="0"/>
                  <w:vAlign w:val="center"/>
                </w:tcPr>
                <w:p w14:paraId="6E002B97">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16.92</w:t>
                  </w:r>
                </w:p>
              </w:tc>
            </w:tr>
            <w:tr w14:paraId="5A8CE1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vMerge w:val="restart"/>
                  <w:noWrap w:val="0"/>
                  <w:vAlign w:val="center"/>
                </w:tcPr>
                <w:p w14:paraId="57348CD1">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低位发热量</w:t>
                  </w:r>
                </w:p>
              </w:tc>
              <w:tc>
                <w:tcPr>
                  <w:tcW w:w="821" w:type="pct"/>
                  <w:vMerge w:val="restart"/>
                  <w:noWrap w:val="0"/>
                  <w:vAlign w:val="center"/>
                </w:tcPr>
                <w:p w14:paraId="4E5457D5">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Qnet</w:t>
                  </w:r>
                  <w:r>
                    <w:rPr>
                      <w:rFonts w:hint="eastAsia" w:ascii="Times New Roman" w:hAnsi="Times New Roman" w:cs="Times New Roman"/>
                      <w:color w:val="auto"/>
                      <w:kern w:val="2"/>
                      <w:sz w:val="21"/>
                      <w:szCs w:val="21"/>
                      <w:lang w:val="zh-CN" w:eastAsia="zh-CN" w:bidi="ar-SA"/>
                    </w:rPr>
                    <w:t>，</w:t>
                  </w:r>
                  <w:r>
                    <w:rPr>
                      <w:rFonts w:hint="default" w:ascii="Times New Roman" w:hAnsi="Times New Roman" w:eastAsia="宋体" w:cs="Times New Roman"/>
                      <w:color w:val="auto"/>
                      <w:kern w:val="2"/>
                      <w:sz w:val="21"/>
                      <w:szCs w:val="21"/>
                      <w:lang w:val="zh-CN" w:eastAsia="zh-CN" w:bidi="ar-SA"/>
                    </w:rPr>
                    <w:t>ar</w:t>
                  </w:r>
                </w:p>
              </w:tc>
              <w:tc>
                <w:tcPr>
                  <w:tcW w:w="962" w:type="pct"/>
                  <w:noWrap w:val="0"/>
                  <w:vAlign w:val="center"/>
                </w:tcPr>
                <w:p w14:paraId="3593A80C">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MJ/kg</w:t>
                  </w:r>
                </w:p>
              </w:tc>
              <w:tc>
                <w:tcPr>
                  <w:tcW w:w="1373" w:type="pct"/>
                  <w:noWrap w:val="0"/>
                  <w:vAlign w:val="center"/>
                </w:tcPr>
                <w:p w14:paraId="2F997D5B">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9.58</w:t>
                  </w:r>
                </w:p>
              </w:tc>
            </w:tr>
            <w:tr w14:paraId="34A65D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vMerge w:val="continue"/>
                  <w:noWrap w:val="0"/>
                  <w:vAlign w:val="center"/>
                </w:tcPr>
                <w:p w14:paraId="56200E7D">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p>
              </w:tc>
              <w:tc>
                <w:tcPr>
                  <w:tcW w:w="821" w:type="pct"/>
                  <w:vMerge w:val="continue"/>
                  <w:noWrap w:val="0"/>
                  <w:vAlign w:val="center"/>
                </w:tcPr>
                <w:p w14:paraId="3956C838">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p>
              </w:tc>
              <w:tc>
                <w:tcPr>
                  <w:tcW w:w="962" w:type="pct"/>
                  <w:noWrap w:val="0"/>
                  <w:vAlign w:val="center"/>
                </w:tcPr>
                <w:p w14:paraId="163801DA">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Kcal/kg</w:t>
                  </w:r>
                </w:p>
              </w:tc>
              <w:tc>
                <w:tcPr>
                  <w:tcW w:w="1373" w:type="pct"/>
                  <w:noWrap w:val="0"/>
                  <w:vAlign w:val="center"/>
                </w:tcPr>
                <w:p w14:paraId="5646E4AF">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2288</w:t>
                  </w:r>
                </w:p>
              </w:tc>
            </w:tr>
            <w:tr w14:paraId="2B1EA0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noWrap w:val="0"/>
                  <w:vAlign w:val="center"/>
                </w:tcPr>
                <w:p w14:paraId="460A76EE">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干基高位发热量</w:t>
                  </w:r>
                </w:p>
              </w:tc>
              <w:tc>
                <w:tcPr>
                  <w:tcW w:w="821" w:type="pct"/>
                  <w:noWrap w:val="0"/>
                  <w:vAlign w:val="center"/>
                </w:tcPr>
                <w:p w14:paraId="55CF6ED0">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en-US" w:eastAsia="zh-CN" w:bidi="ar-SA"/>
                    </w:rPr>
                    <w:t>Qgr</w:t>
                  </w:r>
                  <w:r>
                    <w:rPr>
                      <w:rFonts w:hint="eastAsia" w:ascii="Times New Roman" w:hAnsi="Times New Roman"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t>d</w:t>
                  </w:r>
                </w:p>
              </w:tc>
              <w:tc>
                <w:tcPr>
                  <w:tcW w:w="962" w:type="pct"/>
                  <w:noWrap w:val="0"/>
                  <w:vAlign w:val="center"/>
                </w:tcPr>
                <w:p w14:paraId="0572540C">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MJ/kg</w:t>
                  </w:r>
                </w:p>
              </w:tc>
              <w:tc>
                <w:tcPr>
                  <w:tcW w:w="1373" w:type="pct"/>
                  <w:noWrap w:val="0"/>
                  <w:vAlign w:val="center"/>
                </w:tcPr>
                <w:p w14:paraId="2C035B6A">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17.66</w:t>
                  </w:r>
                </w:p>
              </w:tc>
            </w:tr>
            <w:tr w14:paraId="044C37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noWrap w:val="0"/>
                  <w:vAlign w:val="center"/>
                </w:tcPr>
                <w:p w14:paraId="569B9291">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全硫</w:t>
                  </w:r>
                </w:p>
              </w:tc>
              <w:tc>
                <w:tcPr>
                  <w:tcW w:w="821" w:type="pct"/>
                  <w:noWrap w:val="0"/>
                  <w:vAlign w:val="center"/>
                </w:tcPr>
                <w:p w14:paraId="293066ED">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CN" w:eastAsia="zh-CN" w:bidi="ar-SA"/>
                    </w:rPr>
                    <w:t>St</w:t>
                  </w:r>
                  <w:r>
                    <w:rPr>
                      <w:rFonts w:hint="eastAsia" w:ascii="Times New Roman" w:hAnsi="Times New Roman" w:cs="Times New Roman"/>
                      <w:color w:val="auto"/>
                      <w:kern w:val="2"/>
                      <w:sz w:val="21"/>
                      <w:szCs w:val="21"/>
                      <w:lang w:val="zh-CN" w:eastAsia="zh-CN" w:bidi="ar-SA"/>
                    </w:rPr>
                    <w:t>，</w:t>
                  </w:r>
                  <w:r>
                    <w:rPr>
                      <w:rFonts w:hint="default" w:ascii="Times New Roman" w:hAnsi="Times New Roman" w:eastAsia="宋体" w:cs="Times New Roman"/>
                      <w:color w:val="auto"/>
                      <w:kern w:val="2"/>
                      <w:sz w:val="21"/>
                      <w:szCs w:val="21"/>
                      <w:lang w:val="zh-CN" w:eastAsia="zh-CN" w:bidi="ar-SA"/>
                    </w:rPr>
                    <w:t>a</w:t>
                  </w:r>
                  <w:r>
                    <w:rPr>
                      <w:rFonts w:hint="eastAsia" w:ascii="Times New Roman" w:hAnsi="Times New Roman" w:cs="Times New Roman"/>
                      <w:color w:val="auto"/>
                      <w:kern w:val="2"/>
                      <w:sz w:val="21"/>
                      <w:szCs w:val="21"/>
                      <w:lang w:val="en-US" w:eastAsia="zh-CN" w:bidi="ar-SA"/>
                    </w:rPr>
                    <w:t>r</w:t>
                  </w:r>
                </w:p>
              </w:tc>
              <w:tc>
                <w:tcPr>
                  <w:tcW w:w="962" w:type="pct"/>
                  <w:noWrap w:val="0"/>
                  <w:vAlign w:val="center"/>
                </w:tcPr>
                <w:p w14:paraId="16957E5D">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w:t>
                  </w:r>
                </w:p>
              </w:tc>
              <w:tc>
                <w:tcPr>
                  <w:tcW w:w="1373" w:type="pct"/>
                  <w:noWrap w:val="0"/>
                  <w:vAlign w:val="center"/>
                </w:tcPr>
                <w:p w14:paraId="21A1865C">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0.04</w:t>
                  </w:r>
                </w:p>
              </w:tc>
            </w:tr>
            <w:tr w14:paraId="431995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noWrap w:val="0"/>
                  <w:vAlign w:val="center"/>
                </w:tcPr>
                <w:p w14:paraId="30CF7D2C">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eastAsia" w:ascii="Times New Roman" w:hAnsi="Times New Roman" w:cs="Times New Roman"/>
                      <w:color w:val="auto"/>
                      <w:kern w:val="2"/>
                      <w:sz w:val="21"/>
                      <w:szCs w:val="21"/>
                      <w:lang w:val="en-US" w:eastAsia="zh-CN" w:bidi="ar-SA"/>
                    </w:rPr>
                    <w:t>碳</w:t>
                  </w:r>
                </w:p>
              </w:tc>
              <w:tc>
                <w:tcPr>
                  <w:tcW w:w="821" w:type="pct"/>
                  <w:noWrap w:val="0"/>
                  <w:vAlign w:val="center"/>
                </w:tcPr>
                <w:p w14:paraId="2FAB4A78">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Car</w:t>
                  </w:r>
                </w:p>
              </w:tc>
              <w:tc>
                <w:tcPr>
                  <w:tcW w:w="962" w:type="pct"/>
                  <w:noWrap w:val="0"/>
                  <w:vAlign w:val="center"/>
                </w:tcPr>
                <w:p w14:paraId="77A7E2A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zh-CN" w:eastAsia="zh-CN" w:bidi="ar-SA"/>
                    </w:rPr>
                  </w:pPr>
                  <w:r>
                    <w:rPr>
                      <w:rFonts w:hint="default" w:ascii="Times New Roman" w:hAnsi="Times New Roman" w:eastAsia="宋体" w:cs="Times New Roman"/>
                      <w:color w:val="auto"/>
                      <w:kern w:val="2"/>
                      <w:sz w:val="21"/>
                      <w:szCs w:val="21"/>
                      <w:lang w:val="zh-CN" w:eastAsia="zh-CN" w:bidi="ar-SA"/>
                    </w:rPr>
                    <w:t>%</w:t>
                  </w:r>
                </w:p>
              </w:tc>
              <w:tc>
                <w:tcPr>
                  <w:tcW w:w="1373" w:type="pct"/>
                  <w:noWrap w:val="0"/>
                  <w:vAlign w:val="center"/>
                </w:tcPr>
                <w:p w14:paraId="5ED07BA1">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30.06</w:t>
                  </w:r>
                </w:p>
              </w:tc>
            </w:tr>
            <w:tr w14:paraId="4F3280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noWrap w:val="0"/>
                  <w:vAlign w:val="center"/>
                </w:tcPr>
                <w:p w14:paraId="2078EF44">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氢</w:t>
                  </w:r>
                </w:p>
              </w:tc>
              <w:tc>
                <w:tcPr>
                  <w:tcW w:w="821" w:type="pct"/>
                  <w:noWrap w:val="0"/>
                  <w:vAlign w:val="center"/>
                </w:tcPr>
                <w:p w14:paraId="0B599C6D">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Har</w:t>
                  </w:r>
                </w:p>
              </w:tc>
              <w:tc>
                <w:tcPr>
                  <w:tcW w:w="962" w:type="pct"/>
                  <w:noWrap w:val="0"/>
                  <w:vAlign w:val="center"/>
                </w:tcPr>
                <w:p w14:paraId="45EF070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CN" w:eastAsia="zh-CN" w:bidi="ar-SA"/>
                    </w:rPr>
                    <w:t>%</w:t>
                  </w:r>
                </w:p>
              </w:tc>
              <w:tc>
                <w:tcPr>
                  <w:tcW w:w="1373" w:type="pct"/>
                  <w:noWrap w:val="0"/>
                  <w:vAlign w:val="center"/>
                </w:tcPr>
                <w:p w14:paraId="153F376D">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3.17</w:t>
                  </w:r>
                </w:p>
              </w:tc>
            </w:tr>
            <w:tr w14:paraId="70B41E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noWrap w:val="0"/>
                  <w:vAlign w:val="center"/>
                </w:tcPr>
                <w:p w14:paraId="3B939019">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氮</w:t>
                  </w:r>
                </w:p>
              </w:tc>
              <w:tc>
                <w:tcPr>
                  <w:tcW w:w="821" w:type="pct"/>
                  <w:noWrap w:val="0"/>
                  <w:vAlign w:val="center"/>
                </w:tcPr>
                <w:p w14:paraId="30A4BCEE">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Nar</w:t>
                  </w:r>
                </w:p>
              </w:tc>
              <w:tc>
                <w:tcPr>
                  <w:tcW w:w="962" w:type="pct"/>
                  <w:noWrap w:val="0"/>
                  <w:vAlign w:val="center"/>
                </w:tcPr>
                <w:p w14:paraId="12DD29B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CN" w:eastAsia="zh-CN" w:bidi="ar-SA"/>
                    </w:rPr>
                    <w:t>%</w:t>
                  </w:r>
                </w:p>
              </w:tc>
              <w:tc>
                <w:tcPr>
                  <w:tcW w:w="1373" w:type="pct"/>
                  <w:noWrap w:val="0"/>
                  <w:vAlign w:val="center"/>
                </w:tcPr>
                <w:p w14:paraId="0FEF81FD">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0.32</w:t>
                  </w:r>
                </w:p>
              </w:tc>
            </w:tr>
            <w:tr w14:paraId="1E6E31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2" w:type="pct"/>
                  <w:noWrap w:val="0"/>
                  <w:vAlign w:val="center"/>
                </w:tcPr>
                <w:p w14:paraId="16031FBC">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氧</w:t>
                  </w:r>
                </w:p>
              </w:tc>
              <w:tc>
                <w:tcPr>
                  <w:tcW w:w="821" w:type="pct"/>
                  <w:noWrap w:val="0"/>
                  <w:vAlign w:val="center"/>
                </w:tcPr>
                <w:p w14:paraId="36633E77">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Oar</w:t>
                  </w:r>
                </w:p>
              </w:tc>
              <w:tc>
                <w:tcPr>
                  <w:tcW w:w="962" w:type="pct"/>
                  <w:noWrap w:val="0"/>
                  <w:vAlign w:val="center"/>
                </w:tcPr>
                <w:p w14:paraId="6EB398F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zh-CN" w:eastAsia="zh-CN" w:bidi="ar-SA"/>
                    </w:rPr>
                    <w:t>%</w:t>
                  </w:r>
                </w:p>
              </w:tc>
              <w:tc>
                <w:tcPr>
                  <w:tcW w:w="1373" w:type="pct"/>
                  <w:noWrap w:val="0"/>
                  <w:vAlign w:val="center"/>
                </w:tcPr>
                <w:p w14:paraId="75AD7944">
                  <w:pPr>
                    <w:pStyle w:val="87"/>
                    <w:keepNext w:val="0"/>
                    <w:keepLines w:val="0"/>
                    <w:pageBreakBefore w:val="0"/>
                    <w:widowControl w:val="0"/>
                    <w:tabs>
                      <w:tab w:val="left" w:pos="6480"/>
                      <w:tab w:val="clear" w:pos="1021"/>
                    </w:tabs>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26.12</w:t>
                  </w:r>
                </w:p>
              </w:tc>
            </w:tr>
          </w:tbl>
          <w:p w14:paraId="4F7D4753">
            <w:pPr>
              <w:spacing w:line="360" w:lineRule="auto"/>
              <w:ind w:firstLine="482" w:firstLineChars="200"/>
              <w:rPr>
                <w:b/>
                <w:color w:val="auto"/>
                <w:sz w:val="24"/>
              </w:rPr>
            </w:pPr>
            <w:r>
              <w:rPr>
                <w:rFonts w:hint="eastAsia"/>
                <w:b/>
                <w:color w:val="auto"/>
                <w:sz w:val="24"/>
                <w:lang w:val="en-US" w:eastAsia="zh-CN"/>
              </w:rPr>
              <w:t>8</w:t>
            </w:r>
            <w:r>
              <w:rPr>
                <w:b/>
                <w:color w:val="auto"/>
                <w:sz w:val="24"/>
              </w:rPr>
              <w:t>、公用工程</w:t>
            </w:r>
          </w:p>
          <w:p w14:paraId="63DB7F95">
            <w:pPr>
              <w:spacing w:line="360" w:lineRule="auto"/>
              <w:ind w:firstLine="480" w:firstLineChars="200"/>
              <w:jc w:val="left"/>
              <w:rPr>
                <w:color w:val="auto"/>
                <w:sz w:val="24"/>
              </w:rPr>
            </w:pPr>
            <w:r>
              <w:rPr>
                <w:color w:val="auto"/>
                <w:sz w:val="24"/>
              </w:rPr>
              <w:t>（1）给水</w:t>
            </w:r>
          </w:p>
          <w:p w14:paraId="44C6C18D">
            <w:pPr>
              <w:adjustRightInd w:val="0"/>
              <w:snapToGrid w:val="0"/>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本项目不新增劳动定员，不新增生活用水；项目生产过程无需用水。</w:t>
            </w:r>
          </w:p>
          <w:p w14:paraId="4D3F3477">
            <w:pPr>
              <w:spacing w:line="360" w:lineRule="auto"/>
              <w:ind w:firstLine="480" w:firstLineChars="200"/>
              <w:jc w:val="left"/>
              <w:rPr>
                <w:color w:val="auto"/>
                <w:sz w:val="24"/>
              </w:rPr>
            </w:pPr>
            <w:r>
              <w:rPr>
                <w:color w:val="auto"/>
                <w:sz w:val="24"/>
              </w:rPr>
              <w:t>（2）排水</w:t>
            </w:r>
          </w:p>
          <w:p w14:paraId="62C986D6">
            <w:pPr>
              <w:adjustRightInd w:val="0"/>
              <w:snapToGrid w:val="0"/>
              <w:spacing w:line="360" w:lineRule="auto"/>
              <w:ind w:firstLine="480" w:firstLineChars="200"/>
              <w:rPr>
                <w:rFonts w:hint="eastAsia"/>
                <w:color w:val="auto"/>
                <w:sz w:val="24"/>
                <w:highlight w:val="none"/>
                <w:lang w:val="en-US" w:eastAsia="zh-CN"/>
              </w:rPr>
            </w:pPr>
            <w:r>
              <w:rPr>
                <w:rFonts w:hint="eastAsia"/>
                <w:color w:val="auto"/>
                <w:sz w:val="24"/>
                <w:highlight w:val="none"/>
                <w:lang w:val="en-US" w:eastAsia="zh-CN"/>
              </w:rPr>
              <w:t>本项目不新增生产废水及生活污水的产生及排放。</w:t>
            </w:r>
          </w:p>
          <w:p w14:paraId="399CD47E">
            <w:pPr>
              <w:adjustRightInd w:val="0"/>
              <w:snapToGrid w:val="0"/>
              <w:spacing w:line="360" w:lineRule="auto"/>
              <w:ind w:firstLine="480" w:firstLineChars="200"/>
              <w:rPr>
                <w:rFonts w:hint="eastAsia"/>
                <w:color w:val="auto"/>
                <w:sz w:val="24"/>
                <w:highlight w:val="none"/>
                <w:lang w:val="en-US" w:eastAsia="zh-CN"/>
              </w:rPr>
            </w:pPr>
            <w:r>
              <w:rPr>
                <w:rFonts w:hint="eastAsia"/>
                <w:color w:val="auto"/>
                <w:sz w:val="24"/>
                <w:highlight w:val="none"/>
                <w:lang w:val="en-US" w:eastAsia="zh-CN"/>
              </w:rPr>
              <w:t>根据企业提供数据，现有工程生活用水量为</w:t>
            </w:r>
            <w:r>
              <w:rPr>
                <w:color w:val="auto"/>
                <w:sz w:val="24"/>
                <w:szCs w:val="24"/>
              </w:rPr>
              <w:t>0.4m</w:t>
            </w:r>
            <w:r>
              <w:rPr>
                <w:color w:val="auto"/>
                <w:sz w:val="24"/>
                <w:szCs w:val="24"/>
                <w:vertAlign w:val="superscript"/>
              </w:rPr>
              <w:t>3</w:t>
            </w:r>
            <w:r>
              <w:rPr>
                <w:color w:val="auto"/>
                <w:sz w:val="24"/>
                <w:szCs w:val="24"/>
              </w:rPr>
              <w:t>/d</w:t>
            </w:r>
            <w:r>
              <w:rPr>
                <w:rFonts w:hint="eastAsia"/>
                <w:color w:val="auto"/>
                <w:sz w:val="24"/>
                <w:szCs w:val="24"/>
                <w:lang w:eastAsia="zh-CN"/>
              </w:rPr>
              <w:t>、</w:t>
            </w:r>
            <w:r>
              <w:rPr>
                <w:color w:val="auto"/>
                <w:sz w:val="24"/>
                <w:szCs w:val="24"/>
              </w:rPr>
              <w:t>120t/a</w:t>
            </w:r>
            <w:r>
              <w:rPr>
                <w:rFonts w:hint="eastAsia"/>
                <w:color w:val="auto"/>
                <w:sz w:val="24"/>
                <w:szCs w:val="24"/>
                <w:lang w:eastAsia="zh-CN"/>
              </w:rPr>
              <w:t>，</w:t>
            </w:r>
            <w:r>
              <w:rPr>
                <w:rFonts w:hint="eastAsia"/>
                <w:color w:val="auto"/>
                <w:sz w:val="24"/>
                <w:highlight w:val="none"/>
                <w:lang w:val="en-US" w:eastAsia="zh-CN"/>
              </w:rPr>
              <w:t>生活污水排放量为0.32m</w:t>
            </w:r>
            <w:r>
              <w:rPr>
                <w:rFonts w:hint="eastAsia"/>
                <w:color w:val="auto"/>
                <w:sz w:val="24"/>
                <w:highlight w:val="none"/>
                <w:vertAlign w:val="superscript"/>
                <w:lang w:val="en-US" w:eastAsia="zh-CN"/>
              </w:rPr>
              <w:t>3</w:t>
            </w:r>
            <w:r>
              <w:rPr>
                <w:rFonts w:hint="eastAsia"/>
                <w:color w:val="auto"/>
                <w:sz w:val="24"/>
                <w:highlight w:val="none"/>
                <w:lang w:val="en-US" w:eastAsia="zh-CN"/>
              </w:rPr>
              <w:t>/d、96t/a。</w:t>
            </w:r>
          </w:p>
          <w:p w14:paraId="1FEDD8AA">
            <w:pPr>
              <w:adjustRightInd w:val="0"/>
              <w:snapToGrid w:val="0"/>
              <w:spacing w:line="360" w:lineRule="auto"/>
              <w:ind w:firstLine="480" w:firstLineChars="200"/>
              <w:rPr>
                <w:rFonts w:hint="eastAsia" w:ascii="Times New Roman" w:hAnsi="Times New Roman" w:eastAsia="宋体" w:cs="Times New Roman"/>
                <w:color w:val="auto"/>
                <w:sz w:val="24"/>
                <w:lang w:val="en-US" w:eastAsia="zh-CN"/>
              </w:rPr>
            </w:pPr>
            <w:r>
              <w:rPr>
                <w:rFonts w:hint="eastAsia"/>
                <w:color w:val="auto"/>
                <w:sz w:val="24"/>
                <w:highlight w:val="none"/>
                <w:lang w:val="en-US" w:eastAsia="zh-CN"/>
              </w:rPr>
              <w:t>改建后全厂水平衡图见图2-2。</w:t>
            </w:r>
          </w:p>
          <w:p w14:paraId="0ED840E9">
            <w:pPr>
              <w:adjustRightInd w:val="0"/>
              <w:snapToGrid w:val="0"/>
              <w:jc w:val="center"/>
              <w:rPr>
                <w:rFonts w:hint="eastAsia" w:eastAsia="宋体"/>
                <w:color w:val="auto"/>
                <w:lang w:eastAsia="zh-CN"/>
              </w:rPr>
            </w:pPr>
            <w:r>
              <w:rPr>
                <w:color w:val="auto"/>
              </w:rPr>
              <w:drawing>
                <wp:inline distT="0" distB="0" distL="114300" distR="114300">
                  <wp:extent cx="3531870" cy="1352550"/>
                  <wp:effectExtent l="0" t="0" r="11430" b="0"/>
                  <wp:docPr id="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pic:cNvPicPr>
                            <a:picLocks noChangeAspect="1"/>
                          </pic:cNvPicPr>
                        </pic:nvPicPr>
                        <pic:blipFill>
                          <a:blip r:embed="rId11"/>
                          <a:stretch>
                            <a:fillRect/>
                          </a:stretch>
                        </pic:blipFill>
                        <pic:spPr>
                          <a:xfrm>
                            <a:off x="0" y="0"/>
                            <a:ext cx="3531870" cy="1352550"/>
                          </a:xfrm>
                          <a:prstGeom prst="rect">
                            <a:avLst/>
                          </a:prstGeom>
                          <a:noFill/>
                          <a:ln>
                            <a:noFill/>
                          </a:ln>
                        </pic:spPr>
                      </pic:pic>
                    </a:graphicData>
                  </a:graphic>
                </wp:inline>
              </w:drawing>
            </w:r>
          </w:p>
          <w:p w14:paraId="554A2350">
            <w:pPr>
              <w:jc w:val="center"/>
              <w:rPr>
                <w:b/>
                <w:color w:val="auto"/>
                <w:szCs w:val="21"/>
              </w:rPr>
            </w:pPr>
            <w:r>
              <w:rPr>
                <w:b/>
                <w:color w:val="auto"/>
                <w:szCs w:val="21"/>
              </w:rPr>
              <w:t>图2-1</w:t>
            </w:r>
            <w:r>
              <w:rPr>
                <w:rFonts w:hint="eastAsia"/>
                <w:b/>
                <w:color w:val="auto"/>
                <w:szCs w:val="21"/>
              </w:rPr>
              <w:t xml:space="preserve">  </w:t>
            </w:r>
            <w:r>
              <w:rPr>
                <w:rFonts w:hint="eastAsia"/>
                <w:b/>
                <w:color w:val="auto"/>
                <w:szCs w:val="21"/>
                <w:lang w:val="en-US" w:eastAsia="zh-CN"/>
              </w:rPr>
              <w:t>本项目</w:t>
            </w:r>
            <w:r>
              <w:rPr>
                <w:b/>
                <w:color w:val="auto"/>
                <w:szCs w:val="21"/>
              </w:rPr>
              <w:t>水量平衡图（单位：</w:t>
            </w:r>
            <w:r>
              <w:rPr>
                <w:rFonts w:hint="eastAsia"/>
                <w:b/>
                <w:color w:val="auto"/>
                <w:szCs w:val="21"/>
              </w:rPr>
              <w:t>m</w:t>
            </w:r>
            <w:r>
              <w:rPr>
                <w:rFonts w:hint="eastAsia"/>
                <w:b/>
                <w:color w:val="auto"/>
                <w:szCs w:val="21"/>
                <w:vertAlign w:val="superscript"/>
              </w:rPr>
              <w:t>3</w:t>
            </w:r>
            <w:r>
              <w:rPr>
                <w:b/>
                <w:color w:val="auto"/>
                <w:szCs w:val="21"/>
              </w:rPr>
              <w:t>/d）</w:t>
            </w:r>
          </w:p>
          <w:p w14:paraId="0B68F382">
            <w:pPr>
              <w:adjustRightInd w:val="0"/>
              <w:snapToGrid w:val="0"/>
              <w:spacing w:line="360" w:lineRule="auto"/>
              <w:ind w:firstLine="480" w:firstLineChars="200"/>
              <w:rPr>
                <w:rFonts w:ascii="Times New Roman" w:hAnsi="Times New Roman" w:cs="Times New Roman"/>
                <w:color w:val="auto"/>
                <w:sz w:val="24"/>
              </w:rPr>
            </w:pPr>
            <w:r>
              <w:rPr>
                <w:color w:val="auto"/>
                <w:sz w:val="24"/>
              </w:rPr>
              <w:t>（</w:t>
            </w:r>
            <w:r>
              <w:rPr>
                <w:rFonts w:ascii="Times New Roman" w:hAnsi="Times New Roman" w:cs="Times New Roman"/>
                <w:color w:val="auto"/>
                <w:sz w:val="24"/>
              </w:rPr>
              <w:t>3）</w:t>
            </w:r>
            <w:r>
              <w:rPr>
                <w:rFonts w:hint="eastAsia" w:ascii="Times New Roman" w:hAnsi="Times New Roman" w:cs="Times New Roman"/>
                <w:color w:val="auto"/>
                <w:sz w:val="24"/>
              </w:rPr>
              <w:t>供暖</w:t>
            </w:r>
          </w:p>
          <w:p w14:paraId="4FA4BD03">
            <w:pPr>
              <w:adjustRightInd w:val="0"/>
              <w:snapToGrid w:val="0"/>
              <w:spacing w:line="360" w:lineRule="auto"/>
              <w:ind w:firstLine="480" w:firstLineChars="200"/>
              <w:rPr>
                <w:rFonts w:ascii="Times New Roman" w:hAnsi="Times New Roman" w:cs="Times New Roman"/>
                <w:color w:val="auto"/>
                <w:sz w:val="24"/>
              </w:rPr>
            </w:pPr>
            <w:r>
              <w:rPr>
                <w:rFonts w:hint="eastAsia" w:ascii="Times New Roman" w:hAnsi="Times New Roman" w:cs="Times New Roman"/>
                <w:color w:val="auto"/>
                <w:sz w:val="24"/>
                <w:lang w:val="en-US" w:eastAsia="zh-CN"/>
              </w:rPr>
              <w:t>本项目建成后生产供热由</w:t>
            </w:r>
            <w:r>
              <w:rPr>
                <w:rFonts w:hint="eastAsia"/>
                <w:color w:val="auto"/>
                <w:spacing w:val="4"/>
                <w:sz w:val="24"/>
                <w:lang w:val="en-US" w:eastAsia="zh-CN"/>
              </w:rPr>
              <w:t>1台1800KW燃生物质</w:t>
            </w:r>
            <w:r>
              <w:rPr>
                <w:rFonts w:hint="eastAsia"/>
                <w:color w:val="auto"/>
                <w:spacing w:val="4"/>
                <w:sz w:val="24"/>
              </w:rPr>
              <w:t>导热油炉</w:t>
            </w:r>
            <w:r>
              <w:rPr>
                <w:rFonts w:hint="eastAsia"/>
                <w:color w:val="auto"/>
                <w:spacing w:val="4"/>
                <w:sz w:val="24"/>
                <w:lang w:val="en-US" w:eastAsia="zh-CN"/>
              </w:rPr>
              <w:t>提供，</w:t>
            </w:r>
            <w:r>
              <w:rPr>
                <w:rFonts w:ascii="Times New Roman" w:hAnsi="Times New Roman" w:cs="Times New Roman"/>
                <w:color w:val="auto"/>
                <w:sz w:val="24"/>
              </w:rPr>
              <w:t>冬季</w:t>
            </w:r>
            <w:r>
              <w:rPr>
                <w:rFonts w:hint="eastAsia" w:ascii="Times New Roman" w:hAnsi="Times New Roman" w:cs="Times New Roman"/>
                <w:color w:val="auto"/>
                <w:sz w:val="24"/>
              </w:rPr>
              <w:t>生活供暖</w:t>
            </w:r>
            <w:r>
              <w:rPr>
                <w:rFonts w:ascii="Times New Roman" w:hAnsi="Times New Roman" w:cs="Times New Roman"/>
                <w:color w:val="auto"/>
                <w:sz w:val="24"/>
              </w:rPr>
              <w:t>采用电取暖</w:t>
            </w:r>
            <w:r>
              <w:rPr>
                <w:rFonts w:hint="eastAsia" w:ascii="Times New Roman" w:hAnsi="Times New Roman" w:cs="Times New Roman"/>
                <w:color w:val="auto"/>
                <w:sz w:val="24"/>
                <w:lang w:eastAsia="zh-CN"/>
              </w:rPr>
              <w:t>。</w:t>
            </w:r>
          </w:p>
          <w:p w14:paraId="3A938113">
            <w:pPr>
              <w:adjustRightInd w:val="0"/>
              <w:snapToGrid w:val="0"/>
              <w:spacing w:line="360" w:lineRule="auto"/>
              <w:ind w:firstLine="480" w:firstLineChars="200"/>
              <w:rPr>
                <w:color w:val="auto"/>
                <w:sz w:val="24"/>
              </w:rPr>
            </w:pPr>
            <w:r>
              <w:rPr>
                <w:color w:val="auto"/>
                <w:sz w:val="24"/>
              </w:rPr>
              <w:t>（4）供电</w:t>
            </w:r>
          </w:p>
          <w:p w14:paraId="3D93B5DD">
            <w:pPr>
              <w:adjustRightInd w:val="0"/>
              <w:snapToGrid w:val="0"/>
              <w:spacing w:line="360" w:lineRule="auto"/>
              <w:ind w:firstLine="480" w:firstLineChars="200"/>
              <w:rPr>
                <w:color w:val="auto"/>
                <w:sz w:val="24"/>
              </w:rPr>
            </w:pPr>
            <w:r>
              <w:rPr>
                <w:color w:val="auto"/>
                <w:sz w:val="24"/>
              </w:rPr>
              <w:t>项目用电由当地市政电网提供，能够满足本项目用电。</w:t>
            </w:r>
          </w:p>
          <w:p w14:paraId="3146F120">
            <w:pPr>
              <w:spacing w:line="360" w:lineRule="auto"/>
              <w:ind w:left="420" w:leftChars="200"/>
              <w:jc w:val="left"/>
              <w:rPr>
                <w:b/>
                <w:color w:val="auto"/>
                <w:sz w:val="24"/>
              </w:rPr>
            </w:pPr>
            <w:r>
              <w:rPr>
                <w:rFonts w:hint="eastAsia"/>
                <w:b/>
                <w:color w:val="auto"/>
                <w:sz w:val="24"/>
              </w:rPr>
              <w:t>8、</w:t>
            </w:r>
            <w:r>
              <w:rPr>
                <w:b/>
                <w:color w:val="auto"/>
                <w:sz w:val="24"/>
              </w:rPr>
              <w:t>环保投资</w:t>
            </w:r>
          </w:p>
          <w:p w14:paraId="496D4327">
            <w:pPr>
              <w:adjustRightInd w:val="0"/>
              <w:snapToGrid w:val="0"/>
              <w:spacing w:line="360" w:lineRule="auto"/>
              <w:ind w:firstLine="480" w:firstLineChars="200"/>
              <w:rPr>
                <w:color w:val="auto"/>
              </w:rPr>
            </w:pPr>
            <w:r>
              <w:rPr>
                <w:rFonts w:hint="eastAsia"/>
                <w:color w:val="auto"/>
                <w:sz w:val="24"/>
              </w:rPr>
              <w:t>本</w:t>
            </w:r>
            <w:r>
              <w:rPr>
                <w:color w:val="auto"/>
                <w:sz w:val="24"/>
              </w:rPr>
              <w:t>项目</w:t>
            </w:r>
            <w:r>
              <w:rPr>
                <w:rFonts w:hint="eastAsia"/>
                <w:color w:val="auto"/>
                <w:sz w:val="24"/>
              </w:rPr>
              <w:t>总投资1</w:t>
            </w:r>
            <w:r>
              <w:rPr>
                <w:rFonts w:hint="eastAsia"/>
                <w:color w:val="auto"/>
                <w:sz w:val="24"/>
                <w:lang w:val="en-US" w:eastAsia="zh-CN"/>
              </w:rPr>
              <w:t>00</w:t>
            </w:r>
            <w:r>
              <w:rPr>
                <w:rFonts w:hint="eastAsia"/>
                <w:color w:val="auto"/>
                <w:sz w:val="24"/>
              </w:rPr>
              <w:t>万元。环保投资</w:t>
            </w:r>
            <w:r>
              <w:rPr>
                <w:rFonts w:hint="eastAsia"/>
                <w:color w:val="auto"/>
                <w:sz w:val="24"/>
                <w:lang w:val="en-US" w:eastAsia="zh-CN"/>
              </w:rPr>
              <w:t>14</w:t>
            </w:r>
            <w:r>
              <w:rPr>
                <w:rFonts w:hint="eastAsia"/>
                <w:color w:val="auto"/>
                <w:sz w:val="24"/>
              </w:rPr>
              <w:t>万元，环保投资占总投资</w:t>
            </w:r>
            <w:r>
              <w:rPr>
                <w:rFonts w:hint="eastAsia"/>
                <w:color w:val="auto"/>
                <w:sz w:val="24"/>
                <w:lang w:val="en-US" w:eastAsia="zh-CN"/>
              </w:rPr>
              <w:t>14</w:t>
            </w:r>
            <w:r>
              <w:rPr>
                <w:rFonts w:hint="eastAsia"/>
                <w:color w:val="auto"/>
                <w:sz w:val="24"/>
              </w:rPr>
              <w:t>%，环保投资具体情况参见表2-</w:t>
            </w:r>
            <w:r>
              <w:rPr>
                <w:rFonts w:hint="eastAsia"/>
                <w:color w:val="auto"/>
                <w:sz w:val="24"/>
                <w:lang w:val="en-US" w:eastAsia="zh-CN"/>
              </w:rPr>
              <w:t>6</w:t>
            </w:r>
            <w:r>
              <w:rPr>
                <w:color w:val="auto"/>
                <w:sz w:val="24"/>
              </w:rPr>
              <w:t>。</w:t>
            </w:r>
          </w:p>
          <w:p w14:paraId="6BDD5AE8">
            <w:pPr>
              <w:jc w:val="center"/>
              <w:rPr>
                <w:b/>
                <w:color w:val="auto"/>
                <w:szCs w:val="21"/>
              </w:rPr>
            </w:pPr>
            <w:r>
              <w:rPr>
                <w:b/>
                <w:color w:val="auto"/>
                <w:szCs w:val="21"/>
              </w:rPr>
              <w:t>表2-</w:t>
            </w:r>
            <w:r>
              <w:rPr>
                <w:rFonts w:hint="eastAsia"/>
                <w:b/>
                <w:color w:val="auto"/>
                <w:szCs w:val="21"/>
                <w:lang w:val="en-US" w:eastAsia="zh-CN"/>
              </w:rPr>
              <w:t>6</w:t>
            </w:r>
            <w:r>
              <w:rPr>
                <w:rFonts w:hint="eastAsia"/>
                <w:b/>
                <w:color w:val="auto"/>
                <w:szCs w:val="21"/>
              </w:rPr>
              <w:t xml:space="preserve">  </w:t>
            </w:r>
            <w:r>
              <w:rPr>
                <w:b/>
                <w:color w:val="auto"/>
                <w:szCs w:val="21"/>
              </w:rPr>
              <w:t>环保投资一览表</w:t>
            </w:r>
          </w:p>
          <w:tbl>
            <w:tblPr>
              <w:tblStyle w:val="39"/>
              <w:tblW w:w="4995"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65"/>
              <w:gridCol w:w="1896"/>
              <w:gridCol w:w="4546"/>
              <w:gridCol w:w="1109"/>
            </w:tblGrid>
            <w:tr w14:paraId="465ADD9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atLeast"/>
                <w:jc w:val="center"/>
              </w:trPr>
              <w:tc>
                <w:tcPr>
                  <w:tcW w:w="348" w:type="pct"/>
                  <w:vAlign w:val="center"/>
                </w:tcPr>
                <w:p w14:paraId="3B0B7B4E">
                  <w:pPr>
                    <w:pStyle w:val="73"/>
                    <w:rPr>
                      <w:color w:val="auto"/>
                      <w:szCs w:val="21"/>
                    </w:rPr>
                  </w:pPr>
                  <w:r>
                    <w:rPr>
                      <w:color w:val="auto"/>
                      <w:szCs w:val="21"/>
                    </w:rPr>
                    <w:t>阶段</w:t>
                  </w:r>
                </w:p>
              </w:tc>
              <w:tc>
                <w:tcPr>
                  <w:tcW w:w="1168" w:type="pct"/>
                  <w:vAlign w:val="center"/>
                </w:tcPr>
                <w:p w14:paraId="706F934A">
                  <w:pPr>
                    <w:pStyle w:val="73"/>
                    <w:rPr>
                      <w:color w:val="auto"/>
                      <w:szCs w:val="21"/>
                    </w:rPr>
                  </w:pPr>
                  <w:r>
                    <w:rPr>
                      <w:color w:val="auto"/>
                      <w:szCs w:val="21"/>
                    </w:rPr>
                    <w:t>污染源</w:t>
                  </w:r>
                </w:p>
              </w:tc>
              <w:tc>
                <w:tcPr>
                  <w:tcW w:w="2799" w:type="pct"/>
                  <w:vAlign w:val="center"/>
                </w:tcPr>
                <w:p w14:paraId="5001FFB6">
                  <w:pPr>
                    <w:pStyle w:val="73"/>
                    <w:rPr>
                      <w:color w:val="auto"/>
                      <w:szCs w:val="21"/>
                    </w:rPr>
                  </w:pPr>
                  <w:r>
                    <w:rPr>
                      <w:color w:val="auto"/>
                      <w:szCs w:val="21"/>
                    </w:rPr>
                    <w:t>本项目环保措施</w:t>
                  </w:r>
                </w:p>
              </w:tc>
              <w:tc>
                <w:tcPr>
                  <w:tcW w:w="683" w:type="pct"/>
                  <w:vAlign w:val="center"/>
                </w:tcPr>
                <w:p w14:paraId="1849C3F5">
                  <w:pPr>
                    <w:pStyle w:val="73"/>
                    <w:rPr>
                      <w:color w:val="auto"/>
                      <w:szCs w:val="21"/>
                    </w:rPr>
                  </w:pPr>
                  <w:r>
                    <w:rPr>
                      <w:color w:val="auto"/>
                      <w:szCs w:val="21"/>
                    </w:rPr>
                    <w:t>金额</w:t>
                  </w:r>
                </w:p>
                <w:p w14:paraId="2C1830AB">
                  <w:pPr>
                    <w:pStyle w:val="73"/>
                    <w:rPr>
                      <w:color w:val="auto"/>
                      <w:szCs w:val="21"/>
                    </w:rPr>
                  </w:pPr>
                  <w:r>
                    <w:rPr>
                      <w:color w:val="auto"/>
                      <w:szCs w:val="21"/>
                    </w:rPr>
                    <w:t>（万元）</w:t>
                  </w:r>
                </w:p>
              </w:tc>
            </w:tr>
            <w:tr w14:paraId="3FCE10C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48" w:type="pct"/>
                  <w:vMerge w:val="restart"/>
                  <w:tcBorders>
                    <w:right w:val="single" w:color="auto" w:sz="4" w:space="0"/>
                  </w:tcBorders>
                  <w:vAlign w:val="center"/>
                </w:tcPr>
                <w:p w14:paraId="73F50B6C">
                  <w:pPr>
                    <w:pStyle w:val="73"/>
                    <w:rPr>
                      <w:color w:val="auto"/>
                      <w:szCs w:val="21"/>
                    </w:rPr>
                  </w:pPr>
                  <w:r>
                    <w:rPr>
                      <w:color w:val="auto"/>
                      <w:szCs w:val="21"/>
                    </w:rPr>
                    <w:t>运</w:t>
                  </w:r>
                </w:p>
                <w:p w14:paraId="30641242">
                  <w:pPr>
                    <w:pStyle w:val="73"/>
                    <w:rPr>
                      <w:color w:val="auto"/>
                      <w:szCs w:val="21"/>
                    </w:rPr>
                  </w:pPr>
                  <w:r>
                    <w:rPr>
                      <w:color w:val="auto"/>
                      <w:szCs w:val="21"/>
                    </w:rPr>
                    <w:t>营</w:t>
                  </w:r>
                </w:p>
                <w:p w14:paraId="7DE041E1">
                  <w:pPr>
                    <w:pStyle w:val="73"/>
                    <w:rPr>
                      <w:color w:val="auto"/>
                      <w:szCs w:val="21"/>
                    </w:rPr>
                  </w:pPr>
                  <w:r>
                    <w:rPr>
                      <w:color w:val="auto"/>
                      <w:szCs w:val="21"/>
                    </w:rPr>
                    <w:t>期</w:t>
                  </w:r>
                </w:p>
              </w:tc>
              <w:tc>
                <w:tcPr>
                  <w:tcW w:w="1168" w:type="pct"/>
                  <w:tcBorders>
                    <w:left w:val="single" w:color="auto" w:sz="4" w:space="0"/>
                  </w:tcBorders>
                  <w:vAlign w:val="center"/>
                </w:tcPr>
                <w:p w14:paraId="3E9A0BC0">
                  <w:pPr>
                    <w:pStyle w:val="73"/>
                    <w:rPr>
                      <w:color w:val="auto"/>
                      <w:szCs w:val="21"/>
                    </w:rPr>
                  </w:pPr>
                  <w:r>
                    <w:rPr>
                      <w:color w:val="auto"/>
                      <w:szCs w:val="21"/>
                    </w:rPr>
                    <w:t>废气治理</w:t>
                  </w:r>
                </w:p>
              </w:tc>
              <w:tc>
                <w:tcPr>
                  <w:tcW w:w="2799" w:type="pct"/>
                  <w:vAlign w:val="center"/>
                </w:tcPr>
                <w:p w14:paraId="400B555D">
                  <w:pPr>
                    <w:pStyle w:val="73"/>
                    <w:rPr>
                      <w:color w:val="auto"/>
                      <w:szCs w:val="21"/>
                    </w:rPr>
                  </w:pPr>
                  <w:r>
                    <w:rPr>
                      <w:rFonts w:hint="eastAsia"/>
                      <w:color w:val="auto"/>
                      <w:lang w:val="en-US" w:eastAsia="zh-CN"/>
                    </w:rPr>
                    <w:t>旋风除尘+</w:t>
                  </w:r>
                  <w:r>
                    <w:rPr>
                      <w:rFonts w:hint="eastAsia"/>
                      <w:color w:val="auto"/>
                    </w:rPr>
                    <w:t>布袋除尘器</w:t>
                  </w:r>
                  <w:r>
                    <w:rPr>
                      <w:rFonts w:hint="eastAsia"/>
                      <w:color w:val="auto"/>
                      <w:lang w:val="en-US" w:eastAsia="zh-CN"/>
                    </w:rPr>
                    <w:t>+30m高排气筒</w:t>
                  </w:r>
                </w:p>
              </w:tc>
              <w:tc>
                <w:tcPr>
                  <w:tcW w:w="683" w:type="pct"/>
                  <w:vAlign w:val="center"/>
                </w:tcPr>
                <w:p w14:paraId="21B8B03E">
                  <w:pPr>
                    <w:pStyle w:val="73"/>
                    <w:rPr>
                      <w:rFonts w:hint="default" w:eastAsia="宋体"/>
                      <w:color w:val="auto"/>
                      <w:szCs w:val="21"/>
                      <w:lang w:val="en-US" w:eastAsia="zh-CN"/>
                    </w:rPr>
                  </w:pPr>
                  <w:r>
                    <w:rPr>
                      <w:rFonts w:hint="eastAsia"/>
                      <w:color w:val="auto"/>
                      <w:szCs w:val="21"/>
                      <w:lang w:val="en-US" w:eastAsia="zh-CN"/>
                    </w:rPr>
                    <w:t>3</w:t>
                  </w:r>
                </w:p>
              </w:tc>
            </w:tr>
            <w:tr w14:paraId="407C361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48" w:type="pct"/>
                  <w:vMerge w:val="continue"/>
                  <w:tcBorders>
                    <w:right w:val="single" w:color="auto" w:sz="4" w:space="0"/>
                  </w:tcBorders>
                  <w:vAlign w:val="center"/>
                </w:tcPr>
                <w:p w14:paraId="264C1A82">
                  <w:pPr>
                    <w:pStyle w:val="73"/>
                    <w:rPr>
                      <w:color w:val="auto"/>
                      <w:szCs w:val="21"/>
                    </w:rPr>
                  </w:pPr>
                </w:p>
              </w:tc>
              <w:tc>
                <w:tcPr>
                  <w:tcW w:w="1168" w:type="pct"/>
                  <w:tcBorders>
                    <w:left w:val="single" w:color="auto" w:sz="4" w:space="0"/>
                  </w:tcBorders>
                  <w:vAlign w:val="center"/>
                </w:tcPr>
                <w:p w14:paraId="556D9D9C">
                  <w:pPr>
                    <w:pStyle w:val="73"/>
                    <w:rPr>
                      <w:color w:val="auto"/>
                      <w:szCs w:val="21"/>
                    </w:rPr>
                  </w:pPr>
                  <w:r>
                    <w:rPr>
                      <w:color w:val="auto"/>
                      <w:szCs w:val="21"/>
                    </w:rPr>
                    <w:t>噪声治理</w:t>
                  </w:r>
                </w:p>
              </w:tc>
              <w:tc>
                <w:tcPr>
                  <w:tcW w:w="2799" w:type="pct"/>
                  <w:vAlign w:val="center"/>
                </w:tcPr>
                <w:p w14:paraId="5B1B9B53">
                  <w:pPr>
                    <w:pStyle w:val="73"/>
                    <w:rPr>
                      <w:color w:val="auto"/>
                      <w:szCs w:val="21"/>
                    </w:rPr>
                  </w:pPr>
                  <w:r>
                    <w:rPr>
                      <w:color w:val="auto"/>
                      <w:szCs w:val="21"/>
                    </w:rPr>
                    <w:t>选用低噪声设备，通过减振、隔声、降噪、加强管理和设备合理布局等措施</w:t>
                  </w:r>
                </w:p>
              </w:tc>
              <w:tc>
                <w:tcPr>
                  <w:tcW w:w="683" w:type="pct"/>
                  <w:vAlign w:val="center"/>
                </w:tcPr>
                <w:p w14:paraId="3D6A2E10">
                  <w:pPr>
                    <w:pStyle w:val="73"/>
                    <w:rPr>
                      <w:color w:val="auto"/>
                      <w:szCs w:val="21"/>
                    </w:rPr>
                  </w:pPr>
                  <w:r>
                    <w:rPr>
                      <w:rFonts w:hint="eastAsia"/>
                      <w:color w:val="auto"/>
                      <w:szCs w:val="21"/>
                    </w:rPr>
                    <w:t>4</w:t>
                  </w:r>
                </w:p>
              </w:tc>
            </w:tr>
            <w:tr w14:paraId="73E8640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4" w:hRule="atLeast"/>
                <w:jc w:val="center"/>
              </w:trPr>
              <w:tc>
                <w:tcPr>
                  <w:tcW w:w="348" w:type="pct"/>
                  <w:vMerge w:val="continue"/>
                  <w:tcBorders>
                    <w:right w:val="single" w:color="auto" w:sz="4" w:space="0"/>
                  </w:tcBorders>
                  <w:vAlign w:val="center"/>
                </w:tcPr>
                <w:p w14:paraId="103936B2">
                  <w:pPr>
                    <w:pStyle w:val="73"/>
                    <w:rPr>
                      <w:color w:val="auto"/>
                      <w:szCs w:val="21"/>
                    </w:rPr>
                  </w:pPr>
                </w:p>
              </w:tc>
              <w:tc>
                <w:tcPr>
                  <w:tcW w:w="1168" w:type="pct"/>
                  <w:tcBorders>
                    <w:left w:val="single" w:color="auto" w:sz="4" w:space="0"/>
                  </w:tcBorders>
                  <w:vAlign w:val="center"/>
                </w:tcPr>
                <w:p w14:paraId="79E11519">
                  <w:pPr>
                    <w:pStyle w:val="73"/>
                    <w:rPr>
                      <w:color w:val="auto"/>
                      <w:szCs w:val="21"/>
                    </w:rPr>
                  </w:pPr>
                  <w:r>
                    <w:rPr>
                      <w:color w:val="auto"/>
                      <w:szCs w:val="21"/>
                    </w:rPr>
                    <w:t>固废治理</w:t>
                  </w:r>
                </w:p>
              </w:tc>
              <w:tc>
                <w:tcPr>
                  <w:tcW w:w="2799" w:type="pct"/>
                  <w:vAlign w:val="center"/>
                </w:tcPr>
                <w:p w14:paraId="7137950C">
                  <w:pPr>
                    <w:adjustRightInd w:val="0"/>
                    <w:snapToGrid w:val="0"/>
                    <w:jc w:val="center"/>
                    <w:rPr>
                      <w:rFonts w:hint="eastAsia" w:eastAsia="宋体"/>
                      <w:color w:val="auto"/>
                      <w:szCs w:val="21"/>
                      <w:lang w:eastAsia="zh-CN"/>
                    </w:rPr>
                  </w:pPr>
                  <w:r>
                    <w:rPr>
                      <w:rFonts w:hint="eastAsia"/>
                      <w:color w:val="auto"/>
                      <w:lang w:val="en-US" w:eastAsia="zh-CN"/>
                    </w:rPr>
                    <w:t>导热油炉锅炉灰渣及除尘灰全部外售综合利用</w:t>
                  </w:r>
                  <w:r>
                    <w:rPr>
                      <w:rFonts w:hint="eastAsia" w:ascii="Times New Roman" w:hAnsi="Times New Roman" w:cs="Times New Roman"/>
                      <w:color w:val="auto"/>
                      <w:kern w:val="2"/>
                      <w:sz w:val="21"/>
                      <w:szCs w:val="24"/>
                      <w:lang w:val="en-US" w:eastAsia="zh-CN" w:bidi="ar-SA"/>
                    </w:rPr>
                    <w:t>；</w:t>
                  </w:r>
                  <w:r>
                    <w:rPr>
                      <w:rFonts w:hint="eastAsia"/>
                      <w:color w:val="auto"/>
                    </w:rPr>
                    <w:t>废布袋由除尘器厂家检修后直接带走；废导热油每五年产生一次，委托有资质单位更换并带走处置，不在厂区内暂存</w:t>
                  </w:r>
                  <w:r>
                    <w:rPr>
                      <w:rFonts w:hint="eastAsia"/>
                      <w:color w:val="auto"/>
                      <w:lang w:eastAsia="zh-CN"/>
                    </w:rPr>
                    <w:t>；</w:t>
                  </w:r>
                  <w:r>
                    <w:rPr>
                      <w:rFonts w:hint="eastAsia" w:ascii="Times New Roman" w:hAnsi="Times New Roman" w:eastAsia="宋体" w:cs="Times New Roman"/>
                      <w:color w:val="auto"/>
                      <w:szCs w:val="21"/>
                      <w:lang w:val="en-US" w:eastAsia="zh-CN"/>
                    </w:rPr>
                    <w:t>废机油</w:t>
                  </w:r>
                  <w:r>
                    <w:rPr>
                      <w:rFonts w:hint="eastAsia" w:cs="Times New Roman"/>
                      <w:color w:val="auto"/>
                      <w:szCs w:val="21"/>
                      <w:lang w:val="en-US" w:eastAsia="zh-CN"/>
                    </w:rPr>
                    <w:t>、</w:t>
                  </w:r>
                  <w:r>
                    <w:rPr>
                      <w:rFonts w:hint="eastAsia"/>
                      <w:color w:val="auto"/>
                      <w:lang w:val="en-US" w:eastAsia="zh-CN"/>
                    </w:rPr>
                    <w:t>废含油手套、废含油抹布集中收集暂存在危废贮存点，定期委托有资质公司处理</w:t>
                  </w:r>
                </w:p>
              </w:tc>
              <w:tc>
                <w:tcPr>
                  <w:tcW w:w="683" w:type="pct"/>
                  <w:vAlign w:val="center"/>
                </w:tcPr>
                <w:p w14:paraId="10C4B5C3">
                  <w:pPr>
                    <w:pStyle w:val="73"/>
                    <w:rPr>
                      <w:rFonts w:hint="eastAsia" w:eastAsia="宋体"/>
                      <w:color w:val="auto"/>
                      <w:szCs w:val="21"/>
                      <w:lang w:eastAsia="zh-CN"/>
                    </w:rPr>
                  </w:pPr>
                  <w:r>
                    <w:rPr>
                      <w:rFonts w:hint="eastAsia"/>
                      <w:color w:val="auto"/>
                      <w:szCs w:val="21"/>
                      <w:lang w:val="en-US" w:eastAsia="zh-CN"/>
                    </w:rPr>
                    <w:t>2</w:t>
                  </w:r>
                </w:p>
              </w:tc>
            </w:tr>
            <w:tr w14:paraId="00D8083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48" w:type="pct"/>
                  <w:vMerge w:val="continue"/>
                  <w:tcBorders>
                    <w:right w:val="single" w:color="auto" w:sz="4" w:space="0"/>
                  </w:tcBorders>
                  <w:vAlign w:val="center"/>
                </w:tcPr>
                <w:p w14:paraId="335177E5">
                  <w:pPr>
                    <w:pStyle w:val="73"/>
                    <w:rPr>
                      <w:color w:val="auto"/>
                      <w:szCs w:val="21"/>
                    </w:rPr>
                  </w:pPr>
                </w:p>
              </w:tc>
              <w:tc>
                <w:tcPr>
                  <w:tcW w:w="1168" w:type="pct"/>
                  <w:tcBorders>
                    <w:left w:val="single" w:color="auto" w:sz="4" w:space="0"/>
                  </w:tcBorders>
                  <w:vAlign w:val="center"/>
                </w:tcPr>
                <w:p w14:paraId="42B811A8">
                  <w:pPr>
                    <w:pStyle w:val="73"/>
                    <w:rPr>
                      <w:color w:val="auto"/>
                      <w:szCs w:val="21"/>
                    </w:rPr>
                  </w:pPr>
                  <w:r>
                    <w:rPr>
                      <w:color w:val="auto"/>
                      <w:szCs w:val="21"/>
                    </w:rPr>
                    <w:t>监测、运行维护费用</w:t>
                  </w:r>
                </w:p>
              </w:tc>
              <w:tc>
                <w:tcPr>
                  <w:tcW w:w="2799" w:type="pct"/>
                  <w:vAlign w:val="center"/>
                </w:tcPr>
                <w:p w14:paraId="58E36682">
                  <w:pPr>
                    <w:pStyle w:val="73"/>
                    <w:rPr>
                      <w:color w:val="auto"/>
                      <w:szCs w:val="21"/>
                    </w:rPr>
                  </w:pPr>
                  <w:r>
                    <w:rPr>
                      <w:color w:val="auto"/>
                      <w:szCs w:val="21"/>
                    </w:rPr>
                    <w:t>环境保护措施和设施的运行维护费用、</w:t>
                  </w:r>
                  <w:r>
                    <w:rPr>
                      <w:rFonts w:hint="eastAsia"/>
                      <w:color w:val="auto"/>
                      <w:szCs w:val="21"/>
                    </w:rPr>
                    <w:t>例行监测</w:t>
                  </w:r>
                </w:p>
              </w:tc>
              <w:tc>
                <w:tcPr>
                  <w:tcW w:w="683" w:type="pct"/>
                  <w:vAlign w:val="center"/>
                </w:tcPr>
                <w:p w14:paraId="2A6D7B2D">
                  <w:pPr>
                    <w:pStyle w:val="73"/>
                    <w:rPr>
                      <w:rFonts w:hint="eastAsia" w:eastAsia="宋体"/>
                      <w:color w:val="auto"/>
                      <w:szCs w:val="21"/>
                      <w:lang w:eastAsia="zh-CN"/>
                    </w:rPr>
                  </w:pPr>
                  <w:r>
                    <w:rPr>
                      <w:rFonts w:hint="eastAsia"/>
                      <w:color w:val="auto"/>
                      <w:szCs w:val="21"/>
                      <w:lang w:val="en-US" w:eastAsia="zh-CN"/>
                    </w:rPr>
                    <w:t>5</w:t>
                  </w:r>
                </w:p>
              </w:tc>
            </w:tr>
            <w:tr w14:paraId="493D8CC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316" w:type="pct"/>
                  <w:gridSpan w:val="3"/>
                  <w:vAlign w:val="center"/>
                </w:tcPr>
                <w:p w14:paraId="753BFCF4">
                  <w:pPr>
                    <w:pStyle w:val="73"/>
                    <w:rPr>
                      <w:color w:val="auto"/>
                      <w:szCs w:val="21"/>
                    </w:rPr>
                  </w:pPr>
                  <w:r>
                    <w:rPr>
                      <w:color w:val="auto"/>
                      <w:szCs w:val="21"/>
                    </w:rPr>
                    <w:t>合计</w:t>
                  </w:r>
                </w:p>
              </w:tc>
              <w:tc>
                <w:tcPr>
                  <w:tcW w:w="683" w:type="pct"/>
                  <w:vAlign w:val="center"/>
                </w:tcPr>
                <w:p w14:paraId="31C98B1B">
                  <w:pPr>
                    <w:widowControl/>
                    <w:jc w:val="center"/>
                    <w:rPr>
                      <w:rFonts w:hint="default" w:eastAsia="宋体"/>
                      <w:color w:val="auto"/>
                      <w:kern w:val="0"/>
                      <w:szCs w:val="21"/>
                      <w:lang w:val="en-US" w:eastAsia="zh-CN"/>
                    </w:rPr>
                  </w:pPr>
                  <w:r>
                    <w:rPr>
                      <w:rFonts w:hint="eastAsia"/>
                      <w:color w:val="auto"/>
                      <w:kern w:val="0"/>
                      <w:szCs w:val="21"/>
                      <w:lang w:val="en-US" w:eastAsia="zh-CN"/>
                    </w:rPr>
                    <w:t>14</w:t>
                  </w:r>
                </w:p>
              </w:tc>
            </w:tr>
            <w:tr w14:paraId="3CFB9AD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316" w:type="pct"/>
                  <w:gridSpan w:val="3"/>
                  <w:vAlign w:val="center"/>
                </w:tcPr>
                <w:p w14:paraId="4656F3C3">
                  <w:pPr>
                    <w:pStyle w:val="73"/>
                    <w:rPr>
                      <w:color w:val="auto"/>
                      <w:szCs w:val="21"/>
                    </w:rPr>
                  </w:pPr>
                  <w:r>
                    <w:rPr>
                      <w:color w:val="auto"/>
                      <w:szCs w:val="21"/>
                    </w:rPr>
                    <w:t>总投资</w:t>
                  </w:r>
                </w:p>
              </w:tc>
              <w:tc>
                <w:tcPr>
                  <w:tcW w:w="683" w:type="pct"/>
                  <w:vAlign w:val="center"/>
                </w:tcPr>
                <w:p w14:paraId="3041E45E">
                  <w:pPr>
                    <w:jc w:val="center"/>
                    <w:rPr>
                      <w:rFonts w:hint="default" w:eastAsia="宋体"/>
                      <w:color w:val="auto"/>
                      <w:szCs w:val="21"/>
                      <w:lang w:val="en-US" w:eastAsia="zh-CN"/>
                    </w:rPr>
                  </w:pPr>
                  <w:r>
                    <w:rPr>
                      <w:rFonts w:hint="eastAsia"/>
                      <w:color w:val="auto"/>
                      <w:szCs w:val="21"/>
                      <w:lang w:val="en-US" w:eastAsia="zh-CN"/>
                    </w:rPr>
                    <w:t>100</w:t>
                  </w:r>
                </w:p>
              </w:tc>
            </w:tr>
            <w:tr w14:paraId="069F7CD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316" w:type="pct"/>
                  <w:gridSpan w:val="3"/>
                  <w:vAlign w:val="center"/>
                </w:tcPr>
                <w:p w14:paraId="1AC013F6">
                  <w:pPr>
                    <w:pStyle w:val="73"/>
                    <w:rPr>
                      <w:color w:val="auto"/>
                      <w:szCs w:val="21"/>
                    </w:rPr>
                  </w:pPr>
                  <w:r>
                    <w:rPr>
                      <w:color w:val="auto"/>
                      <w:szCs w:val="21"/>
                    </w:rPr>
                    <w:t>环保投资比</w:t>
                  </w:r>
                </w:p>
              </w:tc>
              <w:tc>
                <w:tcPr>
                  <w:tcW w:w="683" w:type="pct"/>
                  <w:vAlign w:val="center"/>
                </w:tcPr>
                <w:p w14:paraId="60F28B47">
                  <w:pPr>
                    <w:pStyle w:val="73"/>
                    <w:rPr>
                      <w:rFonts w:hint="default" w:eastAsia="宋体"/>
                      <w:color w:val="auto"/>
                      <w:szCs w:val="21"/>
                      <w:lang w:val="en-US" w:eastAsia="zh-CN"/>
                    </w:rPr>
                  </w:pPr>
                  <w:r>
                    <w:rPr>
                      <w:rFonts w:hint="eastAsia"/>
                      <w:color w:val="auto"/>
                      <w:szCs w:val="21"/>
                      <w:lang w:val="en-US" w:eastAsia="zh-CN"/>
                    </w:rPr>
                    <w:t>14</w:t>
                  </w:r>
                </w:p>
              </w:tc>
            </w:tr>
          </w:tbl>
          <w:p w14:paraId="6C4463FE">
            <w:pPr>
              <w:pStyle w:val="10"/>
              <w:adjustRightInd w:val="0"/>
              <w:snapToGrid w:val="0"/>
              <w:spacing w:after="0" w:line="360" w:lineRule="auto"/>
              <w:ind w:firstLine="482" w:firstLineChars="200"/>
              <w:rPr>
                <w:b/>
                <w:bCs/>
                <w:color w:val="auto"/>
                <w:sz w:val="24"/>
              </w:rPr>
            </w:pPr>
            <w:r>
              <w:rPr>
                <w:rFonts w:hint="eastAsia"/>
                <w:b/>
                <w:bCs/>
                <w:color w:val="auto"/>
                <w:sz w:val="24"/>
              </w:rPr>
              <w:t>9、</w:t>
            </w:r>
            <w:r>
              <w:rPr>
                <w:b/>
                <w:bCs/>
                <w:color w:val="auto"/>
                <w:sz w:val="24"/>
              </w:rPr>
              <w:t>劳动定员与工作制</w:t>
            </w:r>
          </w:p>
          <w:p w14:paraId="1E4F55E7">
            <w:pPr>
              <w:adjustRightInd w:val="0"/>
              <w:snapToGrid w:val="0"/>
              <w:spacing w:line="360" w:lineRule="auto"/>
              <w:ind w:firstLine="480" w:firstLineChars="200"/>
              <w:rPr>
                <w:color w:val="auto"/>
                <w:sz w:val="24"/>
              </w:rPr>
            </w:pPr>
            <w:r>
              <w:rPr>
                <w:rFonts w:hint="eastAsia"/>
                <w:color w:val="auto"/>
                <w:sz w:val="24"/>
                <w:lang w:val="en-US" w:eastAsia="zh-CN"/>
              </w:rPr>
              <w:t>企业</w:t>
            </w:r>
            <w:r>
              <w:rPr>
                <w:color w:val="auto"/>
                <w:sz w:val="24"/>
              </w:rPr>
              <w:t>员工</w:t>
            </w:r>
            <w:r>
              <w:rPr>
                <w:rFonts w:hint="eastAsia"/>
                <w:color w:val="auto"/>
                <w:sz w:val="24"/>
                <w:lang w:val="en-US" w:eastAsia="zh-CN"/>
              </w:rPr>
              <w:t>人数8</w:t>
            </w:r>
            <w:r>
              <w:rPr>
                <w:color w:val="auto"/>
                <w:sz w:val="24"/>
              </w:rPr>
              <w:t>人</w:t>
            </w:r>
            <w:r>
              <w:rPr>
                <w:rFonts w:hint="eastAsia"/>
                <w:color w:val="auto"/>
                <w:sz w:val="24"/>
                <w:lang w:eastAsia="zh-CN"/>
              </w:rPr>
              <w:t>，</w:t>
            </w:r>
            <w:r>
              <w:rPr>
                <w:rFonts w:hint="eastAsia"/>
                <w:color w:val="auto"/>
                <w:sz w:val="24"/>
                <w:lang w:val="en-US" w:eastAsia="zh-CN"/>
              </w:rPr>
              <w:t>本项目不新增员工</w:t>
            </w:r>
            <w:r>
              <w:rPr>
                <w:color w:val="auto"/>
                <w:sz w:val="24"/>
              </w:rPr>
              <w:t>，</w:t>
            </w:r>
            <w:r>
              <w:rPr>
                <w:rFonts w:hint="eastAsia"/>
                <w:color w:val="auto"/>
                <w:sz w:val="24"/>
                <w:lang w:val="en-US" w:eastAsia="zh-CN"/>
              </w:rPr>
              <w:t>两</w:t>
            </w:r>
            <w:r>
              <w:rPr>
                <w:color w:val="auto"/>
                <w:sz w:val="24"/>
              </w:rPr>
              <w:t>班制，每班</w:t>
            </w:r>
            <w:r>
              <w:rPr>
                <w:rFonts w:hint="eastAsia"/>
                <w:color w:val="auto"/>
                <w:sz w:val="24"/>
                <w:lang w:val="en-US" w:eastAsia="zh-CN"/>
              </w:rPr>
              <w:t>12</w:t>
            </w:r>
            <w:r>
              <w:rPr>
                <w:color w:val="auto"/>
                <w:sz w:val="24"/>
              </w:rPr>
              <w:t>小时，年工作</w:t>
            </w:r>
            <w:r>
              <w:rPr>
                <w:rFonts w:hint="eastAsia"/>
                <w:color w:val="auto"/>
                <w:sz w:val="24"/>
                <w:lang w:val="en-US" w:eastAsia="zh-CN"/>
              </w:rPr>
              <w:t>300</w:t>
            </w:r>
            <w:r>
              <w:rPr>
                <w:color w:val="auto"/>
                <w:sz w:val="24"/>
              </w:rPr>
              <w:t>天</w:t>
            </w:r>
            <w:r>
              <w:rPr>
                <w:rFonts w:hint="eastAsia"/>
                <w:color w:val="auto"/>
                <w:sz w:val="24"/>
                <w:lang w:eastAsia="zh-CN"/>
              </w:rPr>
              <w:t>，</w:t>
            </w:r>
            <w:r>
              <w:rPr>
                <w:rFonts w:hint="eastAsia"/>
                <w:bCs/>
                <w:color w:val="auto"/>
                <w:sz w:val="24"/>
              </w:rPr>
              <w:t>不设</w:t>
            </w:r>
            <w:r>
              <w:rPr>
                <w:bCs/>
                <w:color w:val="auto"/>
                <w:sz w:val="24"/>
              </w:rPr>
              <w:t>食堂、宿舍</w:t>
            </w:r>
            <w:r>
              <w:rPr>
                <w:color w:val="auto"/>
                <w:sz w:val="24"/>
              </w:rPr>
              <w:t>。</w:t>
            </w:r>
          </w:p>
          <w:p w14:paraId="5CD1586F">
            <w:pPr>
              <w:pStyle w:val="10"/>
              <w:adjustRightInd w:val="0"/>
              <w:snapToGrid w:val="0"/>
              <w:spacing w:after="0" w:line="360" w:lineRule="auto"/>
              <w:ind w:firstLine="482" w:firstLineChars="200"/>
              <w:rPr>
                <w:b/>
                <w:bCs/>
                <w:color w:val="auto"/>
                <w:sz w:val="24"/>
              </w:rPr>
            </w:pPr>
            <w:r>
              <w:rPr>
                <w:rFonts w:hint="eastAsia"/>
                <w:b/>
                <w:bCs/>
                <w:color w:val="auto"/>
                <w:sz w:val="24"/>
              </w:rPr>
              <w:t>10、</w:t>
            </w:r>
            <w:r>
              <w:rPr>
                <w:b/>
                <w:bCs/>
                <w:color w:val="auto"/>
                <w:sz w:val="24"/>
              </w:rPr>
              <w:t>总平面布置</w:t>
            </w:r>
          </w:p>
          <w:p w14:paraId="467B27E4">
            <w:pPr>
              <w:pStyle w:val="10"/>
              <w:adjustRightInd w:val="0"/>
              <w:snapToGrid w:val="0"/>
              <w:spacing w:after="0" w:line="360" w:lineRule="auto"/>
              <w:ind w:firstLine="480" w:firstLineChars="200"/>
              <w:rPr>
                <w:rFonts w:hint="eastAsia"/>
                <w:color w:val="auto"/>
                <w:sz w:val="24"/>
              </w:rPr>
            </w:pPr>
            <w:r>
              <w:rPr>
                <w:rFonts w:hint="eastAsia"/>
                <w:color w:val="auto"/>
                <w:sz w:val="24"/>
              </w:rPr>
              <w:t>本次锅炉改建项目位于厂区内原有锅炉房内，不新增用地。根据项目厂区平面布置图</w:t>
            </w:r>
            <w:r>
              <w:rPr>
                <w:rFonts w:hint="eastAsia"/>
                <w:color w:val="auto"/>
                <w:sz w:val="24"/>
                <w:lang w:eastAsia="zh-CN"/>
              </w:rPr>
              <w:t>（</w:t>
            </w:r>
            <w:r>
              <w:rPr>
                <w:rFonts w:hint="eastAsia"/>
                <w:color w:val="auto"/>
                <w:sz w:val="24"/>
              </w:rPr>
              <w:t>见附图</w:t>
            </w:r>
            <w:r>
              <w:rPr>
                <w:rFonts w:hint="eastAsia"/>
                <w:color w:val="auto"/>
                <w:sz w:val="24"/>
                <w:lang w:val="en-US" w:eastAsia="zh-CN"/>
              </w:rPr>
              <w:t>3</w:t>
            </w:r>
            <w:r>
              <w:rPr>
                <w:rFonts w:hint="eastAsia"/>
                <w:color w:val="auto"/>
                <w:sz w:val="24"/>
                <w:lang w:eastAsia="zh-CN"/>
              </w:rPr>
              <w:t>）</w:t>
            </w:r>
            <w:r>
              <w:rPr>
                <w:rFonts w:hint="eastAsia"/>
                <w:color w:val="auto"/>
                <w:sz w:val="24"/>
              </w:rPr>
              <w:t>，项目功能分区明确，其中</w:t>
            </w:r>
            <w:r>
              <w:rPr>
                <w:rFonts w:hint="eastAsia"/>
                <w:color w:val="auto"/>
                <w:sz w:val="24"/>
                <w:lang w:val="en-US" w:eastAsia="zh-CN"/>
              </w:rPr>
              <w:t>石墨烘干车间位于厂房东侧和北侧，锅炉房位于厂房东侧，新建库房位于厂房中部，纳米材料车间位于厂房南侧，石墨烘干筛分车间位于厂房西南侧，浴室位于厂房西侧，化验室位于浴室北侧，办公室位于化验室北侧</w:t>
            </w:r>
            <w:r>
              <w:rPr>
                <w:rFonts w:hint="eastAsia"/>
                <w:color w:val="auto"/>
                <w:sz w:val="24"/>
              </w:rPr>
              <w:t>，符合安全、消防的要求。另外，项目锅炉房锅炉废气经收集处理后通过排气筒达标排放，对周边环境影响较小。</w:t>
            </w:r>
          </w:p>
          <w:p w14:paraId="63FEBC33">
            <w:pPr>
              <w:pStyle w:val="10"/>
              <w:adjustRightInd w:val="0"/>
              <w:snapToGrid w:val="0"/>
              <w:spacing w:after="0" w:line="360" w:lineRule="auto"/>
              <w:ind w:firstLine="480" w:firstLineChars="200"/>
              <w:rPr>
                <w:rFonts w:cs="宋体"/>
                <w:bCs/>
                <w:color w:val="auto"/>
                <w:szCs w:val="21"/>
              </w:rPr>
            </w:pPr>
            <w:r>
              <w:rPr>
                <w:rFonts w:hint="eastAsia"/>
                <w:color w:val="auto"/>
                <w:sz w:val="24"/>
              </w:rPr>
              <w:t>综上，项目厂区平面布置基本合理，可将锅炉运行过程对周边环境造成的影响降低到最小。</w:t>
            </w:r>
          </w:p>
        </w:tc>
      </w:tr>
      <w:tr w14:paraId="6DE501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1" w:hRule="atLeast"/>
          <w:jc w:val="center"/>
        </w:trPr>
        <w:tc>
          <w:tcPr>
            <w:tcW w:w="720" w:type="dxa"/>
            <w:vAlign w:val="center"/>
          </w:tcPr>
          <w:p w14:paraId="16630F92">
            <w:pPr>
              <w:pStyle w:val="16"/>
              <w:adjustRightInd w:val="0"/>
              <w:snapToGrid w:val="0"/>
              <w:rPr>
                <w:rFonts w:ascii="Times New Roman" w:hAnsi="Times New Roman" w:cs="宋体"/>
                <w:color w:val="auto"/>
                <w:szCs w:val="24"/>
              </w:rPr>
            </w:pPr>
            <w:r>
              <w:rPr>
                <w:rFonts w:hint="eastAsia" w:ascii="Times New Roman" w:hAnsi="Times New Roman" w:cs="宋体"/>
                <w:bCs/>
                <w:color w:val="auto"/>
                <w:kern w:val="2"/>
                <w:szCs w:val="21"/>
              </w:rPr>
              <w:t>工艺流程和产排污环节</w:t>
            </w:r>
          </w:p>
        </w:tc>
        <w:tc>
          <w:tcPr>
            <w:tcW w:w="8340" w:type="dxa"/>
          </w:tcPr>
          <w:p w14:paraId="691C3D30">
            <w:pPr>
              <w:pStyle w:val="19"/>
              <w:spacing w:after="0" w:line="360" w:lineRule="auto"/>
              <w:ind w:left="0" w:leftChars="0"/>
              <w:rPr>
                <w:b/>
                <w:bCs/>
                <w:color w:val="auto"/>
                <w:sz w:val="24"/>
                <w:szCs w:val="20"/>
              </w:rPr>
            </w:pPr>
            <w:bookmarkStart w:id="4" w:name="_Toc388882371"/>
            <w:bookmarkStart w:id="5" w:name="_Toc414816027"/>
            <w:bookmarkStart w:id="6" w:name="_Toc404437502"/>
            <w:bookmarkStart w:id="7" w:name="_Toc404437928"/>
            <w:bookmarkStart w:id="8" w:name="_Toc407620579"/>
            <w:r>
              <w:rPr>
                <w:b/>
                <w:bCs/>
                <w:color w:val="auto"/>
                <w:sz w:val="24"/>
                <w:szCs w:val="20"/>
              </w:rPr>
              <w:t>工艺流程简述：</w:t>
            </w:r>
          </w:p>
          <w:bookmarkEnd w:id="4"/>
          <w:bookmarkEnd w:id="5"/>
          <w:bookmarkEnd w:id="6"/>
          <w:bookmarkEnd w:id="7"/>
          <w:bookmarkEnd w:id="8"/>
          <w:p w14:paraId="58377AEA">
            <w:pPr>
              <w:adjustRightInd w:val="0"/>
              <w:snapToGrid w:val="0"/>
              <w:spacing w:line="360" w:lineRule="auto"/>
              <w:ind w:firstLine="480" w:firstLineChars="200"/>
              <w:textAlignment w:val="baseline"/>
              <w:rPr>
                <w:rFonts w:hint="eastAsia" w:ascii="Times New Roman" w:hAnsi="Times New Roman" w:cs="Times New Roman"/>
                <w:color w:val="auto"/>
                <w:sz w:val="24"/>
              </w:rPr>
            </w:pPr>
            <w:bookmarkStart w:id="9" w:name="_Hlk84352697"/>
            <w:r>
              <w:rPr>
                <w:rFonts w:hint="eastAsia" w:ascii="Times New Roman" w:hAnsi="Times New Roman" w:cs="Times New Roman"/>
                <w:color w:val="auto"/>
                <w:sz w:val="24"/>
                <w:lang w:val="en-US" w:eastAsia="zh-CN"/>
              </w:rPr>
              <w:t>锅炉房使用生物质成型燃料为燃料，原料由供应商负责经汽车运至锅炉房内暂存。生物质成型燃料在锅炉内进行燃烧，加热锅炉内的导热油，高温油释放热量供生产使用。</w:t>
            </w:r>
          </w:p>
          <w:p w14:paraId="34C7B37E">
            <w:pPr>
              <w:adjustRightInd w:val="0"/>
              <w:snapToGrid w:val="0"/>
              <w:spacing w:line="360" w:lineRule="auto"/>
              <w:ind w:firstLine="480" w:firstLineChars="200"/>
              <w:textAlignment w:val="baseline"/>
              <w:rPr>
                <w:color w:val="auto"/>
                <w:sz w:val="24"/>
              </w:rPr>
            </w:pPr>
            <w:r>
              <w:rPr>
                <w:color w:val="auto"/>
                <w:sz w:val="24"/>
              </w:rPr>
              <w:t>工艺流程及产污节点图见图2-</w:t>
            </w:r>
            <w:r>
              <w:rPr>
                <w:rFonts w:hint="eastAsia"/>
                <w:color w:val="auto"/>
                <w:sz w:val="24"/>
                <w:lang w:val="en-US" w:eastAsia="zh-CN"/>
              </w:rPr>
              <w:t>2</w:t>
            </w:r>
            <w:r>
              <w:rPr>
                <w:color w:val="auto"/>
                <w:sz w:val="24"/>
              </w:rPr>
              <w:t>。</w:t>
            </w:r>
          </w:p>
          <w:p w14:paraId="3C534C06">
            <w:pPr>
              <w:adjustRightInd w:val="0"/>
              <w:snapToGrid w:val="0"/>
              <w:jc w:val="center"/>
              <w:rPr>
                <w:rFonts w:hint="eastAsia" w:eastAsia="宋体"/>
                <w:color w:val="auto"/>
                <w:lang w:eastAsia="zh-CN"/>
              </w:rPr>
            </w:pPr>
            <w:r>
              <w:rPr>
                <w:rFonts w:hint="eastAsia" w:eastAsia="宋体"/>
                <w:color w:val="auto"/>
                <w:lang w:eastAsia="zh-CN"/>
              </w:rPr>
              <w:drawing>
                <wp:inline distT="0" distB="0" distL="114300" distR="114300">
                  <wp:extent cx="4199890" cy="1852295"/>
                  <wp:effectExtent l="0" t="0" r="10160" b="14605"/>
                  <wp:docPr id="82" name="图片 82" descr="工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工艺"/>
                          <pic:cNvPicPr>
                            <a:picLocks noChangeAspect="1"/>
                          </pic:cNvPicPr>
                        </pic:nvPicPr>
                        <pic:blipFill>
                          <a:blip r:embed="rId12"/>
                          <a:stretch>
                            <a:fillRect/>
                          </a:stretch>
                        </pic:blipFill>
                        <pic:spPr>
                          <a:xfrm>
                            <a:off x="0" y="0"/>
                            <a:ext cx="4199890" cy="1852295"/>
                          </a:xfrm>
                          <a:prstGeom prst="rect">
                            <a:avLst/>
                          </a:prstGeom>
                        </pic:spPr>
                      </pic:pic>
                    </a:graphicData>
                  </a:graphic>
                </wp:inline>
              </w:drawing>
            </w:r>
          </w:p>
          <w:p w14:paraId="3E245697">
            <w:pPr>
              <w:pStyle w:val="33"/>
              <w:spacing w:line="240" w:lineRule="auto"/>
              <w:ind w:firstLine="422"/>
              <w:jc w:val="center"/>
              <w:rPr>
                <w:b/>
                <w:bCs/>
                <w:color w:val="auto"/>
                <w:kern w:val="0"/>
                <w:szCs w:val="21"/>
              </w:rPr>
            </w:pPr>
            <w:r>
              <w:rPr>
                <w:b/>
                <w:bCs/>
                <w:color w:val="auto"/>
                <w:kern w:val="0"/>
                <w:szCs w:val="21"/>
              </w:rPr>
              <w:t>图2-</w:t>
            </w:r>
            <w:r>
              <w:rPr>
                <w:rFonts w:hint="eastAsia"/>
                <w:b/>
                <w:bCs/>
                <w:color w:val="auto"/>
                <w:kern w:val="0"/>
                <w:szCs w:val="21"/>
                <w:lang w:val="en-US" w:eastAsia="zh-CN"/>
              </w:rPr>
              <w:t>2</w:t>
            </w:r>
            <w:r>
              <w:rPr>
                <w:rFonts w:hint="eastAsia"/>
                <w:b/>
                <w:bCs/>
                <w:color w:val="auto"/>
                <w:kern w:val="0"/>
                <w:szCs w:val="21"/>
              </w:rPr>
              <w:t xml:space="preserve">  </w:t>
            </w:r>
            <w:r>
              <w:rPr>
                <w:b/>
                <w:bCs/>
                <w:color w:val="auto"/>
                <w:kern w:val="0"/>
                <w:szCs w:val="21"/>
              </w:rPr>
              <w:t>工艺流程及产排污节点图</w:t>
            </w:r>
            <w:bookmarkEnd w:id="9"/>
          </w:p>
          <w:p w14:paraId="1BEA53CE">
            <w:pPr>
              <w:pStyle w:val="81"/>
              <w:adjustRightInd w:val="0"/>
              <w:spacing w:line="360" w:lineRule="exact"/>
              <w:rPr>
                <w:rFonts w:ascii="Times New Roman"/>
                <w:bCs/>
                <w:iCs/>
                <w:color w:val="auto"/>
                <w:sz w:val="21"/>
                <w:szCs w:val="21"/>
              </w:rPr>
            </w:pPr>
            <w:r>
              <w:rPr>
                <w:rFonts w:ascii="Times New Roman"/>
                <w:bCs/>
                <w:iCs/>
                <w:color w:val="auto"/>
                <w:sz w:val="21"/>
                <w:szCs w:val="21"/>
              </w:rPr>
              <w:t>表2-</w:t>
            </w:r>
            <w:r>
              <w:rPr>
                <w:rFonts w:hint="eastAsia" w:ascii="Times New Roman"/>
                <w:bCs/>
                <w:iCs/>
                <w:color w:val="auto"/>
                <w:sz w:val="21"/>
                <w:szCs w:val="21"/>
                <w:lang w:val="en-US" w:eastAsia="zh-CN"/>
              </w:rPr>
              <w:t>7</w:t>
            </w:r>
            <w:r>
              <w:rPr>
                <w:rFonts w:ascii="Times New Roman"/>
                <w:bCs/>
                <w:iCs/>
                <w:color w:val="auto"/>
                <w:sz w:val="21"/>
                <w:szCs w:val="21"/>
              </w:rPr>
              <w:t xml:space="preserve">  营运期主要污染工序一览表</w:t>
            </w:r>
          </w:p>
          <w:tbl>
            <w:tblPr>
              <w:tblStyle w:val="39"/>
              <w:tblW w:w="497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49"/>
              <w:gridCol w:w="1488"/>
              <w:gridCol w:w="2142"/>
              <w:gridCol w:w="3111"/>
            </w:tblGrid>
            <w:tr w14:paraId="4A31B0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9" w:type="dxa"/>
                  <w:vAlign w:val="center"/>
                </w:tcPr>
                <w:p w14:paraId="3E3C0E13">
                  <w:pPr>
                    <w:adjustRightInd w:val="0"/>
                    <w:snapToGrid w:val="0"/>
                    <w:spacing w:line="360" w:lineRule="exact"/>
                    <w:jc w:val="center"/>
                    <w:rPr>
                      <w:b/>
                      <w:bCs/>
                      <w:color w:val="auto"/>
                      <w:szCs w:val="21"/>
                    </w:rPr>
                  </w:pPr>
                  <w:r>
                    <w:rPr>
                      <w:b/>
                      <w:bCs/>
                      <w:color w:val="auto"/>
                      <w:szCs w:val="21"/>
                    </w:rPr>
                    <w:t>污染类别</w:t>
                  </w:r>
                </w:p>
              </w:tc>
              <w:tc>
                <w:tcPr>
                  <w:tcW w:w="1488" w:type="dxa"/>
                  <w:vAlign w:val="center"/>
                </w:tcPr>
                <w:p w14:paraId="14FCF9A4">
                  <w:pPr>
                    <w:adjustRightInd w:val="0"/>
                    <w:snapToGrid w:val="0"/>
                    <w:spacing w:line="360" w:lineRule="exact"/>
                    <w:jc w:val="center"/>
                    <w:rPr>
                      <w:b/>
                      <w:bCs/>
                      <w:color w:val="auto"/>
                      <w:szCs w:val="21"/>
                    </w:rPr>
                  </w:pPr>
                  <w:r>
                    <w:rPr>
                      <w:b/>
                      <w:bCs/>
                      <w:color w:val="auto"/>
                      <w:szCs w:val="21"/>
                    </w:rPr>
                    <w:t>主要污染源</w:t>
                  </w:r>
                </w:p>
              </w:tc>
              <w:tc>
                <w:tcPr>
                  <w:tcW w:w="2142" w:type="dxa"/>
                  <w:vAlign w:val="center"/>
                </w:tcPr>
                <w:p w14:paraId="7741F839">
                  <w:pPr>
                    <w:adjustRightInd w:val="0"/>
                    <w:snapToGrid w:val="0"/>
                    <w:spacing w:line="360" w:lineRule="exact"/>
                    <w:jc w:val="center"/>
                    <w:rPr>
                      <w:b/>
                      <w:bCs/>
                      <w:color w:val="auto"/>
                      <w:szCs w:val="21"/>
                    </w:rPr>
                  </w:pPr>
                  <w:r>
                    <w:rPr>
                      <w:b/>
                      <w:bCs/>
                      <w:color w:val="auto"/>
                      <w:szCs w:val="21"/>
                    </w:rPr>
                    <w:t>产生工序</w:t>
                  </w:r>
                </w:p>
              </w:tc>
              <w:tc>
                <w:tcPr>
                  <w:tcW w:w="3111" w:type="dxa"/>
                  <w:vAlign w:val="center"/>
                </w:tcPr>
                <w:p w14:paraId="61DD0ECE">
                  <w:pPr>
                    <w:adjustRightInd w:val="0"/>
                    <w:snapToGrid w:val="0"/>
                    <w:spacing w:line="360" w:lineRule="exact"/>
                    <w:jc w:val="center"/>
                    <w:rPr>
                      <w:b/>
                      <w:bCs/>
                      <w:color w:val="auto"/>
                      <w:szCs w:val="21"/>
                    </w:rPr>
                  </w:pPr>
                  <w:r>
                    <w:rPr>
                      <w:b/>
                      <w:bCs/>
                      <w:color w:val="auto"/>
                      <w:szCs w:val="21"/>
                    </w:rPr>
                    <w:t>主要污染因子</w:t>
                  </w:r>
                </w:p>
              </w:tc>
            </w:tr>
            <w:tr w14:paraId="31A93D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1349" w:type="dxa"/>
                  <w:vAlign w:val="center"/>
                </w:tcPr>
                <w:p w14:paraId="03699939">
                  <w:pPr>
                    <w:adjustRightInd w:val="0"/>
                    <w:snapToGrid w:val="0"/>
                    <w:spacing w:line="360" w:lineRule="exact"/>
                    <w:jc w:val="center"/>
                    <w:rPr>
                      <w:color w:val="auto"/>
                      <w:szCs w:val="21"/>
                    </w:rPr>
                  </w:pPr>
                  <w:r>
                    <w:rPr>
                      <w:color w:val="auto"/>
                      <w:szCs w:val="21"/>
                    </w:rPr>
                    <w:t>废气</w:t>
                  </w:r>
                </w:p>
              </w:tc>
              <w:tc>
                <w:tcPr>
                  <w:tcW w:w="1488" w:type="dxa"/>
                  <w:vAlign w:val="center"/>
                </w:tcPr>
                <w:p w14:paraId="41270B13">
                  <w:pPr>
                    <w:adjustRightInd w:val="0"/>
                    <w:snapToGrid w:val="0"/>
                    <w:spacing w:line="360" w:lineRule="exact"/>
                    <w:jc w:val="center"/>
                    <w:rPr>
                      <w:rFonts w:hint="default" w:eastAsia="宋体"/>
                      <w:color w:val="auto"/>
                      <w:szCs w:val="21"/>
                      <w:lang w:val="en-US" w:eastAsia="zh-CN"/>
                    </w:rPr>
                  </w:pPr>
                  <w:r>
                    <w:rPr>
                      <w:rFonts w:hint="eastAsia"/>
                      <w:color w:val="auto"/>
                      <w:szCs w:val="21"/>
                      <w:lang w:val="en-US" w:eastAsia="zh-CN"/>
                    </w:rPr>
                    <w:t>燃生物质导热油炉</w:t>
                  </w:r>
                </w:p>
              </w:tc>
              <w:tc>
                <w:tcPr>
                  <w:tcW w:w="2142" w:type="dxa"/>
                  <w:shd w:val="clear" w:color="auto" w:fill="auto"/>
                  <w:vAlign w:val="center"/>
                </w:tcPr>
                <w:p w14:paraId="77DA6518">
                  <w:pPr>
                    <w:adjustRightInd w:val="0"/>
                    <w:snapToGrid w:val="0"/>
                    <w:spacing w:line="360" w:lineRule="exact"/>
                    <w:jc w:val="center"/>
                    <w:rPr>
                      <w:rFonts w:hint="default" w:ascii="Times New Roman" w:hAnsi="Times New Roman" w:eastAsia="宋体" w:cs="Times New Roman"/>
                      <w:color w:val="auto"/>
                      <w:kern w:val="2"/>
                      <w:sz w:val="21"/>
                      <w:szCs w:val="21"/>
                      <w:lang w:val="zh-CN" w:eastAsia="zh-CN" w:bidi="ar-SA"/>
                    </w:rPr>
                  </w:pPr>
                  <w:r>
                    <w:rPr>
                      <w:rFonts w:hint="eastAsia"/>
                      <w:color w:val="auto"/>
                      <w:szCs w:val="21"/>
                      <w:lang w:val="en-US" w:eastAsia="zh-CN"/>
                    </w:rPr>
                    <w:t>供热</w:t>
                  </w:r>
                </w:p>
              </w:tc>
              <w:tc>
                <w:tcPr>
                  <w:tcW w:w="3111" w:type="dxa"/>
                  <w:shd w:val="clear" w:color="auto" w:fill="auto"/>
                  <w:vAlign w:val="center"/>
                </w:tcPr>
                <w:p w14:paraId="450B6B84">
                  <w:pPr>
                    <w:adjustRightInd w:val="0"/>
                    <w:snapToGrid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rPr>
                    <w:t>颗粒物</w:t>
                  </w:r>
                  <w:r>
                    <w:rPr>
                      <w:rFonts w:hint="eastAsia"/>
                      <w:color w:val="auto"/>
                      <w:szCs w:val="21"/>
                      <w:lang w:eastAsia="zh-CN"/>
                    </w:rPr>
                    <w:t>、</w:t>
                  </w:r>
                  <w:r>
                    <w:rPr>
                      <w:rFonts w:hint="eastAsia"/>
                      <w:color w:val="auto"/>
                      <w:szCs w:val="21"/>
                      <w:lang w:val="en-US" w:eastAsia="zh-CN"/>
                    </w:rPr>
                    <w:t>SO</w:t>
                  </w:r>
                  <w:r>
                    <w:rPr>
                      <w:rFonts w:hint="eastAsia"/>
                      <w:color w:val="auto"/>
                      <w:szCs w:val="21"/>
                      <w:vertAlign w:val="subscript"/>
                      <w:lang w:val="en-US" w:eastAsia="zh-CN"/>
                    </w:rPr>
                    <w:t>2</w:t>
                  </w:r>
                  <w:r>
                    <w:rPr>
                      <w:rFonts w:hint="eastAsia"/>
                      <w:color w:val="auto"/>
                      <w:szCs w:val="21"/>
                      <w:lang w:val="en-US" w:eastAsia="zh-CN"/>
                    </w:rPr>
                    <w:t>、NOx、烟气黑度、汞及其化合物</w:t>
                  </w:r>
                </w:p>
              </w:tc>
            </w:tr>
            <w:tr w14:paraId="0829B6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5" w:hRule="atLeast"/>
                <w:jc w:val="center"/>
              </w:trPr>
              <w:tc>
                <w:tcPr>
                  <w:tcW w:w="1349" w:type="dxa"/>
                  <w:vAlign w:val="center"/>
                </w:tcPr>
                <w:p w14:paraId="1C7E327F">
                  <w:pPr>
                    <w:adjustRightInd w:val="0"/>
                    <w:snapToGrid w:val="0"/>
                    <w:spacing w:line="360" w:lineRule="exact"/>
                    <w:jc w:val="center"/>
                    <w:rPr>
                      <w:color w:val="auto"/>
                      <w:szCs w:val="21"/>
                    </w:rPr>
                  </w:pPr>
                  <w:r>
                    <w:rPr>
                      <w:color w:val="auto"/>
                      <w:szCs w:val="21"/>
                    </w:rPr>
                    <w:t>噪声</w:t>
                  </w:r>
                </w:p>
              </w:tc>
              <w:tc>
                <w:tcPr>
                  <w:tcW w:w="1488" w:type="dxa"/>
                  <w:vAlign w:val="center"/>
                </w:tcPr>
                <w:p w14:paraId="15145679">
                  <w:pPr>
                    <w:autoSpaceDE w:val="0"/>
                    <w:autoSpaceDN w:val="0"/>
                    <w:adjustRightInd w:val="0"/>
                    <w:snapToGrid w:val="0"/>
                    <w:spacing w:line="360" w:lineRule="exact"/>
                    <w:jc w:val="center"/>
                    <w:rPr>
                      <w:color w:val="auto"/>
                      <w:kern w:val="0"/>
                      <w:szCs w:val="21"/>
                    </w:rPr>
                  </w:pPr>
                  <w:r>
                    <w:rPr>
                      <w:rFonts w:hint="eastAsia"/>
                      <w:color w:val="auto"/>
                      <w:szCs w:val="21"/>
                      <w:lang w:val="en-US" w:eastAsia="zh-CN"/>
                    </w:rPr>
                    <w:t>燃生物质导热油炉</w:t>
                  </w:r>
                </w:p>
              </w:tc>
              <w:tc>
                <w:tcPr>
                  <w:tcW w:w="2142" w:type="dxa"/>
                  <w:vAlign w:val="center"/>
                </w:tcPr>
                <w:p w14:paraId="4C15A01C">
                  <w:pPr>
                    <w:adjustRightInd w:val="0"/>
                    <w:snapToGrid w:val="0"/>
                    <w:spacing w:line="360" w:lineRule="exact"/>
                    <w:jc w:val="center"/>
                    <w:rPr>
                      <w:rFonts w:hint="default" w:eastAsia="宋体"/>
                      <w:color w:val="auto"/>
                      <w:kern w:val="0"/>
                      <w:szCs w:val="21"/>
                      <w:lang w:val="en-US" w:eastAsia="zh-CN"/>
                    </w:rPr>
                  </w:pPr>
                  <w:r>
                    <w:rPr>
                      <w:rFonts w:hint="eastAsia"/>
                      <w:color w:val="auto"/>
                      <w:szCs w:val="21"/>
                      <w:lang w:val="en-US" w:eastAsia="zh-CN"/>
                    </w:rPr>
                    <w:t>燃生物质导热油炉</w:t>
                  </w:r>
                  <w:r>
                    <w:rPr>
                      <w:rFonts w:hint="eastAsia"/>
                      <w:color w:val="auto"/>
                      <w:kern w:val="0"/>
                      <w:szCs w:val="21"/>
                      <w:lang w:val="en-US" w:eastAsia="zh-CN"/>
                    </w:rPr>
                    <w:t>、风机</w:t>
                  </w:r>
                </w:p>
              </w:tc>
              <w:tc>
                <w:tcPr>
                  <w:tcW w:w="3111" w:type="dxa"/>
                  <w:vAlign w:val="center"/>
                </w:tcPr>
                <w:p w14:paraId="70CA33AF">
                  <w:pPr>
                    <w:adjustRightInd w:val="0"/>
                    <w:snapToGrid w:val="0"/>
                    <w:spacing w:line="360" w:lineRule="exact"/>
                    <w:jc w:val="center"/>
                    <w:rPr>
                      <w:color w:val="auto"/>
                      <w:szCs w:val="21"/>
                    </w:rPr>
                  </w:pPr>
                  <w:r>
                    <w:rPr>
                      <w:color w:val="auto"/>
                      <w:szCs w:val="21"/>
                    </w:rPr>
                    <w:t>噪声</w:t>
                  </w:r>
                </w:p>
              </w:tc>
            </w:tr>
            <w:tr w14:paraId="176225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1349" w:type="dxa"/>
                  <w:vMerge w:val="restart"/>
                  <w:vAlign w:val="center"/>
                </w:tcPr>
                <w:p w14:paraId="7E3EF2A4">
                  <w:pPr>
                    <w:adjustRightInd w:val="0"/>
                    <w:snapToGrid w:val="0"/>
                    <w:spacing w:line="360" w:lineRule="exact"/>
                    <w:jc w:val="center"/>
                    <w:rPr>
                      <w:color w:val="auto"/>
                      <w:szCs w:val="21"/>
                    </w:rPr>
                  </w:pPr>
                  <w:r>
                    <w:rPr>
                      <w:color w:val="auto"/>
                      <w:szCs w:val="21"/>
                    </w:rPr>
                    <w:t>固体废物</w:t>
                  </w:r>
                </w:p>
              </w:tc>
              <w:tc>
                <w:tcPr>
                  <w:tcW w:w="1488" w:type="dxa"/>
                  <w:vAlign w:val="center"/>
                </w:tcPr>
                <w:p w14:paraId="7A415078">
                  <w:pPr>
                    <w:adjustRightInd w:val="0"/>
                    <w:snapToGrid w:val="0"/>
                    <w:spacing w:line="360" w:lineRule="exact"/>
                    <w:jc w:val="center"/>
                    <w:rPr>
                      <w:color w:val="auto"/>
                      <w:szCs w:val="21"/>
                    </w:rPr>
                  </w:pPr>
                  <w:r>
                    <w:rPr>
                      <w:rFonts w:hint="eastAsia"/>
                      <w:color w:val="auto"/>
                      <w:szCs w:val="21"/>
                      <w:lang w:val="en-US" w:eastAsia="zh-CN"/>
                    </w:rPr>
                    <w:t>燃生物质导热油炉</w:t>
                  </w:r>
                </w:p>
              </w:tc>
              <w:tc>
                <w:tcPr>
                  <w:tcW w:w="2142" w:type="dxa"/>
                  <w:vAlign w:val="center"/>
                </w:tcPr>
                <w:p w14:paraId="41FDD172">
                  <w:pPr>
                    <w:adjustRightInd w:val="0"/>
                    <w:snapToGrid w:val="0"/>
                    <w:spacing w:line="360" w:lineRule="exact"/>
                    <w:jc w:val="center"/>
                    <w:rPr>
                      <w:rFonts w:hint="eastAsia" w:ascii="Times New Roman" w:hAnsi="Times New Roman" w:eastAsia="宋体" w:cs="Times New Roman"/>
                      <w:color w:val="auto"/>
                      <w:szCs w:val="21"/>
                      <w:lang w:eastAsia="zh-CN"/>
                    </w:rPr>
                  </w:pPr>
                  <w:r>
                    <w:rPr>
                      <w:rFonts w:hint="eastAsia" w:ascii="Times New Roman" w:hAnsi="Times New Roman" w:eastAsia="宋体" w:cs="Times New Roman"/>
                      <w:color w:val="auto"/>
                      <w:szCs w:val="21"/>
                      <w:lang w:val="en-US" w:eastAsia="zh-CN"/>
                    </w:rPr>
                    <w:t>供热</w:t>
                  </w:r>
                </w:p>
              </w:tc>
              <w:tc>
                <w:tcPr>
                  <w:tcW w:w="3111" w:type="dxa"/>
                  <w:vAlign w:val="center"/>
                </w:tcPr>
                <w:p w14:paraId="4C97E2A1">
                  <w:pPr>
                    <w:adjustRightInd w:val="0"/>
                    <w:snapToGrid w:val="0"/>
                    <w:spacing w:line="360" w:lineRule="exact"/>
                    <w:jc w:val="center"/>
                    <w:rPr>
                      <w:rFonts w:hint="default" w:ascii="Times New Roman" w:hAnsi="Times New Roman" w:eastAsia="宋体" w:cs="Times New Roman"/>
                      <w:color w:val="auto"/>
                      <w:szCs w:val="21"/>
                      <w:lang w:val="en-US"/>
                    </w:rPr>
                  </w:pPr>
                  <w:r>
                    <w:rPr>
                      <w:rFonts w:hint="eastAsia" w:cs="Times New Roman"/>
                      <w:color w:val="auto"/>
                      <w:szCs w:val="21"/>
                      <w:lang w:val="en-US" w:eastAsia="zh-CN"/>
                    </w:rPr>
                    <w:t>除尘器</w:t>
                  </w:r>
                  <w:r>
                    <w:rPr>
                      <w:rFonts w:hint="eastAsia" w:ascii="Times New Roman" w:hAnsi="Times New Roman" w:eastAsia="宋体" w:cs="Times New Roman"/>
                      <w:color w:val="auto"/>
                      <w:szCs w:val="21"/>
                      <w:lang w:eastAsia="zh-CN"/>
                    </w:rPr>
                    <w:t>除尘灰、锅炉灰渣</w:t>
                  </w:r>
                  <w:r>
                    <w:rPr>
                      <w:rFonts w:hint="eastAsia" w:cs="Times New Roman"/>
                      <w:color w:val="auto"/>
                      <w:szCs w:val="21"/>
                      <w:lang w:eastAsia="zh-CN"/>
                    </w:rPr>
                    <w:t>、</w:t>
                  </w:r>
                  <w:r>
                    <w:rPr>
                      <w:rFonts w:hint="eastAsia" w:cs="Times New Roman"/>
                      <w:color w:val="auto"/>
                      <w:szCs w:val="21"/>
                      <w:lang w:val="en-US" w:eastAsia="zh-CN"/>
                    </w:rPr>
                    <w:t>废布袋、</w:t>
                  </w:r>
                  <w:r>
                    <w:rPr>
                      <w:rFonts w:hint="eastAsia" w:cs="Times New Roman"/>
                      <w:color w:val="auto"/>
                      <w:szCs w:val="21"/>
                      <w:lang w:eastAsia="zh-CN"/>
                    </w:rPr>
                    <w:t>废导热油</w:t>
                  </w:r>
                </w:p>
              </w:tc>
            </w:tr>
            <w:tr w14:paraId="288C0F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1349" w:type="dxa"/>
                  <w:vMerge w:val="continue"/>
                  <w:vAlign w:val="center"/>
                </w:tcPr>
                <w:p w14:paraId="38FCAC1A">
                  <w:pPr>
                    <w:adjustRightInd w:val="0"/>
                    <w:snapToGrid w:val="0"/>
                    <w:spacing w:line="360" w:lineRule="exact"/>
                    <w:jc w:val="center"/>
                    <w:rPr>
                      <w:color w:val="auto"/>
                      <w:szCs w:val="21"/>
                    </w:rPr>
                  </w:pPr>
                </w:p>
              </w:tc>
              <w:tc>
                <w:tcPr>
                  <w:tcW w:w="1488" w:type="dxa"/>
                  <w:vAlign w:val="center"/>
                </w:tcPr>
                <w:p w14:paraId="641A287E">
                  <w:pPr>
                    <w:adjustRightInd w:val="0"/>
                    <w:snapToGrid w:val="0"/>
                    <w:spacing w:line="360" w:lineRule="exact"/>
                    <w:jc w:val="center"/>
                    <w:rPr>
                      <w:rFonts w:hint="default"/>
                      <w:color w:val="auto"/>
                      <w:szCs w:val="21"/>
                      <w:lang w:val="en-US" w:eastAsia="zh-CN"/>
                    </w:rPr>
                  </w:pPr>
                  <w:r>
                    <w:rPr>
                      <w:rFonts w:hint="eastAsia"/>
                      <w:color w:val="auto"/>
                      <w:szCs w:val="21"/>
                      <w:lang w:val="en-US" w:eastAsia="zh-CN"/>
                    </w:rPr>
                    <w:t>设备维修</w:t>
                  </w:r>
                </w:p>
              </w:tc>
              <w:tc>
                <w:tcPr>
                  <w:tcW w:w="2142" w:type="dxa"/>
                  <w:vAlign w:val="center"/>
                </w:tcPr>
                <w:p w14:paraId="7F8B1E7B">
                  <w:pPr>
                    <w:adjustRightInd w:val="0"/>
                    <w:snapToGrid w:val="0"/>
                    <w:spacing w:line="360" w:lineRule="exact"/>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设备维修</w:t>
                  </w:r>
                </w:p>
              </w:tc>
              <w:tc>
                <w:tcPr>
                  <w:tcW w:w="3111" w:type="dxa"/>
                  <w:vAlign w:val="center"/>
                </w:tcPr>
                <w:p w14:paraId="3207B390">
                  <w:pPr>
                    <w:adjustRightInd w:val="0"/>
                    <w:snapToGrid w:val="0"/>
                    <w:spacing w:line="360" w:lineRule="exact"/>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废机油</w:t>
                  </w:r>
                </w:p>
              </w:tc>
            </w:tr>
          </w:tbl>
          <w:p w14:paraId="6A0E6986">
            <w:pPr>
              <w:spacing w:line="360" w:lineRule="auto"/>
              <w:jc w:val="left"/>
              <w:rPr>
                <w:bCs/>
                <w:color w:val="auto"/>
                <w:sz w:val="24"/>
              </w:rPr>
            </w:pPr>
          </w:p>
        </w:tc>
      </w:tr>
      <w:tr w14:paraId="7FE79F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86" w:hRule="atLeast"/>
          <w:jc w:val="center"/>
        </w:trPr>
        <w:tc>
          <w:tcPr>
            <w:tcW w:w="720" w:type="dxa"/>
            <w:vAlign w:val="center"/>
          </w:tcPr>
          <w:p w14:paraId="02A39452">
            <w:pPr>
              <w:pStyle w:val="16"/>
              <w:adjustRightInd w:val="0"/>
              <w:snapToGrid w:val="0"/>
              <w:rPr>
                <w:rFonts w:ascii="Times New Roman" w:hAnsi="Times New Roman" w:cs="宋体"/>
                <w:bCs/>
                <w:color w:val="auto"/>
                <w:kern w:val="2"/>
                <w:szCs w:val="21"/>
              </w:rPr>
            </w:pPr>
            <w:r>
              <w:rPr>
                <w:rFonts w:ascii="Times New Roman" w:hAnsi="Times New Roman"/>
                <w:bCs/>
                <w:color w:val="auto"/>
                <w:szCs w:val="21"/>
              </w:rPr>
              <w:t>与项目有关的原有环境污染问题</w:t>
            </w:r>
          </w:p>
        </w:tc>
        <w:tc>
          <w:tcPr>
            <w:tcW w:w="8340" w:type="dxa"/>
          </w:tcPr>
          <w:p w14:paraId="00BA7C43">
            <w:pPr>
              <w:keepNext w:val="0"/>
              <w:keepLines w:val="0"/>
              <w:pageBreakBefore w:val="0"/>
              <w:widowControl w:val="0"/>
              <w:kinsoku/>
              <w:wordWrap w:val="0"/>
              <w:overflowPunct/>
              <w:topLinePunct w:val="0"/>
              <w:autoSpaceDE/>
              <w:autoSpaceDN/>
              <w:bidi w:val="0"/>
              <w:adjustRightInd/>
              <w:snapToGrid/>
              <w:spacing w:line="520" w:lineRule="exact"/>
              <w:ind w:firstLine="496" w:firstLineChars="200"/>
              <w:textAlignment w:val="auto"/>
              <w:rPr>
                <w:rFonts w:hint="default"/>
                <w:color w:val="auto"/>
                <w:spacing w:val="4"/>
                <w:sz w:val="24"/>
                <w:highlight w:val="none"/>
                <w:lang w:val="en-US" w:eastAsia="zh-CN"/>
              </w:rPr>
            </w:pPr>
            <w:r>
              <w:rPr>
                <w:rFonts w:hint="eastAsia"/>
                <w:color w:val="auto"/>
                <w:spacing w:val="4"/>
                <w:sz w:val="24"/>
                <w:highlight w:val="none"/>
                <w:lang w:val="en-US" w:eastAsia="zh-CN"/>
              </w:rPr>
              <w:t>一、现有工程概况</w:t>
            </w:r>
          </w:p>
          <w:p w14:paraId="3B662578">
            <w:pPr>
              <w:keepNext w:val="0"/>
              <w:keepLines w:val="0"/>
              <w:pageBreakBefore w:val="0"/>
              <w:widowControl w:val="0"/>
              <w:kinsoku/>
              <w:wordWrap w:val="0"/>
              <w:overflowPunct/>
              <w:topLinePunct w:val="0"/>
              <w:autoSpaceDE/>
              <w:autoSpaceDN/>
              <w:bidi w:val="0"/>
              <w:adjustRightInd/>
              <w:snapToGrid/>
              <w:spacing w:line="520" w:lineRule="exact"/>
              <w:ind w:firstLine="496" w:firstLineChars="200"/>
              <w:textAlignment w:val="auto"/>
              <w:rPr>
                <w:rFonts w:hint="default"/>
                <w:color w:val="auto"/>
                <w:spacing w:val="4"/>
                <w:sz w:val="24"/>
                <w:highlight w:val="none"/>
                <w:lang w:val="en-US" w:eastAsia="zh-CN"/>
              </w:rPr>
            </w:pPr>
            <w:r>
              <w:rPr>
                <w:rFonts w:hint="eastAsia"/>
                <w:color w:val="auto"/>
                <w:spacing w:val="4"/>
                <w:sz w:val="24"/>
                <w:highlight w:val="none"/>
                <w:lang w:val="en-US" w:eastAsia="zh-CN"/>
              </w:rPr>
              <w:t>1、现有工程基本情况</w:t>
            </w:r>
          </w:p>
          <w:p w14:paraId="4978E96A">
            <w:pPr>
              <w:pStyle w:val="207"/>
              <w:keepNext w:val="0"/>
              <w:keepLines w:val="0"/>
              <w:pageBreakBefore w:val="0"/>
              <w:widowControl w:val="0"/>
              <w:kinsoku/>
              <w:overflowPunct/>
              <w:topLinePunct w:val="0"/>
              <w:autoSpaceDE/>
              <w:autoSpaceDN/>
              <w:bidi w:val="0"/>
              <w:adjustRightInd/>
              <w:snapToGrid/>
              <w:spacing w:line="520" w:lineRule="exact"/>
              <w:ind w:firstLine="480"/>
              <w:textAlignment w:val="auto"/>
              <w:rPr>
                <w:rFonts w:hint="eastAsia"/>
                <w:color w:val="auto"/>
                <w:sz w:val="24"/>
                <w:lang w:val="en-US" w:eastAsia="zh-CN"/>
              </w:rPr>
            </w:pPr>
            <w:r>
              <w:rPr>
                <w:rFonts w:hint="eastAsia"/>
                <w:color w:val="auto"/>
                <w:sz w:val="24"/>
                <w:szCs w:val="21"/>
              </w:rPr>
              <w:t>鸡西市海盛新能源材料有限公司</w:t>
            </w:r>
            <w:r>
              <w:rPr>
                <w:rFonts w:hint="eastAsia"/>
                <w:color w:val="auto"/>
                <w:sz w:val="24"/>
                <w:lang w:val="en-US" w:eastAsia="zh-CN"/>
              </w:rPr>
              <w:t>位于</w:t>
            </w:r>
            <w:r>
              <w:rPr>
                <w:rFonts w:hint="eastAsia" w:ascii="Times New Roman" w:hAnsi="Times New Roman" w:eastAsia="宋体" w:cs="Times New Roman"/>
                <w:color w:val="auto"/>
                <w:spacing w:val="4"/>
                <w:sz w:val="24"/>
                <w:lang w:val="en-US" w:eastAsia="zh-CN"/>
              </w:rPr>
              <w:t>黑龙江省鸡西市梨树区穆棱办新兴委</w:t>
            </w:r>
            <w:r>
              <w:rPr>
                <w:rFonts w:hint="eastAsia"/>
                <w:color w:val="auto"/>
                <w:sz w:val="24"/>
                <w:lang w:val="en-US" w:eastAsia="zh-CN"/>
              </w:rPr>
              <w:t>，厂内建筑物主要包括办公室、化验室、浴室、石墨烘干筛分车间、石墨烘干车间、库房、纳米材料车间等，主要生产</w:t>
            </w:r>
            <w:r>
              <w:rPr>
                <w:rFonts w:hint="eastAsia" w:ascii="Times New Roman" w:hAnsi="Times New Roman" w:eastAsia="宋体" w:cs="Times New Roman"/>
                <w:color w:val="auto"/>
                <w:sz w:val="24"/>
              </w:rPr>
              <w:t>可膨胀石墨干料</w:t>
            </w:r>
            <w:r>
              <w:rPr>
                <w:rFonts w:hint="eastAsia" w:cs="Times New Roman"/>
                <w:color w:val="auto"/>
                <w:sz w:val="24"/>
                <w:lang w:eastAsia="zh-CN"/>
              </w:rPr>
              <w:t>、</w:t>
            </w:r>
            <w:r>
              <w:rPr>
                <w:rFonts w:hint="eastAsia" w:ascii="Times New Roman" w:hAnsi="Times New Roman" w:eastAsia="宋体" w:cs="Times New Roman"/>
                <w:color w:val="auto"/>
                <w:sz w:val="24"/>
              </w:rPr>
              <w:t>纳米材料干料</w:t>
            </w:r>
            <w:r>
              <w:rPr>
                <w:rFonts w:hint="eastAsia"/>
                <w:color w:val="auto"/>
                <w:sz w:val="24"/>
                <w:lang w:val="en-US" w:eastAsia="zh-CN"/>
              </w:rPr>
              <w:t>，</w:t>
            </w:r>
            <w:r>
              <w:rPr>
                <w:rFonts w:hint="eastAsia" w:ascii="Times New Roman" w:hAnsi="Times New Roman" w:eastAsia="宋体" w:cs="Times New Roman"/>
                <w:color w:val="auto"/>
                <w:sz w:val="24"/>
              </w:rPr>
              <w:t>年产可膨胀石墨干料5000t，年产纳米材料干料500t</w:t>
            </w:r>
            <w:r>
              <w:rPr>
                <w:rFonts w:hint="eastAsia"/>
                <w:color w:val="auto"/>
                <w:sz w:val="24"/>
                <w:lang w:val="en-US" w:eastAsia="zh-CN"/>
              </w:rPr>
              <w:t>。项目总</w:t>
            </w:r>
            <w:r>
              <w:rPr>
                <w:rFonts w:hint="eastAsia" w:ascii="Times New Roman" w:hAnsi="Times New Roman" w:eastAsia="宋体" w:cs="Times New Roman"/>
                <w:color w:val="auto"/>
                <w:sz w:val="24"/>
                <w:lang w:val="en-US" w:eastAsia="zh-CN"/>
              </w:rPr>
              <w:t>用地面积</w:t>
            </w:r>
            <w:r>
              <w:rPr>
                <w:rFonts w:hint="eastAsia" w:ascii="Times New Roman" w:hAnsi="Times New Roman" w:eastAsia="宋体" w:cs="Times New Roman"/>
                <w:color w:val="auto"/>
                <w:sz w:val="24"/>
              </w:rPr>
              <w:t>5500</w:t>
            </w:r>
            <w:r>
              <w:rPr>
                <w:rFonts w:hint="eastAsia"/>
                <w:color w:val="auto"/>
                <w:sz w:val="24"/>
                <w:lang w:val="en-US" w:eastAsia="zh-CN"/>
              </w:rPr>
              <w:t>m</w:t>
            </w:r>
            <w:r>
              <w:rPr>
                <w:rFonts w:hint="eastAsia"/>
                <w:color w:val="auto"/>
                <w:sz w:val="24"/>
                <w:vertAlign w:val="superscript"/>
                <w:lang w:val="en-US" w:eastAsia="zh-CN"/>
              </w:rPr>
              <w:t>2</w:t>
            </w:r>
            <w:r>
              <w:rPr>
                <w:rFonts w:hint="eastAsia"/>
                <w:color w:val="auto"/>
                <w:sz w:val="24"/>
                <w:lang w:val="en-US" w:eastAsia="zh-CN"/>
              </w:rPr>
              <w:t>，总建筑面积2840m</w:t>
            </w:r>
            <w:r>
              <w:rPr>
                <w:rFonts w:hint="eastAsia"/>
                <w:color w:val="auto"/>
                <w:sz w:val="24"/>
                <w:vertAlign w:val="superscript"/>
                <w:lang w:val="en-US" w:eastAsia="zh-CN"/>
              </w:rPr>
              <w:t>2</w:t>
            </w:r>
            <w:r>
              <w:rPr>
                <w:rFonts w:hint="eastAsia"/>
                <w:color w:val="auto"/>
                <w:sz w:val="24"/>
                <w:lang w:val="en-US" w:eastAsia="zh-CN"/>
              </w:rPr>
              <w:t>。</w:t>
            </w:r>
          </w:p>
          <w:p w14:paraId="56F720B7">
            <w:pPr>
              <w:keepNext w:val="0"/>
              <w:keepLines w:val="0"/>
              <w:pageBreakBefore w:val="0"/>
              <w:widowControl w:val="0"/>
              <w:kinsoku/>
              <w:wordWrap w:val="0"/>
              <w:overflowPunct/>
              <w:topLinePunct w:val="0"/>
              <w:autoSpaceDE/>
              <w:autoSpaceDN/>
              <w:bidi w:val="0"/>
              <w:adjustRightInd/>
              <w:snapToGrid/>
              <w:spacing w:line="520" w:lineRule="exact"/>
              <w:ind w:firstLine="496" w:firstLineChars="200"/>
              <w:textAlignment w:val="auto"/>
              <w:rPr>
                <w:rFonts w:hint="default"/>
                <w:color w:val="auto"/>
                <w:spacing w:val="4"/>
                <w:sz w:val="24"/>
                <w:highlight w:val="none"/>
                <w:lang w:val="en-US" w:eastAsia="zh-CN"/>
              </w:rPr>
            </w:pPr>
            <w:r>
              <w:rPr>
                <w:rFonts w:hint="eastAsia"/>
                <w:color w:val="auto"/>
                <w:spacing w:val="4"/>
                <w:sz w:val="24"/>
                <w:highlight w:val="none"/>
                <w:lang w:val="en-US" w:eastAsia="zh-CN"/>
              </w:rPr>
              <w:t>2、现有工程环保手续履行情况</w:t>
            </w:r>
          </w:p>
          <w:p w14:paraId="10727D10">
            <w:pPr>
              <w:keepNext w:val="0"/>
              <w:keepLines w:val="0"/>
              <w:pageBreakBefore w:val="0"/>
              <w:widowControl w:val="0"/>
              <w:kinsoku/>
              <w:wordWrap w:val="0"/>
              <w:overflowPunct/>
              <w:topLinePunct w:val="0"/>
              <w:autoSpaceDE/>
              <w:autoSpaceDN/>
              <w:bidi w:val="0"/>
              <w:adjustRightInd/>
              <w:snapToGrid/>
              <w:spacing w:line="520" w:lineRule="exact"/>
              <w:ind w:firstLine="480" w:firstLineChars="200"/>
              <w:textAlignment w:val="auto"/>
              <w:rPr>
                <w:rFonts w:hint="eastAsia"/>
                <w:color w:val="auto"/>
                <w:sz w:val="24"/>
                <w:szCs w:val="21"/>
              </w:rPr>
            </w:pPr>
            <w:r>
              <w:rPr>
                <w:rFonts w:hint="eastAsia"/>
                <w:color w:val="auto"/>
                <w:sz w:val="24"/>
                <w:szCs w:val="21"/>
              </w:rPr>
              <w:t>鸡西市海盛新能源材料有限公司</w:t>
            </w:r>
            <w:r>
              <w:rPr>
                <w:rFonts w:hint="eastAsia"/>
                <w:color w:val="auto"/>
                <w:spacing w:val="4"/>
                <w:sz w:val="24"/>
                <w:highlight w:val="none"/>
              </w:rPr>
              <w:t>成立于</w:t>
            </w:r>
            <w:r>
              <w:rPr>
                <w:rFonts w:hint="eastAsia"/>
                <w:color w:val="auto"/>
                <w:spacing w:val="4"/>
                <w:sz w:val="24"/>
                <w:highlight w:val="none"/>
                <w:lang w:val="en-US" w:eastAsia="zh-CN"/>
              </w:rPr>
              <w:t>2017</w:t>
            </w:r>
            <w:r>
              <w:rPr>
                <w:rFonts w:hint="eastAsia"/>
                <w:color w:val="auto"/>
                <w:spacing w:val="4"/>
                <w:sz w:val="24"/>
                <w:highlight w:val="none"/>
              </w:rPr>
              <w:t>年</w:t>
            </w:r>
            <w:r>
              <w:rPr>
                <w:rFonts w:hint="eastAsia"/>
                <w:color w:val="auto"/>
                <w:spacing w:val="4"/>
                <w:sz w:val="24"/>
                <w:highlight w:val="none"/>
                <w:lang w:val="en-US" w:eastAsia="zh-CN"/>
              </w:rPr>
              <w:t>10月31日</w:t>
            </w:r>
            <w:r>
              <w:rPr>
                <w:rFonts w:hint="eastAsia"/>
                <w:color w:val="auto"/>
                <w:sz w:val="24"/>
                <w:szCs w:val="21"/>
              </w:rPr>
              <w:t>，</w:t>
            </w:r>
            <w:r>
              <w:rPr>
                <w:rFonts w:hint="eastAsia"/>
                <w:color w:val="auto"/>
                <w:spacing w:val="4"/>
                <w:sz w:val="24"/>
                <w:highlight w:val="none"/>
                <w:lang w:val="en-US" w:eastAsia="zh-CN"/>
              </w:rPr>
              <w:t>位于</w:t>
            </w:r>
            <w:r>
              <w:rPr>
                <w:rFonts w:hint="eastAsia" w:ascii="Times New Roman" w:hAnsi="Times New Roman" w:eastAsia="宋体" w:cs="Times New Roman"/>
                <w:color w:val="auto"/>
                <w:spacing w:val="4"/>
                <w:sz w:val="24"/>
                <w:lang w:val="en-US" w:eastAsia="zh-CN"/>
              </w:rPr>
              <w:t>黑龙江省鸡西市梨树区穆棱办新兴委</w:t>
            </w:r>
            <w:r>
              <w:rPr>
                <w:rFonts w:hint="eastAsia" w:cs="Times New Roman"/>
                <w:color w:val="auto"/>
                <w:spacing w:val="4"/>
                <w:sz w:val="24"/>
                <w:lang w:val="en-US" w:eastAsia="zh-CN"/>
              </w:rPr>
              <w:t>。</w:t>
            </w:r>
          </w:p>
          <w:p w14:paraId="4844D41D">
            <w:pPr>
              <w:keepNext w:val="0"/>
              <w:keepLines w:val="0"/>
              <w:pageBreakBefore w:val="0"/>
              <w:widowControl w:val="0"/>
              <w:kinsoku/>
              <w:wordWrap w:val="0"/>
              <w:overflowPunct/>
              <w:topLinePunct w:val="0"/>
              <w:autoSpaceDE/>
              <w:autoSpaceDN/>
              <w:bidi w:val="0"/>
              <w:adjustRightInd/>
              <w:snapToGrid/>
              <w:spacing w:line="520" w:lineRule="exact"/>
              <w:ind w:firstLine="480" w:firstLineChars="200"/>
              <w:textAlignment w:val="auto"/>
              <w:rPr>
                <w:rFonts w:hint="eastAsia"/>
                <w:color w:val="auto"/>
                <w:sz w:val="24"/>
                <w:szCs w:val="21"/>
              </w:rPr>
            </w:pPr>
            <w:r>
              <w:rPr>
                <w:rFonts w:hint="eastAsia"/>
                <w:color w:val="auto"/>
                <w:sz w:val="24"/>
                <w:szCs w:val="21"/>
              </w:rPr>
              <w:t>20</w:t>
            </w:r>
            <w:r>
              <w:rPr>
                <w:rFonts w:hint="eastAsia"/>
                <w:color w:val="auto"/>
                <w:sz w:val="24"/>
                <w:szCs w:val="21"/>
                <w:lang w:val="en-US" w:eastAsia="zh-CN"/>
              </w:rPr>
              <w:t>18</w:t>
            </w:r>
            <w:r>
              <w:rPr>
                <w:rFonts w:hint="eastAsia"/>
                <w:color w:val="auto"/>
                <w:sz w:val="24"/>
                <w:szCs w:val="21"/>
              </w:rPr>
              <w:t>年</w:t>
            </w:r>
            <w:r>
              <w:rPr>
                <w:rFonts w:hint="eastAsia"/>
                <w:color w:val="auto"/>
                <w:sz w:val="24"/>
                <w:szCs w:val="21"/>
                <w:lang w:val="en-US" w:eastAsia="zh-CN"/>
              </w:rPr>
              <w:t>5</w:t>
            </w:r>
            <w:r>
              <w:rPr>
                <w:rFonts w:hint="eastAsia"/>
                <w:color w:val="auto"/>
                <w:sz w:val="24"/>
                <w:szCs w:val="21"/>
              </w:rPr>
              <w:t>月</w:t>
            </w:r>
            <w:r>
              <w:rPr>
                <w:rFonts w:hint="eastAsia"/>
                <w:color w:val="auto"/>
                <w:sz w:val="24"/>
                <w:szCs w:val="21"/>
                <w:lang w:eastAsia="zh-CN"/>
              </w:rPr>
              <w:t>，</w:t>
            </w:r>
            <w:r>
              <w:rPr>
                <w:rFonts w:hint="eastAsia"/>
                <w:color w:val="auto"/>
                <w:sz w:val="24"/>
                <w:szCs w:val="21"/>
              </w:rPr>
              <w:t>鸡西市海盛新能源材料有限公司编制完成了《黑龙江省鸡西市梨树区海盛新能源材料石墨及纳米材料筛分烘干项目环境影响报告表》</w:t>
            </w:r>
            <w:r>
              <w:rPr>
                <w:rFonts w:hint="eastAsia"/>
                <w:color w:val="auto"/>
                <w:sz w:val="24"/>
                <w:szCs w:val="21"/>
                <w:lang w:eastAsia="zh-CN"/>
              </w:rPr>
              <w:t>；</w:t>
            </w:r>
            <w:r>
              <w:rPr>
                <w:rFonts w:hint="eastAsia"/>
                <w:color w:val="auto"/>
                <w:sz w:val="24"/>
                <w:szCs w:val="21"/>
              </w:rPr>
              <w:t>并于</w:t>
            </w:r>
            <w:r>
              <w:rPr>
                <w:rFonts w:hint="eastAsia"/>
                <w:color w:val="auto"/>
                <w:spacing w:val="4"/>
                <w:sz w:val="24"/>
                <w:highlight w:val="none"/>
                <w:lang w:val="en-US" w:eastAsia="zh-CN"/>
              </w:rPr>
              <w:t>2018年6月1日</w:t>
            </w:r>
            <w:r>
              <w:rPr>
                <w:rFonts w:hint="eastAsia"/>
                <w:color w:val="auto"/>
                <w:sz w:val="24"/>
                <w:szCs w:val="21"/>
              </w:rPr>
              <w:t>，通过鸡西市环境保护局审批，</w:t>
            </w:r>
            <w:r>
              <w:rPr>
                <w:rFonts w:hint="eastAsia"/>
                <w:color w:val="auto"/>
                <w:spacing w:val="4"/>
                <w:sz w:val="24"/>
                <w:highlight w:val="none"/>
                <w:lang w:val="en-US" w:eastAsia="zh-CN"/>
              </w:rPr>
              <w:t>取得《关于黑龙江省鸡西市梨树区海盛新能源材料石墨及纳米材料筛分烘干项目环境影响报告表的批复》（鸡环审﹝2018﹞17号）</w:t>
            </w:r>
            <w:r>
              <w:rPr>
                <w:rFonts w:hint="eastAsia"/>
                <w:color w:val="auto"/>
                <w:sz w:val="24"/>
                <w:szCs w:val="21"/>
              </w:rPr>
              <w:t>。</w:t>
            </w:r>
          </w:p>
          <w:p w14:paraId="00F58B02">
            <w:pPr>
              <w:keepNext w:val="0"/>
              <w:keepLines w:val="0"/>
              <w:pageBreakBefore w:val="0"/>
              <w:widowControl w:val="0"/>
              <w:kinsoku/>
              <w:wordWrap w:val="0"/>
              <w:overflowPunct/>
              <w:topLinePunct w:val="0"/>
              <w:autoSpaceDE/>
              <w:autoSpaceDN/>
              <w:bidi w:val="0"/>
              <w:adjustRightInd/>
              <w:snapToGrid/>
              <w:spacing w:line="520" w:lineRule="exact"/>
              <w:ind w:firstLine="480" w:firstLineChars="200"/>
              <w:textAlignment w:val="auto"/>
              <w:rPr>
                <w:rFonts w:hint="eastAsia"/>
                <w:color w:val="auto"/>
                <w:sz w:val="24"/>
                <w:szCs w:val="21"/>
              </w:rPr>
            </w:pPr>
            <w:r>
              <w:rPr>
                <w:rFonts w:hint="eastAsia"/>
                <w:color w:val="auto"/>
                <w:sz w:val="24"/>
                <w:szCs w:val="21"/>
              </w:rPr>
              <w:t>20</w:t>
            </w:r>
            <w:r>
              <w:rPr>
                <w:rFonts w:hint="eastAsia"/>
                <w:color w:val="auto"/>
                <w:sz w:val="24"/>
                <w:szCs w:val="21"/>
                <w:lang w:val="en-US" w:eastAsia="zh-CN"/>
              </w:rPr>
              <w:t>18</w:t>
            </w:r>
            <w:r>
              <w:rPr>
                <w:rFonts w:hint="eastAsia"/>
                <w:color w:val="auto"/>
                <w:sz w:val="24"/>
                <w:szCs w:val="21"/>
              </w:rPr>
              <w:t>年</w:t>
            </w:r>
            <w:r>
              <w:rPr>
                <w:rFonts w:hint="eastAsia"/>
                <w:color w:val="auto"/>
                <w:sz w:val="24"/>
                <w:szCs w:val="21"/>
                <w:lang w:val="en-US" w:eastAsia="zh-CN"/>
              </w:rPr>
              <w:t>12</w:t>
            </w:r>
            <w:r>
              <w:rPr>
                <w:rFonts w:hint="eastAsia"/>
                <w:color w:val="auto"/>
                <w:sz w:val="24"/>
                <w:szCs w:val="21"/>
              </w:rPr>
              <w:t>月编制完成《鸡西市海盛新能源材料有限公司突发环境事件应急预案》，备案编号</w:t>
            </w:r>
            <w:r>
              <w:rPr>
                <w:rFonts w:hint="eastAsia"/>
                <w:color w:val="auto"/>
                <w:sz w:val="24"/>
                <w:szCs w:val="21"/>
                <w:lang w:eastAsia="zh-CN"/>
              </w:rPr>
              <w:t>：</w:t>
            </w:r>
            <w:r>
              <w:rPr>
                <w:rFonts w:hint="eastAsia"/>
                <w:color w:val="auto"/>
                <w:sz w:val="24"/>
                <w:szCs w:val="21"/>
              </w:rPr>
              <w:t>230305201801。</w:t>
            </w:r>
          </w:p>
          <w:p w14:paraId="0E05DBAB">
            <w:pPr>
              <w:keepNext w:val="0"/>
              <w:keepLines w:val="0"/>
              <w:pageBreakBefore w:val="0"/>
              <w:widowControl w:val="0"/>
              <w:kinsoku/>
              <w:wordWrap w:val="0"/>
              <w:overflowPunct/>
              <w:topLinePunct w:val="0"/>
              <w:autoSpaceDE/>
              <w:autoSpaceDN/>
              <w:bidi w:val="0"/>
              <w:adjustRightInd/>
              <w:snapToGrid/>
              <w:spacing w:line="520" w:lineRule="exact"/>
              <w:ind w:firstLine="480" w:firstLineChars="200"/>
              <w:textAlignment w:val="auto"/>
              <w:rPr>
                <w:rFonts w:hint="eastAsia"/>
                <w:color w:val="auto"/>
                <w:sz w:val="24"/>
                <w:szCs w:val="21"/>
                <w:lang w:eastAsia="zh-CN"/>
              </w:rPr>
            </w:pPr>
            <w:r>
              <w:rPr>
                <w:rFonts w:hint="eastAsia"/>
                <w:color w:val="auto"/>
                <w:sz w:val="24"/>
                <w:szCs w:val="21"/>
              </w:rPr>
              <w:t>20</w:t>
            </w:r>
            <w:r>
              <w:rPr>
                <w:rFonts w:hint="eastAsia"/>
                <w:color w:val="auto"/>
                <w:sz w:val="24"/>
                <w:szCs w:val="21"/>
                <w:lang w:val="en-US" w:eastAsia="zh-CN"/>
              </w:rPr>
              <w:t>18</w:t>
            </w:r>
            <w:r>
              <w:rPr>
                <w:rFonts w:hint="eastAsia"/>
                <w:color w:val="auto"/>
                <w:sz w:val="24"/>
                <w:szCs w:val="21"/>
              </w:rPr>
              <w:t>年</w:t>
            </w:r>
            <w:r>
              <w:rPr>
                <w:rFonts w:hint="eastAsia"/>
                <w:color w:val="auto"/>
                <w:sz w:val="24"/>
                <w:szCs w:val="21"/>
                <w:lang w:val="en-US" w:eastAsia="zh-CN"/>
              </w:rPr>
              <w:t>12</w:t>
            </w:r>
            <w:r>
              <w:rPr>
                <w:rFonts w:hint="eastAsia"/>
                <w:color w:val="auto"/>
                <w:sz w:val="24"/>
                <w:szCs w:val="21"/>
              </w:rPr>
              <w:t>月</w:t>
            </w:r>
            <w:r>
              <w:rPr>
                <w:rFonts w:hint="eastAsia"/>
                <w:color w:val="auto"/>
                <w:sz w:val="24"/>
                <w:szCs w:val="21"/>
                <w:lang w:eastAsia="zh-CN"/>
              </w:rPr>
              <w:t>，</w:t>
            </w:r>
            <w:r>
              <w:rPr>
                <w:rFonts w:hint="eastAsia"/>
                <w:color w:val="auto"/>
                <w:sz w:val="24"/>
                <w:szCs w:val="21"/>
              </w:rPr>
              <w:t>鸡西市海盛新能源材料有限公司编制了《黑龙江省鸡西市梨树区海盛新能源材料石墨及纳米材料筛分烘干项目竣工环境保护验收</w:t>
            </w:r>
            <w:r>
              <w:rPr>
                <w:rFonts w:hint="eastAsia"/>
                <w:color w:val="auto"/>
                <w:sz w:val="24"/>
                <w:szCs w:val="21"/>
                <w:lang w:val="en-US" w:eastAsia="zh-CN"/>
              </w:rPr>
              <w:t>监测</w:t>
            </w:r>
            <w:r>
              <w:rPr>
                <w:rFonts w:hint="eastAsia"/>
                <w:color w:val="auto"/>
                <w:sz w:val="24"/>
                <w:szCs w:val="21"/>
              </w:rPr>
              <w:t>报告</w:t>
            </w:r>
            <w:r>
              <w:rPr>
                <w:rFonts w:hint="eastAsia"/>
                <w:color w:val="auto"/>
                <w:sz w:val="24"/>
                <w:szCs w:val="21"/>
                <w:lang w:val="en-US" w:eastAsia="zh-CN"/>
              </w:rPr>
              <w:t>表</w:t>
            </w:r>
            <w:r>
              <w:rPr>
                <w:rFonts w:hint="eastAsia"/>
                <w:color w:val="auto"/>
                <w:sz w:val="24"/>
                <w:szCs w:val="21"/>
              </w:rPr>
              <w:t>》，并于20</w:t>
            </w:r>
            <w:r>
              <w:rPr>
                <w:rFonts w:hint="eastAsia"/>
                <w:color w:val="auto"/>
                <w:sz w:val="24"/>
                <w:szCs w:val="21"/>
                <w:lang w:val="en-US" w:eastAsia="zh-CN"/>
              </w:rPr>
              <w:t>18</w:t>
            </w:r>
            <w:r>
              <w:rPr>
                <w:rFonts w:hint="eastAsia"/>
                <w:color w:val="auto"/>
                <w:sz w:val="24"/>
                <w:szCs w:val="21"/>
              </w:rPr>
              <w:t>年</w:t>
            </w:r>
            <w:r>
              <w:rPr>
                <w:rFonts w:hint="eastAsia"/>
                <w:color w:val="auto"/>
                <w:sz w:val="24"/>
                <w:szCs w:val="21"/>
                <w:lang w:val="en-US" w:eastAsia="zh-CN"/>
              </w:rPr>
              <w:t>12</w:t>
            </w:r>
            <w:r>
              <w:rPr>
                <w:rFonts w:hint="eastAsia"/>
                <w:color w:val="auto"/>
                <w:sz w:val="24"/>
                <w:szCs w:val="21"/>
              </w:rPr>
              <w:t>月取得竣工环境保护验收意见，完成自主验收。</w:t>
            </w:r>
          </w:p>
          <w:p w14:paraId="4A44C47E">
            <w:pPr>
              <w:keepNext w:val="0"/>
              <w:keepLines w:val="0"/>
              <w:pageBreakBefore w:val="0"/>
              <w:widowControl w:val="0"/>
              <w:kinsoku/>
              <w:wordWrap w:val="0"/>
              <w:overflowPunct/>
              <w:topLinePunct w:val="0"/>
              <w:autoSpaceDE/>
              <w:autoSpaceDN/>
              <w:bidi w:val="0"/>
              <w:adjustRightInd/>
              <w:snapToGrid/>
              <w:spacing w:line="520" w:lineRule="exact"/>
              <w:ind w:firstLine="480" w:firstLineChars="200"/>
              <w:textAlignment w:val="auto"/>
              <w:rPr>
                <w:rFonts w:hint="eastAsia"/>
                <w:color w:val="auto"/>
                <w:sz w:val="24"/>
                <w:szCs w:val="21"/>
              </w:rPr>
            </w:pPr>
            <w:r>
              <w:rPr>
                <w:rFonts w:hint="eastAsia"/>
                <w:color w:val="auto"/>
                <w:sz w:val="24"/>
                <w:szCs w:val="21"/>
                <w:lang w:val="en-US" w:eastAsia="zh-CN"/>
              </w:rPr>
              <w:t>2021年5月，</w:t>
            </w:r>
            <w:r>
              <w:rPr>
                <w:rFonts w:hint="eastAsia"/>
                <w:color w:val="auto"/>
                <w:sz w:val="24"/>
                <w:szCs w:val="21"/>
              </w:rPr>
              <w:t>鸡西市海盛新能源材料有限公司在全国排污许可证管理信息平台进行了网上申报，并取得了排污许可证，</w:t>
            </w:r>
            <w:r>
              <w:rPr>
                <w:rFonts w:hint="eastAsia"/>
                <w:color w:val="auto"/>
                <w:spacing w:val="4"/>
                <w:sz w:val="24"/>
                <w:highlight w:val="none"/>
                <w:lang w:val="en-US" w:eastAsia="zh-CN"/>
              </w:rPr>
              <w:t>证书编号：91230300MA1ATJXN69001U。</w:t>
            </w:r>
          </w:p>
          <w:p w14:paraId="7881058D">
            <w:pPr>
              <w:keepNext w:val="0"/>
              <w:keepLines w:val="0"/>
              <w:pageBreakBefore w:val="0"/>
              <w:widowControl w:val="0"/>
              <w:kinsoku/>
              <w:wordWrap w:val="0"/>
              <w:overflowPunct/>
              <w:topLinePunct w:val="0"/>
              <w:autoSpaceDE/>
              <w:autoSpaceDN/>
              <w:bidi w:val="0"/>
              <w:adjustRightInd/>
              <w:snapToGrid/>
              <w:spacing w:line="520" w:lineRule="exact"/>
              <w:ind w:firstLine="496" w:firstLineChars="200"/>
              <w:textAlignment w:val="auto"/>
              <w:rPr>
                <w:rFonts w:hint="eastAsia"/>
                <w:color w:val="auto"/>
                <w:spacing w:val="4"/>
                <w:sz w:val="24"/>
                <w:highlight w:val="none"/>
                <w:lang w:val="en-US" w:eastAsia="zh-CN"/>
              </w:rPr>
            </w:pPr>
            <w:r>
              <w:rPr>
                <w:rFonts w:hint="eastAsia"/>
                <w:color w:val="auto"/>
                <w:spacing w:val="4"/>
                <w:sz w:val="24"/>
                <w:highlight w:val="none"/>
                <w:lang w:val="en-US" w:eastAsia="zh-CN"/>
              </w:rPr>
              <w:t>3、排污许可证执行情况</w:t>
            </w:r>
          </w:p>
          <w:p w14:paraId="312BE2B0">
            <w:pPr>
              <w:keepNext w:val="0"/>
              <w:keepLines w:val="0"/>
              <w:pageBreakBefore w:val="0"/>
              <w:widowControl w:val="0"/>
              <w:kinsoku/>
              <w:wordWrap w:val="0"/>
              <w:overflowPunct/>
              <w:topLinePunct w:val="0"/>
              <w:autoSpaceDE/>
              <w:autoSpaceDN/>
              <w:bidi w:val="0"/>
              <w:adjustRightInd/>
              <w:snapToGrid/>
              <w:spacing w:line="520" w:lineRule="exact"/>
              <w:ind w:firstLine="496" w:firstLineChars="200"/>
              <w:textAlignment w:val="auto"/>
              <w:rPr>
                <w:rFonts w:hint="eastAsia" w:ascii="Times New Roman" w:hAnsi="Times New Roman" w:eastAsia="宋体" w:cs="Times New Roman"/>
                <w:color w:val="auto"/>
                <w:spacing w:val="4"/>
                <w:sz w:val="24"/>
                <w:highlight w:val="none"/>
                <w:lang w:val="en-US" w:eastAsia="zh-CN"/>
              </w:rPr>
            </w:pPr>
            <w:r>
              <w:rPr>
                <w:rFonts w:hint="eastAsia" w:ascii="Times New Roman" w:hAnsi="Times New Roman" w:eastAsia="宋体" w:cs="Times New Roman"/>
                <w:color w:val="auto"/>
                <w:spacing w:val="4"/>
                <w:sz w:val="24"/>
                <w:highlight w:val="none"/>
                <w:lang w:val="en-US" w:eastAsia="zh-CN"/>
              </w:rPr>
              <w:t>公司于2021年5月26日，取得了排污许可证（</w:t>
            </w:r>
            <w:r>
              <w:rPr>
                <w:rFonts w:hint="eastAsia"/>
                <w:color w:val="auto"/>
                <w:spacing w:val="4"/>
                <w:sz w:val="24"/>
                <w:highlight w:val="none"/>
                <w:lang w:val="en-US" w:eastAsia="zh-CN"/>
              </w:rPr>
              <w:t>证书编号：91230300MA1ATJXN69001U</w:t>
            </w:r>
            <w:r>
              <w:rPr>
                <w:rFonts w:hint="eastAsia" w:ascii="Times New Roman" w:hAnsi="Times New Roman" w:eastAsia="宋体" w:cs="Times New Roman"/>
                <w:color w:val="auto"/>
                <w:spacing w:val="4"/>
                <w:sz w:val="24"/>
                <w:highlight w:val="none"/>
                <w:lang w:val="en-US" w:eastAsia="zh-CN"/>
              </w:rPr>
              <w:t>），排污许可证中污染物排放口位置和数量、污染物排放方式和排放去向与实际相符，公司已建设规范化污染物排放口，并设置标志牌。按照排污许可证规定，生态环境管理要求运行和维护污染防治设施，建立环境管理制度，严格控制污染物排放，各污染物达标排放，满足总量要求。</w:t>
            </w:r>
          </w:p>
          <w:p w14:paraId="25BB995C">
            <w:pPr>
              <w:keepNext w:val="0"/>
              <w:keepLines w:val="0"/>
              <w:pageBreakBefore w:val="0"/>
              <w:widowControl w:val="0"/>
              <w:kinsoku/>
              <w:wordWrap w:val="0"/>
              <w:overflowPunct/>
              <w:topLinePunct w:val="0"/>
              <w:autoSpaceDE/>
              <w:autoSpaceDN/>
              <w:bidi w:val="0"/>
              <w:adjustRightInd/>
              <w:snapToGrid/>
              <w:spacing w:line="520" w:lineRule="exact"/>
              <w:ind w:firstLine="496" w:firstLineChars="200"/>
              <w:textAlignment w:val="auto"/>
              <w:rPr>
                <w:rFonts w:hint="eastAsia" w:ascii="Times New Roman" w:hAnsi="Times New Roman" w:eastAsia="宋体" w:cs="Times New Roman"/>
                <w:color w:val="auto"/>
                <w:spacing w:val="4"/>
                <w:sz w:val="24"/>
                <w:highlight w:val="none"/>
                <w:lang w:val="en-US" w:eastAsia="zh-CN"/>
              </w:rPr>
            </w:pPr>
            <w:r>
              <w:rPr>
                <w:rFonts w:hint="eastAsia" w:ascii="Times New Roman" w:hAnsi="Times New Roman" w:eastAsia="宋体" w:cs="Times New Roman"/>
                <w:color w:val="auto"/>
                <w:spacing w:val="4"/>
                <w:sz w:val="24"/>
                <w:highlight w:val="none"/>
                <w:lang w:val="en-US" w:eastAsia="zh-CN"/>
              </w:rPr>
              <w:t>按照排污许可证规定和有关标准规范，建立环境管理台账记录制度，按照排污许可证规定的格式、内容和频次，如实记录主要生产设施、污染防治设施运行情况以及污染物排放浓度、排放量。环境管理台账记录保存期限不得少于5年。</w:t>
            </w:r>
          </w:p>
          <w:p w14:paraId="5A0AE65F">
            <w:pPr>
              <w:keepNext w:val="0"/>
              <w:keepLines w:val="0"/>
              <w:pageBreakBefore w:val="0"/>
              <w:widowControl w:val="0"/>
              <w:kinsoku/>
              <w:wordWrap w:val="0"/>
              <w:overflowPunct/>
              <w:topLinePunct w:val="0"/>
              <w:autoSpaceDE/>
              <w:autoSpaceDN/>
              <w:bidi w:val="0"/>
              <w:adjustRightInd/>
              <w:snapToGrid/>
              <w:spacing w:line="520" w:lineRule="exact"/>
              <w:ind w:firstLine="496" w:firstLineChars="200"/>
              <w:textAlignment w:val="auto"/>
              <w:rPr>
                <w:rFonts w:hint="eastAsia" w:ascii="Times New Roman" w:hAnsi="Times New Roman" w:eastAsia="宋体" w:cs="Times New Roman"/>
                <w:color w:val="auto"/>
                <w:spacing w:val="4"/>
                <w:sz w:val="24"/>
                <w:highlight w:val="none"/>
                <w:lang w:val="en-US" w:eastAsia="zh-CN"/>
              </w:rPr>
            </w:pPr>
            <w:r>
              <w:rPr>
                <w:rFonts w:hint="eastAsia" w:ascii="Times New Roman" w:hAnsi="Times New Roman" w:eastAsia="宋体" w:cs="Times New Roman"/>
                <w:color w:val="auto"/>
                <w:spacing w:val="4"/>
                <w:sz w:val="24"/>
                <w:highlight w:val="none"/>
                <w:lang w:val="en-US" w:eastAsia="zh-CN"/>
              </w:rPr>
              <w:t>按照排污许可证规定的内容、频次和时间要求，每年向审批部门提交排污许可证执行报告，如实报告污染物排放行为、排放浓度、排放量等。</w:t>
            </w:r>
          </w:p>
          <w:p w14:paraId="07A19503">
            <w:pPr>
              <w:keepNext w:val="0"/>
              <w:keepLines w:val="0"/>
              <w:pageBreakBefore w:val="0"/>
              <w:widowControl w:val="0"/>
              <w:kinsoku/>
              <w:wordWrap w:val="0"/>
              <w:overflowPunct/>
              <w:topLinePunct w:val="0"/>
              <w:autoSpaceDE/>
              <w:autoSpaceDN/>
              <w:bidi w:val="0"/>
              <w:adjustRightInd/>
              <w:snapToGrid/>
              <w:spacing w:line="520" w:lineRule="exact"/>
              <w:ind w:firstLine="496" w:firstLineChars="200"/>
              <w:textAlignment w:val="auto"/>
              <w:rPr>
                <w:rFonts w:hint="eastAsia"/>
                <w:color w:val="auto"/>
                <w:spacing w:val="4"/>
                <w:sz w:val="24"/>
                <w:highlight w:val="none"/>
                <w:lang w:val="en-US" w:eastAsia="zh-CN"/>
              </w:rPr>
            </w:pPr>
            <w:r>
              <w:rPr>
                <w:rFonts w:hint="eastAsia" w:ascii="Times New Roman" w:hAnsi="Times New Roman" w:eastAsia="宋体" w:cs="Times New Roman"/>
                <w:color w:val="auto"/>
                <w:spacing w:val="4"/>
                <w:sz w:val="24"/>
                <w:highlight w:val="none"/>
                <w:lang w:val="en-US" w:eastAsia="zh-CN"/>
              </w:rPr>
              <w:t>按照排污许可证规定，如实在全国排污许可证管理信息平台上公开污染物排放信息。配合生态环境主管部门监督检查，并按照要求提供排污许可证、环境管理台账记录、排污许可证执行报告、自行监测数据等相关材料。</w:t>
            </w:r>
          </w:p>
          <w:p w14:paraId="328FA5E2">
            <w:pPr>
              <w:keepNext w:val="0"/>
              <w:keepLines w:val="0"/>
              <w:pageBreakBefore w:val="0"/>
              <w:widowControl w:val="0"/>
              <w:kinsoku/>
              <w:wordWrap w:val="0"/>
              <w:overflowPunct/>
              <w:topLinePunct w:val="0"/>
              <w:autoSpaceDE/>
              <w:autoSpaceDN/>
              <w:bidi w:val="0"/>
              <w:adjustRightInd/>
              <w:snapToGrid/>
              <w:spacing w:line="520" w:lineRule="exact"/>
              <w:ind w:firstLine="496" w:firstLineChars="200"/>
              <w:textAlignment w:val="auto"/>
              <w:rPr>
                <w:rFonts w:hint="default"/>
                <w:color w:val="auto"/>
                <w:spacing w:val="4"/>
                <w:sz w:val="24"/>
                <w:highlight w:val="none"/>
                <w:lang w:val="en-US" w:eastAsia="zh-CN"/>
              </w:rPr>
            </w:pPr>
            <w:r>
              <w:rPr>
                <w:rFonts w:hint="eastAsia"/>
                <w:color w:val="auto"/>
                <w:spacing w:val="4"/>
                <w:sz w:val="24"/>
                <w:highlight w:val="none"/>
                <w:lang w:val="en-US" w:eastAsia="zh-CN"/>
              </w:rPr>
              <w:t>4、现有工程组成内容</w:t>
            </w:r>
          </w:p>
          <w:p w14:paraId="687347CD">
            <w:pPr>
              <w:keepNext w:val="0"/>
              <w:keepLines w:val="0"/>
              <w:pageBreakBefore w:val="0"/>
              <w:widowControl w:val="0"/>
              <w:kinsoku/>
              <w:wordWrap w:val="0"/>
              <w:overflowPunct/>
              <w:topLinePunct w:val="0"/>
              <w:autoSpaceDE/>
              <w:autoSpaceDN/>
              <w:bidi w:val="0"/>
              <w:adjustRightInd/>
              <w:snapToGrid/>
              <w:spacing w:line="520" w:lineRule="exact"/>
              <w:ind w:firstLine="496" w:firstLineChars="200"/>
              <w:textAlignment w:val="auto"/>
              <w:rPr>
                <w:rFonts w:hint="default"/>
                <w:color w:val="auto"/>
                <w:spacing w:val="4"/>
                <w:sz w:val="24"/>
                <w:highlight w:val="none"/>
                <w:lang w:val="en-US" w:eastAsia="zh-CN"/>
              </w:rPr>
            </w:pPr>
            <w:r>
              <w:rPr>
                <w:rFonts w:hint="eastAsia"/>
                <w:color w:val="auto"/>
                <w:spacing w:val="4"/>
                <w:sz w:val="24"/>
                <w:highlight w:val="none"/>
                <w:lang w:val="en-US" w:eastAsia="zh-CN"/>
              </w:rPr>
              <w:t>结合现场踏查及现有工程内容等资料，建设单位现有工程内容见表2-8。</w:t>
            </w:r>
          </w:p>
          <w:p w14:paraId="629DA3E6">
            <w:pPr>
              <w:jc w:val="center"/>
              <w:rPr>
                <w:rFonts w:hint="default" w:ascii="Times New Roman" w:hAnsi="Times New Roman" w:eastAsia="宋体" w:cs="Times New Roman"/>
                <w:b/>
                <w:color w:val="auto"/>
                <w:szCs w:val="21"/>
                <w:lang w:val="en-US" w:eastAsia="zh-CN"/>
              </w:rPr>
            </w:pPr>
            <w:r>
              <w:rPr>
                <w:rFonts w:hint="eastAsia" w:ascii="Times New Roman" w:hAnsi="Times New Roman" w:eastAsia="宋体" w:cs="Times New Roman"/>
                <w:b/>
                <w:color w:val="auto"/>
                <w:szCs w:val="21"/>
                <w:lang w:val="en-US" w:eastAsia="zh-CN"/>
              </w:rPr>
              <w:t>表2-</w:t>
            </w:r>
            <w:r>
              <w:rPr>
                <w:rFonts w:hint="eastAsia" w:cs="Times New Roman"/>
                <w:b/>
                <w:color w:val="auto"/>
                <w:szCs w:val="21"/>
                <w:lang w:val="en-US" w:eastAsia="zh-CN"/>
              </w:rPr>
              <w:t>8</w:t>
            </w:r>
            <w:r>
              <w:rPr>
                <w:rFonts w:hint="eastAsia" w:ascii="Times New Roman" w:hAnsi="Times New Roman" w:eastAsia="宋体" w:cs="Times New Roman"/>
                <w:b/>
                <w:color w:val="auto"/>
                <w:szCs w:val="21"/>
                <w:lang w:val="en-US" w:eastAsia="zh-CN"/>
              </w:rPr>
              <w:t xml:space="preserve">  现有工程组成一览表</w:t>
            </w:r>
          </w:p>
          <w:tbl>
            <w:tblPr>
              <w:tblStyle w:val="3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7"/>
              <w:gridCol w:w="1184"/>
              <w:gridCol w:w="5528"/>
              <w:gridCol w:w="762"/>
            </w:tblGrid>
            <w:tr w14:paraId="2AC316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Align w:val="center"/>
                </w:tcPr>
                <w:p w14:paraId="0F68BF7F">
                  <w:pPr>
                    <w:widowControl/>
                    <w:jc w:val="center"/>
                    <w:rPr>
                      <w:color w:val="auto"/>
                      <w:szCs w:val="21"/>
                    </w:rPr>
                  </w:pPr>
                  <w:r>
                    <w:rPr>
                      <w:color w:val="auto"/>
                      <w:szCs w:val="21"/>
                    </w:rPr>
                    <w:t>工程</w:t>
                  </w:r>
                </w:p>
                <w:p w14:paraId="028E737D">
                  <w:pPr>
                    <w:widowControl/>
                    <w:jc w:val="center"/>
                    <w:rPr>
                      <w:color w:val="auto"/>
                      <w:szCs w:val="21"/>
                    </w:rPr>
                  </w:pPr>
                  <w:r>
                    <w:rPr>
                      <w:color w:val="auto"/>
                      <w:szCs w:val="21"/>
                    </w:rPr>
                    <w:t>类别</w:t>
                  </w:r>
                </w:p>
              </w:tc>
              <w:tc>
                <w:tcPr>
                  <w:tcW w:w="729" w:type="pct"/>
                  <w:vAlign w:val="center"/>
                </w:tcPr>
                <w:p w14:paraId="3B4A2E4A">
                  <w:pPr>
                    <w:widowControl/>
                    <w:jc w:val="center"/>
                    <w:rPr>
                      <w:color w:val="auto"/>
                      <w:szCs w:val="21"/>
                    </w:rPr>
                  </w:pPr>
                  <w:r>
                    <w:rPr>
                      <w:color w:val="auto"/>
                      <w:szCs w:val="21"/>
                    </w:rPr>
                    <w:t>工程内容</w:t>
                  </w:r>
                </w:p>
              </w:tc>
              <w:tc>
                <w:tcPr>
                  <w:tcW w:w="3402" w:type="pct"/>
                  <w:tcBorders>
                    <w:bottom w:val="single" w:color="auto" w:sz="4" w:space="0"/>
                  </w:tcBorders>
                  <w:vAlign w:val="center"/>
                </w:tcPr>
                <w:p w14:paraId="3DF4B603">
                  <w:pPr>
                    <w:widowControl/>
                    <w:jc w:val="center"/>
                    <w:rPr>
                      <w:color w:val="auto"/>
                      <w:szCs w:val="21"/>
                    </w:rPr>
                  </w:pPr>
                  <w:r>
                    <w:rPr>
                      <w:color w:val="auto"/>
                      <w:szCs w:val="21"/>
                    </w:rPr>
                    <w:t>工程规模</w:t>
                  </w:r>
                </w:p>
              </w:tc>
              <w:tc>
                <w:tcPr>
                  <w:tcW w:w="469" w:type="pct"/>
                  <w:tcBorders>
                    <w:bottom w:val="single" w:color="auto" w:sz="4" w:space="0"/>
                  </w:tcBorders>
                  <w:vAlign w:val="center"/>
                </w:tcPr>
                <w:p w14:paraId="5F2213FC">
                  <w:pPr>
                    <w:widowControl/>
                    <w:jc w:val="center"/>
                    <w:rPr>
                      <w:rFonts w:hint="default" w:eastAsia="宋体"/>
                      <w:color w:val="auto"/>
                      <w:szCs w:val="21"/>
                      <w:lang w:val="en-US" w:eastAsia="zh-CN"/>
                    </w:rPr>
                  </w:pPr>
                  <w:r>
                    <w:rPr>
                      <w:rFonts w:hint="eastAsia"/>
                      <w:color w:val="auto"/>
                      <w:szCs w:val="21"/>
                      <w:lang w:val="en-US" w:eastAsia="zh-CN"/>
                    </w:rPr>
                    <w:t>落实情况</w:t>
                  </w:r>
                </w:p>
              </w:tc>
            </w:tr>
            <w:tr w14:paraId="440707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restart"/>
                  <w:vAlign w:val="center"/>
                </w:tcPr>
                <w:p w14:paraId="70F0DE43">
                  <w:pPr>
                    <w:jc w:val="center"/>
                    <w:rPr>
                      <w:color w:val="auto"/>
                      <w:szCs w:val="21"/>
                    </w:rPr>
                  </w:pPr>
                  <w:r>
                    <w:rPr>
                      <w:color w:val="auto"/>
                      <w:szCs w:val="21"/>
                    </w:rPr>
                    <w:t>主体工程</w:t>
                  </w:r>
                </w:p>
              </w:tc>
              <w:tc>
                <w:tcPr>
                  <w:tcW w:w="729" w:type="pct"/>
                  <w:vAlign w:val="center"/>
                </w:tcPr>
                <w:p w14:paraId="7E5C7F4A">
                  <w:pPr>
                    <w:widowControl/>
                    <w:jc w:val="center"/>
                    <w:rPr>
                      <w:color w:val="auto"/>
                      <w:szCs w:val="21"/>
                    </w:rPr>
                  </w:pPr>
                  <w:r>
                    <w:rPr>
                      <w:rFonts w:hint="eastAsia"/>
                      <w:color w:val="auto"/>
                      <w:szCs w:val="21"/>
                    </w:rPr>
                    <w:t>石墨烘干车间</w:t>
                  </w:r>
                </w:p>
              </w:tc>
              <w:tc>
                <w:tcPr>
                  <w:tcW w:w="3402" w:type="pct"/>
                  <w:vAlign w:val="center"/>
                </w:tcPr>
                <w:p w14:paraId="07FAFB93">
                  <w:pPr>
                    <w:widowControl/>
                    <w:rPr>
                      <w:color w:val="auto"/>
                      <w:szCs w:val="21"/>
                    </w:rPr>
                  </w:pPr>
                  <w:r>
                    <w:rPr>
                      <w:color w:val="auto"/>
                      <w:szCs w:val="21"/>
                    </w:rPr>
                    <w:t>建筑面积500</w:t>
                  </w:r>
                  <w:r>
                    <w:rPr>
                      <w:color w:val="auto"/>
                      <w:kern w:val="0"/>
                      <w:szCs w:val="21"/>
                    </w:rPr>
                    <w:t>m</w:t>
                  </w:r>
                  <w:r>
                    <w:rPr>
                      <w:color w:val="auto"/>
                      <w:kern w:val="0"/>
                      <w:szCs w:val="21"/>
                      <w:vertAlign w:val="superscript"/>
                    </w:rPr>
                    <w:t>2</w:t>
                  </w:r>
                  <w:r>
                    <w:rPr>
                      <w:color w:val="auto"/>
                      <w:kern w:val="0"/>
                      <w:szCs w:val="21"/>
                    </w:rPr>
                    <w:t>，用于</w:t>
                  </w:r>
                  <w:r>
                    <w:rPr>
                      <w:color w:val="auto"/>
                      <w:szCs w:val="21"/>
                    </w:rPr>
                    <w:t>可膨胀石墨</w:t>
                  </w:r>
                  <w:r>
                    <w:rPr>
                      <w:color w:val="auto"/>
                      <w:kern w:val="0"/>
                      <w:szCs w:val="21"/>
                    </w:rPr>
                    <w:t>（</w:t>
                  </w:r>
                  <w:r>
                    <w:rPr>
                      <w:color w:val="auto"/>
                    </w:rPr>
                    <w:t>含碳量99.9%</w:t>
                  </w:r>
                  <w:r>
                    <w:rPr>
                      <w:color w:val="auto"/>
                      <w:kern w:val="0"/>
                      <w:szCs w:val="21"/>
                    </w:rPr>
                    <w:t>）</w:t>
                  </w:r>
                  <w:r>
                    <w:rPr>
                      <w:color w:val="auto"/>
                      <w:szCs w:val="21"/>
                    </w:rPr>
                    <w:t>湿料</w:t>
                  </w:r>
                  <w:r>
                    <w:rPr>
                      <w:color w:val="auto"/>
                      <w:kern w:val="0"/>
                      <w:szCs w:val="21"/>
                    </w:rPr>
                    <w:t>烘干</w:t>
                  </w:r>
                  <w:r>
                    <w:rPr>
                      <w:rFonts w:hint="eastAsia"/>
                      <w:color w:val="auto"/>
                      <w:kern w:val="0"/>
                      <w:szCs w:val="21"/>
                    </w:rPr>
                    <w:t>，</w:t>
                  </w:r>
                  <w:r>
                    <w:rPr>
                      <w:color w:val="auto"/>
                      <w:kern w:val="0"/>
                      <w:szCs w:val="21"/>
                    </w:rPr>
                    <w:t>年</w:t>
                  </w:r>
                  <w:r>
                    <w:rPr>
                      <w:rFonts w:hint="eastAsia"/>
                      <w:color w:val="auto"/>
                      <w:kern w:val="0"/>
                      <w:szCs w:val="21"/>
                    </w:rPr>
                    <w:t>产</w:t>
                  </w:r>
                  <w:r>
                    <w:rPr>
                      <w:color w:val="auto"/>
                      <w:kern w:val="0"/>
                      <w:szCs w:val="21"/>
                    </w:rPr>
                    <w:t>石墨</w:t>
                  </w:r>
                  <w:r>
                    <w:rPr>
                      <w:rFonts w:hint="eastAsia"/>
                      <w:color w:val="auto"/>
                      <w:kern w:val="0"/>
                      <w:szCs w:val="21"/>
                    </w:rPr>
                    <w:t>干料</w:t>
                  </w:r>
                  <w:r>
                    <w:rPr>
                      <w:color w:val="auto"/>
                      <w:kern w:val="0"/>
                      <w:szCs w:val="21"/>
                    </w:rPr>
                    <w:t>2000t</w:t>
                  </w:r>
                  <w:r>
                    <w:rPr>
                      <w:rFonts w:hint="eastAsia"/>
                      <w:color w:val="auto"/>
                      <w:kern w:val="0"/>
                      <w:szCs w:val="21"/>
                    </w:rPr>
                    <w:t>，内设导热油</w:t>
                  </w:r>
                  <w:r>
                    <w:rPr>
                      <w:color w:val="auto"/>
                      <w:kern w:val="0"/>
                      <w:szCs w:val="21"/>
                    </w:rPr>
                    <w:t>烘干箱15</w:t>
                  </w:r>
                  <w:r>
                    <w:rPr>
                      <w:rFonts w:hint="eastAsia"/>
                      <w:color w:val="auto"/>
                      <w:kern w:val="0"/>
                      <w:szCs w:val="21"/>
                    </w:rPr>
                    <w:t>套，整个</w:t>
                  </w:r>
                  <w:r>
                    <w:rPr>
                      <w:color w:val="auto"/>
                      <w:kern w:val="0"/>
                      <w:szCs w:val="21"/>
                    </w:rPr>
                    <w:t>车间配备一</w:t>
                  </w:r>
                  <w:r>
                    <w:rPr>
                      <w:rFonts w:hint="eastAsia"/>
                      <w:color w:val="auto"/>
                      <w:szCs w:val="21"/>
                    </w:rPr>
                    <w:t>套</w:t>
                  </w:r>
                  <w:r>
                    <w:rPr>
                      <w:color w:val="auto"/>
                      <w:kern w:val="0"/>
                      <w:szCs w:val="21"/>
                    </w:rPr>
                    <w:t>布袋除尘器</w:t>
                  </w:r>
                </w:p>
              </w:tc>
              <w:tc>
                <w:tcPr>
                  <w:tcW w:w="469" w:type="pct"/>
                  <w:vMerge w:val="restart"/>
                  <w:vAlign w:val="center"/>
                </w:tcPr>
                <w:p w14:paraId="717FAB24">
                  <w:pPr>
                    <w:spacing w:line="276" w:lineRule="auto"/>
                    <w:jc w:val="center"/>
                    <w:rPr>
                      <w:rFonts w:hint="eastAsia" w:eastAsia="宋体"/>
                      <w:color w:val="auto"/>
                      <w:kern w:val="0"/>
                      <w:szCs w:val="21"/>
                      <w:lang w:val="en-US" w:eastAsia="zh-CN"/>
                    </w:rPr>
                  </w:pPr>
                  <w:r>
                    <w:rPr>
                      <w:rFonts w:hint="eastAsia"/>
                      <w:color w:val="auto"/>
                      <w:szCs w:val="21"/>
                      <w:lang w:val="en-US" w:eastAsia="zh-CN"/>
                    </w:rPr>
                    <w:t>已落实</w:t>
                  </w:r>
                </w:p>
              </w:tc>
            </w:tr>
            <w:tr w14:paraId="073BB3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4FDF3D73">
                  <w:pPr>
                    <w:jc w:val="center"/>
                    <w:rPr>
                      <w:color w:val="auto"/>
                      <w:szCs w:val="21"/>
                    </w:rPr>
                  </w:pPr>
                </w:p>
              </w:tc>
              <w:tc>
                <w:tcPr>
                  <w:tcW w:w="729" w:type="pct"/>
                  <w:vAlign w:val="center"/>
                </w:tcPr>
                <w:p w14:paraId="767919E3">
                  <w:pPr>
                    <w:widowControl/>
                    <w:jc w:val="center"/>
                    <w:rPr>
                      <w:color w:val="auto"/>
                      <w:szCs w:val="21"/>
                    </w:rPr>
                  </w:pPr>
                  <w:r>
                    <w:rPr>
                      <w:rFonts w:hint="eastAsia"/>
                      <w:color w:val="auto"/>
                      <w:szCs w:val="21"/>
                    </w:rPr>
                    <w:t>石墨烘干</w:t>
                  </w:r>
                  <w:r>
                    <w:rPr>
                      <w:color w:val="auto"/>
                      <w:szCs w:val="21"/>
                    </w:rPr>
                    <w:t>筛分</w:t>
                  </w:r>
                  <w:r>
                    <w:rPr>
                      <w:rFonts w:hint="eastAsia"/>
                      <w:color w:val="auto"/>
                      <w:szCs w:val="21"/>
                    </w:rPr>
                    <w:t>车间</w:t>
                  </w:r>
                </w:p>
              </w:tc>
              <w:tc>
                <w:tcPr>
                  <w:tcW w:w="3402" w:type="pct"/>
                  <w:vAlign w:val="center"/>
                </w:tcPr>
                <w:p w14:paraId="7691C7EE">
                  <w:pPr>
                    <w:widowControl/>
                    <w:rPr>
                      <w:color w:val="auto"/>
                      <w:szCs w:val="21"/>
                    </w:rPr>
                  </w:pPr>
                  <w:r>
                    <w:rPr>
                      <w:color w:val="auto"/>
                      <w:szCs w:val="21"/>
                    </w:rPr>
                    <w:t>建筑面积为700</w:t>
                  </w:r>
                  <w:r>
                    <w:rPr>
                      <w:color w:val="auto"/>
                      <w:kern w:val="0"/>
                      <w:szCs w:val="21"/>
                    </w:rPr>
                    <w:t>m</w:t>
                  </w:r>
                  <w:r>
                    <w:rPr>
                      <w:color w:val="auto"/>
                      <w:kern w:val="0"/>
                      <w:szCs w:val="21"/>
                      <w:vertAlign w:val="superscript"/>
                    </w:rPr>
                    <w:t>2</w:t>
                  </w:r>
                  <w:r>
                    <w:rPr>
                      <w:color w:val="auto"/>
                      <w:kern w:val="0"/>
                      <w:szCs w:val="21"/>
                    </w:rPr>
                    <w:t>，用于</w:t>
                  </w:r>
                  <w:r>
                    <w:rPr>
                      <w:color w:val="auto"/>
                      <w:szCs w:val="21"/>
                    </w:rPr>
                    <w:t>可膨胀石墨</w:t>
                  </w:r>
                  <w:r>
                    <w:rPr>
                      <w:color w:val="auto"/>
                      <w:kern w:val="0"/>
                      <w:szCs w:val="21"/>
                    </w:rPr>
                    <w:t>（</w:t>
                  </w:r>
                  <w:r>
                    <w:rPr>
                      <w:color w:val="auto"/>
                    </w:rPr>
                    <w:t>含碳量90-95%</w:t>
                  </w:r>
                  <w:r>
                    <w:rPr>
                      <w:color w:val="auto"/>
                      <w:kern w:val="0"/>
                      <w:szCs w:val="21"/>
                    </w:rPr>
                    <w:t>）</w:t>
                  </w:r>
                  <w:r>
                    <w:rPr>
                      <w:color w:val="auto"/>
                      <w:szCs w:val="21"/>
                    </w:rPr>
                    <w:t>湿料</w:t>
                  </w:r>
                  <w:r>
                    <w:rPr>
                      <w:color w:val="auto"/>
                      <w:kern w:val="0"/>
                      <w:szCs w:val="21"/>
                    </w:rPr>
                    <w:t>烘干</w:t>
                  </w:r>
                  <w:r>
                    <w:rPr>
                      <w:rFonts w:hint="eastAsia"/>
                      <w:color w:val="auto"/>
                      <w:kern w:val="0"/>
                      <w:szCs w:val="21"/>
                    </w:rPr>
                    <w:t>、</w:t>
                  </w:r>
                  <w:r>
                    <w:rPr>
                      <w:color w:val="auto"/>
                      <w:kern w:val="0"/>
                      <w:szCs w:val="21"/>
                    </w:rPr>
                    <w:t>筛分，年</w:t>
                  </w:r>
                  <w:r>
                    <w:rPr>
                      <w:rFonts w:hint="eastAsia"/>
                      <w:color w:val="auto"/>
                      <w:kern w:val="0"/>
                      <w:szCs w:val="21"/>
                    </w:rPr>
                    <w:t>产</w:t>
                  </w:r>
                  <w:r>
                    <w:rPr>
                      <w:color w:val="auto"/>
                      <w:kern w:val="0"/>
                      <w:szCs w:val="21"/>
                    </w:rPr>
                    <w:t>石墨</w:t>
                  </w:r>
                  <w:r>
                    <w:rPr>
                      <w:rFonts w:hint="eastAsia"/>
                      <w:color w:val="auto"/>
                      <w:kern w:val="0"/>
                      <w:szCs w:val="21"/>
                    </w:rPr>
                    <w:t>干料</w:t>
                  </w:r>
                  <w:r>
                    <w:rPr>
                      <w:color w:val="auto"/>
                      <w:kern w:val="0"/>
                      <w:szCs w:val="21"/>
                    </w:rPr>
                    <w:t>3000t</w:t>
                  </w:r>
                  <w:r>
                    <w:rPr>
                      <w:rFonts w:hint="eastAsia"/>
                      <w:color w:val="auto"/>
                      <w:szCs w:val="21"/>
                    </w:rPr>
                    <w:t>，内</w:t>
                  </w:r>
                  <w:r>
                    <w:rPr>
                      <w:color w:val="auto"/>
                      <w:szCs w:val="21"/>
                    </w:rPr>
                    <w:t>设</w:t>
                  </w:r>
                  <w:r>
                    <w:rPr>
                      <w:rFonts w:hint="eastAsia"/>
                      <w:color w:val="auto"/>
                      <w:szCs w:val="21"/>
                    </w:rPr>
                    <w:t>导热油干燥锅4台</w:t>
                  </w:r>
                  <w:r>
                    <w:rPr>
                      <w:color w:val="auto"/>
                      <w:szCs w:val="21"/>
                    </w:rPr>
                    <w:t>、混料机</w:t>
                  </w:r>
                  <w:r>
                    <w:rPr>
                      <w:rFonts w:hint="eastAsia"/>
                      <w:color w:val="auto"/>
                      <w:szCs w:val="21"/>
                    </w:rPr>
                    <w:t>1台</w:t>
                  </w:r>
                  <w:r>
                    <w:rPr>
                      <w:color w:val="auto"/>
                      <w:szCs w:val="21"/>
                    </w:rPr>
                    <w:t>、滚筒筛</w:t>
                  </w:r>
                  <w:r>
                    <w:rPr>
                      <w:rFonts w:hint="eastAsia"/>
                      <w:color w:val="auto"/>
                      <w:szCs w:val="21"/>
                    </w:rPr>
                    <w:t>1台</w:t>
                  </w:r>
                  <w:r>
                    <w:rPr>
                      <w:rFonts w:hint="eastAsia"/>
                      <w:color w:val="auto"/>
                      <w:kern w:val="0"/>
                      <w:szCs w:val="21"/>
                    </w:rPr>
                    <w:t>，整个</w:t>
                  </w:r>
                  <w:r>
                    <w:rPr>
                      <w:color w:val="auto"/>
                      <w:kern w:val="0"/>
                      <w:szCs w:val="21"/>
                    </w:rPr>
                    <w:t>车间配备一</w:t>
                  </w:r>
                  <w:r>
                    <w:rPr>
                      <w:rFonts w:hint="eastAsia"/>
                      <w:color w:val="auto"/>
                      <w:szCs w:val="21"/>
                    </w:rPr>
                    <w:t>套</w:t>
                  </w:r>
                  <w:r>
                    <w:rPr>
                      <w:color w:val="auto"/>
                      <w:kern w:val="0"/>
                      <w:szCs w:val="21"/>
                    </w:rPr>
                    <w:t>布袋除尘器</w:t>
                  </w:r>
                </w:p>
              </w:tc>
              <w:tc>
                <w:tcPr>
                  <w:tcW w:w="469" w:type="pct"/>
                  <w:vMerge w:val="continue"/>
                  <w:vAlign w:val="center"/>
                </w:tcPr>
                <w:p w14:paraId="4EE7B820">
                  <w:pPr>
                    <w:widowControl/>
                    <w:jc w:val="center"/>
                    <w:rPr>
                      <w:color w:val="auto"/>
                      <w:kern w:val="0"/>
                      <w:szCs w:val="21"/>
                    </w:rPr>
                  </w:pPr>
                </w:p>
              </w:tc>
            </w:tr>
            <w:tr w14:paraId="7F1515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6412CB8B">
                  <w:pPr>
                    <w:jc w:val="center"/>
                    <w:rPr>
                      <w:color w:val="auto"/>
                      <w:szCs w:val="21"/>
                    </w:rPr>
                  </w:pPr>
                </w:p>
              </w:tc>
              <w:tc>
                <w:tcPr>
                  <w:tcW w:w="729" w:type="pct"/>
                  <w:vAlign w:val="center"/>
                </w:tcPr>
                <w:p w14:paraId="4DC5B75A">
                  <w:pPr>
                    <w:widowControl/>
                    <w:jc w:val="center"/>
                    <w:textAlignment w:val="center"/>
                    <w:rPr>
                      <w:color w:val="auto"/>
                      <w:szCs w:val="21"/>
                    </w:rPr>
                  </w:pPr>
                  <w:r>
                    <w:rPr>
                      <w:rFonts w:hint="eastAsia"/>
                      <w:color w:val="auto"/>
                      <w:szCs w:val="21"/>
                    </w:rPr>
                    <w:t>纳米材料车间</w:t>
                  </w:r>
                </w:p>
              </w:tc>
              <w:tc>
                <w:tcPr>
                  <w:tcW w:w="3402" w:type="pct"/>
                  <w:vAlign w:val="center"/>
                </w:tcPr>
                <w:p w14:paraId="7CE5DBA2">
                  <w:pPr>
                    <w:widowControl/>
                    <w:jc w:val="left"/>
                    <w:textAlignment w:val="center"/>
                    <w:rPr>
                      <w:color w:val="auto"/>
                      <w:szCs w:val="21"/>
                    </w:rPr>
                  </w:pPr>
                  <w:r>
                    <w:rPr>
                      <w:color w:val="auto"/>
                      <w:kern w:val="0"/>
                      <w:szCs w:val="21"/>
                    </w:rPr>
                    <w:t>建筑面积700m</w:t>
                  </w:r>
                  <w:r>
                    <w:rPr>
                      <w:color w:val="auto"/>
                      <w:kern w:val="0"/>
                      <w:szCs w:val="21"/>
                      <w:vertAlign w:val="superscript"/>
                    </w:rPr>
                    <w:t>2</w:t>
                  </w:r>
                  <w:r>
                    <w:rPr>
                      <w:color w:val="auto"/>
                      <w:kern w:val="0"/>
                      <w:szCs w:val="21"/>
                    </w:rPr>
                    <w:t>，用于</w:t>
                  </w:r>
                  <w:r>
                    <w:rPr>
                      <w:color w:val="auto"/>
                    </w:rPr>
                    <w:t>纳米</w:t>
                  </w:r>
                  <w:r>
                    <w:rPr>
                      <w:rFonts w:hint="eastAsia"/>
                      <w:color w:val="auto"/>
                    </w:rPr>
                    <w:t>材料（碳纳米管</w:t>
                  </w:r>
                  <w:r>
                    <w:rPr>
                      <w:color w:val="auto"/>
                    </w:rPr>
                    <w:t>）</w:t>
                  </w:r>
                  <w:r>
                    <w:rPr>
                      <w:color w:val="auto"/>
                      <w:szCs w:val="21"/>
                    </w:rPr>
                    <w:t>湿料</w:t>
                  </w:r>
                  <w:r>
                    <w:rPr>
                      <w:color w:val="auto"/>
                      <w:kern w:val="0"/>
                      <w:szCs w:val="21"/>
                    </w:rPr>
                    <w:t>烘干</w:t>
                  </w:r>
                  <w:r>
                    <w:rPr>
                      <w:rFonts w:hint="eastAsia"/>
                      <w:color w:val="auto"/>
                      <w:kern w:val="0"/>
                      <w:szCs w:val="21"/>
                    </w:rPr>
                    <w:t>，</w:t>
                  </w:r>
                  <w:r>
                    <w:rPr>
                      <w:color w:val="auto"/>
                      <w:kern w:val="0"/>
                      <w:szCs w:val="21"/>
                    </w:rPr>
                    <w:t>年</w:t>
                  </w:r>
                  <w:r>
                    <w:rPr>
                      <w:rFonts w:hint="eastAsia"/>
                      <w:color w:val="auto"/>
                      <w:kern w:val="0"/>
                      <w:szCs w:val="21"/>
                    </w:rPr>
                    <w:t>产</w:t>
                  </w:r>
                  <w:r>
                    <w:rPr>
                      <w:color w:val="auto"/>
                    </w:rPr>
                    <w:t>纳米</w:t>
                  </w:r>
                  <w:r>
                    <w:rPr>
                      <w:rFonts w:hint="eastAsia"/>
                      <w:color w:val="auto"/>
                    </w:rPr>
                    <w:t>材料干料</w:t>
                  </w:r>
                  <w:r>
                    <w:rPr>
                      <w:rFonts w:hint="eastAsia"/>
                      <w:color w:val="auto"/>
                      <w:kern w:val="0"/>
                      <w:szCs w:val="21"/>
                    </w:rPr>
                    <w:t>500</w:t>
                  </w:r>
                  <w:r>
                    <w:rPr>
                      <w:color w:val="auto"/>
                      <w:kern w:val="0"/>
                      <w:szCs w:val="21"/>
                    </w:rPr>
                    <w:t>t，</w:t>
                  </w:r>
                  <w:r>
                    <w:rPr>
                      <w:rFonts w:hint="eastAsia"/>
                      <w:color w:val="auto"/>
                      <w:kern w:val="0"/>
                      <w:szCs w:val="21"/>
                    </w:rPr>
                    <w:t>内设导热油</w:t>
                  </w:r>
                  <w:r>
                    <w:rPr>
                      <w:color w:val="auto"/>
                      <w:kern w:val="0"/>
                      <w:szCs w:val="21"/>
                    </w:rPr>
                    <w:t>烘干箱15</w:t>
                  </w:r>
                  <w:r>
                    <w:rPr>
                      <w:rFonts w:hint="eastAsia"/>
                      <w:color w:val="auto"/>
                      <w:kern w:val="0"/>
                      <w:szCs w:val="21"/>
                    </w:rPr>
                    <w:t>套，</w:t>
                  </w:r>
                  <w:r>
                    <w:rPr>
                      <w:rFonts w:hint="eastAsia"/>
                      <w:color w:val="auto"/>
                    </w:rPr>
                    <w:t>碳纳米管</w:t>
                  </w:r>
                  <w:r>
                    <w:rPr>
                      <w:color w:val="auto"/>
                      <w:kern w:val="0"/>
                      <w:szCs w:val="21"/>
                    </w:rPr>
                    <w:t>为块状</w:t>
                  </w:r>
                  <w:r>
                    <w:rPr>
                      <w:rFonts w:hint="eastAsia"/>
                      <w:color w:val="auto"/>
                      <w:kern w:val="0"/>
                      <w:szCs w:val="21"/>
                    </w:rPr>
                    <w:t>材料</w:t>
                  </w:r>
                  <w:r>
                    <w:rPr>
                      <w:color w:val="auto"/>
                      <w:kern w:val="0"/>
                      <w:szCs w:val="21"/>
                    </w:rPr>
                    <w:t>，</w:t>
                  </w:r>
                  <w:r>
                    <w:rPr>
                      <w:rFonts w:hint="eastAsia"/>
                      <w:color w:val="auto"/>
                      <w:kern w:val="0"/>
                      <w:szCs w:val="21"/>
                    </w:rPr>
                    <w:t>无</w:t>
                  </w:r>
                  <w:r>
                    <w:rPr>
                      <w:color w:val="auto"/>
                      <w:kern w:val="0"/>
                      <w:szCs w:val="21"/>
                    </w:rPr>
                    <w:t>粉尘产生</w:t>
                  </w:r>
                  <w:r>
                    <w:rPr>
                      <w:rFonts w:hint="eastAsia"/>
                      <w:color w:val="auto"/>
                      <w:kern w:val="0"/>
                      <w:szCs w:val="21"/>
                    </w:rPr>
                    <w:t>，</w:t>
                  </w:r>
                  <w:r>
                    <w:rPr>
                      <w:color w:val="auto"/>
                      <w:kern w:val="0"/>
                      <w:szCs w:val="21"/>
                    </w:rPr>
                    <w:t>无需设置除尘器</w:t>
                  </w:r>
                </w:p>
              </w:tc>
              <w:tc>
                <w:tcPr>
                  <w:tcW w:w="469" w:type="pct"/>
                  <w:vMerge w:val="continue"/>
                  <w:vAlign w:val="center"/>
                </w:tcPr>
                <w:p w14:paraId="2B35A494">
                  <w:pPr>
                    <w:widowControl/>
                    <w:jc w:val="center"/>
                    <w:rPr>
                      <w:color w:val="auto"/>
                      <w:szCs w:val="21"/>
                    </w:rPr>
                  </w:pPr>
                </w:p>
              </w:tc>
            </w:tr>
            <w:tr w14:paraId="227DFD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restart"/>
                  <w:vAlign w:val="center"/>
                </w:tcPr>
                <w:p w14:paraId="520415D4">
                  <w:pPr>
                    <w:jc w:val="center"/>
                    <w:rPr>
                      <w:color w:val="auto"/>
                      <w:szCs w:val="21"/>
                    </w:rPr>
                  </w:pPr>
                  <w:r>
                    <w:rPr>
                      <w:color w:val="auto"/>
                      <w:szCs w:val="21"/>
                    </w:rPr>
                    <w:t>辅助工程</w:t>
                  </w:r>
                </w:p>
              </w:tc>
              <w:tc>
                <w:tcPr>
                  <w:tcW w:w="729" w:type="pct"/>
                  <w:vAlign w:val="center"/>
                </w:tcPr>
                <w:p w14:paraId="78D7886B">
                  <w:pPr>
                    <w:widowControl/>
                    <w:jc w:val="center"/>
                    <w:textAlignment w:val="center"/>
                    <w:rPr>
                      <w:color w:val="auto"/>
                      <w:szCs w:val="21"/>
                    </w:rPr>
                  </w:pPr>
                  <w:r>
                    <w:rPr>
                      <w:color w:val="auto"/>
                      <w:kern w:val="0"/>
                      <w:szCs w:val="21"/>
                    </w:rPr>
                    <w:t>办公</w:t>
                  </w:r>
                  <w:r>
                    <w:rPr>
                      <w:rFonts w:hint="eastAsia"/>
                      <w:color w:val="auto"/>
                      <w:kern w:val="0"/>
                      <w:szCs w:val="21"/>
                    </w:rPr>
                    <w:t>室</w:t>
                  </w:r>
                </w:p>
              </w:tc>
              <w:tc>
                <w:tcPr>
                  <w:tcW w:w="3402" w:type="pct"/>
                  <w:vAlign w:val="center"/>
                </w:tcPr>
                <w:p w14:paraId="493B6EAF">
                  <w:pPr>
                    <w:widowControl/>
                    <w:jc w:val="left"/>
                    <w:textAlignment w:val="center"/>
                    <w:rPr>
                      <w:color w:val="auto"/>
                      <w:szCs w:val="21"/>
                    </w:rPr>
                  </w:pPr>
                  <w:r>
                    <w:rPr>
                      <w:color w:val="auto"/>
                      <w:kern w:val="0"/>
                      <w:szCs w:val="21"/>
                    </w:rPr>
                    <w:t>建筑面积60m</w:t>
                  </w:r>
                  <w:r>
                    <w:rPr>
                      <w:color w:val="auto"/>
                      <w:kern w:val="0"/>
                      <w:szCs w:val="21"/>
                      <w:vertAlign w:val="superscript"/>
                    </w:rPr>
                    <w:t>2</w:t>
                  </w:r>
                  <w:r>
                    <w:rPr>
                      <w:color w:val="auto"/>
                      <w:kern w:val="0"/>
                      <w:szCs w:val="21"/>
                    </w:rPr>
                    <w:t>，1层</w:t>
                  </w:r>
                </w:p>
              </w:tc>
              <w:tc>
                <w:tcPr>
                  <w:tcW w:w="469" w:type="pct"/>
                  <w:vMerge w:val="continue"/>
                  <w:vAlign w:val="center"/>
                </w:tcPr>
                <w:p w14:paraId="5EE744F7">
                  <w:pPr>
                    <w:jc w:val="center"/>
                    <w:rPr>
                      <w:color w:val="auto"/>
                      <w:szCs w:val="21"/>
                    </w:rPr>
                  </w:pPr>
                </w:p>
              </w:tc>
            </w:tr>
            <w:tr w14:paraId="341B77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6784DB63">
                  <w:pPr>
                    <w:jc w:val="center"/>
                    <w:rPr>
                      <w:color w:val="auto"/>
                      <w:szCs w:val="21"/>
                    </w:rPr>
                  </w:pPr>
                </w:p>
              </w:tc>
              <w:tc>
                <w:tcPr>
                  <w:tcW w:w="729" w:type="pct"/>
                  <w:vAlign w:val="center"/>
                </w:tcPr>
                <w:p w14:paraId="203BF0DB">
                  <w:pPr>
                    <w:widowControl/>
                    <w:jc w:val="center"/>
                    <w:textAlignment w:val="center"/>
                    <w:rPr>
                      <w:color w:val="auto"/>
                      <w:kern w:val="0"/>
                      <w:szCs w:val="21"/>
                    </w:rPr>
                  </w:pPr>
                  <w:r>
                    <w:rPr>
                      <w:rFonts w:hint="eastAsia"/>
                      <w:color w:val="auto"/>
                      <w:kern w:val="0"/>
                      <w:szCs w:val="21"/>
                    </w:rPr>
                    <w:t>浴室</w:t>
                  </w:r>
                </w:p>
              </w:tc>
              <w:tc>
                <w:tcPr>
                  <w:tcW w:w="3402" w:type="pct"/>
                  <w:vAlign w:val="center"/>
                </w:tcPr>
                <w:p w14:paraId="13BDE01B">
                  <w:pPr>
                    <w:widowControl/>
                    <w:jc w:val="left"/>
                    <w:textAlignment w:val="center"/>
                    <w:rPr>
                      <w:color w:val="auto"/>
                      <w:kern w:val="0"/>
                      <w:szCs w:val="21"/>
                    </w:rPr>
                  </w:pPr>
                  <w:r>
                    <w:rPr>
                      <w:color w:val="auto"/>
                      <w:kern w:val="0"/>
                      <w:szCs w:val="21"/>
                    </w:rPr>
                    <w:t>建筑面积30m</w:t>
                  </w:r>
                  <w:r>
                    <w:rPr>
                      <w:color w:val="auto"/>
                      <w:kern w:val="0"/>
                      <w:szCs w:val="21"/>
                      <w:vertAlign w:val="superscript"/>
                    </w:rPr>
                    <w:t>2</w:t>
                  </w:r>
                  <w:r>
                    <w:rPr>
                      <w:color w:val="auto"/>
                      <w:kern w:val="0"/>
                      <w:szCs w:val="21"/>
                    </w:rPr>
                    <w:t>，1层</w:t>
                  </w:r>
                </w:p>
              </w:tc>
              <w:tc>
                <w:tcPr>
                  <w:tcW w:w="469" w:type="pct"/>
                  <w:vMerge w:val="continue"/>
                  <w:vAlign w:val="center"/>
                </w:tcPr>
                <w:p w14:paraId="3B1E05C0">
                  <w:pPr>
                    <w:jc w:val="center"/>
                    <w:rPr>
                      <w:color w:val="auto"/>
                      <w:szCs w:val="21"/>
                    </w:rPr>
                  </w:pPr>
                </w:p>
              </w:tc>
            </w:tr>
            <w:tr w14:paraId="577E29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6D317ABA">
                  <w:pPr>
                    <w:jc w:val="center"/>
                    <w:rPr>
                      <w:color w:val="auto"/>
                      <w:szCs w:val="21"/>
                    </w:rPr>
                  </w:pPr>
                </w:p>
              </w:tc>
              <w:tc>
                <w:tcPr>
                  <w:tcW w:w="729" w:type="pct"/>
                  <w:vAlign w:val="center"/>
                </w:tcPr>
                <w:p w14:paraId="7F1CF96A">
                  <w:pPr>
                    <w:widowControl/>
                    <w:jc w:val="center"/>
                    <w:textAlignment w:val="center"/>
                    <w:rPr>
                      <w:color w:val="auto"/>
                      <w:kern w:val="0"/>
                      <w:szCs w:val="21"/>
                    </w:rPr>
                  </w:pPr>
                  <w:r>
                    <w:rPr>
                      <w:rFonts w:hint="eastAsia"/>
                      <w:color w:val="auto"/>
                      <w:kern w:val="0"/>
                      <w:szCs w:val="21"/>
                    </w:rPr>
                    <w:t>化验室</w:t>
                  </w:r>
                </w:p>
              </w:tc>
              <w:tc>
                <w:tcPr>
                  <w:tcW w:w="3402" w:type="pct"/>
                  <w:vAlign w:val="center"/>
                </w:tcPr>
                <w:p w14:paraId="0916126D">
                  <w:pPr>
                    <w:widowControl/>
                    <w:jc w:val="left"/>
                    <w:textAlignment w:val="center"/>
                    <w:rPr>
                      <w:color w:val="auto"/>
                      <w:kern w:val="0"/>
                      <w:szCs w:val="21"/>
                    </w:rPr>
                  </w:pPr>
                  <w:r>
                    <w:rPr>
                      <w:color w:val="auto"/>
                      <w:kern w:val="0"/>
                      <w:szCs w:val="21"/>
                    </w:rPr>
                    <w:t>建筑面积30m</w:t>
                  </w:r>
                  <w:r>
                    <w:rPr>
                      <w:color w:val="auto"/>
                      <w:kern w:val="0"/>
                      <w:szCs w:val="21"/>
                      <w:vertAlign w:val="superscript"/>
                    </w:rPr>
                    <w:t>2</w:t>
                  </w:r>
                  <w:r>
                    <w:rPr>
                      <w:color w:val="auto"/>
                      <w:kern w:val="0"/>
                      <w:szCs w:val="21"/>
                    </w:rPr>
                    <w:t>，1层</w:t>
                  </w:r>
                  <w:r>
                    <w:rPr>
                      <w:rFonts w:hint="eastAsia"/>
                      <w:color w:val="auto"/>
                      <w:kern w:val="0"/>
                      <w:szCs w:val="21"/>
                    </w:rPr>
                    <w:t>，</w:t>
                  </w:r>
                  <w:r>
                    <w:rPr>
                      <w:color w:val="auto"/>
                      <w:kern w:val="0"/>
                      <w:szCs w:val="21"/>
                    </w:rPr>
                    <w:t>主要对碳量、水分、</w:t>
                  </w:r>
                  <w:r>
                    <w:rPr>
                      <w:rFonts w:hint="eastAsia"/>
                      <w:color w:val="auto"/>
                      <w:kern w:val="0"/>
                      <w:szCs w:val="21"/>
                      <w:lang w:eastAsia="zh-CN"/>
                    </w:rPr>
                    <w:t>粒度</w:t>
                  </w:r>
                  <w:r>
                    <w:rPr>
                      <w:color w:val="auto"/>
                      <w:kern w:val="0"/>
                      <w:szCs w:val="21"/>
                    </w:rPr>
                    <w:t>进行检测，不含化学</w:t>
                  </w:r>
                  <w:r>
                    <w:rPr>
                      <w:rFonts w:hint="eastAsia"/>
                      <w:color w:val="auto"/>
                      <w:kern w:val="0"/>
                      <w:szCs w:val="21"/>
                    </w:rPr>
                    <w:t>检测</w:t>
                  </w:r>
                </w:p>
              </w:tc>
              <w:tc>
                <w:tcPr>
                  <w:tcW w:w="469" w:type="pct"/>
                  <w:vMerge w:val="continue"/>
                  <w:vAlign w:val="center"/>
                </w:tcPr>
                <w:p w14:paraId="70C42B1B">
                  <w:pPr>
                    <w:jc w:val="center"/>
                    <w:rPr>
                      <w:color w:val="auto"/>
                      <w:szCs w:val="21"/>
                    </w:rPr>
                  </w:pPr>
                </w:p>
              </w:tc>
            </w:tr>
            <w:tr w14:paraId="390B45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677E53CF">
                  <w:pPr>
                    <w:jc w:val="center"/>
                    <w:rPr>
                      <w:color w:val="auto"/>
                      <w:szCs w:val="21"/>
                    </w:rPr>
                  </w:pPr>
                </w:p>
              </w:tc>
              <w:tc>
                <w:tcPr>
                  <w:tcW w:w="729" w:type="pct"/>
                  <w:vAlign w:val="center"/>
                </w:tcPr>
                <w:p w14:paraId="06697D7C">
                  <w:pPr>
                    <w:widowControl/>
                    <w:jc w:val="center"/>
                    <w:textAlignment w:val="center"/>
                    <w:rPr>
                      <w:color w:val="auto"/>
                      <w:kern w:val="0"/>
                      <w:szCs w:val="21"/>
                    </w:rPr>
                  </w:pPr>
                  <w:r>
                    <w:rPr>
                      <w:rFonts w:hint="eastAsia"/>
                      <w:color w:val="auto"/>
                      <w:kern w:val="0"/>
                      <w:szCs w:val="21"/>
                    </w:rPr>
                    <w:t>配电室</w:t>
                  </w:r>
                </w:p>
              </w:tc>
              <w:tc>
                <w:tcPr>
                  <w:tcW w:w="3402" w:type="pct"/>
                  <w:vAlign w:val="center"/>
                </w:tcPr>
                <w:p w14:paraId="59C65CA8">
                  <w:pPr>
                    <w:widowControl/>
                    <w:jc w:val="left"/>
                    <w:textAlignment w:val="center"/>
                    <w:rPr>
                      <w:color w:val="auto"/>
                      <w:kern w:val="0"/>
                      <w:szCs w:val="21"/>
                    </w:rPr>
                  </w:pPr>
                  <w:r>
                    <w:rPr>
                      <w:color w:val="auto"/>
                      <w:kern w:val="0"/>
                      <w:szCs w:val="21"/>
                    </w:rPr>
                    <w:t>建筑面积10m</w:t>
                  </w:r>
                  <w:r>
                    <w:rPr>
                      <w:color w:val="auto"/>
                      <w:kern w:val="0"/>
                      <w:szCs w:val="21"/>
                      <w:vertAlign w:val="superscript"/>
                    </w:rPr>
                    <w:t>2</w:t>
                  </w:r>
                  <w:r>
                    <w:rPr>
                      <w:color w:val="auto"/>
                      <w:kern w:val="0"/>
                      <w:szCs w:val="21"/>
                    </w:rPr>
                    <w:t>，1层</w:t>
                  </w:r>
                </w:p>
              </w:tc>
              <w:tc>
                <w:tcPr>
                  <w:tcW w:w="469" w:type="pct"/>
                  <w:vMerge w:val="continue"/>
                  <w:vAlign w:val="center"/>
                </w:tcPr>
                <w:p w14:paraId="07FC13B3">
                  <w:pPr>
                    <w:jc w:val="center"/>
                    <w:rPr>
                      <w:color w:val="auto"/>
                      <w:szCs w:val="21"/>
                    </w:rPr>
                  </w:pPr>
                </w:p>
              </w:tc>
            </w:tr>
            <w:tr w14:paraId="6A03FB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24D703BC">
                  <w:pPr>
                    <w:jc w:val="center"/>
                    <w:rPr>
                      <w:color w:val="auto"/>
                      <w:szCs w:val="21"/>
                    </w:rPr>
                  </w:pPr>
                </w:p>
              </w:tc>
              <w:tc>
                <w:tcPr>
                  <w:tcW w:w="729" w:type="pct"/>
                  <w:vAlign w:val="center"/>
                </w:tcPr>
                <w:p w14:paraId="6CE62BD4">
                  <w:pPr>
                    <w:widowControl/>
                    <w:jc w:val="center"/>
                    <w:textAlignment w:val="center"/>
                    <w:rPr>
                      <w:color w:val="auto"/>
                      <w:kern w:val="0"/>
                      <w:szCs w:val="21"/>
                    </w:rPr>
                  </w:pPr>
                  <w:r>
                    <w:rPr>
                      <w:color w:val="auto"/>
                      <w:kern w:val="0"/>
                      <w:szCs w:val="21"/>
                    </w:rPr>
                    <w:t>门卫室</w:t>
                  </w:r>
                </w:p>
              </w:tc>
              <w:tc>
                <w:tcPr>
                  <w:tcW w:w="3402" w:type="pct"/>
                  <w:vAlign w:val="center"/>
                </w:tcPr>
                <w:p w14:paraId="69A86428">
                  <w:pPr>
                    <w:widowControl/>
                    <w:jc w:val="left"/>
                    <w:textAlignment w:val="center"/>
                    <w:rPr>
                      <w:color w:val="auto"/>
                      <w:kern w:val="0"/>
                      <w:szCs w:val="21"/>
                    </w:rPr>
                  </w:pPr>
                  <w:r>
                    <w:rPr>
                      <w:color w:val="auto"/>
                      <w:kern w:val="0"/>
                      <w:szCs w:val="21"/>
                    </w:rPr>
                    <w:t>建筑面积10m</w:t>
                  </w:r>
                  <w:r>
                    <w:rPr>
                      <w:color w:val="auto"/>
                      <w:kern w:val="0"/>
                      <w:szCs w:val="21"/>
                      <w:vertAlign w:val="superscript"/>
                    </w:rPr>
                    <w:t>2</w:t>
                  </w:r>
                  <w:r>
                    <w:rPr>
                      <w:color w:val="auto"/>
                      <w:kern w:val="0"/>
                      <w:szCs w:val="21"/>
                    </w:rPr>
                    <w:t>，1层</w:t>
                  </w:r>
                </w:p>
              </w:tc>
              <w:tc>
                <w:tcPr>
                  <w:tcW w:w="469" w:type="pct"/>
                  <w:vMerge w:val="continue"/>
                  <w:vAlign w:val="center"/>
                </w:tcPr>
                <w:p w14:paraId="32DA6547">
                  <w:pPr>
                    <w:jc w:val="center"/>
                    <w:rPr>
                      <w:color w:val="auto"/>
                      <w:szCs w:val="21"/>
                    </w:rPr>
                  </w:pPr>
                </w:p>
              </w:tc>
            </w:tr>
            <w:tr w14:paraId="4FDD0A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restart"/>
                  <w:vAlign w:val="center"/>
                </w:tcPr>
                <w:p w14:paraId="25A1763F">
                  <w:pPr>
                    <w:jc w:val="center"/>
                    <w:rPr>
                      <w:color w:val="auto"/>
                      <w:szCs w:val="21"/>
                    </w:rPr>
                  </w:pPr>
                  <w:r>
                    <w:rPr>
                      <w:color w:val="auto"/>
                      <w:szCs w:val="21"/>
                    </w:rPr>
                    <w:t>储运工程</w:t>
                  </w:r>
                </w:p>
              </w:tc>
              <w:tc>
                <w:tcPr>
                  <w:tcW w:w="729" w:type="pct"/>
                  <w:vAlign w:val="center"/>
                </w:tcPr>
                <w:p w14:paraId="1E0C759C">
                  <w:pPr>
                    <w:widowControl/>
                    <w:jc w:val="center"/>
                    <w:textAlignment w:val="center"/>
                    <w:rPr>
                      <w:color w:val="auto"/>
                      <w:kern w:val="0"/>
                      <w:szCs w:val="21"/>
                    </w:rPr>
                  </w:pPr>
                  <w:r>
                    <w:rPr>
                      <w:rFonts w:hint="eastAsia"/>
                      <w:color w:val="auto"/>
                      <w:kern w:val="0"/>
                      <w:szCs w:val="21"/>
                    </w:rPr>
                    <w:t>库房</w:t>
                  </w:r>
                </w:p>
              </w:tc>
              <w:tc>
                <w:tcPr>
                  <w:tcW w:w="3402" w:type="pct"/>
                  <w:vAlign w:val="center"/>
                </w:tcPr>
                <w:p w14:paraId="3B75FC9A">
                  <w:pPr>
                    <w:widowControl/>
                    <w:jc w:val="left"/>
                    <w:textAlignment w:val="center"/>
                    <w:rPr>
                      <w:color w:val="auto"/>
                      <w:kern w:val="0"/>
                      <w:szCs w:val="21"/>
                    </w:rPr>
                  </w:pPr>
                  <w:r>
                    <w:rPr>
                      <w:color w:val="auto"/>
                      <w:kern w:val="0"/>
                      <w:szCs w:val="21"/>
                    </w:rPr>
                    <w:t>建筑面积800m</w:t>
                  </w:r>
                  <w:r>
                    <w:rPr>
                      <w:color w:val="auto"/>
                      <w:kern w:val="0"/>
                      <w:szCs w:val="21"/>
                      <w:vertAlign w:val="superscript"/>
                    </w:rPr>
                    <w:t>2</w:t>
                  </w:r>
                  <w:r>
                    <w:rPr>
                      <w:color w:val="auto"/>
                      <w:kern w:val="0"/>
                      <w:szCs w:val="21"/>
                    </w:rPr>
                    <w:t>，1层</w:t>
                  </w:r>
                  <w:r>
                    <w:rPr>
                      <w:rFonts w:hint="eastAsia"/>
                      <w:color w:val="auto"/>
                      <w:kern w:val="0"/>
                      <w:szCs w:val="21"/>
                    </w:rPr>
                    <w:t>，用于</w:t>
                  </w:r>
                  <w:r>
                    <w:rPr>
                      <w:color w:val="auto"/>
                      <w:kern w:val="0"/>
                      <w:szCs w:val="21"/>
                    </w:rPr>
                    <w:t>原料及产品存储。</w:t>
                  </w:r>
                  <w:r>
                    <w:rPr>
                      <w:rFonts w:hint="eastAsia"/>
                      <w:color w:val="auto"/>
                      <w:kern w:val="0"/>
                      <w:szCs w:val="21"/>
                    </w:rPr>
                    <w:t>项目原料不会</w:t>
                  </w:r>
                  <w:r>
                    <w:rPr>
                      <w:color w:val="auto"/>
                      <w:kern w:val="0"/>
                      <w:szCs w:val="21"/>
                    </w:rPr>
                    <w:t>有渗滤液析出，</w:t>
                  </w:r>
                  <w:r>
                    <w:rPr>
                      <w:rFonts w:hint="eastAsia"/>
                      <w:color w:val="auto"/>
                      <w:kern w:val="0"/>
                      <w:szCs w:val="21"/>
                    </w:rPr>
                    <w:t>均采用包装袋存储，存储在库房内，库房地面采用混凝土硬化措施</w:t>
                  </w:r>
                </w:p>
              </w:tc>
              <w:tc>
                <w:tcPr>
                  <w:tcW w:w="469" w:type="pct"/>
                  <w:vMerge w:val="continue"/>
                  <w:vAlign w:val="center"/>
                </w:tcPr>
                <w:p w14:paraId="3B08667C">
                  <w:pPr>
                    <w:jc w:val="center"/>
                    <w:rPr>
                      <w:color w:val="auto"/>
                      <w:szCs w:val="21"/>
                    </w:rPr>
                  </w:pPr>
                </w:p>
              </w:tc>
            </w:tr>
            <w:tr w14:paraId="2A99BA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6F6A9715">
                  <w:pPr>
                    <w:jc w:val="center"/>
                    <w:rPr>
                      <w:color w:val="auto"/>
                      <w:szCs w:val="21"/>
                    </w:rPr>
                  </w:pPr>
                </w:p>
              </w:tc>
              <w:tc>
                <w:tcPr>
                  <w:tcW w:w="729" w:type="pct"/>
                  <w:vAlign w:val="center"/>
                </w:tcPr>
                <w:p w14:paraId="180C6C4F">
                  <w:pPr>
                    <w:widowControl/>
                    <w:jc w:val="center"/>
                    <w:textAlignment w:val="center"/>
                    <w:rPr>
                      <w:color w:val="auto"/>
                      <w:kern w:val="0"/>
                      <w:szCs w:val="21"/>
                    </w:rPr>
                  </w:pPr>
                  <w:r>
                    <w:rPr>
                      <w:rFonts w:hint="eastAsia"/>
                      <w:color w:val="auto"/>
                      <w:kern w:val="0"/>
                      <w:szCs w:val="21"/>
                    </w:rPr>
                    <w:t>运输</w:t>
                  </w:r>
                </w:p>
              </w:tc>
              <w:tc>
                <w:tcPr>
                  <w:tcW w:w="3402" w:type="pct"/>
                  <w:vAlign w:val="center"/>
                </w:tcPr>
                <w:p w14:paraId="5DD32D49">
                  <w:pPr>
                    <w:widowControl/>
                    <w:jc w:val="left"/>
                    <w:textAlignment w:val="center"/>
                    <w:rPr>
                      <w:color w:val="auto"/>
                      <w:kern w:val="0"/>
                      <w:szCs w:val="21"/>
                    </w:rPr>
                  </w:pPr>
                  <w:r>
                    <w:rPr>
                      <w:rFonts w:hint="eastAsia"/>
                      <w:color w:val="auto"/>
                      <w:kern w:val="0"/>
                      <w:szCs w:val="21"/>
                    </w:rPr>
                    <w:t>原料及</w:t>
                  </w:r>
                  <w:r>
                    <w:rPr>
                      <w:color w:val="auto"/>
                      <w:kern w:val="0"/>
                      <w:szCs w:val="21"/>
                    </w:rPr>
                    <w:t>产品</w:t>
                  </w:r>
                  <w:r>
                    <w:rPr>
                      <w:rFonts w:hint="eastAsia"/>
                      <w:color w:val="auto"/>
                      <w:kern w:val="0"/>
                      <w:szCs w:val="21"/>
                    </w:rPr>
                    <w:t>采用汽车运输，包装采用包装袋盛装，不散装运输</w:t>
                  </w:r>
                </w:p>
              </w:tc>
              <w:tc>
                <w:tcPr>
                  <w:tcW w:w="469" w:type="pct"/>
                  <w:vMerge w:val="continue"/>
                  <w:vAlign w:val="center"/>
                </w:tcPr>
                <w:p w14:paraId="75EA8A9C">
                  <w:pPr>
                    <w:jc w:val="center"/>
                    <w:rPr>
                      <w:color w:val="auto"/>
                      <w:szCs w:val="21"/>
                    </w:rPr>
                  </w:pPr>
                </w:p>
              </w:tc>
            </w:tr>
            <w:tr w14:paraId="3BC740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restart"/>
                  <w:vAlign w:val="center"/>
                </w:tcPr>
                <w:p w14:paraId="4E04D612">
                  <w:pPr>
                    <w:jc w:val="center"/>
                    <w:rPr>
                      <w:color w:val="auto"/>
                      <w:szCs w:val="21"/>
                    </w:rPr>
                  </w:pPr>
                  <w:r>
                    <w:rPr>
                      <w:color w:val="auto"/>
                      <w:szCs w:val="21"/>
                    </w:rPr>
                    <w:t>公用工程</w:t>
                  </w:r>
                </w:p>
              </w:tc>
              <w:tc>
                <w:tcPr>
                  <w:tcW w:w="729" w:type="pct"/>
                  <w:vAlign w:val="center"/>
                </w:tcPr>
                <w:p w14:paraId="539ACC93">
                  <w:pPr>
                    <w:spacing w:line="276" w:lineRule="auto"/>
                    <w:jc w:val="center"/>
                    <w:rPr>
                      <w:color w:val="auto"/>
                      <w:szCs w:val="21"/>
                    </w:rPr>
                  </w:pPr>
                  <w:r>
                    <w:rPr>
                      <w:color w:val="auto"/>
                      <w:szCs w:val="21"/>
                    </w:rPr>
                    <w:t>供水</w:t>
                  </w:r>
                </w:p>
              </w:tc>
              <w:tc>
                <w:tcPr>
                  <w:tcW w:w="3402" w:type="pct"/>
                  <w:vAlign w:val="center"/>
                </w:tcPr>
                <w:p w14:paraId="627BFF19">
                  <w:pPr>
                    <w:spacing w:line="276" w:lineRule="auto"/>
                    <w:jc w:val="left"/>
                    <w:rPr>
                      <w:color w:val="auto"/>
                      <w:szCs w:val="21"/>
                    </w:rPr>
                  </w:pPr>
                  <w:r>
                    <w:rPr>
                      <w:color w:val="auto"/>
                      <w:szCs w:val="21"/>
                    </w:rPr>
                    <w:t>生产不用水，生活用水由自来水供给，用水量为540t/a</w:t>
                  </w:r>
                  <w:r>
                    <w:rPr>
                      <w:rFonts w:hint="eastAsia"/>
                      <w:color w:val="auto"/>
                      <w:szCs w:val="21"/>
                    </w:rPr>
                    <w:t>，区域</w:t>
                  </w:r>
                  <w:r>
                    <w:rPr>
                      <w:color w:val="auto"/>
                      <w:szCs w:val="21"/>
                    </w:rPr>
                    <w:t>自来水管网</w:t>
                  </w:r>
                  <w:r>
                    <w:rPr>
                      <w:rFonts w:hint="eastAsia"/>
                      <w:color w:val="auto"/>
                      <w:szCs w:val="21"/>
                    </w:rPr>
                    <w:t>已存在</w:t>
                  </w:r>
                </w:p>
              </w:tc>
              <w:tc>
                <w:tcPr>
                  <w:tcW w:w="469" w:type="pct"/>
                  <w:vMerge w:val="continue"/>
                  <w:vAlign w:val="center"/>
                </w:tcPr>
                <w:p w14:paraId="6CFAA115">
                  <w:pPr>
                    <w:spacing w:line="276" w:lineRule="auto"/>
                    <w:jc w:val="center"/>
                    <w:rPr>
                      <w:color w:val="auto"/>
                      <w:szCs w:val="21"/>
                    </w:rPr>
                  </w:pPr>
                </w:p>
              </w:tc>
            </w:tr>
            <w:tr w14:paraId="5E1E0B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1634A254">
                  <w:pPr>
                    <w:jc w:val="center"/>
                    <w:rPr>
                      <w:color w:val="auto"/>
                      <w:szCs w:val="21"/>
                    </w:rPr>
                  </w:pPr>
                </w:p>
              </w:tc>
              <w:tc>
                <w:tcPr>
                  <w:tcW w:w="729" w:type="pct"/>
                  <w:vAlign w:val="center"/>
                </w:tcPr>
                <w:p w14:paraId="4F8AB17A">
                  <w:pPr>
                    <w:spacing w:line="276" w:lineRule="auto"/>
                    <w:jc w:val="center"/>
                    <w:rPr>
                      <w:color w:val="auto"/>
                      <w:szCs w:val="21"/>
                    </w:rPr>
                  </w:pPr>
                  <w:r>
                    <w:rPr>
                      <w:color w:val="auto"/>
                      <w:szCs w:val="21"/>
                    </w:rPr>
                    <w:t>排水</w:t>
                  </w:r>
                </w:p>
              </w:tc>
              <w:tc>
                <w:tcPr>
                  <w:tcW w:w="3402" w:type="pct"/>
                  <w:vAlign w:val="center"/>
                </w:tcPr>
                <w:p w14:paraId="696EFF94">
                  <w:pPr>
                    <w:spacing w:line="276" w:lineRule="auto"/>
                    <w:jc w:val="left"/>
                    <w:rPr>
                      <w:color w:val="auto"/>
                      <w:szCs w:val="21"/>
                    </w:rPr>
                  </w:pPr>
                  <w:r>
                    <w:rPr>
                      <w:color w:val="auto"/>
                      <w:szCs w:val="21"/>
                    </w:rPr>
                    <w:t>生活污水</w:t>
                  </w:r>
                  <w:r>
                    <w:rPr>
                      <w:rFonts w:hint="eastAsia"/>
                      <w:color w:val="auto"/>
                      <w:szCs w:val="21"/>
                    </w:rPr>
                    <w:t>盥洗</w:t>
                  </w:r>
                  <w:r>
                    <w:rPr>
                      <w:color w:val="auto"/>
                      <w:szCs w:val="21"/>
                    </w:rPr>
                    <w:t>及洗浴废水</w:t>
                  </w:r>
                  <w:r>
                    <w:rPr>
                      <w:rFonts w:hint="eastAsia"/>
                      <w:color w:val="auto"/>
                      <w:szCs w:val="21"/>
                    </w:rPr>
                    <w:t>排入</w:t>
                  </w:r>
                  <w:r>
                    <w:rPr>
                      <w:color w:val="auto"/>
                      <w:szCs w:val="21"/>
                    </w:rPr>
                    <w:t>厂区</w:t>
                  </w:r>
                  <w:r>
                    <w:rPr>
                      <w:rFonts w:hint="eastAsia"/>
                      <w:color w:val="auto"/>
                      <w:szCs w:val="21"/>
                    </w:rPr>
                    <w:t>污水收集池（长2m、宽2m、深1.5m）</w:t>
                  </w:r>
                  <w:r>
                    <w:rPr>
                      <w:color w:val="auto"/>
                      <w:szCs w:val="21"/>
                    </w:rPr>
                    <w:t>，定期</w:t>
                  </w:r>
                  <w:r>
                    <w:rPr>
                      <w:rFonts w:hint="eastAsia"/>
                      <w:color w:val="auto"/>
                      <w:szCs w:val="21"/>
                    </w:rPr>
                    <w:t>委托市政部门清运至梨树区</w:t>
                  </w:r>
                  <w:r>
                    <w:rPr>
                      <w:color w:val="auto"/>
                      <w:szCs w:val="21"/>
                    </w:rPr>
                    <w:t>污水处理厂</w:t>
                  </w:r>
                  <w:r>
                    <w:rPr>
                      <w:rFonts w:hint="eastAsia"/>
                      <w:color w:val="auto"/>
                      <w:szCs w:val="21"/>
                    </w:rPr>
                    <w:t>处理；</w:t>
                  </w:r>
                  <w:r>
                    <w:rPr>
                      <w:color w:val="auto"/>
                      <w:szCs w:val="21"/>
                    </w:rPr>
                    <w:t>粪尿排入厂区防渗旱厕</w:t>
                  </w:r>
                </w:p>
              </w:tc>
              <w:tc>
                <w:tcPr>
                  <w:tcW w:w="469" w:type="pct"/>
                  <w:vMerge w:val="continue"/>
                  <w:vAlign w:val="center"/>
                </w:tcPr>
                <w:p w14:paraId="486EBED8">
                  <w:pPr>
                    <w:spacing w:line="276" w:lineRule="auto"/>
                    <w:jc w:val="center"/>
                    <w:rPr>
                      <w:color w:val="auto"/>
                      <w:kern w:val="0"/>
                      <w:szCs w:val="21"/>
                    </w:rPr>
                  </w:pPr>
                </w:p>
              </w:tc>
            </w:tr>
            <w:tr w14:paraId="617FD4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50072778">
                  <w:pPr>
                    <w:jc w:val="center"/>
                    <w:rPr>
                      <w:color w:val="auto"/>
                      <w:szCs w:val="21"/>
                    </w:rPr>
                  </w:pPr>
                </w:p>
              </w:tc>
              <w:tc>
                <w:tcPr>
                  <w:tcW w:w="729" w:type="pct"/>
                  <w:vAlign w:val="center"/>
                </w:tcPr>
                <w:p w14:paraId="0AD413DE">
                  <w:pPr>
                    <w:spacing w:line="276" w:lineRule="auto"/>
                    <w:jc w:val="center"/>
                    <w:rPr>
                      <w:color w:val="auto"/>
                      <w:szCs w:val="21"/>
                    </w:rPr>
                  </w:pPr>
                  <w:r>
                    <w:rPr>
                      <w:color w:val="auto"/>
                      <w:szCs w:val="21"/>
                    </w:rPr>
                    <w:t>供热</w:t>
                  </w:r>
                </w:p>
              </w:tc>
              <w:tc>
                <w:tcPr>
                  <w:tcW w:w="3402" w:type="pct"/>
                  <w:vAlign w:val="center"/>
                </w:tcPr>
                <w:p w14:paraId="6AA85794">
                  <w:pPr>
                    <w:spacing w:line="276" w:lineRule="auto"/>
                    <w:jc w:val="left"/>
                    <w:rPr>
                      <w:color w:val="auto"/>
                      <w:szCs w:val="21"/>
                    </w:rPr>
                  </w:pPr>
                  <w:r>
                    <w:rPr>
                      <w:color w:val="auto"/>
                      <w:szCs w:val="21"/>
                    </w:rPr>
                    <w:t>项目</w:t>
                  </w:r>
                  <w:r>
                    <w:rPr>
                      <w:rFonts w:hint="eastAsia"/>
                      <w:color w:val="auto"/>
                      <w:szCs w:val="21"/>
                    </w:rPr>
                    <w:t>生产</w:t>
                  </w:r>
                  <w:r>
                    <w:rPr>
                      <w:color w:val="auto"/>
                      <w:szCs w:val="21"/>
                    </w:rPr>
                    <w:t>用</w:t>
                  </w:r>
                  <w:r>
                    <w:rPr>
                      <w:rFonts w:hint="eastAsia"/>
                      <w:color w:val="auto"/>
                      <w:szCs w:val="21"/>
                    </w:rPr>
                    <w:t>烘干</w:t>
                  </w:r>
                  <w:r>
                    <w:rPr>
                      <w:color w:val="auto"/>
                      <w:szCs w:val="21"/>
                    </w:rPr>
                    <w:t>设备</w:t>
                  </w:r>
                  <w:r>
                    <w:rPr>
                      <w:rFonts w:hint="eastAsia"/>
                      <w:color w:val="auto"/>
                      <w:szCs w:val="21"/>
                    </w:rPr>
                    <w:t>由</w:t>
                  </w:r>
                  <w:r>
                    <w:rPr>
                      <w:color w:val="auto"/>
                      <w:szCs w:val="21"/>
                    </w:rPr>
                    <w:t>2台生物质</w:t>
                  </w:r>
                  <w:r>
                    <w:rPr>
                      <w:rFonts w:hint="eastAsia"/>
                      <w:color w:val="auto"/>
                      <w:szCs w:val="21"/>
                    </w:rPr>
                    <w:t>导热油炉供给热量，1台20万</w:t>
                  </w:r>
                  <w:r>
                    <w:rPr>
                      <w:color w:val="auto"/>
                      <w:szCs w:val="21"/>
                    </w:rPr>
                    <w:t>大卡导热油炉</w:t>
                  </w:r>
                  <w:r>
                    <w:rPr>
                      <w:rFonts w:hint="eastAsia"/>
                      <w:color w:val="auto"/>
                      <w:szCs w:val="21"/>
                    </w:rPr>
                    <w:t>用于石墨烘干</w:t>
                  </w:r>
                  <w:r>
                    <w:rPr>
                      <w:color w:val="auto"/>
                      <w:szCs w:val="21"/>
                    </w:rPr>
                    <w:t>筛分</w:t>
                  </w:r>
                  <w:r>
                    <w:rPr>
                      <w:rFonts w:hint="eastAsia"/>
                      <w:color w:val="auto"/>
                      <w:szCs w:val="21"/>
                    </w:rPr>
                    <w:t>车间生产</w:t>
                  </w:r>
                  <w:r>
                    <w:rPr>
                      <w:color w:val="auto"/>
                      <w:szCs w:val="21"/>
                    </w:rPr>
                    <w:t>用热</w:t>
                  </w:r>
                  <w:r>
                    <w:rPr>
                      <w:rFonts w:hint="eastAsia"/>
                      <w:color w:val="auto"/>
                      <w:szCs w:val="21"/>
                    </w:rPr>
                    <w:t>，</w:t>
                  </w:r>
                  <w:r>
                    <w:rPr>
                      <w:color w:val="auto"/>
                      <w:szCs w:val="21"/>
                    </w:rPr>
                    <w:t>年</w:t>
                  </w:r>
                  <w:r>
                    <w:rPr>
                      <w:rFonts w:hint="eastAsia"/>
                      <w:color w:val="auto"/>
                      <w:szCs w:val="21"/>
                    </w:rPr>
                    <w:t>使用</w:t>
                  </w:r>
                  <w:r>
                    <w:rPr>
                      <w:color w:val="auto"/>
                      <w:szCs w:val="21"/>
                    </w:rPr>
                    <w:t>生物质颗粒</w:t>
                  </w:r>
                  <w:r>
                    <w:rPr>
                      <w:rFonts w:hint="eastAsia"/>
                      <w:color w:val="auto"/>
                      <w:szCs w:val="21"/>
                    </w:rPr>
                    <w:t>540</w:t>
                  </w:r>
                  <w:r>
                    <w:rPr>
                      <w:color w:val="auto"/>
                      <w:szCs w:val="21"/>
                    </w:rPr>
                    <w:t>t；</w:t>
                  </w:r>
                  <w:r>
                    <w:rPr>
                      <w:rFonts w:hint="eastAsia"/>
                      <w:color w:val="auto"/>
                      <w:szCs w:val="21"/>
                    </w:rPr>
                    <w:t>1台</w:t>
                  </w:r>
                  <w:r>
                    <w:rPr>
                      <w:color w:val="auto"/>
                      <w:szCs w:val="21"/>
                    </w:rPr>
                    <w:t>3</w:t>
                  </w:r>
                  <w:r>
                    <w:rPr>
                      <w:rFonts w:hint="eastAsia"/>
                      <w:color w:val="auto"/>
                      <w:szCs w:val="21"/>
                    </w:rPr>
                    <w:t>0万</w:t>
                  </w:r>
                  <w:r>
                    <w:rPr>
                      <w:color w:val="auto"/>
                      <w:szCs w:val="21"/>
                    </w:rPr>
                    <w:t>大卡导热油炉</w:t>
                  </w:r>
                  <w:r>
                    <w:rPr>
                      <w:rFonts w:hint="eastAsia"/>
                      <w:color w:val="auto"/>
                      <w:szCs w:val="21"/>
                    </w:rPr>
                    <w:t>用于石墨烘干车间及纳米材料车间生产</w:t>
                  </w:r>
                  <w:r>
                    <w:rPr>
                      <w:color w:val="auto"/>
                      <w:szCs w:val="21"/>
                    </w:rPr>
                    <w:t>用热</w:t>
                  </w:r>
                  <w:r>
                    <w:rPr>
                      <w:rFonts w:hint="eastAsia"/>
                      <w:color w:val="auto"/>
                      <w:szCs w:val="21"/>
                    </w:rPr>
                    <w:t>，</w:t>
                  </w:r>
                  <w:r>
                    <w:rPr>
                      <w:color w:val="auto"/>
                      <w:szCs w:val="21"/>
                    </w:rPr>
                    <w:t>年</w:t>
                  </w:r>
                  <w:r>
                    <w:rPr>
                      <w:rFonts w:hint="eastAsia"/>
                      <w:color w:val="auto"/>
                      <w:szCs w:val="21"/>
                    </w:rPr>
                    <w:t>使用</w:t>
                  </w:r>
                  <w:r>
                    <w:rPr>
                      <w:color w:val="auto"/>
                      <w:szCs w:val="21"/>
                    </w:rPr>
                    <w:t>生物质颗粒81</w:t>
                  </w:r>
                  <w:r>
                    <w:rPr>
                      <w:rFonts w:hint="eastAsia"/>
                      <w:color w:val="auto"/>
                      <w:szCs w:val="21"/>
                    </w:rPr>
                    <w:t>0</w:t>
                  </w:r>
                  <w:r>
                    <w:rPr>
                      <w:color w:val="auto"/>
                      <w:szCs w:val="21"/>
                    </w:rPr>
                    <w:t>t</w:t>
                  </w:r>
                  <w:r>
                    <w:rPr>
                      <w:rFonts w:hint="eastAsia"/>
                      <w:color w:val="auto"/>
                      <w:szCs w:val="21"/>
                    </w:rPr>
                    <w:t>。项目共</w:t>
                  </w:r>
                  <w:r>
                    <w:rPr>
                      <w:color w:val="auto"/>
                      <w:szCs w:val="21"/>
                    </w:rPr>
                    <w:t>设置两座</w:t>
                  </w:r>
                  <w:r>
                    <w:rPr>
                      <w:rFonts w:hint="eastAsia"/>
                      <w:color w:val="auto"/>
                      <w:szCs w:val="21"/>
                    </w:rPr>
                    <w:t>导热油炉设备房</w:t>
                  </w:r>
                  <w:r>
                    <w:rPr>
                      <w:color w:val="auto"/>
                      <w:szCs w:val="21"/>
                    </w:rPr>
                    <w:t>，</w:t>
                  </w:r>
                  <w:r>
                    <w:rPr>
                      <w:rFonts w:hint="eastAsia"/>
                      <w:color w:val="auto"/>
                      <w:szCs w:val="21"/>
                    </w:rPr>
                    <w:t>分别</w:t>
                  </w:r>
                  <w:r>
                    <w:rPr>
                      <w:color w:val="auto"/>
                      <w:szCs w:val="21"/>
                    </w:rPr>
                    <w:t>位于</w:t>
                  </w:r>
                  <w:r>
                    <w:rPr>
                      <w:rFonts w:hint="eastAsia"/>
                      <w:color w:val="auto"/>
                      <w:szCs w:val="21"/>
                    </w:rPr>
                    <w:t>石墨烘干</w:t>
                  </w:r>
                  <w:r>
                    <w:rPr>
                      <w:color w:val="auto"/>
                      <w:szCs w:val="21"/>
                    </w:rPr>
                    <w:t>筛分</w:t>
                  </w:r>
                  <w:r>
                    <w:rPr>
                      <w:rFonts w:hint="eastAsia"/>
                      <w:color w:val="auto"/>
                      <w:szCs w:val="21"/>
                    </w:rPr>
                    <w:t>车间、石墨烘干</w:t>
                  </w:r>
                  <w:r>
                    <w:rPr>
                      <w:color w:val="auto"/>
                      <w:szCs w:val="21"/>
                    </w:rPr>
                    <w:t>车间</w:t>
                  </w:r>
                  <w:r>
                    <w:rPr>
                      <w:rFonts w:hint="eastAsia"/>
                      <w:color w:val="auto"/>
                      <w:szCs w:val="21"/>
                    </w:rPr>
                    <w:t>内</w:t>
                  </w:r>
                  <w:r>
                    <w:rPr>
                      <w:color w:val="auto"/>
                      <w:szCs w:val="21"/>
                    </w:rPr>
                    <w:t>，</w:t>
                  </w:r>
                  <w:r>
                    <w:rPr>
                      <w:rFonts w:hint="eastAsia"/>
                      <w:color w:val="auto"/>
                      <w:szCs w:val="21"/>
                    </w:rPr>
                    <w:t>导热油炉设备房内各</w:t>
                  </w:r>
                  <w:r>
                    <w:rPr>
                      <w:color w:val="auto"/>
                      <w:szCs w:val="21"/>
                    </w:rPr>
                    <w:t>安装一台</w:t>
                  </w:r>
                  <w:r>
                    <w:rPr>
                      <w:rFonts w:hint="eastAsia"/>
                      <w:color w:val="auto"/>
                      <w:szCs w:val="21"/>
                    </w:rPr>
                    <w:t>导热油炉</w:t>
                  </w:r>
                  <w:r>
                    <w:rPr>
                      <w:color w:val="auto"/>
                      <w:szCs w:val="21"/>
                    </w:rPr>
                    <w:t>，</w:t>
                  </w:r>
                  <w:r>
                    <w:rPr>
                      <w:rFonts w:hint="eastAsia"/>
                      <w:color w:val="auto"/>
                      <w:szCs w:val="21"/>
                    </w:rPr>
                    <w:t>每座导热油炉设备房</w:t>
                  </w:r>
                  <w:r>
                    <w:rPr>
                      <w:color w:val="auto"/>
                      <w:szCs w:val="21"/>
                    </w:rPr>
                    <w:t>设置</w:t>
                  </w:r>
                  <w:r>
                    <w:rPr>
                      <w:rFonts w:hint="eastAsia"/>
                      <w:color w:val="auto"/>
                      <w:szCs w:val="21"/>
                    </w:rPr>
                    <w:t>一根20</w:t>
                  </w:r>
                  <w:r>
                    <w:rPr>
                      <w:color w:val="auto"/>
                      <w:szCs w:val="21"/>
                    </w:rPr>
                    <w:t>m高</w:t>
                  </w:r>
                  <w:r>
                    <w:rPr>
                      <w:rFonts w:hint="eastAsia"/>
                      <w:color w:val="auto"/>
                      <w:szCs w:val="21"/>
                      <w:lang w:eastAsia="zh-CN"/>
                    </w:rPr>
                    <w:t>排气筒</w:t>
                  </w:r>
                  <w:r>
                    <w:rPr>
                      <w:rFonts w:hint="eastAsia"/>
                      <w:color w:val="auto"/>
                      <w:szCs w:val="21"/>
                    </w:rPr>
                    <w:t>。</w:t>
                  </w:r>
                </w:p>
                <w:p w14:paraId="0F3E9EB0">
                  <w:pPr>
                    <w:spacing w:line="276" w:lineRule="auto"/>
                    <w:jc w:val="left"/>
                    <w:rPr>
                      <w:color w:val="auto"/>
                      <w:szCs w:val="21"/>
                    </w:rPr>
                  </w:pPr>
                  <w:r>
                    <w:rPr>
                      <w:color w:val="auto"/>
                      <w:szCs w:val="21"/>
                    </w:rPr>
                    <w:t>冬季</w:t>
                  </w:r>
                  <w:r>
                    <w:rPr>
                      <w:rFonts w:hint="eastAsia"/>
                      <w:color w:val="auto"/>
                      <w:szCs w:val="21"/>
                    </w:rPr>
                    <w:t>生活供暖</w:t>
                  </w:r>
                  <w:r>
                    <w:rPr>
                      <w:color w:val="auto"/>
                      <w:szCs w:val="21"/>
                    </w:rPr>
                    <w:t>采用电取暖</w:t>
                  </w:r>
                </w:p>
              </w:tc>
              <w:tc>
                <w:tcPr>
                  <w:tcW w:w="469" w:type="pct"/>
                  <w:vMerge w:val="continue"/>
                  <w:vAlign w:val="center"/>
                </w:tcPr>
                <w:p w14:paraId="53407924">
                  <w:pPr>
                    <w:spacing w:line="276" w:lineRule="auto"/>
                    <w:jc w:val="center"/>
                    <w:rPr>
                      <w:color w:val="auto"/>
                      <w:szCs w:val="21"/>
                    </w:rPr>
                  </w:pPr>
                </w:p>
              </w:tc>
            </w:tr>
            <w:tr w14:paraId="6A78D5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2355F7F3">
                  <w:pPr>
                    <w:jc w:val="center"/>
                    <w:rPr>
                      <w:color w:val="auto"/>
                      <w:szCs w:val="21"/>
                    </w:rPr>
                  </w:pPr>
                </w:p>
              </w:tc>
              <w:tc>
                <w:tcPr>
                  <w:tcW w:w="729" w:type="pct"/>
                  <w:vAlign w:val="center"/>
                </w:tcPr>
                <w:p w14:paraId="5E387234">
                  <w:pPr>
                    <w:spacing w:line="276" w:lineRule="auto"/>
                    <w:jc w:val="center"/>
                    <w:rPr>
                      <w:color w:val="auto"/>
                      <w:szCs w:val="21"/>
                    </w:rPr>
                  </w:pPr>
                  <w:r>
                    <w:rPr>
                      <w:color w:val="auto"/>
                      <w:szCs w:val="21"/>
                    </w:rPr>
                    <w:t>供电</w:t>
                  </w:r>
                </w:p>
              </w:tc>
              <w:tc>
                <w:tcPr>
                  <w:tcW w:w="3402" w:type="pct"/>
                  <w:vAlign w:val="center"/>
                </w:tcPr>
                <w:p w14:paraId="0F52EA2B">
                  <w:pPr>
                    <w:spacing w:line="276" w:lineRule="auto"/>
                    <w:jc w:val="left"/>
                    <w:rPr>
                      <w:color w:val="auto"/>
                      <w:szCs w:val="21"/>
                    </w:rPr>
                  </w:pPr>
                  <w:r>
                    <w:rPr>
                      <w:color w:val="auto"/>
                      <w:szCs w:val="21"/>
                    </w:rPr>
                    <w:t>市政供电</w:t>
                  </w:r>
                </w:p>
              </w:tc>
              <w:tc>
                <w:tcPr>
                  <w:tcW w:w="469" w:type="pct"/>
                  <w:vMerge w:val="continue"/>
                  <w:vAlign w:val="center"/>
                </w:tcPr>
                <w:p w14:paraId="15A1C9C2">
                  <w:pPr>
                    <w:spacing w:line="276" w:lineRule="auto"/>
                    <w:jc w:val="center"/>
                    <w:rPr>
                      <w:color w:val="auto"/>
                      <w:szCs w:val="21"/>
                    </w:rPr>
                  </w:pPr>
                </w:p>
              </w:tc>
            </w:tr>
            <w:tr w14:paraId="2883F5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restart"/>
                  <w:vAlign w:val="center"/>
                </w:tcPr>
                <w:p w14:paraId="51FBB6BC">
                  <w:pPr>
                    <w:jc w:val="center"/>
                    <w:rPr>
                      <w:color w:val="auto"/>
                      <w:szCs w:val="21"/>
                    </w:rPr>
                  </w:pPr>
                  <w:r>
                    <w:rPr>
                      <w:color w:val="auto"/>
                      <w:szCs w:val="21"/>
                    </w:rPr>
                    <w:t>环保工程</w:t>
                  </w:r>
                </w:p>
              </w:tc>
              <w:tc>
                <w:tcPr>
                  <w:tcW w:w="729" w:type="pct"/>
                  <w:vAlign w:val="center"/>
                </w:tcPr>
                <w:p w14:paraId="66AB5EF1">
                  <w:pPr>
                    <w:spacing w:line="276" w:lineRule="auto"/>
                    <w:jc w:val="center"/>
                    <w:rPr>
                      <w:color w:val="auto"/>
                      <w:szCs w:val="21"/>
                    </w:rPr>
                  </w:pPr>
                  <w:r>
                    <w:rPr>
                      <w:color w:val="auto"/>
                      <w:szCs w:val="21"/>
                    </w:rPr>
                    <w:t>废水</w:t>
                  </w:r>
                </w:p>
              </w:tc>
              <w:tc>
                <w:tcPr>
                  <w:tcW w:w="3402" w:type="pct"/>
                  <w:vAlign w:val="center"/>
                </w:tcPr>
                <w:p w14:paraId="52CB6ABD">
                  <w:pPr>
                    <w:spacing w:line="276" w:lineRule="auto"/>
                    <w:jc w:val="left"/>
                    <w:rPr>
                      <w:color w:val="auto"/>
                      <w:szCs w:val="21"/>
                    </w:rPr>
                  </w:pPr>
                  <w:r>
                    <w:rPr>
                      <w:rFonts w:hint="eastAsia"/>
                      <w:color w:val="auto"/>
                      <w:szCs w:val="21"/>
                    </w:rPr>
                    <w:t>盥洗</w:t>
                  </w:r>
                  <w:r>
                    <w:rPr>
                      <w:color w:val="auto"/>
                      <w:szCs w:val="21"/>
                    </w:rPr>
                    <w:t>及洗浴废水</w:t>
                  </w:r>
                  <w:r>
                    <w:rPr>
                      <w:rFonts w:hint="eastAsia"/>
                      <w:color w:val="auto"/>
                      <w:szCs w:val="21"/>
                    </w:rPr>
                    <w:t>排入污水收集池（长2m、宽2m、深1.5m）；</w:t>
                  </w:r>
                  <w:r>
                    <w:rPr>
                      <w:color w:val="auto"/>
                      <w:szCs w:val="21"/>
                    </w:rPr>
                    <w:t>粪尿排入厂区防渗旱厕</w:t>
                  </w:r>
                </w:p>
              </w:tc>
              <w:tc>
                <w:tcPr>
                  <w:tcW w:w="469" w:type="pct"/>
                  <w:vMerge w:val="continue"/>
                  <w:vAlign w:val="center"/>
                </w:tcPr>
                <w:p w14:paraId="536F20EB">
                  <w:pPr>
                    <w:spacing w:line="276" w:lineRule="auto"/>
                    <w:jc w:val="center"/>
                    <w:rPr>
                      <w:color w:val="auto"/>
                      <w:kern w:val="0"/>
                      <w:szCs w:val="21"/>
                    </w:rPr>
                  </w:pPr>
                </w:p>
              </w:tc>
            </w:tr>
            <w:tr w14:paraId="2A1D92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508FB0B1">
                  <w:pPr>
                    <w:jc w:val="center"/>
                    <w:rPr>
                      <w:color w:val="auto"/>
                      <w:szCs w:val="21"/>
                    </w:rPr>
                  </w:pPr>
                </w:p>
              </w:tc>
              <w:tc>
                <w:tcPr>
                  <w:tcW w:w="729" w:type="pct"/>
                  <w:vMerge w:val="restart"/>
                  <w:vAlign w:val="center"/>
                </w:tcPr>
                <w:p w14:paraId="3DB4A2D7">
                  <w:pPr>
                    <w:spacing w:line="276" w:lineRule="auto"/>
                    <w:jc w:val="center"/>
                    <w:rPr>
                      <w:color w:val="auto"/>
                      <w:szCs w:val="21"/>
                    </w:rPr>
                  </w:pPr>
                  <w:r>
                    <w:rPr>
                      <w:rFonts w:hint="eastAsia"/>
                      <w:color w:val="auto"/>
                      <w:szCs w:val="21"/>
                    </w:rPr>
                    <w:t>固废</w:t>
                  </w:r>
                </w:p>
              </w:tc>
              <w:tc>
                <w:tcPr>
                  <w:tcW w:w="3402" w:type="pct"/>
                  <w:vAlign w:val="center"/>
                </w:tcPr>
                <w:p w14:paraId="589DFF74">
                  <w:pPr>
                    <w:spacing w:line="276" w:lineRule="auto"/>
                    <w:jc w:val="left"/>
                    <w:rPr>
                      <w:color w:val="auto"/>
                      <w:szCs w:val="21"/>
                    </w:rPr>
                  </w:pPr>
                  <w:r>
                    <w:rPr>
                      <w:color w:val="auto"/>
                      <w:szCs w:val="21"/>
                    </w:rPr>
                    <w:t>生活垃圾</w:t>
                  </w:r>
                  <w:r>
                    <w:rPr>
                      <w:rFonts w:hint="eastAsia"/>
                      <w:color w:val="auto"/>
                      <w:szCs w:val="21"/>
                    </w:rPr>
                    <w:t>：</w:t>
                  </w:r>
                  <w:r>
                    <w:rPr>
                      <w:color w:val="auto"/>
                      <w:szCs w:val="21"/>
                    </w:rPr>
                    <w:t>集中收集送生活垃圾指定堆放点，由市政部门统一处理</w:t>
                  </w:r>
                </w:p>
              </w:tc>
              <w:tc>
                <w:tcPr>
                  <w:tcW w:w="469" w:type="pct"/>
                  <w:vMerge w:val="continue"/>
                  <w:vAlign w:val="center"/>
                </w:tcPr>
                <w:p w14:paraId="564D7C19">
                  <w:pPr>
                    <w:spacing w:line="276" w:lineRule="auto"/>
                    <w:jc w:val="center"/>
                    <w:rPr>
                      <w:color w:val="auto"/>
                      <w:kern w:val="0"/>
                      <w:szCs w:val="21"/>
                    </w:rPr>
                  </w:pPr>
                </w:p>
              </w:tc>
            </w:tr>
            <w:tr w14:paraId="370297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2370C1F5">
                  <w:pPr>
                    <w:jc w:val="center"/>
                    <w:rPr>
                      <w:color w:val="auto"/>
                      <w:szCs w:val="21"/>
                    </w:rPr>
                  </w:pPr>
                </w:p>
              </w:tc>
              <w:tc>
                <w:tcPr>
                  <w:tcW w:w="729" w:type="pct"/>
                  <w:vMerge w:val="continue"/>
                  <w:vAlign w:val="center"/>
                </w:tcPr>
                <w:p w14:paraId="4C087ABF">
                  <w:pPr>
                    <w:spacing w:line="276" w:lineRule="auto"/>
                    <w:jc w:val="center"/>
                    <w:rPr>
                      <w:color w:val="auto"/>
                      <w:szCs w:val="21"/>
                    </w:rPr>
                  </w:pPr>
                </w:p>
              </w:tc>
              <w:tc>
                <w:tcPr>
                  <w:tcW w:w="3402" w:type="pct"/>
                  <w:vAlign w:val="center"/>
                </w:tcPr>
                <w:p w14:paraId="13B67803">
                  <w:pPr>
                    <w:spacing w:line="276" w:lineRule="auto"/>
                    <w:jc w:val="left"/>
                    <w:rPr>
                      <w:color w:val="auto"/>
                      <w:szCs w:val="21"/>
                    </w:rPr>
                  </w:pPr>
                  <w:r>
                    <w:rPr>
                      <w:rFonts w:hint="eastAsia"/>
                      <w:color w:val="auto"/>
                      <w:szCs w:val="21"/>
                    </w:rPr>
                    <w:t>灰渣：</w:t>
                  </w:r>
                  <w:r>
                    <w:rPr>
                      <w:color w:val="auto"/>
                      <w:szCs w:val="21"/>
                    </w:rPr>
                    <w:t>集中收集，外售综合利用</w:t>
                  </w:r>
                </w:p>
              </w:tc>
              <w:tc>
                <w:tcPr>
                  <w:tcW w:w="469" w:type="pct"/>
                  <w:vMerge w:val="continue"/>
                  <w:vAlign w:val="center"/>
                </w:tcPr>
                <w:p w14:paraId="039E127F">
                  <w:pPr>
                    <w:spacing w:line="276" w:lineRule="auto"/>
                    <w:jc w:val="center"/>
                    <w:rPr>
                      <w:color w:val="auto"/>
                      <w:kern w:val="0"/>
                      <w:szCs w:val="21"/>
                    </w:rPr>
                  </w:pPr>
                </w:p>
              </w:tc>
            </w:tr>
            <w:tr w14:paraId="0571DB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5EEDE458">
                  <w:pPr>
                    <w:jc w:val="center"/>
                    <w:rPr>
                      <w:color w:val="auto"/>
                      <w:szCs w:val="21"/>
                    </w:rPr>
                  </w:pPr>
                </w:p>
              </w:tc>
              <w:tc>
                <w:tcPr>
                  <w:tcW w:w="729" w:type="pct"/>
                  <w:vMerge w:val="continue"/>
                  <w:vAlign w:val="center"/>
                </w:tcPr>
                <w:p w14:paraId="7BD16207">
                  <w:pPr>
                    <w:spacing w:line="276" w:lineRule="auto"/>
                    <w:jc w:val="center"/>
                    <w:rPr>
                      <w:color w:val="auto"/>
                      <w:szCs w:val="21"/>
                    </w:rPr>
                  </w:pPr>
                </w:p>
              </w:tc>
              <w:tc>
                <w:tcPr>
                  <w:tcW w:w="3402" w:type="pct"/>
                  <w:vAlign w:val="center"/>
                </w:tcPr>
                <w:p w14:paraId="36F11629">
                  <w:pPr>
                    <w:spacing w:line="276" w:lineRule="auto"/>
                    <w:jc w:val="left"/>
                    <w:rPr>
                      <w:color w:val="auto"/>
                      <w:szCs w:val="21"/>
                    </w:rPr>
                  </w:pPr>
                  <w:r>
                    <w:rPr>
                      <w:rFonts w:hint="eastAsia"/>
                      <w:color w:val="auto"/>
                      <w:szCs w:val="21"/>
                    </w:rPr>
                    <w:t>收集</w:t>
                  </w:r>
                  <w:r>
                    <w:rPr>
                      <w:color w:val="auto"/>
                      <w:szCs w:val="21"/>
                    </w:rPr>
                    <w:t>的粉尘</w:t>
                  </w:r>
                  <w:r>
                    <w:rPr>
                      <w:rFonts w:hint="eastAsia"/>
                      <w:color w:val="auto"/>
                      <w:szCs w:val="21"/>
                    </w:rPr>
                    <w:t>：</w:t>
                  </w:r>
                  <w:r>
                    <w:rPr>
                      <w:color w:val="auto"/>
                      <w:szCs w:val="21"/>
                    </w:rPr>
                    <w:t>作为产品外售</w:t>
                  </w:r>
                </w:p>
              </w:tc>
              <w:tc>
                <w:tcPr>
                  <w:tcW w:w="469" w:type="pct"/>
                  <w:vMerge w:val="continue"/>
                  <w:vAlign w:val="center"/>
                </w:tcPr>
                <w:p w14:paraId="4148F612">
                  <w:pPr>
                    <w:spacing w:line="276" w:lineRule="auto"/>
                    <w:jc w:val="center"/>
                    <w:rPr>
                      <w:color w:val="auto"/>
                      <w:kern w:val="0"/>
                      <w:szCs w:val="21"/>
                    </w:rPr>
                  </w:pPr>
                </w:p>
              </w:tc>
            </w:tr>
            <w:tr w14:paraId="2C5517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2805071D">
                  <w:pPr>
                    <w:jc w:val="center"/>
                    <w:rPr>
                      <w:color w:val="auto"/>
                      <w:szCs w:val="21"/>
                    </w:rPr>
                  </w:pPr>
                </w:p>
              </w:tc>
              <w:tc>
                <w:tcPr>
                  <w:tcW w:w="729" w:type="pct"/>
                  <w:vAlign w:val="center"/>
                </w:tcPr>
                <w:p w14:paraId="00F588EA">
                  <w:pPr>
                    <w:spacing w:line="276" w:lineRule="auto"/>
                    <w:jc w:val="center"/>
                    <w:rPr>
                      <w:color w:val="auto"/>
                      <w:szCs w:val="21"/>
                    </w:rPr>
                  </w:pPr>
                  <w:r>
                    <w:rPr>
                      <w:color w:val="auto"/>
                      <w:szCs w:val="21"/>
                    </w:rPr>
                    <w:t>噪声防治</w:t>
                  </w:r>
                </w:p>
              </w:tc>
              <w:tc>
                <w:tcPr>
                  <w:tcW w:w="3402" w:type="pct"/>
                  <w:vAlign w:val="center"/>
                </w:tcPr>
                <w:p w14:paraId="5E63B2EE">
                  <w:pPr>
                    <w:spacing w:line="276" w:lineRule="auto"/>
                    <w:jc w:val="left"/>
                    <w:rPr>
                      <w:color w:val="auto"/>
                      <w:szCs w:val="21"/>
                    </w:rPr>
                  </w:pPr>
                  <w:r>
                    <w:rPr>
                      <w:color w:val="auto"/>
                      <w:szCs w:val="21"/>
                    </w:rPr>
                    <w:t>隔声、减振</w:t>
                  </w:r>
                  <w:r>
                    <w:rPr>
                      <w:rFonts w:hint="eastAsia"/>
                      <w:color w:val="auto"/>
                      <w:szCs w:val="21"/>
                    </w:rPr>
                    <w:t>、</w:t>
                  </w:r>
                  <w:r>
                    <w:rPr>
                      <w:color w:val="auto"/>
                      <w:szCs w:val="21"/>
                    </w:rPr>
                    <w:t>消声</w:t>
                  </w:r>
                </w:p>
              </w:tc>
              <w:tc>
                <w:tcPr>
                  <w:tcW w:w="469" w:type="pct"/>
                  <w:vMerge w:val="continue"/>
                  <w:vAlign w:val="center"/>
                </w:tcPr>
                <w:p w14:paraId="18BEE4AB">
                  <w:pPr>
                    <w:spacing w:line="276" w:lineRule="auto"/>
                    <w:jc w:val="center"/>
                    <w:rPr>
                      <w:color w:val="auto"/>
                      <w:kern w:val="0"/>
                      <w:szCs w:val="21"/>
                    </w:rPr>
                  </w:pPr>
                </w:p>
              </w:tc>
            </w:tr>
            <w:tr w14:paraId="1CC4AF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3802B5D1">
                  <w:pPr>
                    <w:jc w:val="center"/>
                    <w:rPr>
                      <w:color w:val="auto"/>
                      <w:szCs w:val="21"/>
                    </w:rPr>
                  </w:pPr>
                </w:p>
              </w:tc>
              <w:tc>
                <w:tcPr>
                  <w:tcW w:w="729" w:type="pct"/>
                  <w:vMerge w:val="restart"/>
                  <w:vAlign w:val="center"/>
                </w:tcPr>
                <w:p w14:paraId="1FDBDE40">
                  <w:pPr>
                    <w:spacing w:line="276" w:lineRule="auto"/>
                    <w:jc w:val="center"/>
                    <w:rPr>
                      <w:color w:val="auto"/>
                      <w:szCs w:val="21"/>
                    </w:rPr>
                  </w:pPr>
                  <w:r>
                    <w:rPr>
                      <w:color w:val="auto"/>
                      <w:szCs w:val="21"/>
                    </w:rPr>
                    <w:t>废气</w:t>
                  </w:r>
                </w:p>
              </w:tc>
              <w:tc>
                <w:tcPr>
                  <w:tcW w:w="3402" w:type="pct"/>
                  <w:vAlign w:val="center"/>
                </w:tcPr>
                <w:p w14:paraId="2B60BF23">
                  <w:pPr>
                    <w:spacing w:line="276" w:lineRule="auto"/>
                    <w:jc w:val="left"/>
                    <w:rPr>
                      <w:color w:val="auto"/>
                      <w:szCs w:val="21"/>
                    </w:rPr>
                  </w:pPr>
                  <w:r>
                    <w:rPr>
                      <w:rFonts w:hint="eastAsia"/>
                      <w:color w:val="auto"/>
                      <w:szCs w:val="21"/>
                    </w:rPr>
                    <w:t>粉尘</w:t>
                  </w:r>
                  <w:r>
                    <w:rPr>
                      <w:color w:val="auto"/>
                      <w:szCs w:val="21"/>
                    </w:rPr>
                    <w:t>：</w:t>
                  </w:r>
                  <w:r>
                    <w:rPr>
                      <w:rFonts w:hint="eastAsia"/>
                      <w:color w:val="auto"/>
                      <w:szCs w:val="21"/>
                    </w:rPr>
                    <w:t>石墨</w:t>
                  </w:r>
                  <w:r>
                    <w:rPr>
                      <w:color w:val="auto"/>
                      <w:szCs w:val="21"/>
                    </w:rPr>
                    <w:t>烘干车间设置</w:t>
                  </w:r>
                  <w:r>
                    <w:rPr>
                      <w:rFonts w:hint="eastAsia"/>
                      <w:color w:val="auto"/>
                      <w:szCs w:val="21"/>
                    </w:rPr>
                    <w:t>1套</w:t>
                  </w:r>
                  <w:r>
                    <w:rPr>
                      <w:color w:val="auto"/>
                      <w:szCs w:val="21"/>
                    </w:rPr>
                    <w:t>布袋除尘器，除尘效率99%</w:t>
                  </w:r>
                  <w:r>
                    <w:rPr>
                      <w:rFonts w:hint="eastAsia"/>
                      <w:color w:val="auto"/>
                      <w:szCs w:val="21"/>
                    </w:rPr>
                    <w:t>，</w:t>
                  </w:r>
                  <w:r>
                    <w:rPr>
                      <w:color w:val="auto"/>
                      <w:szCs w:val="21"/>
                    </w:rPr>
                    <w:t>排气筒高度</w:t>
                  </w:r>
                  <w:r>
                    <w:rPr>
                      <w:rFonts w:hint="eastAsia"/>
                      <w:color w:val="auto"/>
                      <w:szCs w:val="21"/>
                    </w:rPr>
                    <w:t>15</w:t>
                  </w:r>
                  <w:r>
                    <w:rPr>
                      <w:color w:val="auto"/>
                      <w:szCs w:val="21"/>
                    </w:rPr>
                    <w:t>m</w:t>
                  </w:r>
                  <w:r>
                    <w:rPr>
                      <w:rFonts w:hint="eastAsia"/>
                      <w:color w:val="auto"/>
                      <w:szCs w:val="21"/>
                    </w:rPr>
                    <w:t>；石墨烘干</w:t>
                  </w:r>
                  <w:r>
                    <w:rPr>
                      <w:color w:val="auto"/>
                      <w:szCs w:val="21"/>
                    </w:rPr>
                    <w:t>筛分</w:t>
                  </w:r>
                  <w:r>
                    <w:rPr>
                      <w:rFonts w:hint="eastAsia"/>
                      <w:color w:val="auto"/>
                      <w:szCs w:val="21"/>
                    </w:rPr>
                    <w:t>车间</w:t>
                  </w:r>
                  <w:r>
                    <w:rPr>
                      <w:color w:val="auto"/>
                      <w:szCs w:val="21"/>
                    </w:rPr>
                    <w:t>设置1</w:t>
                  </w:r>
                  <w:r>
                    <w:rPr>
                      <w:rFonts w:hint="eastAsia"/>
                      <w:color w:val="auto"/>
                      <w:szCs w:val="21"/>
                    </w:rPr>
                    <w:t>套</w:t>
                  </w:r>
                  <w:r>
                    <w:rPr>
                      <w:color w:val="auto"/>
                      <w:szCs w:val="21"/>
                    </w:rPr>
                    <w:t>布袋除尘器，除尘效率99%</w:t>
                  </w:r>
                  <w:r>
                    <w:rPr>
                      <w:rFonts w:hint="eastAsia"/>
                      <w:color w:val="auto"/>
                      <w:szCs w:val="21"/>
                    </w:rPr>
                    <w:t>，</w:t>
                  </w:r>
                  <w:r>
                    <w:rPr>
                      <w:color w:val="auto"/>
                      <w:szCs w:val="21"/>
                    </w:rPr>
                    <w:t>排气筒高度</w:t>
                  </w:r>
                  <w:r>
                    <w:rPr>
                      <w:rFonts w:hint="eastAsia"/>
                      <w:color w:val="auto"/>
                      <w:szCs w:val="21"/>
                    </w:rPr>
                    <w:t>15</w:t>
                  </w:r>
                  <w:r>
                    <w:rPr>
                      <w:color w:val="auto"/>
                      <w:szCs w:val="21"/>
                    </w:rPr>
                    <w:t>m</w:t>
                  </w:r>
                </w:p>
              </w:tc>
              <w:tc>
                <w:tcPr>
                  <w:tcW w:w="469" w:type="pct"/>
                  <w:vMerge w:val="continue"/>
                  <w:vAlign w:val="center"/>
                </w:tcPr>
                <w:p w14:paraId="5F0A0B71">
                  <w:pPr>
                    <w:spacing w:line="276" w:lineRule="auto"/>
                    <w:jc w:val="center"/>
                    <w:rPr>
                      <w:color w:val="auto"/>
                      <w:kern w:val="0"/>
                      <w:szCs w:val="21"/>
                    </w:rPr>
                  </w:pPr>
                </w:p>
              </w:tc>
            </w:tr>
            <w:tr w14:paraId="787AF2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8" w:type="pct"/>
                  <w:vMerge w:val="continue"/>
                  <w:vAlign w:val="center"/>
                </w:tcPr>
                <w:p w14:paraId="219C0841">
                  <w:pPr>
                    <w:jc w:val="center"/>
                    <w:rPr>
                      <w:color w:val="auto"/>
                      <w:szCs w:val="21"/>
                    </w:rPr>
                  </w:pPr>
                </w:p>
              </w:tc>
              <w:tc>
                <w:tcPr>
                  <w:tcW w:w="729" w:type="pct"/>
                  <w:vMerge w:val="continue"/>
                  <w:vAlign w:val="center"/>
                </w:tcPr>
                <w:p w14:paraId="23AA565A">
                  <w:pPr>
                    <w:spacing w:line="276" w:lineRule="auto"/>
                    <w:jc w:val="center"/>
                    <w:rPr>
                      <w:color w:val="auto"/>
                      <w:szCs w:val="21"/>
                    </w:rPr>
                  </w:pPr>
                </w:p>
              </w:tc>
              <w:tc>
                <w:tcPr>
                  <w:tcW w:w="3402" w:type="pct"/>
                  <w:vAlign w:val="center"/>
                </w:tcPr>
                <w:p w14:paraId="5CD5D5A8">
                  <w:pPr>
                    <w:spacing w:line="276" w:lineRule="auto"/>
                    <w:jc w:val="left"/>
                    <w:rPr>
                      <w:color w:val="auto"/>
                      <w:szCs w:val="21"/>
                    </w:rPr>
                  </w:pPr>
                  <w:r>
                    <w:rPr>
                      <w:rFonts w:hint="eastAsia"/>
                      <w:color w:val="auto"/>
                      <w:szCs w:val="21"/>
                    </w:rPr>
                    <w:t>导热油炉</w:t>
                  </w:r>
                  <w:r>
                    <w:rPr>
                      <w:color w:val="auto"/>
                      <w:szCs w:val="21"/>
                    </w:rPr>
                    <w:t>烟气：</w:t>
                  </w:r>
                  <w:r>
                    <w:rPr>
                      <w:rFonts w:hint="eastAsia"/>
                      <w:color w:val="auto"/>
                      <w:szCs w:val="21"/>
                    </w:rPr>
                    <w:t>每台</w:t>
                  </w:r>
                  <w:r>
                    <w:rPr>
                      <w:color w:val="auto"/>
                      <w:szCs w:val="21"/>
                    </w:rPr>
                    <w:t>导热油炉设置</w:t>
                  </w:r>
                  <w:r>
                    <w:rPr>
                      <w:rFonts w:hint="eastAsia"/>
                      <w:color w:val="auto"/>
                      <w:szCs w:val="21"/>
                    </w:rPr>
                    <w:t>1套湿式</w:t>
                  </w:r>
                  <w:r>
                    <w:rPr>
                      <w:color w:val="auto"/>
                      <w:szCs w:val="21"/>
                    </w:rPr>
                    <w:t>除尘器，除尘效率87%</w:t>
                  </w:r>
                  <w:r>
                    <w:rPr>
                      <w:rFonts w:hint="eastAsia"/>
                      <w:color w:val="auto"/>
                      <w:szCs w:val="21"/>
                    </w:rPr>
                    <w:t>，</w:t>
                  </w:r>
                  <w:r>
                    <w:rPr>
                      <w:rFonts w:hint="eastAsia"/>
                      <w:color w:val="auto"/>
                      <w:szCs w:val="21"/>
                      <w:lang w:eastAsia="zh-CN"/>
                    </w:rPr>
                    <w:t>排气筒</w:t>
                  </w:r>
                  <w:r>
                    <w:rPr>
                      <w:color w:val="auto"/>
                      <w:szCs w:val="21"/>
                    </w:rPr>
                    <w:t>高度均为</w:t>
                  </w:r>
                  <w:r>
                    <w:rPr>
                      <w:rFonts w:hint="eastAsia"/>
                      <w:color w:val="auto"/>
                      <w:szCs w:val="21"/>
                    </w:rPr>
                    <w:t>20</w:t>
                  </w:r>
                  <w:r>
                    <w:rPr>
                      <w:color w:val="auto"/>
                      <w:szCs w:val="21"/>
                    </w:rPr>
                    <w:t>m</w:t>
                  </w:r>
                </w:p>
              </w:tc>
              <w:tc>
                <w:tcPr>
                  <w:tcW w:w="469" w:type="pct"/>
                  <w:vMerge w:val="continue"/>
                  <w:vAlign w:val="center"/>
                </w:tcPr>
                <w:p w14:paraId="6E602027">
                  <w:pPr>
                    <w:spacing w:line="276" w:lineRule="auto"/>
                    <w:jc w:val="center"/>
                    <w:rPr>
                      <w:color w:val="auto"/>
                      <w:kern w:val="0"/>
                      <w:szCs w:val="21"/>
                    </w:rPr>
                  </w:pPr>
                </w:p>
              </w:tc>
            </w:tr>
          </w:tbl>
          <w:p w14:paraId="73B2DA9E">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eastAsia"/>
                <w:color w:val="auto"/>
                <w:sz w:val="24"/>
                <w:lang w:val="en-US" w:eastAsia="zh-CN"/>
              </w:rPr>
            </w:pPr>
            <w:r>
              <w:rPr>
                <w:rFonts w:hint="eastAsia" w:cs="Times New Roman"/>
                <w:color w:val="auto"/>
                <w:sz w:val="24"/>
                <w:lang w:val="en-US" w:eastAsia="zh-CN"/>
              </w:rPr>
              <w:t>二</w:t>
            </w:r>
            <w:r>
              <w:rPr>
                <w:rFonts w:hint="eastAsia"/>
                <w:color w:val="auto"/>
                <w:sz w:val="24"/>
              </w:rPr>
              <w:t>、</w:t>
            </w:r>
            <w:r>
              <w:rPr>
                <w:rFonts w:hint="eastAsia"/>
                <w:color w:val="auto"/>
                <w:sz w:val="24"/>
                <w:lang w:val="en-US" w:eastAsia="zh-CN"/>
              </w:rPr>
              <w:t>现有工程环境保护设施建设情况</w:t>
            </w:r>
          </w:p>
          <w:p w14:paraId="7D87AAF5">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default" w:eastAsia="宋体"/>
                <w:color w:val="auto"/>
                <w:sz w:val="24"/>
                <w:lang w:val="en-US" w:eastAsia="zh-CN"/>
              </w:rPr>
            </w:pPr>
            <w:r>
              <w:rPr>
                <w:rFonts w:hint="eastAsia"/>
                <w:color w:val="auto"/>
                <w:sz w:val="24"/>
                <w:lang w:val="en-US" w:eastAsia="zh-CN"/>
              </w:rPr>
              <w:t>（1）废气</w:t>
            </w:r>
          </w:p>
          <w:p w14:paraId="36FED6F1">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eastAsia" w:cs="Times New Roman"/>
                <w:color w:val="auto"/>
                <w:sz w:val="24"/>
                <w:lang w:val="en-US" w:eastAsia="zh-CN"/>
              </w:rPr>
            </w:pPr>
            <w:r>
              <w:rPr>
                <w:rFonts w:hint="eastAsia" w:cs="Times New Roman"/>
                <w:color w:val="auto"/>
                <w:sz w:val="24"/>
                <w:lang w:val="en-US" w:eastAsia="zh-CN"/>
              </w:rPr>
              <w:t>现有工程废气主要为生物质导热油炉烟气及石墨烘干、筛分、包装产生的粉尘。</w:t>
            </w:r>
          </w:p>
          <w:p w14:paraId="530A4D5C">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default"/>
                <w:color w:val="auto"/>
                <w:sz w:val="24"/>
                <w:lang w:val="en-US" w:eastAsia="zh-CN"/>
              </w:rPr>
            </w:pPr>
            <w:r>
              <w:rPr>
                <w:rFonts w:hint="eastAsia" w:cs="Times New Roman"/>
                <w:color w:val="auto"/>
                <w:sz w:val="24"/>
                <w:lang w:val="en-US" w:eastAsia="zh-CN"/>
              </w:rPr>
              <w:t>2台燃生物质导热油炉均使用湿式除尘器处理锅炉烟气，处理后通过分别20m高排气筒（DA003、DA004）排放。锅炉烟气排放执行</w:t>
            </w:r>
            <w:r>
              <w:rPr>
                <w:rFonts w:hint="eastAsia"/>
                <w:color w:val="auto"/>
                <w:sz w:val="24"/>
                <w:lang w:val="en-US" w:eastAsia="zh-CN"/>
              </w:rPr>
              <w:t>《锅炉大气污染物排放标准》（GB13271-2014）表2中燃煤锅炉大气污染物标准限值要求</w:t>
            </w:r>
            <w:r>
              <w:rPr>
                <w:rFonts w:hint="default"/>
                <w:color w:val="auto"/>
                <w:sz w:val="24"/>
                <w:lang w:val="en-US" w:eastAsia="zh-CN"/>
              </w:rPr>
              <w:t>。</w:t>
            </w:r>
          </w:p>
          <w:p w14:paraId="2956B0A4">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eastAsia" w:eastAsia="宋体"/>
                <w:color w:val="auto"/>
                <w:sz w:val="24"/>
                <w:lang w:val="en-US" w:eastAsia="zh-CN"/>
              </w:rPr>
            </w:pPr>
            <w:r>
              <w:rPr>
                <w:rFonts w:hint="eastAsia"/>
                <w:color w:val="auto"/>
                <w:sz w:val="24"/>
              </w:rPr>
              <w:t>石墨</w:t>
            </w:r>
            <w:r>
              <w:rPr>
                <w:color w:val="auto"/>
                <w:sz w:val="24"/>
              </w:rPr>
              <w:t>烘干车间采用分散收集</w:t>
            </w:r>
            <w:r>
              <w:rPr>
                <w:rFonts w:hint="eastAsia"/>
                <w:color w:val="auto"/>
                <w:sz w:val="24"/>
              </w:rPr>
              <w:t>、</w:t>
            </w:r>
            <w:r>
              <w:rPr>
                <w:color w:val="auto"/>
                <w:sz w:val="24"/>
              </w:rPr>
              <w:t>统一处理的方式，收集后废气经</w:t>
            </w:r>
            <w:r>
              <w:rPr>
                <w:rFonts w:hint="eastAsia"/>
                <w:color w:val="auto"/>
                <w:sz w:val="24"/>
              </w:rPr>
              <w:t>一台</w:t>
            </w:r>
            <w:r>
              <w:rPr>
                <w:color w:val="auto"/>
                <w:sz w:val="24"/>
              </w:rPr>
              <w:t>布袋除尘器处理，</w:t>
            </w:r>
            <w:r>
              <w:rPr>
                <w:rFonts w:hint="eastAsia"/>
                <w:color w:val="auto"/>
                <w:sz w:val="24"/>
              </w:rPr>
              <w:t>收集</w:t>
            </w:r>
            <w:r>
              <w:rPr>
                <w:color w:val="auto"/>
                <w:sz w:val="24"/>
              </w:rPr>
              <w:t>处理后</w:t>
            </w:r>
            <w:r>
              <w:rPr>
                <w:rFonts w:hint="eastAsia"/>
                <w:color w:val="auto"/>
                <w:sz w:val="24"/>
              </w:rPr>
              <w:t>的</w:t>
            </w:r>
            <w:r>
              <w:rPr>
                <w:color w:val="auto"/>
                <w:sz w:val="24"/>
              </w:rPr>
              <w:t>粉尘</w:t>
            </w:r>
            <w:r>
              <w:rPr>
                <w:rFonts w:hint="eastAsia"/>
                <w:color w:val="auto"/>
                <w:sz w:val="24"/>
                <w:lang w:val="en-US" w:eastAsia="zh-CN"/>
              </w:rPr>
              <w:t>通过15m高排气筒（DA001）排放。车间废气排放</w:t>
            </w:r>
            <w:r>
              <w:rPr>
                <w:rFonts w:hint="eastAsia" w:cs="Times New Roman"/>
                <w:color w:val="auto"/>
                <w:sz w:val="24"/>
                <w:lang w:val="en-US" w:eastAsia="zh-CN"/>
              </w:rPr>
              <w:t>执行</w:t>
            </w:r>
            <w:r>
              <w:rPr>
                <w:color w:val="auto"/>
                <w:sz w:val="24"/>
              </w:rPr>
              <w:t>《大气污染物综合排放标准》(GB16297-1996)表2中二级标准要求</w:t>
            </w:r>
            <w:r>
              <w:rPr>
                <w:rFonts w:hint="eastAsia"/>
                <w:color w:val="auto"/>
                <w:sz w:val="24"/>
                <w:lang w:eastAsia="zh-CN"/>
              </w:rPr>
              <w:t>。</w:t>
            </w:r>
          </w:p>
          <w:p w14:paraId="479528DC">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eastAsia" w:eastAsia="宋体"/>
                <w:color w:val="auto"/>
                <w:sz w:val="24"/>
                <w:lang w:val="en-US" w:eastAsia="zh-CN"/>
              </w:rPr>
            </w:pPr>
            <w:r>
              <w:rPr>
                <w:rFonts w:hint="eastAsia"/>
                <w:color w:val="auto"/>
                <w:sz w:val="24"/>
              </w:rPr>
              <w:t>石墨</w:t>
            </w:r>
            <w:r>
              <w:rPr>
                <w:color w:val="auto"/>
                <w:sz w:val="24"/>
              </w:rPr>
              <w:t>烘干</w:t>
            </w:r>
            <w:r>
              <w:rPr>
                <w:rFonts w:hint="eastAsia"/>
                <w:color w:val="auto"/>
                <w:sz w:val="24"/>
              </w:rPr>
              <w:t>筛分</w:t>
            </w:r>
            <w:r>
              <w:rPr>
                <w:color w:val="auto"/>
                <w:sz w:val="24"/>
              </w:rPr>
              <w:t>车间采用分散收集</w:t>
            </w:r>
            <w:r>
              <w:rPr>
                <w:rFonts w:hint="eastAsia"/>
                <w:color w:val="auto"/>
                <w:sz w:val="24"/>
              </w:rPr>
              <w:t>、</w:t>
            </w:r>
            <w:r>
              <w:rPr>
                <w:color w:val="auto"/>
                <w:sz w:val="24"/>
              </w:rPr>
              <w:t>统一处理的方式，收集后废气经</w:t>
            </w:r>
            <w:r>
              <w:rPr>
                <w:rFonts w:hint="eastAsia"/>
                <w:color w:val="auto"/>
                <w:sz w:val="24"/>
              </w:rPr>
              <w:t>一台</w:t>
            </w:r>
            <w:r>
              <w:rPr>
                <w:color w:val="auto"/>
                <w:sz w:val="24"/>
              </w:rPr>
              <w:t>布袋除尘器处理，</w:t>
            </w:r>
            <w:r>
              <w:rPr>
                <w:rFonts w:hint="eastAsia"/>
                <w:color w:val="auto"/>
                <w:sz w:val="24"/>
                <w:lang w:val="en-US" w:eastAsia="zh-CN"/>
              </w:rPr>
              <w:t>收集处理后的粉尘</w:t>
            </w:r>
            <w:r>
              <w:rPr>
                <w:color w:val="auto"/>
                <w:sz w:val="24"/>
              </w:rPr>
              <w:t>经15m高排气筒</w:t>
            </w:r>
            <w:r>
              <w:rPr>
                <w:rFonts w:hint="eastAsia"/>
                <w:color w:val="auto"/>
                <w:sz w:val="24"/>
                <w:lang w:eastAsia="zh-CN"/>
              </w:rPr>
              <w:t>（</w:t>
            </w:r>
            <w:r>
              <w:rPr>
                <w:rFonts w:hint="eastAsia"/>
                <w:color w:val="auto"/>
                <w:sz w:val="24"/>
                <w:lang w:val="en-US" w:eastAsia="zh-CN"/>
              </w:rPr>
              <w:t>DA002</w:t>
            </w:r>
            <w:r>
              <w:rPr>
                <w:rFonts w:hint="eastAsia"/>
                <w:color w:val="auto"/>
                <w:sz w:val="24"/>
                <w:lang w:eastAsia="zh-CN"/>
              </w:rPr>
              <w:t>）</w:t>
            </w:r>
            <w:r>
              <w:rPr>
                <w:color w:val="auto"/>
                <w:sz w:val="24"/>
              </w:rPr>
              <w:t>排放，</w:t>
            </w:r>
            <w:r>
              <w:rPr>
                <w:rFonts w:hint="eastAsia"/>
                <w:color w:val="auto"/>
                <w:sz w:val="24"/>
                <w:lang w:val="en-US" w:eastAsia="zh-CN"/>
              </w:rPr>
              <w:t>车间废气排放执行</w:t>
            </w:r>
            <w:r>
              <w:rPr>
                <w:color w:val="auto"/>
                <w:sz w:val="24"/>
              </w:rPr>
              <w:t>《大气污染物综合排放标准》(GB16297-1996)表2中二级标准要求</w:t>
            </w:r>
            <w:r>
              <w:rPr>
                <w:rFonts w:hint="eastAsia"/>
                <w:color w:val="auto"/>
                <w:sz w:val="24"/>
                <w:lang w:eastAsia="zh-CN"/>
              </w:rPr>
              <w:t>。</w:t>
            </w:r>
          </w:p>
          <w:p w14:paraId="5D20992D">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sz w:val="24"/>
                <w:lang w:val="en-US" w:eastAsia="zh-CN"/>
              </w:rPr>
            </w:pPr>
            <w:r>
              <w:rPr>
                <w:rFonts w:hint="eastAsia" w:cs="Times New Roman"/>
                <w:color w:val="auto"/>
                <w:kern w:val="0"/>
                <w:sz w:val="24"/>
                <w:szCs w:val="24"/>
                <w:lang w:val="en-US" w:eastAsia="zh-CN"/>
              </w:rPr>
              <w:t>厂界无组织颗粒物执行</w:t>
            </w:r>
            <w:r>
              <w:rPr>
                <w:rFonts w:hint="eastAsia" w:ascii="Times New Roman" w:hAnsi="Times New Roman" w:eastAsia="宋体" w:cs="Times New Roman"/>
                <w:bCs/>
                <w:color w:val="auto"/>
                <w:sz w:val="24"/>
              </w:rPr>
              <w:t>《大气污染物综合排放标准》（GB16297-1996）表2中无组织排放限值</w:t>
            </w:r>
            <w:r>
              <w:rPr>
                <w:rFonts w:hint="eastAsia" w:ascii="Times New Roman" w:hAnsi="Times New Roman" w:eastAsia="宋体" w:cs="Times New Roman"/>
                <w:bCs/>
                <w:color w:val="auto"/>
                <w:sz w:val="24"/>
                <w:lang w:eastAsia="zh-CN"/>
              </w:rPr>
              <w:t>。</w:t>
            </w:r>
          </w:p>
          <w:p w14:paraId="7E273A5E">
            <w:pPr>
              <w:pStyle w:val="207"/>
              <w:keepNext w:val="0"/>
              <w:keepLines w:val="0"/>
              <w:pageBreakBefore w:val="0"/>
              <w:widowControl w:val="0"/>
              <w:numPr>
                <w:ilvl w:val="0"/>
                <w:numId w:val="2"/>
              </w:numPr>
              <w:kinsoku/>
              <w:overflowPunct/>
              <w:topLinePunct w:val="0"/>
              <w:autoSpaceDE/>
              <w:autoSpaceDN/>
              <w:bidi w:val="0"/>
              <w:adjustRightInd/>
              <w:snapToGrid/>
              <w:spacing w:line="360" w:lineRule="auto"/>
              <w:ind w:firstLine="480"/>
              <w:textAlignment w:val="auto"/>
              <w:rPr>
                <w:rFonts w:hint="eastAsia"/>
                <w:color w:val="auto"/>
                <w:sz w:val="24"/>
                <w:lang w:val="en-US" w:eastAsia="zh-CN"/>
              </w:rPr>
            </w:pPr>
            <w:r>
              <w:rPr>
                <w:rFonts w:hint="eastAsia"/>
                <w:color w:val="auto"/>
                <w:sz w:val="24"/>
                <w:lang w:val="en-US" w:eastAsia="zh-CN"/>
              </w:rPr>
              <w:t>废水</w:t>
            </w:r>
          </w:p>
          <w:p w14:paraId="41894B72">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eastAsia" w:ascii="Times New Roman" w:hAnsi="Times New Roman" w:eastAsia="宋体" w:cs="Times New Roman"/>
                <w:color w:val="auto"/>
                <w:sz w:val="24"/>
                <w:lang w:val="en-US" w:eastAsia="zh-CN"/>
              </w:rPr>
            </w:pPr>
            <w:r>
              <w:rPr>
                <w:rFonts w:hint="eastAsia" w:hAnsi="宋体"/>
                <w:color w:val="auto"/>
                <w:sz w:val="24"/>
                <w:szCs w:val="24"/>
                <w:lang w:val="en-US" w:eastAsia="zh-CN"/>
              </w:rPr>
              <w:t>现有工程</w:t>
            </w:r>
            <w:r>
              <w:rPr>
                <w:color w:val="auto"/>
                <w:sz w:val="24"/>
                <w:szCs w:val="24"/>
              </w:rPr>
              <w:t>废水主要为生活污水，生活污水</w:t>
            </w:r>
            <w:r>
              <w:rPr>
                <w:rFonts w:hint="eastAsia"/>
                <w:color w:val="auto"/>
                <w:sz w:val="24"/>
                <w:szCs w:val="24"/>
              </w:rPr>
              <w:t>中盥洗</w:t>
            </w:r>
            <w:r>
              <w:rPr>
                <w:color w:val="auto"/>
                <w:sz w:val="24"/>
                <w:szCs w:val="24"/>
              </w:rPr>
              <w:t>及洗浴废水</w:t>
            </w:r>
            <w:r>
              <w:rPr>
                <w:rFonts w:hint="eastAsia"/>
                <w:color w:val="auto"/>
                <w:sz w:val="24"/>
                <w:szCs w:val="24"/>
              </w:rPr>
              <w:t>排入厂区污水收集池，</w:t>
            </w:r>
            <w:r>
              <w:rPr>
                <w:color w:val="auto"/>
                <w:sz w:val="24"/>
                <w:szCs w:val="24"/>
              </w:rPr>
              <w:t>定期</w:t>
            </w:r>
            <w:r>
              <w:rPr>
                <w:rFonts w:hint="eastAsia"/>
                <w:color w:val="auto"/>
                <w:sz w:val="24"/>
                <w:szCs w:val="24"/>
              </w:rPr>
              <w:t>委托市政部门清运至梨树区</w:t>
            </w:r>
            <w:r>
              <w:rPr>
                <w:color w:val="auto"/>
                <w:sz w:val="24"/>
                <w:szCs w:val="24"/>
              </w:rPr>
              <w:t>污水处理厂</w:t>
            </w:r>
            <w:r>
              <w:rPr>
                <w:rFonts w:hint="eastAsia"/>
                <w:color w:val="auto"/>
                <w:sz w:val="24"/>
                <w:szCs w:val="24"/>
              </w:rPr>
              <w:t>处理；</w:t>
            </w:r>
            <w:r>
              <w:rPr>
                <w:color w:val="auto"/>
                <w:sz w:val="24"/>
                <w:szCs w:val="24"/>
              </w:rPr>
              <w:t>粪尿排入厂区防渗旱厕</w:t>
            </w:r>
            <w:r>
              <w:rPr>
                <w:rFonts w:hint="eastAsia"/>
                <w:color w:val="auto"/>
                <w:sz w:val="24"/>
                <w:szCs w:val="24"/>
              </w:rPr>
              <w:t>，</w:t>
            </w:r>
            <w:r>
              <w:rPr>
                <w:color w:val="auto"/>
                <w:sz w:val="24"/>
                <w:szCs w:val="24"/>
              </w:rPr>
              <w:t>定期清掏</w:t>
            </w:r>
            <w:r>
              <w:rPr>
                <w:rFonts w:hint="eastAsia"/>
                <w:color w:val="auto"/>
                <w:sz w:val="24"/>
                <w:szCs w:val="24"/>
              </w:rPr>
              <w:t>用作农肥</w:t>
            </w:r>
            <w:r>
              <w:rPr>
                <w:color w:val="auto"/>
                <w:sz w:val="24"/>
                <w:szCs w:val="24"/>
              </w:rPr>
              <w:t>。</w:t>
            </w:r>
            <w:r>
              <w:rPr>
                <w:rFonts w:hint="eastAsia"/>
                <w:color w:val="auto"/>
                <w:sz w:val="24"/>
                <w:szCs w:val="24"/>
              </w:rPr>
              <w:t>项目污水经梨树区污水处理厂处理，满足《城镇污水处理厂污染物排放标准》（GB18918-2002</w:t>
            </w:r>
            <w:r>
              <w:rPr>
                <w:color w:val="auto"/>
                <w:sz w:val="24"/>
                <w:szCs w:val="24"/>
              </w:rPr>
              <w:t>）</w:t>
            </w:r>
            <w:r>
              <w:rPr>
                <w:rFonts w:hint="eastAsia"/>
                <w:color w:val="auto"/>
                <w:sz w:val="24"/>
                <w:szCs w:val="24"/>
              </w:rPr>
              <w:t>中一级B标准后排入穆棱河</w:t>
            </w:r>
            <w:r>
              <w:rPr>
                <w:rFonts w:hint="eastAsia"/>
                <w:color w:val="auto"/>
                <w:sz w:val="24"/>
                <w:szCs w:val="24"/>
                <w:lang w:eastAsia="zh-CN"/>
              </w:rPr>
              <w:t>。</w:t>
            </w:r>
          </w:p>
          <w:p w14:paraId="45F24A33">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default" w:eastAsia="宋体"/>
                <w:color w:val="auto"/>
                <w:sz w:val="24"/>
                <w:lang w:val="en-US" w:eastAsia="zh-CN"/>
              </w:rPr>
            </w:pPr>
            <w:r>
              <w:rPr>
                <w:rFonts w:hint="eastAsia"/>
                <w:color w:val="auto"/>
                <w:sz w:val="24"/>
                <w:lang w:val="en-US" w:eastAsia="zh-CN"/>
              </w:rPr>
              <w:t>（3）噪声</w:t>
            </w:r>
          </w:p>
          <w:p w14:paraId="5275A858">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eastAsia" w:ascii="Times New Roman" w:hAnsi="Times New Roman" w:eastAsia="宋体" w:cs="Times New Roman"/>
                <w:color w:val="auto"/>
                <w:sz w:val="24"/>
                <w:lang w:eastAsia="zh-CN"/>
              </w:rPr>
            </w:pPr>
            <w:r>
              <w:rPr>
                <w:rFonts w:hint="eastAsia" w:cs="Times New Roman"/>
                <w:color w:val="auto"/>
                <w:sz w:val="24"/>
                <w:lang w:val="en-US" w:eastAsia="zh-CN"/>
              </w:rPr>
              <w:t>选用</w:t>
            </w:r>
            <w:r>
              <w:rPr>
                <w:rFonts w:hint="default" w:ascii="Times New Roman" w:hAnsi="Times New Roman" w:eastAsia="宋体" w:cs="Times New Roman"/>
                <w:color w:val="auto"/>
                <w:sz w:val="24"/>
              </w:rPr>
              <w:t>隔声降噪措施。选用低噪声生产设备，对噪声源较高的固定设备采取隔声、减振措施</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kern w:val="0"/>
                <w:sz w:val="24"/>
                <w:szCs w:val="28"/>
                <w:lang w:val="en-US" w:eastAsia="zh-CN" w:bidi="ar-SA"/>
              </w:rPr>
              <w:t>厂界</w:t>
            </w:r>
            <w:r>
              <w:rPr>
                <w:rFonts w:hint="eastAsia" w:ascii="Times New Roman" w:hAnsi="Times New Roman" w:eastAsia="宋体" w:cs="Times New Roman"/>
                <w:color w:val="auto"/>
                <w:kern w:val="0"/>
                <w:sz w:val="24"/>
                <w:szCs w:val="28"/>
                <w:lang w:val="en-US" w:eastAsia="zh-CN" w:bidi="ar-SA"/>
              </w:rPr>
              <w:t>四周</w:t>
            </w:r>
            <w:r>
              <w:rPr>
                <w:rFonts w:hint="default" w:ascii="Times New Roman" w:hAnsi="Times New Roman" w:eastAsia="宋体" w:cs="Times New Roman"/>
                <w:color w:val="auto"/>
                <w:kern w:val="0"/>
                <w:sz w:val="24"/>
                <w:szCs w:val="28"/>
                <w:lang w:val="en-US" w:bidi="ar-SA"/>
              </w:rPr>
              <w:t>噪声执行《工业企业厂界环境噪声排放标准》（</w:t>
            </w:r>
            <w:r>
              <w:rPr>
                <w:rFonts w:hint="eastAsia" w:cs="Times New Roman"/>
                <w:color w:val="auto"/>
                <w:kern w:val="0"/>
                <w:sz w:val="24"/>
                <w:szCs w:val="28"/>
                <w:lang w:val="en-US" w:eastAsia="zh-CN" w:bidi="ar-SA"/>
              </w:rPr>
              <w:t>G</w:t>
            </w:r>
            <w:r>
              <w:rPr>
                <w:rFonts w:hint="default" w:ascii="Times New Roman" w:hAnsi="Times New Roman" w:eastAsia="宋体" w:cs="Times New Roman"/>
                <w:color w:val="auto"/>
                <w:kern w:val="0"/>
                <w:sz w:val="24"/>
                <w:szCs w:val="28"/>
                <w:lang w:val="en-US" w:bidi="ar-SA"/>
              </w:rPr>
              <w:t>B12348-2008）</w:t>
            </w:r>
            <w:r>
              <w:rPr>
                <w:rFonts w:hint="eastAsia" w:cs="Times New Roman"/>
                <w:color w:val="auto"/>
                <w:kern w:val="0"/>
                <w:sz w:val="24"/>
                <w:szCs w:val="28"/>
                <w:lang w:val="en-US" w:eastAsia="zh-CN" w:bidi="ar-SA"/>
              </w:rPr>
              <w:t>表1中2</w:t>
            </w:r>
            <w:r>
              <w:rPr>
                <w:rFonts w:hint="default" w:ascii="Times New Roman" w:hAnsi="Times New Roman" w:eastAsia="宋体" w:cs="Times New Roman"/>
                <w:color w:val="auto"/>
                <w:kern w:val="0"/>
                <w:sz w:val="24"/>
                <w:szCs w:val="28"/>
                <w:lang w:val="en-US" w:bidi="ar-SA"/>
              </w:rPr>
              <w:t>类标准限值要求</w:t>
            </w:r>
            <w:r>
              <w:rPr>
                <w:rFonts w:hint="eastAsia" w:ascii="Times New Roman" w:hAnsi="Times New Roman" w:eastAsia="宋体" w:cs="Times New Roman"/>
                <w:color w:val="auto"/>
                <w:kern w:val="0"/>
                <w:sz w:val="24"/>
                <w:szCs w:val="28"/>
                <w:lang w:val="en-US" w:eastAsia="zh-CN" w:bidi="ar-SA"/>
              </w:rPr>
              <w:t>。</w:t>
            </w:r>
          </w:p>
          <w:p w14:paraId="48441286">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sz w:val="24"/>
                <w:lang w:val="en-US" w:eastAsia="zh-CN"/>
              </w:rPr>
            </w:pPr>
            <w:r>
              <w:rPr>
                <w:rFonts w:hint="eastAsia" w:cs="Times New Roman"/>
                <w:color w:val="auto"/>
                <w:sz w:val="24"/>
                <w:lang w:eastAsia="zh-CN"/>
              </w:rPr>
              <w:t>（</w:t>
            </w:r>
            <w:r>
              <w:rPr>
                <w:rFonts w:hint="eastAsia" w:cs="Times New Roman"/>
                <w:color w:val="auto"/>
                <w:sz w:val="24"/>
                <w:lang w:val="en-US" w:eastAsia="zh-CN"/>
              </w:rPr>
              <w:t>4</w:t>
            </w:r>
            <w:r>
              <w:rPr>
                <w:rFonts w:hint="eastAsia" w:cs="Times New Roman"/>
                <w:color w:val="auto"/>
                <w:sz w:val="24"/>
                <w:lang w:eastAsia="zh-CN"/>
              </w:rPr>
              <w:t>）</w:t>
            </w:r>
            <w:r>
              <w:rPr>
                <w:rFonts w:hint="eastAsia" w:cs="Times New Roman"/>
                <w:color w:val="auto"/>
                <w:sz w:val="24"/>
                <w:lang w:val="en-US" w:eastAsia="zh-CN"/>
              </w:rPr>
              <w:t>固体废物</w:t>
            </w:r>
          </w:p>
          <w:p w14:paraId="7547226E">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eastAsia" w:eastAsia="宋体"/>
                <w:color w:val="auto"/>
                <w:sz w:val="24"/>
                <w:szCs w:val="24"/>
                <w:lang w:val="en-US" w:eastAsia="zh-CN"/>
              </w:rPr>
            </w:pPr>
            <w:r>
              <w:rPr>
                <w:rFonts w:hint="eastAsia" w:eastAsia="宋体"/>
                <w:color w:val="auto"/>
                <w:sz w:val="24"/>
                <w:szCs w:val="24"/>
                <w:lang w:val="en-US" w:eastAsia="zh-CN"/>
              </w:rPr>
              <w:t>生活垃圾</w:t>
            </w:r>
            <w:r>
              <w:rPr>
                <w:rFonts w:eastAsia="宋体"/>
                <w:color w:val="auto"/>
                <w:sz w:val="24"/>
                <w:szCs w:val="24"/>
              </w:rPr>
              <w:t>集中收集后，送至生活垃圾指定堆放点，由市政部门统一处理</w:t>
            </w:r>
            <w:r>
              <w:rPr>
                <w:rFonts w:hint="eastAsia" w:eastAsia="宋体"/>
                <w:color w:val="auto"/>
                <w:sz w:val="24"/>
                <w:szCs w:val="24"/>
                <w:lang w:eastAsia="zh-CN"/>
              </w:rPr>
              <w:t>；</w:t>
            </w:r>
            <w:r>
              <w:rPr>
                <w:rFonts w:hint="eastAsia" w:eastAsia="宋体"/>
                <w:color w:val="auto"/>
                <w:sz w:val="24"/>
                <w:szCs w:val="24"/>
                <w:lang w:val="en-US" w:eastAsia="zh-CN"/>
              </w:rPr>
              <w:t>项目布袋除尘器收尘灰集中收集</w:t>
            </w:r>
            <w:r>
              <w:rPr>
                <w:color w:val="auto"/>
                <w:sz w:val="24"/>
              </w:rPr>
              <w:t>全部作为产品外售</w:t>
            </w:r>
            <w:r>
              <w:rPr>
                <w:rFonts w:hint="eastAsia"/>
                <w:color w:val="auto"/>
                <w:sz w:val="24"/>
                <w:lang w:eastAsia="zh-CN"/>
              </w:rPr>
              <w:t>；</w:t>
            </w:r>
            <w:r>
              <w:rPr>
                <w:rFonts w:hint="eastAsia"/>
                <w:color w:val="auto"/>
                <w:sz w:val="24"/>
                <w:lang w:val="en-US" w:eastAsia="zh-CN"/>
              </w:rPr>
              <w:t>锅炉灰渣</w:t>
            </w:r>
            <w:r>
              <w:rPr>
                <w:color w:val="auto"/>
                <w:sz w:val="24"/>
              </w:rPr>
              <w:t>集中收集后，外售综合利用</w:t>
            </w:r>
            <w:r>
              <w:rPr>
                <w:rFonts w:hint="eastAsia" w:eastAsia="宋体"/>
                <w:color w:val="auto"/>
                <w:sz w:val="24"/>
                <w:szCs w:val="24"/>
                <w:lang w:val="en-US" w:eastAsia="zh-CN"/>
              </w:rPr>
              <w:t>，</w:t>
            </w:r>
            <w:r>
              <w:rPr>
                <w:rFonts w:hint="default" w:eastAsia="宋体"/>
                <w:color w:val="auto"/>
                <w:sz w:val="24"/>
                <w:szCs w:val="24"/>
                <w:lang w:val="en-US" w:eastAsia="zh-CN"/>
              </w:rPr>
              <w:t>废导热油每五年更换一次，建设单位委托有资质单位更换并带走处置，不在厂区内暂存</w:t>
            </w:r>
            <w:r>
              <w:rPr>
                <w:rFonts w:hint="eastAsia" w:eastAsia="宋体"/>
                <w:color w:val="auto"/>
                <w:sz w:val="24"/>
                <w:szCs w:val="24"/>
                <w:lang w:val="en-US" w:eastAsia="zh-CN"/>
              </w:rPr>
              <w:t>。</w:t>
            </w:r>
          </w:p>
          <w:p w14:paraId="73696715">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eastAsia" w:ascii="Times New Roman" w:hAnsi="Times New Roman" w:eastAsia="宋体" w:cs="Times New Roman"/>
                <w:color w:val="auto"/>
                <w:sz w:val="24"/>
              </w:rPr>
            </w:pPr>
            <w:r>
              <w:rPr>
                <w:rFonts w:hint="eastAsia" w:cs="Times New Roman"/>
                <w:color w:val="auto"/>
                <w:sz w:val="24"/>
                <w:lang w:val="en-US" w:eastAsia="zh-CN"/>
              </w:rPr>
              <w:t>四</w:t>
            </w:r>
            <w:r>
              <w:rPr>
                <w:rFonts w:hint="eastAsia"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rPr>
              <w:t>现有工程的污染物排放情况</w:t>
            </w:r>
          </w:p>
          <w:p w14:paraId="47503B21">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sz w:val="24"/>
                <w:lang w:val="en-US" w:eastAsia="zh-CN"/>
              </w:rPr>
            </w:pPr>
            <w:r>
              <w:rPr>
                <w:rFonts w:hint="eastAsia"/>
                <w:color w:val="auto"/>
                <w:sz w:val="24"/>
                <w:lang w:val="en-US" w:eastAsia="zh-CN"/>
              </w:rPr>
              <w:t>现有工程废气、噪声实际排放情况引用2025年第一季度和2025第二季度检测报告中数据，废水实际排放情况参</w:t>
            </w:r>
            <w:r>
              <w:rPr>
                <w:rFonts w:hint="eastAsia" w:ascii="Times New Roman" w:hAnsi="Times New Roman" w:eastAsia="宋体" w:cs="Times New Roman"/>
                <w:color w:val="auto"/>
                <w:sz w:val="24"/>
                <w:lang w:val="en-US" w:eastAsia="zh-CN"/>
              </w:rPr>
              <w:t>考《鸡西市海盛新能源材料有限公司检测报告-废水》（报告编号：HCT-251027-05）。</w:t>
            </w:r>
          </w:p>
          <w:p w14:paraId="44BD1171">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eastAsia"/>
                <w:color w:val="auto"/>
                <w:sz w:val="24"/>
              </w:rPr>
            </w:pPr>
            <w:r>
              <w:rPr>
                <w:rFonts w:hint="eastAsia"/>
                <w:color w:val="auto"/>
                <w:sz w:val="24"/>
              </w:rPr>
              <w:t>1、废气</w:t>
            </w:r>
          </w:p>
          <w:p w14:paraId="488E159C">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eastAsia" w:eastAsia="宋体"/>
                <w:color w:val="auto"/>
                <w:sz w:val="24"/>
                <w:lang w:eastAsia="zh-CN"/>
              </w:rPr>
            </w:pPr>
            <w:r>
              <w:rPr>
                <w:rFonts w:hint="eastAsia"/>
                <w:color w:val="auto"/>
                <w:sz w:val="24"/>
              </w:rPr>
              <w:t>现有工程运行期间产生的废气主要为</w:t>
            </w:r>
            <w:r>
              <w:rPr>
                <w:rFonts w:hint="eastAsia"/>
                <w:color w:val="auto"/>
                <w:sz w:val="24"/>
                <w:lang w:val="en-US" w:eastAsia="zh-CN"/>
              </w:rPr>
              <w:t>锅炉烟气和颗粒物，根据监测数据</w:t>
            </w:r>
            <w:r>
              <w:rPr>
                <w:rFonts w:hint="eastAsia"/>
                <w:color w:val="auto"/>
                <w:sz w:val="24"/>
              </w:rPr>
              <w:t>，</w:t>
            </w:r>
            <w:r>
              <w:rPr>
                <w:rFonts w:hint="eastAsia"/>
                <w:color w:val="auto"/>
                <w:sz w:val="24"/>
                <w:lang w:val="en-US" w:eastAsia="zh-CN"/>
              </w:rPr>
              <w:t>DA003排气筒锅炉烟气颗粒物排放浓度在13.9~49mg/m</w:t>
            </w:r>
            <w:r>
              <w:rPr>
                <w:rFonts w:hint="eastAsia"/>
                <w:color w:val="auto"/>
                <w:sz w:val="24"/>
                <w:vertAlign w:val="superscript"/>
                <w:lang w:val="en-US" w:eastAsia="zh-CN"/>
              </w:rPr>
              <w:t>3</w:t>
            </w:r>
            <w:r>
              <w:rPr>
                <w:rFonts w:hint="eastAsia"/>
                <w:color w:val="auto"/>
                <w:sz w:val="24"/>
                <w:lang w:val="en-US" w:eastAsia="zh-CN"/>
              </w:rPr>
              <w:t>，二氧化硫排放浓度在34~185mg/m</w:t>
            </w:r>
            <w:r>
              <w:rPr>
                <w:rFonts w:hint="eastAsia"/>
                <w:color w:val="auto"/>
                <w:sz w:val="24"/>
                <w:vertAlign w:val="superscript"/>
                <w:lang w:val="en-US" w:eastAsia="zh-CN"/>
              </w:rPr>
              <w:t>3</w:t>
            </w:r>
            <w:r>
              <w:rPr>
                <w:rFonts w:hint="eastAsia"/>
                <w:color w:val="auto"/>
                <w:sz w:val="24"/>
                <w:lang w:val="en-US" w:eastAsia="zh-CN"/>
              </w:rPr>
              <w:t>，氮氧化物排放浓度在92~240mg/m</w:t>
            </w:r>
            <w:r>
              <w:rPr>
                <w:rFonts w:hint="eastAsia"/>
                <w:color w:val="auto"/>
                <w:sz w:val="24"/>
                <w:vertAlign w:val="superscript"/>
                <w:lang w:val="en-US" w:eastAsia="zh-CN"/>
              </w:rPr>
              <w:t>3</w:t>
            </w:r>
            <w:r>
              <w:rPr>
                <w:rFonts w:hint="eastAsia"/>
                <w:color w:val="auto"/>
                <w:sz w:val="24"/>
                <w:lang w:val="en-US" w:eastAsia="zh-CN"/>
              </w:rPr>
              <w:t>，</w:t>
            </w:r>
            <w:r>
              <w:rPr>
                <w:rFonts w:hint="eastAsia"/>
                <w:color w:val="auto"/>
                <w:sz w:val="24"/>
                <w:vertAlign w:val="baseline"/>
                <w:lang w:val="en-US" w:eastAsia="zh-CN"/>
              </w:rPr>
              <w:t>烟气黑度均＜1，汞及其化合物排放浓度均为＜0.0086</w:t>
            </w:r>
            <w:r>
              <w:rPr>
                <w:rFonts w:hint="eastAsia"/>
                <w:color w:val="auto"/>
                <w:sz w:val="24"/>
                <w:lang w:val="en-US" w:eastAsia="zh-CN"/>
              </w:rPr>
              <w:t>mg/m</w:t>
            </w:r>
            <w:r>
              <w:rPr>
                <w:rFonts w:hint="eastAsia"/>
                <w:color w:val="auto"/>
                <w:sz w:val="24"/>
                <w:vertAlign w:val="superscript"/>
                <w:lang w:val="en-US" w:eastAsia="zh-CN"/>
              </w:rPr>
              <w:t>3</w:t>
            </w:r>
            <w:r>
              <w:rPr>
                <w:rFonts w:hint="eastAsia"/>
                <w:color w:val="auto"/>
                <w:sz w:val="24"/>
                <w:lang w:val="en-US" w:eastAsia="zh-CN"/>
              </w:rPr>
              <w:t>，DA004排气筒锅炉烟气颗粒物排放浓度在11.6~48mg/m</w:t>
            </w:r>
            <w:r>
              <w:rPr>
                <w:rFonts w:hint="eastAsia"/>
                <w:color w:val="auto"/>
                <w:sz w:val="24"/>
                <w:vertAlign w:val="superscript"/>
                <w:lang w:val="en-US" w:eastAsia="zh-CN"/>
              </w:rPr>
              <w:t>3</w:t>
            </w:r>
            <w:r>
              <w:rPr>
                <w:rFonts w:hint="eastAsia"/>
                <w:color w:val="auto"/>
                <w:sz w:val="24"/>
                <w:lang w:val="en-US" w:eastAsia="zh-CN"/>
              </w:rPr>
              <w:t>，二氧化硫排放浓度在35~159mg/m</w:t>
            </w:r>
            <w:r>
              <w:rPr>
                <w:rFonts w:hint="eastAsia"/>
                <w:color w:val="auto"/>
                <w:sz w:val="24"/>
                <w:vertAlign w:val="superscript"/>
                <w:lang w:val="en-US" w:eastAsia="zh-CN"/>
              </w:rPr>
              <w:t>3</w:t>
            </w:r>
            <w:r>
              <w:rPr>
                <w:rFonts w:hint="eastAsia"/>
                <w:color w:val="auto"/>
                <w:sz w:val="24"/>
                <w:lang w:val="en-US" w:eastAsia="zh-CN"/>
              </w:rPr>
              <w:t>，氮氧化物排放浓度在127~229mg/m</w:t>
            </w:r>
            <w:r>
              <w:rPr>
                <w:rFonts w:hint="eastAsia"/>
                <w:color w:val="auto"/>
                <w:sz w:val="24"/>
                <w:vertAlign w:val="superscript"/>
                <w:lang w:val="en-US" w:eastAsia="zh-CN"/>
              </w:rPr>
              <w:t>3</w:t>
            </w:r>
            <w:r>
              <w:rPr>
                <w:rFonts w:hint="eastAsia"/>
                <w:color w:val="auto"/>
                <w:sz w:val="24"/>
                <w:lang w:val="en-US" w:eastAsia="zh-CN"/>
              </w:rPr>
              <w:t>，</w:t>
            </w:r>
            <w:r>
              <w:rPr>
                <w:rFonts w:hint="eastAsia"/>
                <w:color w:val="auto"/>
                <w:sz w:val="24"/>
                <w:vertAlign w:val="baseline"/>
                <w:lang w:val="en-US" w:eastAsia="zh-CN"/>
              </w:rPr>
              <w:t>烟气黑度均＜1，汞及其化合物排放浓度＜0.016</w:t>
            </w:r>
            <w:r>
              <w:rPr>
                <w:rFonts w:hint="eastAsia"/>
                <w:color w:val="auto"/>
                <w:sz w:val="24"/>
                <w:lang w:val="en-US" w:eastAsia="zh-CN"/>
              </w:rPr>
              <w:t>mg/m</w:t>
            </w:r>
            <w:r>
              <w:rPr>
                <w:rFonts w:hint="eastAsia"/>
                <w:color w:val="auto"/>
                <w:sz w:val="24"/>
                <w:vertAlign w:val="superscript"/>
                <w:lang w:val="en-US" w:eastAsia="zh-CN"/>
              </w:rPr>
              <w:t>3</w:t>
            </w:r>
            <w:r>
              <w:rPr>
                <w:rFonts w:hint="eastAsia"/>
                <w:color w:val="auto"/>
                <w:sz w:val="24"/>
                <w:lang w:val="en-US" w:eastAsia="zh-CN"/>
              </w:rPr>
              <w:t>，锅炉烟气排放满足</w:t>
            </w:r>
            <w:r>
              <w:rPr>
                <w:rFonts w:hint="eastAsia" w:ascii="Times New Roman" w:hAnsi="Times New Roman" w:eastAsia="宋体" w:cs="Times New Roman"/>
                <w:color w:val="auto"/>
                <w:kern w:val="0"/>
                <w:sz w:val="24"/>
                <w:szCs w:val="24"/>
                <w:lang w:eastAsia="zh-CN"/>
              </w:rPr>
              <w:t>《锅炉大气污染物排放标准》（GB13271-2014）表</w:t>
            </w:r>
            <w:r>
              <w:rPr>
                <w:rFonts w:hint="eastAsia" w:cs="Times New Roman"/>
                <w:color w:val="auto"/>
                <w:kern w:val="0"/>
                <w:sz w:val="24"/>
                <w:szCs w:val="24"/>
                <w:lang w:val="en-US" w:eastAsia="zh-CN"/>
              </w:rPr>
              <w:t>2</w:t>
            </w:r>
            <w:r>
              <w:rPr>
                <w:rFonts w:hint="eastAsia" w:ascii="Times New Roman" w:hAnsi="Times New Roman" w:eastAsia="宋体" w:cs="Times New Roman"/>
                <w:color w:val="auto"/>
                <w:kern w:val="0"/>
                <w:sz w:val="24"/>
                <w:szCs w:val="24"/>
                <w:lang w:eastAsia="zh-CN"/>
              </w:rPr>
              <w:t>中燃煤锅炉大气污染物排放限值标准要求</w:t>
            </w:r>
            <w:r>
              <w:rPr>
                <w:rFonts w:hint="eastAsia" w:cs="Times New Roman"/>
                <w:color w:val="auto"/>
                <w:kern w:val="0"/>
                <w:sz w:val="24"/>
                <w:szCs w:val="24"/>
                <w:lang w:eastAsia="zh-CN"/>
              </w:rPr>
              <w:t>；</w:t>
            </w:r>
            <w:r>
              <w:rPr>
                <w:rFonts w:hint="eastAsia" w:cs="Times New Roman"/>
                <w:color w:val="auto"/>
                <w:kern w:val="0"/>
                <w:sz w:val="24"/>
                <w:szCs w:val="24"/>
                <w:lang w:val="en-US" w:eastAsia="zh-CN"/>
              </w:rPr>
              <w:t>DA001和DA002排气筒车间废气颗粒物排放浓度在23~93</w:t>
            </w:r>
            <w:r>
              <w:rPr>
                <w:rFonts w:hint="eastAsia"/>
                <w:color w:val="auto"/>
                <w:sz w:val="24"/>
                <w:lang w:val="en-US" w:eastAsia="zh-CN"/>
              </w:rPr>
              <w:t>mg/m</w:t>
            </w:r>
            <w:r>
              <w:rPr>
                <w:rFonts w:hint="eastAsia"/>
                <w:color w:val="auto"/>
                <w:sz w:val="24"/>
                <w:vertAlign w:val="superscript"/>
                <w:lang w:val="en-US" w:eastAsia="zh-CN"/>
              </w:rPr>
              <w:t>3</w:t>
            </w:r>
            <w:r>
              <w:rPr>
                <w:rFonts w:hint="eastAsia"/>
                <w:color w:val="auto"/>
                <w:sz w:val="24"/>
                <w:lang w:val="en-US" w:eastAsia="zh-CN"/>
              </w:rPr>
              <w:t>，车间废气排放满足</w:t>
            </w:r>
            <w:r>
              <w:rPr>
                <w:color w:val="auto"/>
                <w:sz w:val="24"/>
              </w:rPr>
              <w:t>《大气污染物综合排放标准》(GB16297-1996)表2中二级标准要求</w:t>
            </w:r>
            <w:r>
              <w:rPr>
                <w:rFonts w:hint="eastAsia"/>
                <w:color w:val="auto"/>
                <w:sz w:val="24"/>
                <w:lang w:eastAsia="zh-CN"/>
              </w:rPr>
              <w:t>；</w:t>
            </w:r>
            <w:r>
              <w:rPr>
                <w:rFonts w:hint="eastAsia"/>
                <w:color w:val="auto"/>
                <w:sz w:val="24"/>
                <w:lang w:val="en-US" w:eastAsia="zh-CN"/>
              </w:rPr>
              <w:t>厂界上风向无组织颗粒物排放在0.189</w:t>
            </w:r>
            <w:r>
              <w:rPr>
                <w:rFonts w:hint="eastAsia" w:cs="Times New Roman"/>
                <w:color w:val="auto"/>
                <w:kern w:val="0"/>
                <w:sz w:val="24"/>
                <w:szCs w:val="24"/>
                <w:lang w:val="en-US" w:eastAsia="zh-CN"/>
              </w:rPr>
              <w:t>~</w:t>
            </w:r>
            <w:r>
              <w:rPr>
                <w:rFonts w:hint="eastAsia"/>
                <w:color w:val="auto"/>
                <w:sz w:val="24"/>
                <w:lang w:val="en-US" w:eastAsia="zh-CN"/>
              </w:rPr>
              <w:t>0.226mg/m</w:t>
            </w:r>
            <w:r>
              <w:rPr>
                <w:rFonts w:hint="eastAsia"/>
                <w:color w:val="auto"/>
                <w:sz w:val="24"/>
                <w:vertAlign w:val="superscript"/>
                <w:lang w:val="en-US" w:eastAsia="zh-CN"/>
              </w:rPr>
              <w:t>3</w:t>
            </w:r>
            <w:r>
              <w:rPr>
                <w:rFonts w:hint="eastAsia"/>
                <w:color w:val="auto"/>
                <w:sz w:val="24"/>
                <w:lang w:val="en-US" w:eastAsia="zh-CN"/>
              </w:rPr>
              <w:t>，厂界下风向无组织颗粒物排放在0.192</w:t>
            </w:r>
            <w:r>
              <w:rPr>
                <w:rFonts w:hint="eastAsia" w:cs="Times New Roman"/>
                <w:color w:val="auto"/>
                <w:kern w:val="0"/>
                <w:sz w:val="24"/>
                <w:szCs w:val="24"/>
                <w:lang w:val="en-US" w:eastAsia="zh-CN"/>
              </w:rPr>
              <w:t>~</w:t>
            </w:r>
            <w:r>
              <w:rPr>
                <w:rFonts w:hint="eastAsia"/>
                <w:color w:val="auto"/>
                <w:sz w:val="24"/>
                <w:lang w:val="en-US" w:eastAsia="zh-CN"/>
              </w:rPr>
              <w:t>0.225mg/m</w:t>
            </w:r>
            <w:r>
              <w:rPr>
                <w:rFonts w:hint="eastAsia"/>
                <w:color w:val="auto"/>
                <w:sz w:val="24"/>
                <w:vertAlign w:val="superscript"/>
                <w:lang w:val="en-US" w:eastAsia="zh-CN"/>
              </w:rPr>
              <w:t>3</w:t>
            </w:r>
            <w:r>
              <w:rPr>
                <w:rFonts w:hint="eastAsia"/>
                <w:color w:val="auto"/>
                <w:sz w:val="24"/>
                <w:lang w:val="en-US" w:eastAsia="zh-CN"/>
              </w:rPr>
              <w:t>，</w:t>
            </w:r>
            <w:r>
              <w:rPr>
                <w:rFonts w:hint="eastAsia" w:cs="Times New Roman"/>
                <w:color w:val="auto"/>
                <w:kern w:val="0"/>
                <w:sz w:val="24"/>
                <w:szCs w:val="24"/>
                <w:lang w:val="en-US" w:eastAsia="zh-CN"/>
              </w:rPr>
              <w:t>厂界无组织颗粒物排放</w:t>
            </w:r>
            <w:r>
              <w:rPr>
                <w:rFonts w:hint="eastAsia"/>
                <w:color w:val="auto"/>
                <w:sz w:val="24"/>
                <w:lang w:val="en-US" w:eastAsia="zh-CN"/>
              </w:rPr>
              <w:t>满足</w:t>
            </w:r>
            <w:r>
              <w:rPr>
                <w:rFonts w:hint="eastAsia"/>
                <w:bCs/>
                <w:color w:val="auto"/>
                <w:sz w:val="24"/>
              </w:rPr>
              <w:t>《大气污染物综合排放标准》（GB16297-1996）中表2无组织排放监控浓度限值</w:t>
            </w:r>
            <w:r>
              <w:rPr>
                <w:rFonts w:hint="eastAsia"/>
                <w:color w:val="auto"/>
                <w:sz w:val="24"/>
                <w:lang w:eastAsia="zh-CN"/>
              </w:rPr>
              <w:t>。</w:t>
            </w:r>
          </w:p>
          <w:p w14:paraId="40EB6F42">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eastAsia"/>
                <w:color w:val="auto"/>
                <w:sz w:val="24"/>
              </w:rPr>
            </w:pPr>
            <w:r>
              <w:rPr>
                <w:rFonts w:hint="eastAsia"/>
                <w:color w:val="auto"/>
                <w:sz w:val="24"/>
              </w:rPr>
              <w:t>2、废水</w:t>
            </w:r>
          </w:p>
          <w:p w14:paraId="1FA2922C">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eastAsia"/>
                <w:color w:val="auto"/>
                <w:sz w:val="24"/>
              </w:rPr>
            </w:pPr>
            <w:r>
              <w:rPr>
                <w:rFonts w:hint="eastAsia" w:hAnsi="宋体"/>
                <w:color w:val="auto"/>
                <w:sz w:val="24"/>
                <w:szCs w:val="24"/>
                <w:lang w:val="en-US" w:eastAsia="zh-CN"/>
              </w:rPr>
              <w:t>现有工程</w:t>
            </w:r>
            <w:r>
              <w:rPr>
                <w:color w:val="auto"/>
                <w:sz w:val="24"/>
                <w:szCs w:val="24"/>
              </w:rPr>
              <w:t>废水主要为生活污水</w:t>
            </w:r>
            <w:r>
              <w:rPr>
                <w:rFonts w:hint="eastAsia"/>
                <w:color w:val="auto"/>
                <w:sz w:val="24"/>
                <w:szCs w:val="24"/>
                <w:lang w:eastAsia="zh-CN"/>
              </w:rPr>
              <w:t>，</w:t>
            </w:r>
            <w:r>
              <w:rPr>
                <w:color w:val="auto"/>
                <w:sz w:val="24"/>
                <w:szCs w:val="24"/>
              </w:rPr>
              <w:t>生活污水</w:t>
            </w:r>
            <w:r>
              <w:rPr>
                <w:rFonts w:hint="eastAsia"/>
                <w:color w:val="auto"/>
                <w:sz w:val="24"/>
                <w:szCs w:val="24"/>
              </w:rPr>
              <w:t>中盥洗</w:t>
            </w:r>
            <w:r>
              <w:rPr>
                <w:color w:val="auto"/>
                <w:sz w:val="24"/>
                <w:szCs w:val="24"/>
              </w:rPr>
              <w:t>及洗浴废水</w:t>
            </w:r>
            <w:r>
              <w:rPr>
                <w:rFonts w:hint="eastAsia"/>
                <w:color w:val="auto"/>
                <w:sz w:val="24"/>
                <w:szCs w:val="24"/>
              </w:rPr>
              <w:t>排入厂区污水收集池，</w:t>
            </w:r>
            <w:r>
              <w:rPr>
                <w:color w:val="auto"/>
                <w:sz w:val="24"/>
                <w:szCs w:val="24"/>
              </w:rPr>
              <w:t>定期</w:t>
            </w:r>
            <w:r>
              <w:rPr>
                <w:rFonts w:hint="eastAsia"/>
                <w:color w:val="auto"/>
                <w:sz w:val="24"/>
                <w:szCs w:val="24"/>
              </w:rPr>
              <w:t>委托市政部门清运至梨树区</w:t>
            </w:r>
            <w:r>
              <w:rPr>
                <w:color w:val="auto"/>
                <w:sz w:val="24"/>
                <w:szCs w:val="24"/>
              </w:rPr>
              <w:t>污水处理厂</w:t>
            </w:r>
            <w:r>
              <w:rPr>
                <w:rFonts w:hint="eastAsia"/>
                <w:color w:val="auto"/>
                <w:sz w:val="24"/>
                <w:szCs w:val="24"/>
              </w:rPr>
              <w:t>处理；</w:t>
            </w:r>
            <w:r>
              <w:rPr>
                <w:color w:val="auto"/>
                <w:sz w:val="24"/>
                <w:szCs w:val="24"/>
              </w:rPr>
              <w:t>粪尿排入厂区防渗旱厕</w:t>
            </w:r>
            <w:r>
              <w:rPr>
                <w:rFonts w:hint="eastAsia"/>
                <w:color w:val="auto"/>
                <w:sz w:val="24"/>
                <w:szCs w:val="24"/>
              </w:rPr>
              <w:t>，</w:t>
            </w:r>
            <w:r>
              <w:rPr>
                <w:color w:val="auto"/>
                <w:sz w:val="24"/>
                <w:szCs w:val="24"/>
              </w:rPr>
              <w:t>定期清掏</w:t>
            </w:r>
            <w:r>
              <w:rPr>
                <w:rFonts w:hint="eastAsia"/>
                <w:color w:val="auto"/>
                <w:sz w:val="24"/>
                <w:szCs w:val="24"/>
              </w:rPr>
              <w:t>用作农肥</w:t>
            </w:r>
            <w:r>
              <w:rPr>
                <w:color w:val="auto"/>
                <w:sz w:val="24"/>
                <w:szCs w:val="24"/>
              </w:rPr>
              <w:t>。</w:t>
            </w:r>
            <w:r>
              <w:rPr>
                <w:rFonts w:hint="eastAsia"/>
                <w:color w:val="auto"/>
                <w:sz w:val="24"/>
                <w:szCs w:val="24"/>
              </w:rPr>
              <w:t>项目污水经梨树区污水处理厂处理，满足《城镇污水处理厂污染物排放标准》（GB18918-2002</w:t>
            </w:r>
            <w:r>
              <w:rPr>
                <w:color w:val="auto"/>
                <w:sz w:val="24"/>
                <w:szCs w:val="24"/>
              </w:rPr>
              <w:t>）</w:t>
            </w:r>
            <w:r>
              <w:rPr>
                <w:rFonts w:hint="eastAsia"/>
                <w:color w:val="auto"/>
                <w:sz w:val="24"/>
                <w:szCs w:val="24"/>
              </w:rPr>
              <w:t>中一级B标准后排入穆棱河</w:t>
            </w:r>
            <w:r>
              <w:rPr>
                <w:rFonts w:hint="eastAsia"/>
                <w:color w:val="auto"/>
                <w:sz w:val="24"/>
                <w:szCs w:val="24"/>
                <w:lang w:eastAsia="zh-CN"/>
              </w:rPr>
              <w:t>。</w:t>
            </w:r>
            <w:r>
              <w:rPr>
                <w:rFonts w:hint="eastAsia"/>
                <w:color w:val="auto"/>
                <w:sz w:val="24"/>
                <w:szCs w:val="24"/>
                <w:lang w:val="en-US" w:eastAsia="zh-CN"/>
              </w:rPr>
              <w:t>根据监测数据，生活污水污染物pH在7.1~7.2，化学需氧量排放浓度在179~196</w:t>
            </w:r>
            <w:r>
              <w:rPr>
                <w:rFonts w:hint="eastAsia"/>
                <w:color w:val="auto"/>
                <w:sz w:val="24"/>
                <w:lang w:val="en-US" w:eastAsia="zh-CN"/>
              </w:rPr>
              <w:t>mg/m</w:t>
            </w:r>
            <w:r>
              <w:rPr>
                <w:rFonts w:hint="eastAsia"/>
                <w:color w:val="auto"/>
                <w:sz w:val="24"/>
                <w:vertAlign w:val="superscript"/>
                <w:lang w:val="en-US" w:eastAsia="zh-CN"/>
              </w:rPr>
              <w:t>3</w:t>
            </w:r>
            <w:r>
              <w:rPr>
                <w:rFonts w:hint="eastAsia"/>
                <w:color w:val="auto"/>
                <w:sz w:val="24"/>
                <w:szCs w:val="24"/>
                <w:lang w:val="en-US" w:eastAsia="zh-CN"/>
              </w:rPr>
              <w:t>，悬浮物排放浓度在172~186</w:t>
            </w:r>
            <w:r>
              <w:rPr>
                <w:rFonts w:hint="eastAsia"/>
                <w:color w:val="auto"/>
                <w:sz w:val="24"/>
                <w:lang w:val="en-US" w:eastAsia="zh-CN"/>
              </w:rPr>
              <w:t>mg/m</w:t>
            </w:r>
            <w:r>
              <w:rPr>
                <w:rFonts w:hint="eastAsia"/>
                <w:color w:val="auto"/>
                <w:sz w:val="24"/>
                <w:vertAlign w:val="superscript"/>
                <w:lang w:val="en-US" w:eastAsia="zh-CN"/>
              </w:rPr>
              <w:t>3</w:t>
            </w:r>
            <w:r>
              <w:rPr>
                <w:rFonts w:hint="eastAsia"/>
                <w:color w:val="auto"/>
                <w:sz w:val="24"/>
                <w:szCs w:val="24"/>
                <w:lang w:val="en-US" w:eastAsia="zh-CN"/>
              </w:rPr>
              <w:t>，五日生化需氧量57.1~59.3</w:t>
            </w:r>
            <w:r>
              <w:rPr>
                <w:rFonts w:hint="eastAsia"/>
                <w:color w:val="auto"/>
                <w:sz w:val="24"/>
                <w:lang w:val="en-US" w:eastAsia="zh-CN"/>
              </w:rPr>
              <w:t>mg/m</w:t>
            </w:r>
            <w:r>
              <w:rPr>
                <w:rFonts w:hint="eastAsia"/>
                <w:color w:val="auto"/>
                <w:sz w:val="24"/>
                <w:vertAlign w:val="superscript"/>
                <w:lang w:val="en-US" w:eastAsia="zh-CN"/>
              </w:rPr>
              <w:t>3</w:t>
            </w:r>
            <w:r>
              <w:rPr>
                <w:rFonts w:hint="eastAsia"/>
                <w:color w:val="auto"/>
                <w:sz w:val="24"/>
                <w:szCs w:val="24"/>
                <w:lang w:val="en-US" w:eastAsia="zh-CN"/>
              </w:rPr>
              <w:t>，氨氮排放浓度在18.8~20.1</w:t>
            </w:r>
            <w:r>
              <w:rPr>
                <w:rFonts w:hint="eastAsia"/>
                <w:color w:val="auto"/>
                <w:sz w:val="24"/>
                <w:lang w:val="en-US" w:eastAsia="zh-CN"/>
              </w:rPr>
              <w:t>mg/m</w:t>
            </w:r>
            <w:r>
              <w:rPr>
                <w:rFonts w:hint="eastAsia"/>
                <w:color w:val="auto"/>
                <w:sz w:val="24"/>
                <w:vertAlign w:val="superscript"/>
                <w:lang w:val="en-US" w:eastAsia="zh-CN"/>
              </w:rPr>
              <w:t>3</w:t>
            </w:r>
            <w:r>
              <w:rPr>
                <w:color w:val="auto"/>
                <w:sz w:val="24"/>
                <w:szCs w:val="24"/>
              </w:rPr>
              <w:t>，</w:t>
            </w:r>
            <w:r>
              <w:rPr>
                <w:rFonts w:hint="eastAsia"/>
                <w:color w:val="auto"/>
                <w:sz w:val="24"/>
                <w:szCs w:val="24"/>
                <w:lang w:val="en-US" w:eastAsia="zh-CN"/>
              </w:rPr>
              <w:t>以上监测数据均满足</w:t>
            </w:r>
            <w:r>
              <w:rPr>
                <w:rFonts w:hint="eastAsia"/>
                <w:color w:val="auto"/>
                <w:spacing w:val="16"/>
                <w:sz w:val="24"/>
                <w:lang w:eastAsia="zh-CN"/>
              </w:rPr>
              <w:t>《污水综合排放标</w:t>
            </w:r>
            <w:r>
              <w:rPr>
                <w:rFonts w:hint="eastAsia"/>
                <w:color w:val="auto"/>
                <w:kern w:val="0"/>
                <w:sz w:val="24"/>
                <w:szCs w:val="28"/>
                <w:lang w:eastAsia="zh-CN"/>
              </w:rPr>
              <w:t>准》（GB8978-1996）中表</w:t>
            </w:r>
            <w:r>
              <w:rPr>
                <w:rFonts w:hint="eastAsia"/>
                <w:color w:val="auto"/>
                <w:kern w:val="0"/>
                <w:sz w:val="24"/>
                <w:szCs w:val="28"/>
                <w:lang w:val="en-US" w:eastAsia="zh-CN"/>
              </w:rPr>
              <w:t>4三级排放标准。</w:t>
            </w:r>
          </w:p>
          <w:p w14:paraId="28915DE3">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eastAsia"/>
                <w:color w:val="auto"/>
                <w:sz w:val="24"/>
              </w:rPr>
            </w:pPr>
            <w:r>
              <w:rPr>
                <w:rFonts w:hint="eastAsia"/>
                <w:color w:val="auto"/>
                <w:sz w:val="24"/>
              </w:rPr>
              <w:t>3、噪声</w:t>
            </w:r>
          </w:p>
          <w:p w14:paraId="3502C14A">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eastAsia"/>
                <w:color w:val="auto"/>
                <w:sz w:val="24"/>
              </w:rPr>
            </w:pPr>
            <w:r>
              <w:rPr>
                <w:rFonts w:hint="eastAsia"/>
                <w:color w:val="auto"/>
                <w:sz w:val="24"/>
              </w:rPr>
              <w:t>根据《</w:t>
            </w:r>
            <w:r>
              <w:rPr>
                <w:rFonts w:hint="eastAsia"/>
                <w:color w:val="auto"/>
                <w:sz w:val="24"/>
                <w:lang w:val="en-US" w:eastAsia="zh-CN"/>
              </w:rPr>
              <w:t>鸡西市海盛新能源材料有限公司检测报告—废气、噪声</w:t>
            </w:r>
            <w:r>
              <w:rPr>
                <w:rFonts w:hint="eastAsia"/>
                <w:color w:val="auto"/>
                <w:sz w:val="24"/>
              </w:rPr>
              <w:t>》（报告编号</w:t>
            </w:r>
            <w:r>
              <w:rPr>
                <w:rFonts w:hint="eastAsia"/>
                <w:color w:val="auto"/>
                <w:sz w:val="24"/>
                <w:lang w:eastAsia="zh-CN"/>
              </w:rPr>
              <w:t>：</w:t>
            </w:r>
            <w:r>
              <w:rPr>
                <w:rFonts w:hint="eastAsia"/>
                <w:color w:val="auto"/>
                <w:sz w:val="24"/>
              </w:rPr>
              <w:t>BRJYJC-2024-305），噪声监测点位</w:t>
            </w:r>
            <w:r>
              <w:rPr>
                <w:rFonts w:hint="eastAsia"/>
                <w:color w:val="auto"/>
                <w:sz w:val="24"/>
                <w:lang w:val="en-US" w:eastAsia="zh-CN"/>
              </w:rPr>
              <w:t>厂区</w:t>
            </w:r>
            <w:r>
              <w:rPr>
                <w:rFonts w:hint="eastAsia"/>
                <w:color w:val="auto"/>
                <w:sz w:val="24"/>
              </w:rPr>
              <w:t>东、南、西、北侧噪声昼间监测结果在</w:t>
            </w:r>
            <w:r>
              <w:rPr>
                <w:rFonts w:hint="eastAsia"/>
                <w:color w:val="auto"/>
                <w:sz w:val="24"/>
                <w:lang w:val="en-US" w:eastAsia="zh-CN"/>
              </w:rPr>
              <w:t>52~54</w:t>
            </w:r>
            <w:r>
              <w:rPr>
                <w:rFonts w:hint="eastAsia"/>
                <w:color w:val="auto"/>
                <w:sz w:val="24"/>
              </w:rPr>
              <w:t>dB(A)之间，夜间监测结果在</w:t>
            </w:r>
            <w:r>
              <w:rPr>
                <w:rFonts w:hint="eastAsia"/>
                <w:color w:val="auto"/>
                <w:sz w:val="24"/>
                <w:lang w:val="en-US" w:eastAsia="zh-CN"/>
              </w:rPr>
              <w:t>42~44</w:t>
            </w:r>
            <w:r>
              <w:rPr>
                <w:rFonts w:hint="eastAsia"/>
                <w:color w:val="auto"/>
                <w:sz w:val="24"/>
              </w:rPr>
              <w:t>dB(A)之间，</w:t>
            </w:r>
            <w:r>
              <w:rPr>
                <w:rFonts w:hint="eastAsia"/>
                <w:color w:val="auto"/>
                <w:sz w:val="24"/>
                <w:lang w:val="en-US" w:eastAsia="zh-CN"/>
              </w:rPr>
              <w:t>厂区噪声</w:t>
            </w:r>
            <w:r>
              <w:rPr>
                <w:rFonts w:hint="eastAsia"/>
                <w:color w:val="auto"/>
                <w:sz w:val="24"/>
              </w:rPr>
              <w:t>均符合《工业企业厂界环境噪声排放标准》(GB12348-2008)表1中的</w:t>
            </w:r>
            <w:r>
              <w:rPr>
                <w:rFonts w:hint="eastAsia"/>
                <w:color w:val="auto"/>
                <w:sz w:val="24"/>
                <w:lang w:val="en-US" w:eastAsia="zh-CN"/>
              </w:rPr>
              <w:t>2</w:t>
            </w:r>
            <w:r>
              <w:rPr>
                <w:rFonts w:hint="eastAsia"/>
                <w:color w:val="auto"/>
                <w:sz w:val="24"/>
              </w:rPr>
              <w:t>类标准要求。</w:t>
            </w:r>
          </w:p>
          <w:p w14:paraId="1BE4503A">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eastAsia"/>
                <w:color w:val="auto"/>
                <w:sz w:val="24"/>
              </w:rPr>
            </w:pPr>
            <w:r>
              <w:rPr>
                <w:rFonts w:hint="eastAsia"/>
                <w:color w:val="auto"/>
                <w:sz w:val="24"/>
              </w:rPr>
              <w:t>4、固体废物</w:t>
            </w:r>
          </w:p>
          <w:p w14:paraId="54FEDBFD">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eastAsia" w:eastAsia="宋体"/>
                <w:color w:val="auto"/>
                <w:sz w:val="24"/>
                <w:lang w:eastAsia="zh-CN"/>
              </w:rPr>
            </w:pPr>
            <w:r>
              <w:rPr>
                <w:rFonts w:hint="eastAsia" w:eastAsia="宋体"/>
                <w:color w:val="auto"/>
                <w:sz w:val="24"/>
                <w:szCs w:val="24"/>
                <w:lang w:val="en-US" w:eastAsia="zh-CN"/>
              </w:rPr>
              <w:t>生活垃圾</w:t>
            </w:r>
            <w:r>
              <w:rPr>
                <w:rFonts w:eastAsia="宋体"/>
                <w:color w:val="auto"/>
                <w:sz w:val="24"/>
                <w:szCs w:val="24"/>
              </w:rPr>
              <w:t>集中收集后，送至生活垃圾指定堆放点，由市政部门统一处理</w:t>
            </w:r>
            <w:r>
              <w:rPr>
                <w:rFonts w:hint="eastAsia" w:eastAsia="宋体"/>
                <w:color w:val="auto"/>
                <w:sz w:val="24"/>
                <w:szCs w:val="24"/>
                <w:lang w:eastAsia="zh-CN"/>
              </w:rPr>
              <w:t>；</w:t>
            </w:r>
            <w:r>
              <w:rPr>
                <w:rFonts w:hint="eastAsia" w:eastAsia="宋体"/>
                <w:color w:val="auto"/>
                <w:sz w:val="24"/>
                <w:szCs w:val="24"/>
                <w:lang w:val="en-US" w:eastAsia="zh-CN"/>
              </w:rPr>
              <w:t>项目布袋除尘器收尘灰集中收集</w:t>
            </w:r>
            <w:r>
              <w:rPr>
                <w:color w:val="auto"/>
                <w:sz w:val="24"/>
              </w:rPr>
              <w:t>全部作为产品外售</w:t>
            </w:r>
            <w:r>
              <w:rPr>
                <w:rFonts w:hint="eastAsia"/>
                <w:color w:val="auto"/>
                <w:sz w:val="24"/>
                <w:lang w:eastAsia="zh-CN"/>
              </w:rPr>
              <w:t>；</w:t>
            </w:r>
            <w:r>
              <w:rPr>
                <w:rFonts w:hint="eastAsia"/>
                <w:color w:val="auto"/>
                <w:sz w:val="24"/>
                <w:lang w:val="en-US" w:eastAsia="zh-CN"/>
              </w:rPr>
              <w:t>锅炉灰渣</w:t>
            </w:r>
            <w:r>
              <w:rPr>
                <w:color w:val="auto"/>
                <w:sz w:val="24"/>
              </w:rPr>
              <w:t>集中收集后，外售综合利用</w:t>
            </w:r>
            <w:r>
              <w:rPr>
                <w:rFonts w:hint="eastAsia" w:eastAsia="宋体"/>
                <w:color w:val="auto"/>
                <w:sz w:val="24"/>
                <w:szCs w:val="24"/>
                <w:lang w:val="en-US" w:eastAsia="zh-CN"/>
              </w:rPr>
              <w:t>，</w:t>
            </w:r>
            <w:r>
              <w:rPr>
                <w:rFonts w:hint="default" w:eastAsia="宋体"/>
                <w:color w:val="auto"/>
                <w:sz w:val="24"/>
                <w:szCs w:val="24"/>
                <w:lang w:val="en-US" w:eastAsia="zh-CN"/>
              </w:rPr>
              <w:t>废导热油每五年更换一次，建设单位委托有资质单位更换并带走处置，不在厂区内暂存</w:t>
            </w:r>
            <w:r>
              <w:rPr>
                <w:rFonts w:hint="eastAsia"/>
                <w:color w:val="auto"/>
                <w:sz w:val="24"/>
                <w:lang w:eastAsia="zh-CN"/>
              </w:rPr>
              <w:t>。</w:t>
            </w:r>
          </w:p>
          <w:p w14:paraId="1C02FE9C">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sz w:val="24"/>
                <w:lang w:val="en-US" w:eastAsia="zh-CN"/>
              </w:rPr>
            </w:pPr>
            <w:r>
              <w:rPr>
                <w:rFonts w:hint="eastAsia" w:cs="Times New Roman"/>
                <w:color w:val="auto"/>
                <w:sz w:val="24"/>
                <w:lang w:val="en-US" w:eastAsia="zh-CN"/>
              </w:rPr>
              <w:t>四</w:t>
            </w:r>
            <w:r>
              <w:rPr>
                <w:rFonts w:hint="eastAsia" w:ascii="Times New Roman" w:hAnsi="Times New Roman" w:eastAsia="宋体" w:cs="Times New Roman"/>
                <w:color w:val="auto"/>
                <w:sz w:val="24"/>
                <w:lang w:val="en-US" w:eastAsia="zh-CN"/>
              </w:rPr>
              <w:t>、现有工程污染物排放总量</w:t>
            </w:r>
          </w:p>
          <w:p w14:paraId="5622055D">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sz w:val="24"/>
                <w:lang w:val="en-US" w:eastAsia="zh-CN"/>
              </w:rPr>
            </w:pPr>
            <w:r>
              <w:rPr>
                <w:rFonts w:hint="eastAsia" w:cs="Times New Roman"/>
                <w:bCs/>
                <w:color w:val="auto"/>
                <w:sz w:val="24"/>
                <w:highlight w:val="none"/>
                <w:lang w:val="en-US" w:eastAsia="zh-CN"/>
              </w:rPr>
              <w:t>根据企业提供的</w:t>
            </w:r>
            <w:r>
              <w:rPr>
                <w:rFonts w:hint="eastAsia"/>
                <w:color w:val="auto"/>
                <w:sz w:val="24"/>
                <w:szCs w:val="21"/>
                <w:lang w:val="en-US" w:eastAsia="zh-CN"/>
              </w:rPr>
              <w:t>检测报告进行核算</w:t>
            </w:r>
            <w:r>
              <w:rPr>
                <w:rFonts w:hint="eastAsia" w:cs="Times New Roman"/>
                <w:bCs/>
                <w:color w:val="auto"/>
                <w:sz w:val="24"/>
                <w:highlight w:val="none"/>
                <w:lang w:val="en-US" w:eastAsia="zh-CN"/>
              </w:rPr>
              <w:t>可知，</w:t>
            </w:r>
            <w:r>
              <w:rPr>
                <w:rFonts w:hint="eastAsia"/>
                <w:color w:val="auto"/>
                <w:kern w:val="0"/>
                <w:sz w:val="24"/>
                <w:lang w:val="en-US" w:eastAsia="zh-CN"/>
              </w:rPr>
              <w:t>现有工程污染物排放总量见下表。</w:t>
            </w:r>
          </w:p>
          <w:p w14:paraId="0C3F16D4">
            <w:pPr>
              <w:adjustRightInd w:val="0"/>
              <w:snapToGrid w:val="0"/>
              <w:spacing w:line="240" w:lineRule="auto"/>
              <w:ind w:firstLine="422" w:firstLineChars="200"/>
              <w:jc w:val="center"/>
              <w:rPr>
                <w:rFonts w:hint="eastAsia"/>
                <w:b/>
                <w:bCs/>
                <w:color w:val="auto"/>
                <w:kern w:val="0"/>
                <w:sz w:val="21"/>
                <w:szCs w:val="21"/>
                <w:lang w:val="en-US" w:eastAsia="zh-CN"/>
              </w:rPr>
            </w:pPr>
            <w:r>
              <w:rPr>
                <w:rFonts w:hint="eastAsia"/>
                <w:b/>
                <w:bCs/>
                <w:color w:val="auto"/>
                <w:kern w:val="0"/>
                <w:sz w:val="21"/>
                <w:szCs w:val="21"/>
                <w:lang w:val="en-US" w:eastAsia="zh-CN"/>
              </w:rPr>
              <w:t>表2-9  污染物排放总量一览表</w:t>
            </w:r>
          </w:p>
          <w:tbl>
            <w:tblPr>
              <w:tblStyle w:val="4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08"/>
              <w:gridCol w:w="2708"/>
              <w:gridCol w:w="2708"/>
            </w:tblGrid>
            <w:tr w14:paraId="52C18E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66" w:type="pct"/>
                  <w:tcBorders>
                    <w:tl2br w:val="nil"/>
                    <w:tr2bl w:val="nil"/>
                  </w:tcBorders>
                  <w:vAlign w:val="center"/>
                </w:tcPr>
                <w:p w14:paraId="182278A7">
                  <w:pPr>
                    <w:adjustRightInd w:val="0"/>
                    <w:snapToGrid w:val="0"/>
                    <w:spacing w:line="240" w:lineRule="auto"/>
                    <w:jc w:val="center"/>
                    <w:rPr>
                      <w:rFonts w:hint="default" w:eastAsia="宋体"/>
                      <w:color w:val="auto"/>
                      <w:kern w:val="0"/>
                      <w:sz w:val="21"/>
                      <w:szCs w:val="21"/>
                      <w:vertAlign w:val="baseline"/>
                      <w:lang w:val="en-US" w:eastAsia="zh-CN"/>
                    </w:rPr>
                  </w:pPr>
                  <w:r>
                    <w:rPr>
                      <w:rFonts w:hint="eastAsia"/>
                      <w:color w:val="auto"/>
                      <w:kern w:val="0"/>
                      <w:sz w:val="21"/>
                      <w:szCs w:val="21"/>
                      <w:vertAlign w:val="baseline"/>
                      <w:lang w:val="en-US" w:eastAsia="zh-CN"/>
                    </w:rPr>
                    <w:t>污染因子</w:t>
                  </w:r>
                </w:p>
              </w:tc>
              <w:tc>
                <w:tcPr>
                  <w:tcW w:w="1666" w:type="pct"/>
                  <w:tcBorders>
                    <w:tl2br w:val="nil"/>
                    <w:tr2bl w:val="nil"/>
                  </w:tcBorders>
                  <w:vAlign w:val="center"/>
                </w:tcPr>
                <w:p w14:paraId="6DA40A42">
                  <w:pPr>
                    <w:adjustRightInd w:val="0"/>
                    <w:snapToGrid w:val="0"/>
                    <w:spacing w:line="240" w:lineRule="auto"/>
                    <w:jc w:val="center"/>
                    <w:rPr>
                      <w:rFonts w:hint="default" w:eastAsia="宋体"/>
                      <w:color w:val="auto"/>
                      <w:kern w:val="0"/>
                      <w:sz w:val="21"/>
                      <w:szCs w:val="21"/>
                      <w:vertAlign w:val="baseline"/>
                      <w:lang w:val="en-US" w:eastAsia="zh-CN"/>
                    </w:rPr>
                  </w:pPr>
                  <w:r>
                    <w:rPr>
                      <w:rFonts w:hint="eastAsia"/>
                      <w:color w:val="auto"/>
                      <w:kern w:val="0"/>
                      <w:sz w:val="21"/>
                      <w:szCs w:val="21"/>
                      <w:vertAlign w:val="baseline"/>
                      <w:lang w:val="en-US" w:eastAsia="zh-CN"/>
                    </w:rPr>
                    <w:t>实际排放量</w:t>
                  </w:r>
                </w:p>
              </w:tc>
              <w:tc>
                <w:tcPr>
                  <w:tcW w:w="1666" w:type="pct"/>
                  <w:tcBorders>
                    <w:tl2br w:val="nil"/>
                    <w:tr2bl w:val="nil"/>
                  </w:tcBorders>
                  <w:vAlign w:val="center"/>
                </w:tcPr>
                <w:p w14:paraId="6445F5EA">
                  <w:pPr>
                    <w:adjustRightInd w:val="0"/>
                    <w:snapToGrid w:val="0"/>
                    <w:spacing w:line="240" w:lineRule="auto"/>
                    <w:jc w:val="center"/>
                    <w:rPr>
                      <w:rFonts w:hint="default"/>
                      <w:color w:val="auto"/>
                      <w:kern w:val="0"/>
                      <w:sz w:val="21"/>
                      <w:szCs w:val="21"/>
                      <w:vertAlign w:val="baseline"/>
                      <w:lang w:val="en-US" w:eastAsia="zh-CN"/>
                    </w:rPr>
                  </w:pPr>
                  <w:r>
                    <w:rPr>
                      <w:rFonts w:hint="eastAsia"/>
                      <w:color w:val="auto"/>
                      <w:kern w:val="0"/>
                      <w:sz w:val="21"/>
                      <w:szCs w:val="21"/>
                      <w:vertAlign w:val="baseline"/>
                      <w:lang w:val="en-US" w:eastAsia="zh-CN"/>
                    </w:rPr>
                    <w:t>核定排放量</w:t>
                  </w:r>
                </w:p>
              </w:tc>
            </w:tr>
            <w:tr w14:paraId="176D6D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66" w:type="pct"/>
                  <w:tcBorders>
                    <w:tl2br w:val="nil"/>
                    <w:tr2bl w:val="nil"/>
                  </w:tcBorders>
                  <w:vAlign w:val="center"/>
                </w:tcPr>
                <w:p w14:paraId="7A914D2D">
                  <w:pPr>
                    <w:adjustRightInd w:val="0"/>
                    <w:snapToGrid w:val="0"/>
                    <w:spacing w:line="240" w:lineRule="auto"/>
                    <w:jc w:val="center"/>
                    <w:rPr>
                      <w:rFonts w:hint="default"/>
                      <w:color w:val="auto"/>
                      <w:kern w:val="0"/>
                      <w:sz w:val="21"/>
                      <w:szCs w:val="21"/>
                      <w:vertAlign w:val="baseline"/>
                      <w:lang w:val="en-US" w:eastAsia="zh-CN"/>
                    </w:rPr>
                  </w:pPr>
                  <w:r>
                    <w:rPr>
                      <w:rFonts w:hint="eastAsia"/>
                      <w:color w:val="auto"/>
                      <w:kern w:val="0"/>
                      <w:sz w:val="21"/>
                      <w:szCs w:val="21"/>
                      <w:vertAlign w:val="baseline"/>
                      <w:lang w:val="en-US" w:eastAsia="zh-CN"/>
                    </w:rPr>
                    <w:t>颗粒物</w:t>
                  </w:r>
                </w:p>
              </w:tc>
              <w:tc>
                <w:tcPr>
                  <w:tcW w:w="2708" w:type="dxa"/>
                  <w:tcBorders>
                    <w:tl2br w:val="nil"/>
                    <w:tr2bl w:val="nil"/>
                  </w:tcBorders>
                  <w:vAlign w:val="center"/>
                </w:tcPr>
                <w:p w14:paraId="5F5BCC75">
                  <w:pPr>
                    <w:widowControl/>
                    <w:adjustRightInd w:val="0"/>
                    <w:snapToGrid w:val="0"/>
                    <w:spacing w:line="240" w:lineRule="auto"/>
                    <w:jc w:val="center"/>
                    <w:rPr>
                      <w:rFonts w:hint="eastAsia"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0.318t/a</w:t>
                  </w:r>
                </w:p>
              </w:tc>
              <w:tc>
                <w:tcPr>
                  <w:tcW w:w="1666" w:type="pct"/>
                  <w:tcBorders>
                    <w:tl2br w:val="nil"/>
                    <w:tr2bl w:val="nil"/>
                  </w:tcBorders>
                  <w:shd w:val="clear" w:color="auto" w:fill="auto"/>
                  <w:vAlign w:val="center"/>
                </w:tcPr>
                <w:p w14:paraId="5360DE9E">
                  <w:pPr>
                    <w:pStyle w:val="10"/>
                    <w:adjustRightInd w:val="0"/>
                    <w:snapToGrid w:val="0"/>
                    <w:spacing w:after="0" w:line="240" w:lineRule="auto"/>
                    <w:ind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0.456</w:t>
                  </w:r>
                  <w:r>
                    <w:rPr>
                      <w:rFonts w:hint="eastAsia" w:cs="Times New Roman"/>
                      <w:b w:val="0"/>
                      <w:bCs w:val="0"/>
                      <w:color w:val="auto"/>
                      <w:kern w:val="0"/>
                      <w:sz w:val="21"/>
                      <w:szCs w:val="21"/>
                      <w:vertAlign w:val="baseline"/>
                      <w:lang w:val="en-US" w:eastAsia="zh-CN"/>
                    </w:rPr>
                    <w:t>t/a</w:t>
                  </w:r>
                </w:p>
              </w:tc>
            </w:tr>
            <w:tr w14:paraId="56642C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66" w:type="pct"/>
                  <w:tcBorders>
                    <w:tl2br w:val="nil"/>
                    <w:tr2bl w:val="nil"/>
                  </w:tcBorders>
                  <w:vAlign w:val="center"/>
                </w:tcPr>
                <w:p w14:paraId="471BD688">
                  <w:pPr>
                    <w:adjustRightInd w:val="0"/>
                    <w:snapToGrid w:val="0"/>
                    <w:spacing w:line="240" w:lineRule="auto"/>
                    <w:jc w:val="center"/>
                    <w:rPr>
                      <w:rFonts w:hint="default" w:eastAsia="宋体"/>
                      <w:color w:val="auto"/>
                      <w:kern w:val="0"/>
                      <w:sz w:val="21"/>
                      <w:szCs w:val="21"/>
                      <w:vertAlign w:val="baseline"/>
                      <w:lang w:val="en-US" w:eastAsia="zh-CN"/>
                    </w:rPr>
                  </w:pPr>
                  <w:r>
                    <w:rPr>
                      <w:rFonts w:hint="eastAsia"/>
                      <w:color w:val="auto"/>
                      <w:kern w:val="0"/>
                      <w:sz w:val="21"/>
                      <w:szCs w:val="21"/>
                      <w:vertAlign w:val="baseline"/>
                      <w:lang w:val="en-US" w:eastAsia="zh-CN"/>
                    </w:rPr>
                    <w:t>SO</w:t>
                  </w:r>
                  <w:r>
                    <w:rPr>
                      <w:rFonts w:hint="eastAsia"/>
                      <w:color w:val="auto"/>
                      <w:kern w:val="0"/>
                      <w:sz w:val="21"/>
                      <w:szCs w:val="21"/>
                      <w:vertAlign w:val="subscript"/>
                      <w:lang w:val="en-US" w:eastAsia="zh-CN"/>
                    </w:rPr>
                    <w:t>2</w:t>
                  </w:r>
                </w:p>
              </w:tc>
              <w:tc>
                <w:tcPr>
                  <w:tcW w:w="2708" w:type="dxa"/>
                  <w:tcBorders>
                    <w:tl2br w:val="nil"/>
                    <w:tr2bl w:val="nil"/>
                  </w:tcBorders>
                  <w:vAlign w:val="center"/>
                </w:tcPr>
                <w:p w14:paraId="2907332B">
                  <w:pPr>
                    <w:widowControl/>
                    <w:adjustRightInd w:val="0"/>
                    <w:snapToGrid w:val="0"/>
                    <w:spacing w:line="240" w:lineRule="auto"/>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0.535t/a</w:t>
                  </w:r>
                </w:p>
              </w:tc>
              <w:tc>
                <w:tcPr>
                  <w:tcW w:w="1666" w:type="pct"/>
                  <w:tcBorders>
                    <w:tl2br w:val="nil"/>
                    <w:tr2bl w:val="nil"/>
                  </w:tcBorders>
                  <w:shd w:val="clear" w:color="auto" w:fill="auto"/>
                  <w:vAlign w:val="center"/>
                </w:tcPr>
                <w:p w14:paraId="43E22A36">
                  <w:pPr>
                    <w:pStyle w:val="10"/>
                    <w:adjustRightInd w:val="0"/>
                    <w:snapToGrid w:val="0"/>
                    <w:spacing w:after="0" w:line="240" w:lineRule="auto"/>
                    <w:ind w:firstLine="0" w:firstLineChars="0"/>
                    <w:jc w:val="center"/>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cs="Times New Roman"/>
                      <w:b w:val="0"/>
                      <w:bCs w:val="0"/>
                      <w:color w:val="auto"/>
                      <w:kern w:val="0"/>
                      <w:sz w:val="21"/>
                      <w:szCs w:val="21"/>
                      <w:vertAlign w:val="baseline"/>
                      <w:lang w:val="en-US" w:eastAsia="zh-CN" w:bidi="ar-SA"/>
                    </w:rPr>
                    <w:t>2.186</w:t>
                  </w:r>
                  <w:r>
                    <w:rPr>
                      <w:rFonts w:hint="eastAsia" w:cs="Times New Roman"/>
                      <w:b w:val="0"/>
                      <w:bCs w:val="0"/>
                      <w:color w:val="auto"/>
                      <w:kern w:val="0"/>
                      <w:sz w:val="21"/>
                      <w:szCs w:val="21"/>
                      <w:vertAlign w:val="baseline"/>
                      <w:lang w:val="en-US" w:eastAsia="zh-CN"/>
                    </w:rPr>
                    <w:t>t/a</w:t>
                  </w:r>
                </w:p>
              </w:tc>
            </w:tr>
            <w:tr w14:paraId="650E25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66" w:type="pct"/>
                  <w:tcBorders>
                    <w:tl2br w:val="nil"/>
                    <w:tr2bl w:val="nil"/>
                  </w:tcBorders>
                  <w:shd w:val="clear" w:color="auto" w:fill="auto"/>
                  <w:vAlign w:val="center"/>
                </w:tcPr>
                <w:p w14:paraId="38DE77A3">
                  <w:pPr>
                    <w:adjustRightInd w:val="0"/>
                    <w:snapToGrid w:val="0"/>
                    <w:spacing w:line="240" w:lineRule="auto"/>
                    <w:jc w:val="center"/>
                    <w:rPr>
                      <w:rFonts w:hint="default" w:ascii="Times New Roman" w:hAnsi="Times New Roman" w:eastAsia="宋体" w:cs="Times New Roman"/>
                      <w:color w:val="auto"/>
                      <w:kern w:val="0"/>
                      <w:sz w:val="21"/>
                      <w:szCs w:val="21"/>
                      <w:vertAlign w:val="baseline"/>
                      <w:lang w:val="en-US" w:eastAsia="zh-CN" w:bidi="ar-SA"/>
                    </w:rPr>
                  </w:pPr>
                  <w:r>
                    <w:rPr>
                      <w:rFonts w:hint="eastAsia"/>
                      <w:color w:val="auto"/>
                      <w:kern w:val="0"/>
                      <w:sz w:val="21"/>
                      <w:szCs w:val="21"/>
                      <w:vertAlign w:val="baseline"/>
                      <w:lang w:val="en-US" w:eastAsia="zh-CN"/>
                    </w:rPr>
                    <w:t>NO</w:t>
                  </w:r>
                  <w:r>
                    <w:rPr>
                      <w:rFonts w:hint="eastAsia"/>
                      <w:color w:val="auto"/>
                      <w:kern w:val="0"/>
                      <w:sz w:val="21"/>
                      <w:szCs w:val="21"/>
                      <w:vertAlign w:val="subscript"/>
                      <w:lang w:val="en-US" w:eastAsia="zh-CN"/>
                    </w:rPr>
                    <w:t>x</w:t>
                  </w:r>
                </w:p>
              </w:tc>
              <w:tc>
                <w:tcPr>
                  <w:tcW w:w="2708" w:type="dxa"/>
                  <w:tcBorders>
                    <w:tl2br w:val="nil"/>
                    <w:tr2bl w:val="nil"/>
                  </w:tcBorders>
                  <w:shd w:val="clear" w:color="auto" w:fill="auto"/>
                  <w:vAlign w:val="center"/>
                </w:tcPr>
                <w:p w14:paraId="53903EB5">
                  <w:pPr>
                    <w:widowControl/>
                    <w:adjustRightInd w:val="0"/>
                    <w:snapToGrid w:val="0"/>
                    <w:spacing w:line="240" w:lineRule="auto"/>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2.005t/a</w:t>
                  </w:r>
                </w:p>
              </w:tc>
              <w:tc>
                <w:tcPr>
                  <w:tcW w:w="1666" w:type="pct"/>
                  <w:tcBorders>
                    <w:tl2br w:val="nil"/>
                    <w:tr2bl w:val="nil"/>
                  </w:tcBorders>
                  <w:shd w:val="clear" w:color="auto" w:fill="auto"/>
                  <w:vAlign w:val="center"/>
                </w:tcPr>
                <w:p w14:paraId="36A27953">
                  <w:pPr>
                    <w:pStyle w:val="10"/>
                    <w:adjustRightInd w:val="0"/>
                    <w:snapToGrid w:val="0"/>
                    <w:spacing w:after="0" w:line="240" w:lineRule="auto"/>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2.733</w:t>
                  </w:r>
                  <w:r>
                    <w:rPr>
                      <w:rFonts w:hint="eastAsia" w:cs="Times New Roman"/>
                      <w:b w:val="0"/>
                      <w:bCs w:val="0"/>
                      <w:color w:val="auto"/>
                      <w:kern w:val="0"/>
                      <w:sz w:val="21"/>
                      <w:szCs w:val="21"/>
                      <w:vertAlign w:val="baseline"/>
                      <w:lang w:val="en-US" w:eastAsia="zh-CN"/>
                    </w:rPr>
                    <w:t>t/a</w:t>
                  </w:r>
                </w:p>
              </w:tc>
            </w:tr>
            <w:tr w14:paraId="38BFE6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66" w:type="pct"/>
                  <w:tcBorders>
                    <w:tl2br w:val="nil"/>
                    <w:tr2bl w:val="nil"/>
                  </w:tcBorders>
                  <w:shd w:val="clear" w:color="auto" w:fill="auto"/>
                  <w:vAlign w:val="center"/>
                </w:tcPr>
                <w:p w14:paraId="724D888B">
                  <w:pPr>
                    <w:adjustRightInd w:val="0"/>
                    <w:snapToGrid w:val="0"/>
                    <w:spacing w:line="240" w:lineRule="auto"/>
                    <w:jc w:val="center"/>
                    <w:rPr>
                      <w:rFonts w:hint="default"/>
                      <w:color w:val="auto"/>
                      <w:kern w:val="0"/>
                      <w:sz w:val="21"/>
                      <w:szCs w:val="21"/>
                      <w:vertAlign w:val="baseline"/>
                      <w:lang w:val="en-US" w:eastAsia="zh-CN"/>
                    </w:rPr>
                  </w:pPr>
                  <w:r>
                    <w:rPr>
                      <w:rFonts w:hint="eastAsia"/>
                      <w:color w:val="auto"/>
                      <w:kern w:val="0"/>
                      <w:sz w:val="21"/>
                      <w:szCs w:val="21"/>
                      <w:vertAlign w:val="baseline"/>
                      <w:lang w:val="en-US" w:eastAsia="zh-CN"/>
                    </w:rPr>
                    <w:t>工业粉尘</w:t>
                  </w:r>
                </w:p>
              </w:tc>
              <w:tc>
                <w:tcPr>
                  <w:tcW w:w="1666" w:type="pct"/>
                  <w:tcBorders>
                    <w:tl2br w:val="nil"/>
                    <w:tr2bl w:val="nil"/>
                  </w:tcBorders>
                  <w:shd w:val="clear" w:color="auto" w:fill="auto"/>
                  <w:vAlign w:val="center"/>
                </w:tcPr>
                <w:p w14:paraId="3ED6C9D0">
                  <w:pPr>
                    <w:widowControl/>
                    <w:adjustRightInd w:val="0"/>
                    <w:snapToGrid w:val="0"/>
                    <w:spacing w:line="240" w:lineRule="auto"/>
                    <w:jc w:val="center"/>
                    <w:rPr>
                      <w:rFonts w:hint="default" w:cs="Times New Roman"/>
                      <w:b w:val="0"/>
                      <w:bCs w:val="0"/>
                      <w:color w:val="auto"/>
                      <w:kern w:val="0"/>
                      <w:sz w:val="21"/>
                      <w:szCs w:val="21"/>
                      <w:vertAlign w:val="baseline"/>
                      <w:lang w:val="en-US" w:eastAsia="zh-CN"/>
                    </w:rPr>
                  </w:pPr>
                  <w:r>
                    <w:rPr>
                      <w:rFonts w:hint="default" w:cs="Times New Roman"/>
                      <w:b w:val="0"/>
                      <w:bCs w:val="0"/>
                      <w:color w:val="auto"/>
                      <w:kern w:val="0"/>
                      <w:sz w:val="21"/>
                      <w:szCs w:val="21"/>
                      <w:vertAlign w:val="baseline"/>
                      <w:lang w:val="en-US" w:eastAsia="zh-CN"/>
                    </w:rPr>
                    <w:t>1.4875</w:t>
                  </w:r>
                  <w:r>
                    <w:rPr>
                      <w:rFonts w:hint="eastAsia" w:cs="Times New Roman"/>
                      <w:b w:val="0"/>
                      <w:bCs w:val="0"/>
                      <w:color w:val="auto"/>
                      <w:kern w:val="0"/>
                      <w:sz w:val="21"/>
                      <w:szCs w:val="21"/>
                      <w:vertAlign w:val="baseline"/>
                      <w:lang w:val="en-US" w:eastAsia="zh-CN"/>
                    </w:rPr>
                    <w:t>t/a</w:t>
                  </w:r>
                </w:p>
              </w:tc>
              <w:tc>
                <w:tcPr>
                  <w:tcW w:w="1666" w:type="pct"/>
                  <w:tcBorders>
                    <w:tl2br w:val="nil"/>
                    <w:tr2bl w:val="nil"/>
                  </w:tcBorders>
                  <w:shd w:val="clear" w:color="auto" w:fill="auto"/>
                  <w:vAlign w:val="center"/>
                </w:tcPr>
                <w:p w14:paraId="154C149D">
                  <w:pPr>
                    <w:pStyle w:val="10"/>
                    <w:adjustRightInd w:val="0"/>
                    <w:snapToGrid w:val="0"/>
                    <w:spacing w:after="0" w:line="240" w:lineRule="auto"/>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s="Times New Roman"/>
                      <w:b w:val="0"/>
                      <w:bCs w:val="0"/>
                      <w:color w:val="auto"/>
                      <w:kern w:val="0"/>
                      <w:sz w:val="21"/>
                      <w:szCs w:val="21"/>
                      <w:vertAlign w:val="baseline"/>
                      <w:lang w:val="en-US" w:eastAsia="zh-CN"/>
                    </w:rPr>
                    <w:t>1.4875</w:t>
                  </w:r>
                  <w:r>
                    <w:rPr>
                      <w:rFonts w:hint="eastAsia" w:cs="Times New Roman"/>
                      <w:b w:val="0"/>
                      <w:bCs w:val="0"/>
                      <w:color w:val="auto"/>
                      <w:kern w:val="0"/>
                      <w:sz w:val="21"/>
                      <w:szCs w:val="21"/>
                      <w:vertAlign w:val="baseline"/>
                      <w:lang w:val="en-US" w:eastAsia="zh-CN"/>
                    </w:rPr>
                    <w:t>t/a</w:t>
                  </w:r>
                </w:p>
              </w:tc>
            </w:tr>
            <w:tr w14:paraId="596999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66" w:type="pct"/>
                  <w:tcBorders>
                    <w:tl2br w:val="nil"/>
                    <w:tr2bl w:val="nil"/>
                  </w:tcBorders>
                  <w:shd w:val="clear" w:color="auto" w:fill="auto"/>
                  <w:vAlign w:val="center"/>
                </w:tcPr>
                <w:p w14:paraId="01E06A4C">
                  <w:pPr>
                    <w:adjustRightInd w:val="0"/>
                    <w:snapToGrid w:val="0"/>
                    <w:spacing w:line="240" w:lineRule="auto"/>
                    <w:jc w:val="center"/>
                    <w:rPr>
                      <w:rFonts w:hint="default" w:ascii="Times New Roman" w:hAnsi="Times New Roman" w:cs="Times New Roman"/>
                      <w:color w:val="auto"/>
                      <w:kern w:val="0"/>
                      <w:sz w:val="21"/>
                      <w:szCs w:val="21"/>
                      <w:vertAlign w:val="baseline"/>
                      <w:lang w:val="en-US" w:eastAsia="zh-CN"/>
                    </w:rPr>
                  </w:pPr>
                  <w:r>
                    <w:rPr>
                      <w:rFonts w:hint="eastAsia" w:ascii="Times New Roman" w:hAnsi="Times New Roman" w:cs="Times New Roman"/>
                      <w:color w:val="auto"/>
                      <w:kern w:val="0"/>
                      <w:sz w:val="21"/>
                      <w:szCs w:val="21"/>
                      <w:vertAlign w:val="baseline"/>
                      <w:lang w:val="en-US" w:eastAsia="zh-CN"/>
                    </w:rPr>
                    <w:t>COD</w:t>
                  </w:r>
                </w:p>
              </w:tc>
              <w:tc>
                <w:tcPr>
                  <w:tcW w:w="1666" w:type="pct"/>
                  <w:tcBorders>
                    <w:tl2br w:val="nil"/>
                    <w:tr2bl w:val="nil"/>
                  </w:tcBorders>
                  <w:shd w:val="clear" w:color="auto" w:fill="auto"/>
                  <w:vAlign w:val="center"/>
                </w:tcPr>
                <w:p w14:paraId="1D41F996">
                  <w:pPr>
                    <w:adjustRightInd w:val="0"/>
                    <w:snapToGrid w:val="0"/>
                    <w:spacing w:line="240" w:lineRule="auto"/>
                    <w:jc w:val="center"/>
                    <w:rPr>
                      <w:rFonts w:hint="default" w:ascii="Times New Roman" w:hAnsi="Times New Roman" w:cs="Times New Roman"/>
                      <w:color w:val="auto"/>
                      <w:kern w:val="0"/>
                      <w:sz w:val="21"/>
                      <w:szCs w:val="21"/>
                      <w:vertAlign w:val="baseline"/>
                      <w:lang w:val="en-US" w:eastAsia="zh-CN"/>
                    </w:rPr>
                  </w:pPr>
                  <w:r>
                    <w:rPr>
                      <w:rFonts w:hint="eastAsia" w:ascii="Times New Roman" w:hAnsi="Times New Roman" w:cs="Times New Roman"/>
                      <w:color w:val="auto"/>
                      <w:kern w:val="0"/>
                      <w:sz w:val="21"/>
                      <w:szCs w:val="21"/>
                      <w:vertAlign w:val="baseline"/>
                      <w:lang w:val="en-US" w:eastAsia="zh-CN"/>
                    </w:rPr>
                    <w:t>0.0058t/a</w:t>
                  </w:r>
                </w:p>
              </w:tc>
              <w:tc>
                <w:tcPr>
                  <w:tcW w:w="1666" w:type="pct"/>
                  <w:tcBorders>
                    <w:tl2br w:val="nil"/>
                    <w:tr2bl w:val="nil"/>
                  </w:tcBorders>
                  <w:shd w:val="clear" w:color="auto" w:fill="auto"/>
                  <w:vAlign w:val="center"/>
                </w:tcPr>
                <w:p w14:paraId="4105D12A">
                  <w:pPr>
                    <w:pStyle w:val="10"/>
                    <w:adjustRightInd w:val="0"/>
                    <w:snapToGrid w:val="0"/>
                    <w:spacing w:after="0" w:line="240" w:lineRule="auto"/>
                    <w:ind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0.048t/a</w:t>
                  </w:r>
                </w:p>
              </w:tc>
            </w:tr>
            <w:tr w14:paraId="05C89F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66" w:type="pct"/>
                  <w:tcBorders>
                    <w:tl2br w:val="nil"/>
                    <w:tr2bl w:val="nil"/>
                  </w:tcBorders>
                  <w:shd w:val="clear" w:color="auto" w:fill="auto"/>
                  <w:vAlign w:val="center"/>
                </w:tcPr>
                <w:p w14:paraId="65CFCC50">
                  <w:pPr>
                    <w:adjustRightInd w:val="0"/>
                    <w:snapToGrid w:val="0"/>
                    <w:spacing w:line="240" w:lineRule="auto"/>
                    <w:jc w:val="center"/>
                    <w:rPr>
                      <w:rFonts w:hint="default" w:ascii="Times New Roman" w:hAnsi="Times New Roman" w:cs="Times New Roman"/>
                      <w:color w:val="auto"/>
                      <w:kern w:val="0"/>
                      <w:sz w:val="21"/>
                      <w:szCs w:val="21"/>
                      <w:vertAlign w:val="baseline"/>
                      <w:lang w:val="en-US" w:eastAsia="zh-CN"/>
                    </w:rPr>
                  </w:pPr>
                  <w:r>
                    <w:rPr>
                      <w:rFonts w:hint="eastAsia" w:ascii="Times New Roman" w:hAnsi="Times New Roman" w:cs="Times New Roman"/>
                      <w:color w:val="auto"/>
                      <w:kern w:val="0"/>
                      <w:sz w:val="21"/>
                      <w:szCs w:val="21"/>
                      <w:vertAlign w:val="baseline"/>
                      <w:lang w:val="en-US" w:eastAsia="zh-CN"/>
                    </w:rPr>
                    <w:t>氨氮</w:t>
                  </w:r>
                </w:p>
              </w:tc>
              <w:tc>
                <w:tcPr>
                  <w:tcW w:w="1666" w:type="pct"/>
                  <w:tcBorders>
                    <w:tl2br w:val="nil"/>
                    <w:tr2bl w:val="nil"/>
                  </w:tcBorders>
                  <w:shd w:val="clear" w:color="auto" w:fill="auto"/>
                  <w:vAlign w:val="center"/>
                </w:tcPr>
                <w:p w14:paraId="4FB25F90">
                  <w:pPr>
                    <w:adjustRightInd w:val="0"/>
                    <w:snapToGrid w:val="0"/>
                    <w:spacing w:line="240" w:lineRule="auto"/>
                    <w:jc w:val="center"/>
                    <w:rPr>
                      <w:rFonts w:hint="default" w:ascii="Times New Roman" w:hAnsi="Times New Roman" w:cs="Times New Roman"/>
                      <w:color w:val="auto"/>
                      <w:kern w:val="0"/>
                      <w:sz w:val="21"/>
                      <w:szCs w:val="21"/>
                      <w:vertAlign w:val="baseline"/>
                      <w:lang w:val="en-US" w:eastAsia="zh-CN"/>
                    </w:rPr>
                  </w:pPr>
                  <w:r>
                    <w:rPr>
                      <w:rFonts w:hint="eastAsia" w:ascii="Times New Roman" w:hAnsi="Times New Roman" w:cs="Times New Roman"/>
                      <w:color w:val="auto"/>
                      <w:kern w:val="0"/>
                      <w:sz w:val="21"/>
                      <w:szCs w:val="21"/>
                      <w:vertAlign w:val="baseline"/>
                      <w:lang w:val="en-US" w:eastAsia="zh-CN"/>
                    </w:rPr>
                    <w:t>0.0014t/a</w:t>
                  </w:r>
                </w:p>
              </w:tc>
              <w:tc>
                <w:tcPr>
                  <w:tcW w:w="1666" w:type="pct"/>
                  <w:tcBorders>
                    <w:tl2br w:val="nil"/>
                    <w:tr2bl w:val="nil"/>
                  </w:tcBorders>
                  <w:shd w:val="clear" w:color="auto" w:fill="auto"/>
                  <w:vAlign w:val="center"/>
                </w:tcPr>
                <w:p w14:paraId="5877A15D">
                  <w:pPr>
                    <w:pStyle w:val="10"/>
                    <w:adjustRightInd w:val="0"/>
                    <w:snapToGrid w:val="0"/>
                    <w:spacing w:after="0" w:line="240" w:lineRule="auto"/>
                    <w:ind w:firstLine="0" w:firstLineChars="0"/>
                    <w:jc w:val="center"/>
                    <w:rPr>
                      <w:rFonts w:hint="default" w:cs="Times New Roman"/>
                      <w:b w:val="0"/>
                      <w:bCs w:val="0"/>
                      <w:color w:val="auto"/>
                      <w:kern w:val="0"/>
                      <w:sz w:val="21"/>
                      <w:szCs w:val="21"/>
                      <w:vertAlign w:val="baseline"/>
                      <w:lang w:val="en-US" w:eastAsia="zh-CN"/>
                    </w:rPr>
                  </w:pPr>
                  <w:r>
                    <w:rPr>
                      <w:rFonts w:hint="eastAsia" w:ascii="Times New Roman" w:hAnsi="Times New Roman" w:cs="Times New Roman"/>
                      <w:color w:val="auto"/>
                      <w:kern w:val="0"/>
                      <w:sz w:val="21"/>
                      <w:szCs w:val="21"/>
                      <w:vertAlign w:val="baseline"/>
                      <w:lang w:val="en-US" w:eastAsia="zh-CN"/>
                    </w:rPr>
                    <w:t>0.0014t/a</w:t>
                  </w:r>
                </w:p>
              </w:tc>
            </w:tr>
            <w:tr w14:paraId="0AFAA2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66" w:type="pct"/>
                  <w:tcBorders>
                    <w:tl2br w:val="nil"/>
                    <w:tr2bl w:val="nil"/>
                  </w:tcBorders>
                  <w:shd w:val="clear" w:color="auto" w:fill="auto"/>
                  <w:vAlign w:val="center"/>
                </w:tcPr>
                <w:p w14:paraId="4EA9C2EF">
                  <w:pPr>
                    <w:spacing w:line="240" w:lineRule="auto"/>
                    <w:jc w:val="center"/>
                    <w:rPr>
                      <w:rFonts w:hint="default"/>
                      <w:color w:val="auto"/>
                      <w:kern w:val="0"/>
                      <w:sz w:val="21"/>
                      <w:szCs w:val="21"/>
                      <w:vertAlign w:val="baseline"/>
                      <w:lang w:val="en-US" w:eastAsia="zh-CN"/>
                    </w:rPr>
                  </w:pPr>
                  <w:r>
                    <w:rPr>
                      <w:color w:val="auto"/>
                      <w:kern w:val="0"/>
                      <w:szCs w:val="21"/>
                    </w:rPr>
                    <w:t>生活垃圾</w:t>
                  </w:r>
                </w:p>
              </w:tc>
              <w:tc>
                <w:tcPr>
                  <w:tcW w:w="1666" w:type="pct"/>
                  <w:tcBorders>
                    <w:tl2br w:val="nil"/>
                    <w:tr2bl w:val="nil"/>
                  </w:tcBorders>
                  <w:shd w:val="clear" w:color="auto" w:fill="auto"/>
                  <w:vAlign w:val="center"/>
                </w:tcPr>
                <w:p w14:paraId="684E93EA">
                  <w:pPr>
                    <w:widowControl/>
                    <w:adjustRightInd w:val="0"/>
                    <w:snapToGrid w:val="0"/>
                    <w:spacing w:line="240" w:lineRule="auto"/>
                    <w:jc w:val="center"/>
                    <w:rPr>
                      <w:rFonts w:hint="default" w:ascii="Times New Roman" w:hAnsi="Times New Roman" w:eastAsia="宋体"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1.2t/a</w:t>
                  </w:r>
                </w:p>
              </w:tc>
              <w:tc>
                <w:tcPr>
                  <w:tcW w:w="1666" w:type="pct"/>
                  <w:tcBorders>
                    <w:tl2br w:val="nil"/>
                    <w:tr2bl w:val="nil"/>
                  </w:tcBorders>
                  <w:shd w:val="clear" w:color="auto" w:fill="auto"/>
                  <w:vAlign w:val="center"/>
                </w:tcPr>
                <w:p w14:paraId="45A4848C">
                  <w:pPr>
                    <w:pStyle w:val="10"/>
                    <w:adjustRightInd w:val="0"/>
                    <w:snapToGrid w:val="0"/>
                    <w:spacing w:after="0" w:line="240" w:lineRule="auto"/>
                    <w:ind w:firstLine="0" w:firstLineChars="0"/>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w:t>
                  </w:r>
                </w:p>
              </w:tc>
            </w:tr>
            <w:tr w14:paraId="7A5EB7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66" w:type="pct"/>
                  <w:tcBorders>
                    <w:tl2br w:val="nil"/>
                    <w:tr2bl w:val="nil"/>
                  </w:tcBorders>
                  <w:shd w:val="clear" w:color="auto" w:fill="auto"/>
                  <w:vAlign w:val="center"/>
                </w:tcPr>
                <w:p w14:paraId="163BE129">
                  <w:pPr>
                    <w:spacing w:line="240" w:lineRule="auto"/>
                    <w:jc w:val="center"/>
                    <w:rPr>
                      <w:rFonts w:hint="default" w:eastAsia="宋体"/>
                      <w:color w:val="auto"/>
                      <w:kern w:val="0"/>
                      <w:sz w:val="21"/>
                      <w:szCs w:val="21"/>
                      <w:vertAlign w:val="baseline"/>
                      <w:lang w:val="en-US" w:eastAsia="zh-CN"/>
                    </w:rPr>
                  </w:pPr>
                  <w:r>
                    <w:rPr>
                      <w:rFonts w:hint="eastAsia"/>
                      <w:color w:val="auto"/>
                      <w:spacing w:val="12"/>
                      <w:szCs w:val="21"/>
                      <w:lang w:val="en-US" w:eastAsia="zh-CN"/>
                    </w:rPr>
                    <w:t>收集粉尘</w:t>
                  </w:r>
                </w:p>
              </w:tc>
              <w:tc>
                <w:tcPr>
                  <w:tcW w:w="1666" w:type="pct"/>
                  <w:tcBorders>
                    <w:tl2br w:val="nil"/>
                    <w:tr2bl w:val="nil"/>
                  </w:tcBorders>
                  <w:shd w:val="clear" w:color="auto" w:fill="auto"/>
                  <w:vAlign w:val="center"/>
                </w:tcPr>
                <w:p w14:paraId="22B12C55">
                  <w:pPr>
                    <w:widowControl/>
                    <w:adjustRightInd w:val="0"/>
                    <w:snapToGrid w:val="0"/>
                    <w:spacing w:line="240" w:lineRule="auto"/>
                    <w:jc w:val="center"/>
                    <w:rPr>
                      <w:rFonts w:hint="eastAsia" w:eastAsia="宋体" w:cs="Times New Roman"/>
                      <w:b w:val="0"/>
                      <w:bCs w:val="0"/>
                      <w:color w:val="auto"/>
                      <w:kern w:val="0"/>
                      <w:sz w:val="21"/>
                      <w:szCs w:val="21"/>
                      <w:vertAlign w:val="baseline"/>
                      <w:lang w:val="en-US" w:eastAsia="zh-CN"/>
                    </w:rPr>
                  </w:pPr>
                  <w:r>
                    <w:rPr>
                      <w:rFonts w:hint="eastAsia" w:eastAsia="宋体" w:cs="Times New Roman"/>
                      <w:b w:val="0"/>
                      <w:bCs w:val="0"/>
                      <w:color w:val="auto"/>
                      <w:kern w:val="0"/>
                      <w:sz w:val="21"/>
                      <w:szCs w:val="21"/>
                      <w:vertAlign w:val="baseline"/>
                      <w:lang w:val="en-US" w:eastAsia="zh-CN"/>
                    </w:rPr>
                    <w:t>23.5125t/a</w:t>
                  </w:r>
                </w:p>
              </w:tc>
              <w:tc>
                <w:tcPr>
                  <w:tcW w:w="1666" w:type="pct"/>
                  <w:tcBorders>
                    <w:tl2br w:val="nil"/>
                    <w:tr2bl w:val="nil"/>
                  </w:tcBorders>
                  <w:shd w:val="clear" w:color="auto" w:fill="auto"/>
                  <w:vAlign w:val="center"/>
                </w:tcPr>
                <w:p w14:paraId="5ACCCF8E">
                  <w:pPr>
                    <w:widowControl/>
                    <w:adjustRightInd w:val="0"/>
                    <w:snapToGrid w:val="0"/>
                    <w:spacing w:line="240" w:lineRule="auto"/>
                    <w:jc w:val="center"/>
                    <w:rPr>
                      <w:rFonts w:hint="default" w:eastAsia="宋体"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w:t>
                  </w:r>
                </w:p>
              </w:tc>
            </w:tr>
            <w:tr w14:paraId="10B11D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66" w:type="pct"/>
                  <w:tcBorders>
                    <w:tl2br w:val="nil"/>
                    <w:tr2bl w:val="nil"/>
                  </w:tcBorders>
                  <w:shd w:val="clear" w:color="auto" w:fill="auto"/>
                  <w:vAlign w:val="center"/>
                </w:tcPr>
                <w:p w14:paraId="52F36998">
                  <w:pPr>
                    <w:adjustRightInd w:val="0"/>
                    <w:snapToGrid w:val="0"/>
                    <w:spacing w:line="240" w:lineRule="auto"/>
                    <w:jc w:val="center"/>
                    <w:rPr>
                      <w:rFonts w:hint="default" w:ascii="Times New Roman" w:hAnsi="Times New Roman" w:eastAsia="宋体" w:cs="Times New Roman"/>
                      <w:color w:val="auto"/>
                      <w:kern w:val="0"/>
                      <w:sz w:val="21"/>
                      <w:szCs w:val="21"/>
                      <w:vertAlign w:val="baseline"/>
                      <w:lang w:val="en-US" w:eastAsia="zh-CN" w:bidi="ar-SA"/>
                    </w:rPr>
                  </w:pPr>
                  <w:r>
                    <w:rPr>
                      <w:color w:val="auto"/>
                      <w:szCs w:val="21"/>
                    </w:rPr>
                    <w:t>燃生物质灰渣</w:t>
                  </w:r>
                </w:p>
              </w:tc>
              <w:tc>
                <w:tcPr>
                  <w:tcW w:w="1666" w:type="pct"/>
                  <w:tcBorders>
                    <w:tl2br w:val="nil"/>
                    <w:tr2bl w:val="nil"/>
                  </w:tcBorders>
                  <w:shd w:val="clear" w:color="auto" w:fill="auto"/>
                  <w:vAlign w:val="center"/>
                </w:tcPr>
                <w:p w14:paraId="3B9C9121">
                  <w:pPr>
                    <w:widowControl/>
                    <w:adjustRightInd w:val="0"/>
                    <w:snapToGrid w:val="0"/>
                    <w:spacing w:line="240" w:lineRule="auto"/>
                    <w:jc w:val="center"/>
                    <w:rPr>
                      <w:rFonts w:hint="default" w:eastAsia="宋体" w:cs="Times New Roman"/>
                      <w:b w:val="0"/>
                      <w:bCs w:val="0"/>
                      <w:color w:val="auto"/>
                      <w:kern w:val="0"/>
                      <w:sz w:val="21"/>
                      <w:szCs w:val="21"/>
                      <w:vertAlign w:val="baseline"/>
                      <w:lang w:val="en-US" w:eastAsia="zh-CN"/>
                    </w:rPr>
                  </w:pPr>
                  <w:r>
                    <w:rPr>
                      <w:rFonts w:hint="eastAsia" w:eastAsia="宋体" w:cs="Times New Roman"/>
                      <w:b w:val="0"/>
                      <w:bCs w:val="0"/>
                      <w:color w:val="auto"/>
                      <w:kern w:val="0"/>
                      <w:sz w:val="21"/>
                      <w:szCs w:val="21"/>
                      <w:vertAlign w:val="baseline"/>
                      <w:lang w:val="en-US" w:eastAsia="zh-CN"/>
                    </w:rPr>
                    <w:t>79.76</w:t>
                  </w:r>
                  <w:r>
                    <w:rPr>
                      <w:rFonts w:hint="eastAsia" w:cs="Times New Roman"/>
                      <w:b w:val="0"/>
                      <w:bCs w:val="0"/>
                      <w:color w:val="auto"/>
                      <w:kern w:val="0"/>
                      <w:sz w:val="21"/>
                      <w:szCs w:val="21"/>
                      <w:vertAlign w:val="baseline"/>
                      <w:lang w:val="en-US" w:eastAsia="zh-CN"/>
                    </w:rPr>
                    <w:t>1</w:t>
                  </w:r>
                  <w:r>
                    <w:rPr>
                      <w:rFonts w:hint="eastAsia" w:eastAsia="宋体" w:cs="Times New Roman"/>
                      <w:b w:val="0"/>
                      <w:bCs w:val="0"/>
                      <w:color w:val="auto"/>
                      <w:kern w:val="0"/>
                      <w:sz w:val="21"/>
                      <w:szCs w:val="21"/>
                      <w:vertAlign w:val="baseline"/>
                      <w:lang w:val="en-US" w:eastAsia="zh-CN"/>
                    </w:rPr>
                    <w:t>t/a</w:t>
                  </w:r>
                </w:p>
              </w:tc>
              <w:tc>
                <w:tcPr>
                  <w:tcW w:w="1666" w:type="pct"/>
                  <w:tcBorders>
                    <w:tl2br w:val="nil"/>
                    <w:tr2bl w:val="nil"/>
                  </w:tcBorders>
                  <w:shd w:val="clear" w:color="auto" w:fill="auto"/>
                  <w:vAlign w:val="center"/>
                </w:tcPr>
                <w:p w14:paraId="4E5B8A0F">
                  <w:pPr>
                    <w:widowControl/>
                    <w:adjustRightInd w:val="0"/>
                    <w:snapToGrid w:val="0"/>
                    <w:spacing w:line="240" w:lineRule="auto"/>
                    <w:jc w:val="center"/>
                    <w:rPr>
                      <w:rFonts w:hint="default" w:eastAsia="宋体"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w:t>
                  </w:r>
                </w:p>
              </w:tc>
            </w:tr>
            <w:tr w14:paraId="0F35EF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66" w:type="pct"/>
                  <w:tcBorders>
                    <w:tl2br w:val="nil"/>
                    <w:tr2bl w:val="nil"/>
                  </w:tcBorders>
                  <w:shd w:val="clear" w:color="auto" w:fill="auto"/>
                  <w:vAlign w:val="center"/>
                </w:tcPr>
                <w:p w14:paraId="36EFCE90">
                  <w:pPr>
                    <w:adjustRightInd w:val="0"/>
                    <w:snapToGrid w:val="0"/>
                    <w:spacing w:line="240" w:lineRule="auto"/>
                    <w:jc w:val="center"/>
                    <w:rPr>
                      <w:rFonts w:hint="default" w:eastAsia="宋体"/>
                      <w:color w:val="auto"/>
                      <w:szCs w:val="21"/>
                      <w:lang w:val="en-US" w:eastAsia="zh-CN"/>
                    </w:rPr>
                  </w:pPr>
                  <w:r>
                    <w:rPr>
                      <w:rFonts w:hint="eastAsia"/>
                      <w:color w:val="auto"/>
                      <w:szCs w:val="21"/>
                      <w:lang w:val="en-US" w:eastAsia="zh-CN"/>
                    </w:rPr>
                    <w:t>废布袋</w:t>
                  </w:r>
                </w:p>
              </w:tc>
              <w:tc>
                <w:tcPr>
                  <w:tcW w:w="1666" w:type="pct"/>
                  <w:tcBorders>
                    <w:tl2br w:val="nil"/>
                    <w:tr2bl w:val="nil"/>
                  </w:tcBorders>
                  <w:shd w:val="clear" w:color="auto" w:fill="auto"/>
                  <w:vAlign w:val="center"/>
                </w:tcPr>
                <w:p w14:paraId="61DF9054">
                  <w:pPr>
                    <w:widowControl/>
                    <w:adjustRightInd w:val="0"/>
                    <w:snapToGrid w:val="0"/>
                    <w:spacing w:line="240" w:lineRule="auto"/>
                    <w:jc w:val="center"/>
                    <w:rPr>
                      <w:rFonts w:hint="default" w:eastAsia="宋体"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0.1t/2a</w:t>
                  </w:r>
                </w:p>
              </w:tc>
              <w:tc>
                <w:tcPr>
                  <w:tcW w:w="1666" w:type="pct"/>
                  <w:tcBorders>
                    <w:tl2br w:val="nil"/>
                    <w:tr2bl w:val="nil"/>
                  </w:tcBorders>
                  <w:shd w:val="clear" w:color="auto" w:fill="auto"/>
                  <w:vAlign w:val="center"/>
                </w:tcPr>
                <w:p w14:paraId="5673536B">
                  <w:pPr>
                    <w:widowControl/>
                    <w:adjustRightInd w:val="0"/>
                    <w:snapToGrid w:val="0"/>
                    <w:spacing w:line="240" w:lineRule="auto"/>
                    <w:jc w:val="center"/>
                    <w:rPr>
                      <w:rFonts w:hint="eastAsia"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w:t>
                  </w:r>
                </w:p>
              </w:tc>
            </w:tr>
            <w:tr w14:paraId="2DBE4A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66" w:type="pct"/>
                  <w:tcBorders>
                    <w:tl2br w:val="nil"/>
                    <w:tr2bl w:val="nil"/>
                  </w:tcBorders>
                  <w:shd w:val="clear" w:color="auto" w:fill="auto"/>
                  <w:vAlign w:val="center"/>
                </w:tcPr>
                <w:p w14:paraId="7297481D">
                  <w:pPr>
                    <w:adjustRightInd w:val="0"/>
                    <w:snapToGrid w:val="0"/>
                    <w:spacing w:line="240" w:lineRule="auto"/>
                    <w:jc w:val="center"/>
                    <w:rPr>
                      <w:rFonts w:hint="default"/>
                      <w:color w:val="auto"/>
                      <w:szCs w:val="21"/>
                      <w:lang w:val="en-US" w:eastAsia="zh-CN"/>
                    </w:rPr>
                  </w:pPr>
                  <w:r>
                    <w:rPr>
                      <w:rFonts w:hint="eastAsia"/>
                      <w:color w:val="auto"/>
                      <w:szCs w:val="21"/>
                      <w:lang w:val="en-US" w:eastAsia="zh-CN"/>
                    </w:rPr>
                    <w:t>废导热油</w:t>
                  </w:r>
                </w:p>
              </w:tc>
              <w:tc>
                <w:tcPr>
                  <w:tcW w:w="1666" w:type="pct"/>
                  <w:tcBorders>
                    <w:tl2br w:val="nil"/>
                    <w:tr2bl w:val="nil"/>
                  </w:tcBorders>
                  <w:shd w:val="clear" w:color="auto" w:fill="auto"/>
                  <w:vAlign w:val="center"/>
                </w:tcPr>
                <w:p w14:paraId="6C6AE56A">
                  <w:pPr>
                    <w:widowControl/>
                    <w:adjustRightInd w:val="0"/>
                    <w:snapToGrid w:val="0"/>
                    <w:spacing w:line="240" w:lineRule="auto"/>
                    <w:jc w:val="center"/>
                    <w:rPr>
                      <w:rFonts w:hint="default"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3.5t/5a</w:t>
                  </w:r>
                </w:p>
              </w:tc>
              <w:tc>
                <w:tcPr>
                  <w:tcW w:w="1666" w:type="pct"/>
                  <w:tcBorders>
                    <w:tl2br w:val="nil"/>
                    <w:tr2bl w:val="nil"/>
                  </w:tcBorders>
                  <w:shd w:val="clear" w:color="auto" w:fill="auto"/>
                  <w:vAlign w:val="center"/>
                </w:tcPr>
                <w:p w14:paraId="4BA2FA16">
                  <w:pPr>
                    <w:widowControl/>
                    <w:adjustRightInd w:val="0"/>
                    <w:snapToGrid w:val="0"/>
                    <w:spacing w:line="240" w:lineRule="auto"/>
                    <w:jc w:val="center"/>
                    <w:rPr>
                      <w:rFonts w:hint="eastAsia" w:cs="Times New Roman"/>
                      <w:b w:val="0"/>
                      <w:bCs w:val="0"/>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w:t>
                  </w:r>
                </w:p>
              </w:tc>
            </w:tr>
          </w:tbl>
          <w:p w14:paraId="4C856678">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eastAsia"/>
                <w:color w:val="auto"/>
                <w:sz w:val="24"/>
              </w:rPr>
            </w:pPr>
            <w:r>
              <w:rPr>
                <w:rFonts w:hint="eastAsia"/>
                <w:color w:val="auto"/>
                <w:sz w:val="24"/>
                <w:lang w:val="en-US" w:eastAsia="zh-CN"/>
              </w:rPr>
              <w:t>五</w:t>
            </w:r>
            <w:r>
              <w:rPr>
                <w:rFonts w:hint="eastAsia"/>
                <w:color w:val="auto"/>
                <w:sz w:val="24"/>
              </w:rPr>
              <w:t>、现有工程存在的环境问题</w:t>
            </w:r>
          </w:p>
          <w:p w14:paraId="0C1D1CE1">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eastAsia"/>
                <w:color w:val="auto"/>
                <w:sz w:val="24"/>
                <w:lang w:val="en-US" w:eastAsia="zh-CN"/>
              </w:rPr>
            </w:pPr>
            <w:r>
              <w:rPr>
                <w:rFonts w:hint="eastAsia"/>
                <w:color w:val="auto"/>
                <w:sz w:val="24"/>
                <w:lang w:val="en-US" w:eastAsia="zh-CN"/>
              </w:rPr>
              <w:t>1、现有环境问题</w:t>
            </w:r>
          </w:p>
          <w:p w14:paraId="3070ADC8">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default"/>
                <w:color w:val="auto"/>
                <w:sz w:val="24"/>
                <w:lang w:val="en-US" w:eastAsia="zh-CN"/>
              </w:rPr>
            </w:pPr>
            <w:r>
              <w:rPr>
                <w:rFonts w:hint="default" w:ascii="Times New Roman" w:hAnsi="Times New Roman" w:eastAsia="宋体" w:cs="Times New Roman"/>
                <w:color w:val="auto"/>
                <w:kern w:val="2"/>
                <w:sz w:val="24"/>
                <w:szCs w:val="32"/>
                <w:highlight w:val="none"/>
                <w:lang w:val="en-US" w:eastAsia="zh-CN" w:bidi="ar-SA"/>
              </w:rPr>
              <w:t>根据调查，未发现环境投诉等问题，</w:t>
            </w:r>
            <w:r>
              <w:rPr>
                <w:rFonts w:hint="eastAsia" w:ascii="Times New Roman" w:hAnsi="Times New Roman" w:eastAsia="宋体" w:cs="Times New Roman"/>
                <w:color w:val="auto"/>
                <w:kern w:val="2"/>
                <w:sz w:val="24"/>
                <w:szCs w:val="32"/>
                <w:highlight w:val="none"/>
                <w:lang w:val="en-US" w:eastAsia="zh-CN" w:bidi="ar-SA"/>
              </w:rPr>
              <w:t>现有环境问题如下：</w:t>
            </w:r>
          </w:p>
          <w:p w14:paraId="4E812E6A">
            <w:pPr>
              <w:pStyle w:val="207"/>
              <w:keepNext w:val="0"/>
              <w:keepLines w:val="0"/>
              <w:pageBreakBefore w:val="0"/>
              <w:widowControl w:val="0"/>
              <w:numPr>
                <w:ilvl w:val="0"/>
                <w:numId w:val="3"/>
              </w:numPr>
              <w:kinsoku/>
              <w:overflowPunct/>
              <w:topLinePunct w:val="0"/>
              <w:autoSpaceDE/>
              <w:autoSpaceDN/>
              <w:bidi w:val="0"/>
              <w:adjustRightInd/>
              <w:snapToGrid/>
              <w:spacing w:line="360" w:lineRule="auto"/>
              <w:ind w:firstLine="480"/>
              <w:textAlignment w:val="auto"/>
              <w:rPr>
                <w:rFonts w:hint="eastAsia"/>
                <w:color w:val="auto"/>
                <w:sz w:val="24"/>
                <w:lang w:val="en-US" w:eastAsia="zh-CN"/>
              </w:rPr>
            </w:pPr>
            <w:r>
              <w:rPr>
                <w:rFonts w:hint="eastAsia"/>
                <w:color w:val="auto"/>
                <w:sz w:val="24"/>
                <w:lang w:val="en-US" w:eastAsia="zh-CN"/>
              </w:rPr>
              <w:t>厂内</w:t>
            </w:r>
            <w:r>
              <w:rPr>
                <w:rFonts w:hint="eastAsia"/>
                <w:color w:val="auto"/>
                <w:spacing w:val="4"/>
                <w:sz w:val="24"/>
                <w:lang w:val="en-US" w:eastAsia="zh-CN"/>
              </w:rPr>
              <w:t>1</w:t>
            </w:r>
            <w:r>
              <w:rPr>
                <w:rFonts w:hint="eastAsia"/>
                <w:color w:val="auto"/>
                <w:spacing w:val="4"/>
                <w:sz w:val="24"/>
              </w:rPr>
              <w:t>台20万大卡</w:t>
            </w:r>
            <w:r>
              <w:rPr>
                <w:rFonts w:hint="eastAsia"/>
                <w:color w:val="auto"/>
                <w:spacing w:val="4"/>
                <w:sz w:val="24"/>
                <w:lang w:val="en-US" w:eastAsia="zh-CN"/>
              </w:rPr>
              <w:t>燃生物质</w:t>
            </w:r>
            <w:r>
              <w:rPr>
                <w:rFonts w:hint="eastAsia"/>
                <w:color w:val="auto"/>
                <w:spacing w:val="4"/>
                <w:sz w:val="24"/>
              </w:rPr>
              <w:t>导热油炉</w:t>
            </w:r>
            <w:r>
              <w:rPr>
                <w:rFonts w:hint="eastAsia"/>
                <w:color w:val="auto"/>
                <w:spacing w:val="4"/>
                <w:sz w:val="24"/>
                <w:lang w:val="en-US" w:eastAsia="zh-CN"/>
              </w:rPr>
              <w:t>和</w:t>
            </w:r>
            <w:r>
              <w:rPr>
                <w:rFonts w:hint="eastAsia"/>
                <w:color w:val="auto"/>
                <w:spacing w:val="4"/>
                <w:sz w:val="24"/>
              </w:rPr>
              <w:t>1台</w:t>
            </w:r>
            <w:r>
              <w:rPr>
                <w:rFonts w:hint="eastAsia"/>
                <w:color w:val="auto"/>
                <w:spacing w:val="4"/>
                <w:sz w:val="24"/>
                <w:lang w:val="en-US" w:eastAsia="zh-CN"/>
              </w:rPr>
              <w:t>3</w:t>
            </w:r>
            <w:r>
              <w:rPr>
                <w:rFonts w:hint="eastAsia"/>
                <w:color w:val="auto"/>
                <w:spacing w:val="4"/>
                <w:sz w:val="24"/>
              </w:rPr>
              <w:t>0万大卡</w:t>
            </w:r>
            <w:r>
              <w:rPr>
                <w:rFonts w:hint="eastAsia"/>
                <w:color w:val="auto"/>
                <w:spacing w:val="4"/>
                <w:sz w:val="24"/>
                <w:lang w:val="en-US" w:eastAsia="zh-CN"/>
              </w:rPr>
              <w:t>燃生物质</w:t>
            </w:r>
            <w:r>
              <w:rPr>
                <w:rFonts w:hint="eastAsia"/>
                <w:color w:val="auto"/>
                <w:spacing w:val="4"/>
                <w:sz w:val="24"/>
              </w:rPr>
              <w:t>导热油炉</w:t>
            </w:r>
            <w:r>
              <w:rPr>
                <w:rFonts w:hint="eastAsia"/>
                <w:color w:val="auto"/>
                <w:sz w:val="24"/>
                <w:lang w:val="en-US" w:eastAsia="zh-CN"/>
              </w:rPr>
              <w:t>已被列入《产业结构调整指导目录（2024年本）》中的淘汰类；</w:t>
            </w:r>
          </w:p>
          <w:p w14:paraId="17250566">
            <w:pPr>
              <w:pStyle w:val="207"/>
              <w:keepNext w:val="0"/>
              <w:keepLines w:val="0"/>
              <w:pageBreakBefore w:val="0"/>
              <w:widowControl w:val="0"/>
              <w:numPr>
                <w:ilvl w:val="0"/>
                <w:numId w:val="3"/>
              </w:numPr>
              <w:kinsoku/>
              <w:overflowPunct/>
              <w:topLinePunct w:val="0"/>
              <w:autoSpaceDE/>
              <w:autoSpaceDN/>
              <w:bidi w:val="0"/>
              <w:adjustRightInd/>
              <w:snapToGrid/>
              <w:spacing w:line="360" w:lineRule="auto"/>
              <w:ind w:firstLine="480"/>
              <w:textAlignment w:val="auto"/>
              <w:rPr>
                <w:rFonts w:hint="eastAsia"/>
                <w:color w:val="auto"/>
                <w:sz w:val="24"/>
                <w:lang w:val="en-US" w:eastAsia="zh-CN"/>
              </w:rPr>
            </w:pPr>
            <w:r>
              <w:rPr>
                <w:rFonts w:hint="eastAsia"/>
                <w:color w:val="auto"/>
                <w:sz w:val="24"/>
                <w:lang w:val="en-US" w:eastAsia="zh-CN"/>
              </w:rPr>
              <w:t>突发环境事件应急预案备案已过期；</w:t>
            </w:r>
          </w:p>
          <w:p w14:paraId="72627DD8">
            <w:pPr>
              <w:pStyle w:val="207"/>
              <w:keepNext w:val="0"/>
              <w:keepLines w:val="0"/>
              <w:pageBreakBefore w:val="0"/>
              <w:widowControl w:val="0"/>
              <w:numPr>
                <w:ilvl w:val="0"/>
                <w:numId w:val="3"/>
              </w:numPr>
              <w:kinsoku/>
              <w:overflowPunct/>
              <w:topLinePunct w:val="0"/>
              <w:autoSpaceDE/>
              <w:autoSpaceDN/>
              <w:bidi w:val="0"/>
              <w:adjustRightInd/>
              <w:snapToGrid/>
              <w:spacing w:line="360" w:lineRule="auto"/>
              <w:ind w:firstLine="480"/>
              <w:textAlignment w:val="auto"/>
              <w:rPr>
                <w:rFonts w:hint="eastAsia"/>
                <w:color w:val="auto"/>
                <w:sz w:val="24"/>
                <w:lang w:val="en-US" w:eastAsia="zh-CN"/>
              </w:rPr>
            </w:pPr>
            <w:r>
              <w:rPr>
                <w:rFonts w:hint="eastAsia"/>
                <w:color w:val="auto"/>
                <w:sz w:val="24"/>
                <w:lang w:val="en-US" w:eastAsia="zh-CN"/>
              </w:rPr>
              <w:t>未建设规范的危险废物贮存设施，危险废物未按照《危险废物贮存污染控制标准》（GB18597-2023）及相关环保管理要求进行规范贮存和处置。</w:t>
            </w:r>
          </w:p>
          <w:p w14:paraId="123A64FF">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default" w:eastAsia="宋体"/>
                <w:color w:val="auto"/>
                <w:sz w:val="24"/>
                <w:lang w:val="en-US" w:eastAsia="zh-CN"/>
              </w:rPr>
            </w:pPr>
            <w:r>
              <w:rPr>
                <w:rFonts w:hint="eastAsia"/>
                <w:color w:val="auto"/>
                <w:sz w:val="24"/>
                <w:lang w:val="en-US" w:eastAsia="zh-CN"/>
              </w:rPr>
              <w:t>2、整改措施</w:t>
            </w:r>
          </w:p>
          <w:p w14:paraId="2C784A2D">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eastAsia" w:eastAsia="宋体"/>
                <w:color w:val="auto"/>
                <w:sz w:val="24"/>
                <w:lang w:val="en-US" w:eastAsia="zh-CN"/>
              </w:rPr>
            </w:pPr>
            <w:r>
              <w:rPr>
                <w:rFonts w:hint="eastAsia"/>
                <w:color w:val="auto"/>
                <w:sz w:val="24"/>
                <w:lang w:val="en-US" w:eastAsia="zh-CN"/>
              </w:rPr>
              <w:t>（1）淘汰</w:t>
            </w:r>
            <w:r>
              <w:rPr>
                <w:rFonts w:hint="eastAsia"/>
                <w:color w:val="auto"/>
                <w:spacing w:val="4"/>
                <w:sz w:val="24"/>
                <w:lang w:val="en-US" w:eastAsia="zh-CN"/>
              </w:rPr>
              <w:t>1</w:t>
            </w:r>
            <w:r>
              <w:rPr>
                <w:rFonts w:hint="eastAsia"/>
                <w:color w:val="auto"/>
                <w:spacing w:val="4"/>
                <w:sz w:val="24"/>
              </w:rPr>
              <w:t>台20万大卡</w:t>
            </w:r>
            <w:r>
              <w:rPr>
                <w:rFonts w:hint="eastAsia"/>
                <w:color w:val="auto"/>
                <w:spacing w:val="4"/>
                <w:sz w:val="24"/>
                <w:lang w:val="en-US" w:eastAsia="zh-CN"/>
              </w:rPr>
              <w:t>燃生物质</w:t>
            </w:r>
            <w:r>
              <w:rPr>
                <w:rFonts w:hint="eastAsia"/>
                <w:color w:val="auto"/>
                <w:spacing w:val="4"/>
                <w:sz w:val="24"/>
              </w:rPr>
              <w:t>导热油炉</w:t>
            </w:r>
            <w:r>
              <w:rPr>
                <w:rFonts w:hint="eastAsia"/>
                <w:color w:val="auto"/>
                <w:spacing w:val="4"/>
                <w:sz w:val="24"/>
                <w:lang w:val="en-US" w:eastAsia="zh-CN"/>
              </w:rPr>
              <w:t>和</w:t>
            </w:r>
            <w:r>
              <w:rPr>
                <w:rFonts w:hint="eastAsia"/>
                <w:color w:val="auto"/>
                <w:spacing w:val="4"/>
                <w:sz w:val="24"/>
              </w:rPr>
              <w:t>1台</w:t>
            </w:r>
            <w:r>
              <w:rPr>
                <w:rFonts w:hint="eastAsia"/>
                <w:color w:val="auto"/>
                <w:spacing w:val="4"/>
                <w:sz w:val="24"/>
                <w:lang w:val="en-US" w:eastAsia="zh-CN"/>
              </w:rPr>
              <w:t>3</w:t>
            </w:r>
            <w:r>
              <w:rPr>
                <w:rFonts w:hint="eastAsia"/>
                <w:color w:val="auto"/>
                <w:spacing w:val="4"/>
                <w:sz w:val="24"/>
              </w:rPr>
              <w:t>0万大卡</w:t>
            </w:r>
            <w:r>
              <w:rPr>
                <w:rFonts w:hint="eastAsia"/>
                <w:color w:val="auto"/>
                <w:spacing w:val="4"/>
                <w:sz w:val="24"/>
                <w:lang w:val="en-US" w:eastAsia="zh-CN"/>
              </w:rPr>
              <w:t>燃生物质</w:t>
            </w:r>
            <w:r>
              <w:rPr>
                <w:rFonts w:hint="eastAsia"/>
                <w:color w:val="auto"/>
                <w:spacing w:val="4"/>
                <w:sz w:val="24"/>
              </w:rPr>
              <w:t>导热油炉并替换为1台</w:t>
            </w:r>
            <w:r>
              <w:rPr>
                <w:rFonts w:hint="eastAsia"/>
                <w:color w:val="auto"/>
                <w:spacing w:val="4"/>
                <w:sz w:val="24"/>
                <w:lang w:val="en-US" w:eastAsia="zh-CN"/>
              </w:rPr>
              <w:t>1800KW燃生物质</w:t>
            </w:r>
            <w:r>
              <w:rPr>
                <w:rFonts w:hint="eastAsia"/>
                <w:color w:val="auto"/>
                <w:spacing w:val="4"/>
                <w:sz w:val="24"/>
              </w:rPr>
              <w:t>导热油炉</w:t>
            </w:r>
            <w:r>
              <w:rPr>
                <w:rFonts w:hint="eastAsia"/>
                <w:color w:val="auto"/>
                <w:spacing w:val="4"/>
                <w:sz w:val="24"/>
                <w:lang w:eastAsia="zh-CN"/>
              </w:rPr>
              <w:t>；</w:t>
            </w:r>
          </w:p>
          <w:p w14:paraId="5985DB99">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（2）尽快办理突发环境事件应急预案并到当地环保部门进行备案。</w:t>
            </w:r>
          </w:p>
          <w:p w14:paraId="65BCE9A3">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（3）整改措施为规范建设危废贮存设施，分类贮存危废并委托有资质单位处置，执行转移联单制度。</w:t>
            </w:r>
          </w:p>
          <w:p w14:paraId="77F37D81">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sz w:val="24"/>
                <w:lang w:val="en-US" w:eastAsia="zh-CN"/>
              </w:rPr>
            </w:pPr>
          </w:p>
          <w:p w14:paraId="294C6EA8">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sz w:val="24"/>
                <w:lang w:val="en-US" w:eastAsia="zh-CN"/>
              </w:rPr>
            </w:pPr>
          </w:p>
          <w:p w14:paraId="6505834A">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sz w:val="24"/>
                <w:lang w:val="en-US" w:eastAsia="zh-CN"/>
              </w:rPr>
            </w:pPr>
          </w:p>
          <w:p w14:paraId="16D6FF0E">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default"/>
                <w:color w:val="auto"/>
                <w:sz w:val="24"/>
                <w:lang w:val="en-US" w:eastAsia="zh-CN"/>
              </w:rPr>
            </w:pPr>
          </w:p>
          <w:p w14:paraId="156E39F9">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default"/>
                <w:color w:val="auto"/>
                <w:sz w:val="24"/>
                <w:lang w:val="en-US" w:eastAsia="zh-CN"/>
              </w:rPr>
            </w:pPr>
          </w:p>
          <w:p w14:paraId="5FA287EE">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default"/>
                <w:color w:val="auto"/>
                <w:sz w:val="24"/>
                <w:lang w:val="en-US" w:eastAsia="zh-CN"/>
              </w:rPr>
            </w:pPr>
          </w:p>
          <w:p w14:paraId="6BA3B9E9">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default"/>
                <w:color w:val="auto"/>
                <w:sz w:val="24"/>
                <w:lang w:val="en-US" w:eastAsia="zh-CN"/>
              </w:rPr>
            </w:pPr>
          </w:p>
          <w:p w14:paraId="3E297C3E">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default"/>
                <w:color w:val="auto"/>
                <w:sz w:val="24"/>
                <w:lang w:val="en-US" w:eastAsia="zh-CN"/>
              </w:rPr>
            </w:pPr>
          </w:p>
          <w:p w14:paraId="737CC420">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default"/>
                <w:color w:val="auto"/>
                <w:sz w:val="24"/>
                <w:lang w:val="en-US" w:eastAsia="zh-CN"/>
              </w:rPr>
            </w:pPr>
          </w:p>
          <w:p w14:paraId="11834C55">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default"/>
                <w:color w:val="auto"/>
                <w:sz w:val="24"/>
                <w:lang w:val="en-US" w:eastAsia="zh-CN"/>
              </w:rPr>
            </w:pPr>
          </w:p>
          <w:p w14:paraId="6B41F3CA">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default"/>
                <w:color w:val="auto"/>
                <w:sz w:val="24"/>
                <w:lang w:val="en-US" w:eastAsia="zh-CN"/>
              </w:rPr>
            </w:pPr>
          </w:p>
          <w:p w14:paraId="09833281">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default"/>
                <w:color w:val="auto"/>
                <w:sz w:val="24"/>
                <w:lang w:val="en-US" w:eastAsia="zh-CN"/>
              </w:rPr>
            </w:pPr>
          </w:p>
          <w:p w14:paraId="0F2FB975">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default"/>
                <w:color w:val="auto"/>
                <w:sz w:val="24"/>
                <w:lang w:val="en-US" w:eastAsia="zh-CN"/>
              </w:rPr>
            </w:pPr>
          </w:p>
          <w:p w14:paraId="7C9CC58C">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default"/>
                <w:color w:val="auto"/>
                <w:sz w:val="24"/>
                <w:lang w:val="en-US" w:eastAsia="zh-CN"/>
              </w:rPr>
            </w:pPr>
          </w:p>
          <w:p w14:paraId="3BCD5381">
            <w:pPr>
              <w:pStyle w:val="207"/>
              <w:keepNext w:val="0"/>
              <w:keepLines w:val="0"/>
              <w:pageBreakBefore w:val="0"/>
              <w:widowControl w:val="0"/>
              <w:kinsoku/>
              <w:overflowPunct/>
              <w:topLinePunct w:val="0"/>
              <w:autoSpaceDE/>
              <w:autoSpaceDN/>
              <w:bidi w:val="0"/>
              <w:adjustRightInd/>
              <w:snapToGrid/>
              <w:spacing w:line="360" w:lineRule="auto"/>
              <w:ind w:firstLine="480"/>
              <w:textAlignment w:val="auto"/>
              <w:rPr>
                <w:rFonts w:hint="default"/>
                <w:color w:val="auto"/>
                <w:sz w:val="24"/>
                <w:lang w:val="en-US" w:eastAsia="zh-CN"/>
              </w:rPr>
            </w:pPr>
          </w:p>
          <w:p w14:paraId="01CB7274">
            <w:pPr>
              <w:pStyle w:val="207"/>
              <w:keepNext w:val="0"/>
              <w:keepLines w:val="0"/>
              <w:pageBreakBefore w:val="0"/>
              <w:widowControl w:val="0"/>
              <w:kinsoku/>
              <w:overflowPunct/>
              <w:topLinePunct w:val="0"/>
              <w:autoSpaceDE/>
              <w:autoSpaceDN/>
              <w:bidi w:val="0"/>
              <w:adjustRightInd/>
              <w:snapToGrid/>
              <w:spacing w:line="360" w:lineRule="auto"/>
              <w:ind w:left="0" w:leftChars="0" w:firstLine="0" w:firstLineChars="0"/>
              <w:textAlignment w:val="auto"/>
              <w:rPr>
                <w:color w:val="auto"/>
              </w:rPr>
            </w:pPr>
          </w:p>
        </w:tc>
      </w:tr>
    </w:tbl>
    <w:p w14:paraId="007F540D">
      <w:pPr>
        <w:pStyle w:val="16"/>
        <w:jc w:val="both"/>
        <w:rPr>
          <w:rFonts w:ascii="Times New Roman" w:hAnsi="Times New Roman"/>
          <w:snapToGrid w:val="0"/>
          <w:color w:val="auto"/>
          <w:sz w:val="36"/>
          <w:szCs w:val="36"/>
        </w:rPr>
        <w:sectPr>
          <w:footerReference r:id="rId6" w:type="default"/>
          <w:pgSz w:w="11906" w:h="16838"/>
          <w:pgMar w:top="1701" w:right="1531" w:bottom="1701" w:left="1531" w:header="1247" w:footer="1247" w:gutter="0"/>
          <w:pgBorders>
            <w:top w:val="none" w:sz="0" w:space="0"/>
            <w:left w:val="none" w:sz="0" w:space="0"/>
            <w:bottom w:val="none" w:sz="0" w:space="0"/>
            <w:right w:val="none" w:sz="0" w:space="0"/>
          </w:pgBorders>
          <w:cols w:space="720" w:num="1"/>
          <w:docGrid w:linePitch="312" w:charSpace="0"/>
        </w:sectPr>
      </w:pPr>
    </w:p>
    <w:p w14:paraId="2AB9CDAE">
      <w:pPr>
        <w:pStyle w:val="16"/>
        <w:outlineLvl w:val="0"/>
        <w:rPr>
          <w:rFonts w:ascii="Times New Roman" w:hAnsi="Times New Roman"/>
          <w:snapToGrid w:val="0"/>
          <w:color w:val="auto"/>
          <w:sz w:val="30"/>
          <w:szCs w:val="30"/>
        </w:rPr>
      </w:pPr>
      <w:bookmarkStart w:id="10" w:name="_Toc73523371"/>
      <w:r>
        <w:rPr>
          <w:rFonts w:hint="eastAsia" w:ascii="Times New Roman" w:hAnsi="Times New Roman"/>
          <w:snapToGrid w:val="0"/>
          <w:color w:val="auto"/>
          <w:sz w:val="30"/>
          <w:szCs w:val="30"/>
        </w:rPr>
        <w:t>三、区域环境质量现状、环境保护目标及评价标准</w:t>
      </w:r>
      <w:bookmarkEnd w:id="10"/>
    </w:p>
    <w:tbl>
      <w:tblPr>
        <w:tblStyle w:val="3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94"/>
        <w:gridCol w:w="8367"/>
      </w:tblGrid>
      <w:tr w14:paraId="51ECE4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84" w:hRule="atLeast"/>
          <w:jc w:val="center"/>
        </w:trPr>
        <w:tc>
          <w:tcPr>
            <w:tcW w:w="694" w:type="dxa"/>
            <w:vAlign w:val="center"/>
          </w:tcPr>
          <w:p w14:paraId="57E9FA04">
            <w:pPr>
              <w:adjustRightInd w:val="0"/>
              <w:snapToGrid w:val="0"/>
              <w:jc w:val="center"/>
              <w:rPr>
                <w:rFonts w:cs="宋体"/>
                <w:color w:val="auto"/>
                <w:kern w:val="0"/>
                <w:szCs w:val="21"/>
              </w:rPr>
            </w:pPr>
            <w:r>
              <w:rPr>
                <w:b/>
                <w:color w:val="auto"/>
                <w:kern w:val="0"/>
                <w:szCs w:val="21"/>
              </w:rPr>
              <w:t>区域环境质量现状</w:t>
            </w:r>
          </w:p>
        </w:tc>
        <w:tc>
          <w:tcPr>
            <w:tcW w:w="8367" w:type="dxa"/>
          </w:tcPr>
          <w:p w14:paraId="512C9824">
            <w:pPr>
              <w:snapToGrid w:val="0"/>
              <w:spacing w:line="360" w:lineRule="auto"/>
              <w:ind w:firstLine="482" w:firstLineChars="200"/>
              <w:rPr>
                <w:b/>
                <w:color w:val="auto"/>
                <w:sz w:val="24"/>
              </w:rPr>
            </w:pPr>
            <w:r>
              <w:rPr>
                <w:rFonts w:hint="eastAsia"/>
                <w:b/>
                <w:color w:val="auto"/>
                <w:sz w:val="24"/>
              </w:rPr>
              <w:t>1、环境空气</w:t>
            </w:r>
          </w:p>
          <w:p w14:paraId="13666F2C">
            <w:pPr>
              <w:snapToGrid w:val="0"/>
              <w:spacing w:line="360" w:lineRule="auto"/>
              <w:ind w:firstLine="480" w:firstLineChars="200"/>
              <w:rPr>
                <w:color w:val="auto"/>
                <w:kern w:val="0"/>
                <w:sz w:val="24"/>
              </w:rPr>
            </w:pPr>
            <w:r>
              <w:rPr>
                <w:rFonts w:hint="eastAsia"/>
                <w:color w:val="auto"/>
                <w:kern w:val="0"/>
                <w:sz w:val="24"/>
              </w:rPr>
              <w:t>（1）环境空气质量达标区判定</w:t>
            </w:r>
          </w:p>
          <w:p w14:paraId="7D850F4B">
            <w:pPr>
              <w:pStyle w:val="18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auto"/>
                <w:kern w:val="2"/>
                <w:sz w:val="24"/>
                <w:szCs w:val="24"/>
                <w:vertAlign w:val="baseline"/>
              </w:rPr>
            </w:pPr>
            <w:r>
              <w:rPr>
                <w:rFonts w:hint="default"/>
                <w:color w:val="auto"/>
                <w:kern w:val="2"/>
                <w:sz w:val="24"/>
                <w:szCs w:val="24"/>
                <w:vertAlign w:val="baseline"/>
              </w:rPr>
              <w:t>《2024年黑龙江省生态环境质量状况》鸡西市空气质量级别达二级标准，达标天数为348天</w:t>
            </w:r>
            <w:r>
              <w:rPr>
                <w:rFonts w:hint="eastAsia"/>
                <w:color w:val="auto"/>
                <w:kern w:val="2"/>
                <w:sz w:val="24"/>
                <w:szCs w:val="24"/>
                <w:vertAlign w:val="baseline"/>
                <w:lang w:eastAsia="zh-CN"/>
              </w:rPr>
              <w:t>（</w:t>
            </w:r>
            <w:r>
              <w:rPr>
                <w:rFonts w:hint="default"/>
                <w:color w:val="auto"/>
                <w:kern w:val="2"/>
                <w:sz w:val="24"/>
                <w:szCs w:val="24"/>
                <w:vertAlign w:val="baseline"/>
              </w:rPr>
              <w:t>95.1%</w:t>
            </w:r>
            <w:r>
              <w:rPr>
                <w:rFonts w:hint="eastAsia"/>
                <w:color w:val="auto"/>
                <w:kern w:val="2"/>
                <w:sz w:val="24"/>
                <w:szCs w:val="24"/>
                <w:vertAlign w:val="baseline"/>
                <w:lang w:eastAsia="zh-CN"/>
              </w:rPr>
              <w:t>）</w:t>
            </w:r>
            <w:r>
              <w:rPr>
                <w:rFonts w:hint="default"/>
                <w:color w:val="auto"/>
                <w:kern w:val="2"/>
                <w:sz w:val="24"/>
                <w:szCs w:val="24"/>
                <w:vertAlign w:val="baseline"/>
              </w:rPr>
              <w:t>。PM</w:t>
            </w:r>
            <w:r>
              <w:rPr>
                <w:rFonts w:hint="default"/>
                <w:color w:val="auto"/>
                <w:kern w:val="2"/>
                <w:sz w:val="24"/>
                <w:szCs w:val="24"/>
                <w:vertAlign w:val="subscript"/>
              </w:rPr>
              <w:t>2</w:t>
            </w:r>
            <w:r>
              <w:rPr>
                <w:rFonts w:hint="eastAsia"/>
                <w:color w:val="auto"/>
                <w:kern w:val="2"/>
                <w:sz w:val="24"/>
                <w:szCs w:val="24"/>
                <w:vertAlign w:val="subscript"/>
                <w:lang w:val="en-US" w:eastAsia="zh-CN"/>
              </w:rPr>
              <w:t>.</w:t>
            </w:r>
            <w:r>
              <w:rPr>
                <w:rFonts w:hint="default"/>
                <w:color w:val="auto"/>
                <w:kern w:val="2"/>
                <w:sz w:val="24"/>
                <w:szCs w:val="24"/>
                <w:vertAlign w:val="subscript"/>
              </w:rPr>
              <w:t>5</w:t>
            </w:r>
            <w:r>
              <w:rPr>
                <w:rFonts w:hint="default"/>
                <w:color w:val="auto"/>
                <w:kern w:val="2"/>
                <w:sz w:val="24"/>
                <w:szCs w:val="24"/>
                <w:vertAlign w:val="baseline"/>
              </w:rPr>
              <w:t>、PM</w:t>
            </w:r>
            <w:r>
              <w:rPr>
                <w:rFonts w:hint="default"/>
                <w:color w:val="auto"/>
                <w:kern w:val="2"/>
                <w:sz w:val="24"/>
                <w:szCs w:val="24"/>
                <w:vertAlign w:val="subscript"/>
              </w:rPr>
              <w:t>10</w:t>
            </w:r>
            <w:r>
              <w:rPr>
                <w:rFonts w:hint="default"/>
                <w:color w:val="auto"/>
                <w:kern w:val="2"/>
                <w:sz w:val="24"/>
                <w:szCs w:val="24"/>
                <w:vertAlign w:val="baseline"/>
              </w:rPr>
              <w:t>、SO</w:t>
            </w:r>
            <w:r>
              <w:rPr>
                <w:rFonts w:hint="default"/>
                <w:color w:val="auto"/>
                <w:kern w:val="2"/>
                <w:sz w:val="24"/>
                <w:szCs w:val="24"/>
                <w:vertAlign w:val="subscript"/>
              </w:rPr>
              <w:t>2</w:t>
            </w:r>
            <w:r>
              <w:rPr>
                <w:rFonts w:hint="default"/>
                <w:color w:val="auto"/>
                <w:kern w:val="2"/>
                <w:sz w:val="24"/>
                <w:szCs w:val="24"/>
                <w:vertAlign w:val="baseline"/>
              </w:rPr>
              <w:t>、NO</w:t>
            </w:r>
            <w:r>
              <w:rPr>
                <w:rFonts w:hint="default"/>
                <w:color w:val="auto"/>
                <w:kern w:val="2"/>
                <w:sz w:val="24"/>
                <w:szCs w:val="24"/>
                <w:vertAlign w:val="subscript"/>
              </w:rPr>
              <w:t>2</w:t>
            </w:r>
            <w:r>
              <w:rPr>
                <w:rFonts w:hint="default"/>
                <w:color w:val="auto"/>
                <w:kern w:val="2"/>
                <w:sz w:val="24"/>
                <w:szCs w:val="24"/>
                <w:vertAlign w:val="baseline"/>
              </w:rPr>
              <w:t>、CO-95per和O</w:t>
            </w:r>
            <w:r>
              <w:rPr>
                <w:rFonts w:hint="default"/>
                <w:color w:val="auto"/>
                <w:kern w:val="2"/>
                <w:sz w:val="24"/>
                <w:szCs w:val="24"/>
                <w:vertAlign w:val="subscript"/>
              </w:rPr>
              <w:t>3</w:t>
            </w:r>
            <w:r>
              <w:rPr>
                <w:rFonts w:hint="default"/>
                <w:color w:val="auto"/>
                <w:kern w:val="2"/>
                <w:sz w:val="24"/>
                <w:szCs w:val="24"/>
                <w:vertAlign w:val="baseline"/>
              </w:rPr>
              <w:t>-8h-90pe1年均浓度分别为27μg/m</w:t>
            </w:r>
            <w:r>
              <w:rPr>
                <w:rFonts w:hint="default"/>
                <w:color w:val="auto"/>
                <w:kern w:val="2"/>
                <w:sz w:val="24"/>
                <w:szCs w:val="24"/>
                <w:vertAlign w:val="superscript"/>
              </w:rPr>
              <w:t>3</w:t>
            </w:r>
            <w:r>
              <w:rPr>
                <w:rFonts w:hint="default"/>
                <w:color w:val="auto"/>
                <w:kern w:val="2"/>
                <w:sz w:val="24"/>
                <w:szCs w:val="24"/>
                <w:vertAlign w:val="baseline"/>
              </w:rPr>
              <w:t>、46μg/m</w:t>
            </w:r>
            <w:r>
              <w:rPr>
                <w:rFonts w:hint="default"/>
                <w:color w:val="auto"/>
                <w:kern w:val="2"/>
                <w:sz w:val="24"/>
                <w:szCs w:val="24"/>
                <w:vertAlign w:val="superscript"/>
              </w:rPr>
              <w:t>3</w:t>
            </w:r>
            <w:r>
              <w:rPr>
                <w:rFonts w:hint="default"/>
                <w:color w:val="auto"/>
                <w:kern w:val="2"/>
                <w:sz w:val="24"/>
                <w:szCs w:val="24"/>
                <w:vertAlign w:val="baseline"/>
              </w:rPr>
              <w:t>、8μg/m</w:t>
            </w:r>
            <w:r>
              <w:rPr>
                <w:rFonts w:hint="default"/>
                <w:color w:val="auto"/>
                <w:kern w:val="2"/>
                <w:sz w:val="24"/>
                <w:szCs w:val="24"/>
                <w:vertAlign w:val="superscript"/>
              </w:rPr>
              <w:t>3</w:t>
            </w:r>
            <w:r>
              <w:rPr>
                <w:rFonts w:hint="default"/>
                <w:color w:val="auto"/>
                <w:kern w:val="2"/>
                <w:sz w:val="24"/>
                <w:szCs w:val="24"/>
                <w:vertAlign w:val="baseline"/>
              </w:rPr>
              <w:t>、17μg/m</w:t>
            </w:r>
            <w:r>
              <w:rPr>
                <w:rFonts w:hint="default"/>
                <w:color w:val="auto"/>
                <w:kern w:val="2"/>
                <w:sz w:val="24"/>
                <w:szCs w:val="24"/>
                <w:vertAlign w:val="superscript"/>
              </w:rPr>
              <w:t>3</w:t>
            </w:r>
            <w:r>
              <w:rPr>
                <w:rFonts w:hint="default"/>
                <w:color w:val="auto"/>
                <w:kern w:val="2"/>
                <w:sz w:val="24"/>
                <w:szCs w:val="24"/>
                <w:vertAlign w:val="baseline"/>
              </w:rPr>
              <w:t>、1.0mg/m</w:t>
            </w:r>
            <w:r>
              <w:rPr>
                <w:rFonts w:hint="default"/>
                <w:color w:val="auto"/>
                <w:kern w:val="2"/>
                <w:sz w:val="24"/>
                <w:szCs w:val="24"/>
                <w:vertAlign w:val="superscript"/>
              </w:rPr>
              <w:t>3</w:t>
            </w:r>
            <w:r>
              <w:rPr>
                <w:rFonts w:hint="default"/>
                <w:color w:val="auto"/>
                <w:kern w:val="2"/>
                <w:sz w:val="24"/>
                <w:szCs w:val="24"/>
                <w:vertAlign w:val="baseline"/>
              </w:rPr>
              <w:t>和90μg/m</w:t>
            </w:r>
            <w:r>
              <w:rPr>
                <w:rFonts w:hint="default"/>
                <w:color w:val="auto"/>
                <w:kern w:val="2"/>
                <w:sz w:val="24"/>
                <w:szCs w:val="24"/>
                <w:vertAlign w:val="superscript"/>
              </w:rPr>
              <w:t>3</w:t>
            </w:r>
            <w:r>
              <w:rPr>
                <w:rFonts w:hint="default"/>
                <w:color w:val="auto"/>
                <w:kern w:val="2"/>
                <w:sz w:val="24"/>
                <w:szCs w:val="24"/>
                <w:vertAlign w:val="baseline"/>
              </w:rPr>
              <w:t>。环境空气质量统计数据见表3-1。</w:t>
            </w:r>
          </w:p>
          <w:p w14:paraId="6EC94B4B">
            <w:pPr>
              <w:adjustRightInd w:val="0"/>
              <w:ind w:firstLine="442"/>
              <w:jc w:val="center"/>
              <w:textAlignment w:val="center"/>
              <w:rPr>
                <w:b/>
                <w:color w:val="auto"/>
                <w:sz w:val="21"/>
                <w:szCs w:val="21"/>
              </w:rPr>
            </w:pPr>
            <w:r>
              <w:rPr>
                <w:b/>
                <w:color w:val="auto"/>
                <w:sz w:val="21"/>
                <w:szCs w:val="21"/>
              </w:rPr>
              <w:t>表3-</w:t>
            </w:r>
            <w:r>
              <w:rPr>
                <w:rFonts w:hint="eastAsia"/>
                <w:b/>
                <w:color w:val="auto"/>
                <w:sz w:val="21"/>
                <w:szCs w:val="21"/>
                <w:lang w:val="en-US" w:eastAsia="zh-CN"/>
              </w:rPr>
              <w:t>1</w:t>
            </w:r>
            <w:r>
              <w:rPr>
                <w:b/>
                <w:color w:val="auto"/>
                <w:sz w:val="21"/>
                <w:szCs w:val="21"/>
              </w:rPr>
              <w:t xml:space="preserve">  区域空气质量现状评价表  单位：μg/m</w:t>
            </w:r>
            <w:r>
              <w:rPr>
                <w:b/>
                <w:color w:val="auto"/>
                <w:sz w:val="21"/>
                <w:szCs w:val="21"/>
                <w:vertAlign w:val="superscript"/>
              </w:rPr>
              <w:t>3</w:t>
            </w:r>
          </w:p>
          <w:tbl>
            <w:tblPr>
              <w:tblStyle w:val="39"/>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13"/>
              <w:gridCol w:w="2499"/>
              <w:gridCol w:w="1176"/>
              <w:gridCol w:w="1320"/>
              <w:gridCol w:w="936"/>
              <w:gridCol w:w="1307"/>
            </w:tblGrid>
            <w:tr w14:paraId="001DEA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60" w:type="pct"/>
                  <w:tcBorders>
                    <w:top w:val="single" w:color="auto" w:sz="12" w:space="0"/>
                    <w:left w:val="nil"/>
                    <w:bottom w:val="single" w:color="auto" w:sz="6" w:space="0"/>
                    <w:right w:val="single" w:color="auto" w:sz="6" w:space="0"/>
                  </w:tcBorders>
                  <w:noWrap/>
                  <w:vAlign w:val="center"/>
                </w:tcPr>
                <w:p w14:paraId="59F5CEA0">
                  <w:pPr>
                    <w:tabs>
                      <w:tab w:val="left" w:pos="3960"/>
                    </w:tabs>
                    <w:snapToGrid w:val="0"/>
                    <w:jc w:val="center"/>
                    <w:rPr>
                      <w:color w:val="auto"/>
                      <w:szCs w:val="21"/>
                    </w:rPr>
                  </w:pPr>
                  <w:r>
                    <w:rPr>
                      <w:color w:val="auto"/>
                      <w:szCs w:val="21"/>
                    </w:rPr>
                    <w:t>污染物</w:t>
                  </w:r>
                </w:p>
              </w:tc>
              <w:tc>
                <w:tcPr>
                  <w:tcW w:w="1532" w:type="pct"/>
                  <w:tcBorders>
                    <w:top w:val="single" w:color="auto" w:sz="12" w:space="0"/>
                    <w:left w:val="single" w:color="auto" w:sz="6" w:space="0"/>
                    <w:bottom w:val="single" w:color="auto" w:sz="6" w:space="0"/>
                    <w:right w:val="single" w:color="auto" w:sz="6" w:space="0"/>
                  </w:tcBorders>
                  <w:noWrap/>
                  <w:vAlign w:val="center"/>
                </w:tcPr>
                <w:p w14:paraId="6C6BACA4">
                  <w:pPr>
                    <w:tabs>
                      <w:tab w:val="left" w:pos="3960"/>
                    </w:tabs>
                    <w:snapToGrid w:val="0"/>
                    <w:jc w:val="center"/>
                    <w:rPr>
                      <w:color w:val="auto"/>
                      <w:szCs w:val="21"/>
                    </w:rPr>
                  </w:pPr>
                  <w:r>
                    <w:rPr>
                      <w:color w:val="auto"/>
                      <w:szCs w:val="21"/>
                    </w:rPr>
                    <w:t>年评价指标</w:t>
                  </w:r>
                </w:p>
              </w:tc>
              <w:tc>
                <w:tcPr>
                  <w:tcW w:w="721" w:type="pct"/>
                  <w:tcBorders>
                    <w:top w:val="single" w:color="auto" w:sz="12" w:space="0"/>
                    <w:left w:val="single" w:color="auto" w:sz="6" w:space="0"/>
                    <w:bottom w:val="single" w:color="auto" w:sz="6" w:space="0"/>
                    <w:right w:val="single" w:color="auto" w:sz="6" w:space="0"/>
                  </w:tcBorders>
                  <w:noWrap/>
                  <w:vAlign w:val="center"/>
                </w:tcPr>
                <w:p w14:paraId="0A69B460">
                  <w:pPr>
                    <w:tabs>
                      <w:tab w:val="left" w:pos="3960"/>
                    </w:tabs>
                    <w:snapToGrid w:val="0"/>
                    <w:jc w:val="center"/>
                    <w:rPr>
                      <w:color w:val="auto"/>
                      <w:szCs w:val="21"/>
                    </w:rPr>
                  </w:pPr>
                  <w:r>
                    <w:rPr>
                      <w:color w:val="auto"/>
                      <w:szCs w:val="21"/>
                    </w:rPr>
                    <w:t>现状浓度</w:t>
                  </w:r>
                </w:p>
                <w:p w14:paraId="1BB1DE0E">
                  <w:pPr>
                    <w:tabs>
                      <w:tab w:val="left" w:pos="3960"/>
                    </w:tabs>
                    <w:snapToGrid w:val="0"/>
                    <w:jc w:val="center"/>
                    <w:rPr>
                      <w:color w:val="auto"/>
                      <w:szCs w:val="21"/>
                    </w:rPr>
                  </w:pPr>
                  <w:r>
                    <w:rPr>
                      <w:color w:val="auto"/>
                      <w:szCs w:val="21"/>
                    </w:rPr>
                    <w:t>（μg/m</w:t>
                  </w:r>
                  <w:r>
                    <w:rPr>
                      <w:color w:val="auto"/>
                      <w:szCs w:val="21"/>
                      <w:vertAlign w:val="superscript"/>
                    </w:rPr>
                    <w:t>3</w:t>
                  </w:r>
                  <w:r>
                    <w:rPr>
                      <w:color w:val="auto"/>
                      <w:szCs w:val="21"/>
                    </w:rPr>
                    <w:t>）</w:t>
                  </w:r>
                </w:p>
              </w:tc>
              <w:tc>
                <w:tcPr>
                  <w:tcW w:w="809" w:type="pct"/>
                  <w:tcBorders>
                    <w:top w:val="single" w:color="auto" w:sz="12" w:space="0"/>
                    <w:left w:val="single" w:color="auto" w:sz="6" w:space="0"/>
                    <w:bottom w:val="single" w:color="auto" w:sz="6" w:space="0"/>
                    <w:right w:val="single" w:color="auto" w:sz="6" w:space="0"/>
                  </w:tcBorders>
                  <w:noWrap/>
                  <w:vAlign w:val="center"/>
                </w:tcPr>
                <w:p w14:paraId="40453628">
                  <w:pPr>
                    <w:tabs>
                      <w:tab w:val="left" w:pos="3960"/>
                    </w:tabs>
                    <w:snapToGrid w:val="0"/>
                    <w:jc w:val="center"/>
                    <w:rPr>
                      <w:color w:val="auto"/>
                      <w:szCs w:val="21"/>
                    </w:rPr>
                  </w:pPr>
                  <w:r>
                    <w:rPr>
                      <w:color w:val="auto"/>
                      <w:szCs w:val="21"/>
                    </w:rPr>
                    <w:t>标准值</w:t>
                  </w:r>
                </w:p>
                <w:p w14:paraId="13A6EF89">
                  <w:pPr>
                    <w:tabs>
                      <w:tab w:val="left" w:pos="3960"/>
                    </w:tabs>
                    <w:snapToGrid w:val="0"/>
                    <w:jc w:val="center"/>
                    <w:rPr>
                      <w:color w:val="auto"/>
                      <w:szCs w:val="21"/>
                    </w:rPr>
                  </w:pPr>
                  <w:r>
                    <w:rPr>
                      <w:color w:val="auto"/>
                      <w:szCs w:val="21"/>
                    </w:rPr>
                    <w:t>（μg/m</w:t>
                  </w:r>
                  <w:r>
                    <w:rPr>
                      <w:color w:val="auto"/>
                      <w:szCs w:val="21"/>
                      <w:vertAlign w:val="superscript"/>
                    </w:rPr>
                    <w:t>3</w:t>
                  </w:r>
                  <w:r>
                    <w:rPr>
                      <w:color w:val="auto"/>
                      <w:szCs w:val="21"/>
                    </w:rPr>
                    <w:t>）</w:t>
                  </w:r>
                </w:p>
              </w:tc>
              <w:tc>
                <w:tcPr>
                  <w:tcW w:w="574" w:type="pct"/>
                  <w:tcBorders>
                    <w:top w:val="single" w:color="auto" w:sz="12" w:space="0"/>
                    <w:left w:val="single" w:color="auto" w:sz="6" w:space="0"/>
                    <w:bottom w:val="single" w:color="auto" w:sz="6" w:space="0"/>
                    <w:right w:val="single" w:color="auto" w:sz="6" w:space="0"/>
                  </w:tcBorders>
                  <w:noWrap/>
                  <w:vAlign w:val="center"/>
                </w:tcPr>
                <w:p w14:paraId="60965E95">
                  <w:pPr>
                    <w:tabs>
                      <w:tab w:val="left" w:pos="3960"/>
                    </w:tabs>
                    <w:snapToGrid w:val="0"/>
                    <w:jc w:val="center"/>
                    <w:rPr>
                      <w:color w:val="auto"/>
                      <w:szCs w:val="21"/>
                    </w:rPr>
                  </w:pPr>
                  <w:r>
                    <w:rPr>
                      <w:color w:val="auto"/>
                      <w:szCs w:val="21"/>
                    </w:rPr>
                    <w:t>占标率</w:t>
                  </w:r>
                </w:p>
                <w:p w14:paraId="6F1D749C">
                  <w:pPr>
                    <w:tabs>
                      <w:tab w:val="left" w:pos="3960"/>
                    </w:tabs>
                    <w:snapToGrid w:val="0"/>
                    <w:jc w:val="center"/>
                    <w:rPr>
                      <w:color w:val="auto"/>
                      <w:szCs w:val="21"/>
                    </w:rPr>
                  </w:pPr>
                  <w:r>
                    <w:rPr>
                      <w:color w:val="auto"/>
                      <w:szCs w:val="21"/>
                    </w:rPr>
                    <w:t>（%）</w:t>
                  </w:r>
                </w:p>
              </w:tc>
              <w:tc>
                <w:tcPr>
                  <w:tcW w:w="801" w:type="pct"/>
                  <w:tcBorders>
                    <w:top w:val="single" w:color="auto" w:sz="12" w:space="0"/>
                    <w:left w:val="single" w:color="auto" w:sz="6" w:space="0"/>
                    <w:bottom w:val="single" w:color="auto" w:sz="6" w:space="0"/>
                    <w:right w:val="nil"/>
                  </w:tcBorders>
                  <w:noWrap/>
                  <w:vAlign w:val="center"/>
                </w:tcPr>
                <w:p w14:paraId="19E69902">
                  <w:pPr>
                    <w:tabs>
                      <w:tab w:val="left" w:pos="3960"/>
                    </w:tabs>
                    <w:snapToGrid w:val="0"/>
                    <w:jc w:val="center"/>
                    <w:rPr>
                      <w:color w:val="auto"/>
                      <w:szCs w:val="21"/>
                    </w:rPr>
                  </w:pPr>
                  <w:r>
                    <w:rPr>
                      <w:color w:val="auto"/>
                      <w:szCs w:val="21"/>
                    </w:rPr>
                    <w:t>达标情况</w:t>
                  </w:r>
                </w:p>
              </w:tc>
            </w:tr>
            <w:tr w14:paraId="30AE3C1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60" w:type="pct"/>
                  <w:tcBorders>
                    <w:top w:val="single" w:color="auto" w:sz="6" w:space="0"/>
                    <w:left w:val="nil"/>
                    <w:bottom w:val="single" w:color="auto" w:sz="6" w:space="0"/>
                    <w:right w:val="single" w:color="auto" w:sz="6" w:space="0"/>
                  </w:tcBorders>
                  <w:noWrap/>
                  <w:vAlign w:val="center"/>
                </w:tcPr>
                <w:p w14:paraId="5E3BAE2D">
                  <w:pPr>
                    <w:pStyle w:val="90"/>
                    <w:adjustRightInd w:val="0"/>
                    <w:snapToGrid w:val="0"/>
                    <w:jc w:val="center"/>
                    <w:textAlignment w:val="center"/>
                    <w:rPr>
                      <w:rFonts w:ascii="Times New Roman" w:hAnsi="Times New Roman" w:cs="Times New Roman"/>
                      <w:color w:val="auto"/>
                      <w:kern w:val="2"/>
                      <w:sz w:val="21"/>
                    </w:rPr>
                  </w:pPr>
                  <w:r>
                    <w:rPr>
                      <w:rFonts w:ascii="Times New Roman" w:hAnsi="Times New Roman" w:cs="Times New Roman"/>
                      <w:color w:val="auto"/>
                      <w:kern w:val="2"/>
                      <w:sz w:val="21"/>
                    </w:rPr>
                    <w:t>PM</w:t>
                  </w:r>
                  <w:r>
                    <w:rPr>
                      <w:rFonts w:ascii="Times New Roman" w:hAnsi="Times New Roman" w:cs="Times New Roman"/>
                      <w:color w:val="auto"/>
                      <w:kern w:val="2"/>
                      <w:sz w:val="21"/>
                      <w:vertAlign w:val="subscript"/>
                    </w:rPr>
                    <w:t>2.5</w:t>
                  </w:r>
                </w:p>
              </w:tc>
              <w:tc>
                <w:tcPr>
                  <w:tcW w:w="1532" w:type="pct"/>
                  <w:tcBorders>
                    <w:top w:val="single" w:color="auto" w:sz="6" w:space="0"/>
                    <w:left w:val="single" w:color="auto" w:sz="6" w:space="0"/>
                    <w:bottom w:val="single" w:color="auto" w:sz="6" w:space="0"/>
                    <w:right w:val="single" w:color="auto" w:sz="6" w:space="0"/>
                  </w:tcBorders>
                  <w:noWrap/>
                  <w:vAlign w:val="center"/>
                </w:tcPr>
                <w:p w14:paraId="54681F65">
                  <w:pPr>
                    <w:adjustRightInd w:val="0"/>
                    <w:snapToGrid w:val="0"/>
                    <w:jc w:val="center"/>
                    <w:rPr>
                      <w:color w:val="auto"/>
                      <w:szCs w:val="21"/>
                    </w:rPr>
                  </w:pPr>
                  <w:r>
                    <w:rPr>
                      <w:color w:val="auto"/>
                      <w:szCs w:val="21"/>
                    </w:rPr>
                    <w:t>年平均质量浓度</w:t>
                  </w:r>
                </w:p>
              </w:tc>
              <w:tc>
                <w:tcPr>
                  <w:tcW w:w="721" w:type="pct"/>
                  <w:tcBorders>
                    <w:top w:val="single" w:color="auto" w:sz="6" w:space="0"/>
                    <w:left w:val="single" w:color="auto" w:sz="6" w:space="0"/>
                    <w:bottom w:val="single" w:color="auto" w:sz="6" w:space="0"/>
                    <w:right w:val="single" w:color="auto" w:sz="6" w:space="0"/>
                  </w:tcBorders>
                  <w:noWrap/>
                  <w:vAlign w:val="center"/>
                </w:tcPr>
                <w:p w14:paraId="27661DC9">
                  <w:pPr>
                    <w:adjustRightInd w:val="0"/>
                    <w:snapToGrid w:val="0"/>
                    <w:jc w:val="center"/>
                    <w:rPr>
                      <w:rFonts w:hint="default" w:eastAsia="宋体"/>
                      <w:color w:val="auto"/>
                      <w:szCs w:val="21"/>
                      <w:lang w:val="en-US" w:eastAsia="zh-CN"/>
                    </w:rPr>
                  </w:pPr>
                  <w:r>
                    <w:rPr>
                      <w:rFonts w:hint="eastAsia"/>
                      <w:color w:val="auto"/>
                      <w:szCs w:val="21"/>
                      <w:lang w:val="en-US" w:eastAsia="zh-CN"/>
                    </w:rPr>
                    <w:t>27</w:t>
                  </w:r>
                </w:p>
              </w:tc>
              <w:tc>
                <w:tcPr>
                  <w:tcW w:w="809" w:type="pct"/>
                  <w:tcBorders>
                    <w:top w:val="single" w:color="auto" w:sz="6" w:space="0"/>
                    <w:left w:val="single" w:color="auto" w:sz="6" w:space="0"/>
                    <w:bottom w:val="single" w:color="auto" w:sz="6" w:space="0"/>
                    <w:right w:val="single" w:color="auto" w:sz="6" w:space="0"/>
                  </w:tcBorders>
                  <w:noWrap/>
                  <w:vAlign w:val="center"/>
                </w:tcPr>
                <w:p w14:paraId="6840D4FE">
                  <w:pPr>
                    <w:adjustRightInd w:val="0"/>
                    <w:snapToGrid w:val="0"/>
                    <w:jc w:val="center"/>
                    <w:rPr>
                      <w:color w:val="auto"/>
                      <w:szCs w:val="21"/>
                    </w:rPr>
                  </w:pPr>
                  <w:r>
                    <w:rPr>
                      <w:color w:val="auto"/>
                      <w:szCs w:val="21"/>
                    </w:rPr>
                    <w:t>35</w:t>
                  </w:r>
                </w:p>
              </w:tc>
              <w:tc>
                <w:tcPr>
                  <w:tcW w:w="574" w:type="pct"/>
                  <w:tcBorders>
                    <w:top w:val="single" w:color="auto" w:sz="6" w:space="0"/>
                    <w:left w:val="single" w:color="auto" w:sz="6" w:space="0"/>
                    <w:bottom w:val="single" w:color="auto" w:sz="6" w:space="0"/>
                    <w:right w:val="single" w:color="auto" w:sz="6" w:space="0"/>
                  </w:tcBorders>
                  <w:noWrap/>
                  <w:vAlign w:val="center"/>
                </w:tcPr>
                <w:p w14:paraId="733D943A">
                  <w:pPr>
                    <w:adjustRightInd w:val="0"/>
                    <w:snapToGrid w:val="0"/>
                    <w:jc w:val="center"/>
                    <w:rPr>
                      <w:rFonts w:hint="default" w:eastAsia="宋体"/>
                      <w:color w:val="auto"/>
                      <w:szCs w:val="21"/>
                      <w:lang w:val="en-US" w:eastAsia="zh-CN"/>
                    </w:rPr>
                  </w:pPr>
                  <w:r>
                    <w:rPr>
                      <w:rFonts w:hint="eastAsia"/>
                      <w:color w:val="auto"/>
                      <w:szCs w:val="21"/>
                      <w:lang w:val="en-US" w:eastAsia="zh-CN"/>
                    </w:rPr>
                    <w:t>77.14</w:t>
                  </w:r>
                </w:p>
              </w:tc>
              <w:tc>
                <w:tcPr>
                  <w:tcW w:w="801" w:type="pct"/>
                  <w:tcBorders>
                    <w:top w:val="single" w:color="auto" w:sz="6" w:space="0"/>
                    <w:left w:val="single" w:color="auto" w:sz="6" w:space="0"/>
                    <w:bottom w:val="single" w:color="auto" w:sz="6" w:space="0"/>
                    <w:right w:val="nil"/>
                  </w:tcBorders>
                  <w:noWrap/>
                  <w:vAlign w:val="center"/>
                </w:tcPr>
                <w:p w14:paraId="03AA8C78">
                  <w:pPr>
                    <w:adjustRightInd w:val="0"/>
                    <w:snapToGrid w:val="0"/>
                    <w:jc w:val="center"/>
                    <w:rPr>
                      <w:color w:val="auto"/>
                      <w:szCs w:val="21"/>
                    </w:rPr>
                  </w:pPr>
                  <w:r>
                    <w:rPr>
                      <w:rFonts w:hint="eastAsia"/>
                      <w:color w:val="auto"/>
                      <w:szCs w:val="21"/>
                    </w:rPr>
                    <w:t>达标</w:t>
                  </w:r>
                </w:p>
              </w:tc>
            </w:tr>
            <w:tr w14:paraId="6B2BE1A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60" w:type="pct"/>
                  <w:tcBorders>
                    <w:top w:val="single" w:color="auto" w:sz="6" w:space="0"/>
                    <w:left w:val="nil"/>
                    <w:bottom w:val="single" w:color="auto" w:sz="6" w:space="0"/>
                    <w:right w:val="single" w:color="auto" w:sz="6" w:space="0"/>
                  </w:tcBorders>
                  <w:noWrap/>
                  <w:vAlign w:val="center"/>
                </w:tcPr>
                <w:p w14:paraId="29C66E68">
                  <w:pPr>
                    <w:pStyle w:val="90"/>
                    <w:adjustRightInd w:val="0"/>
                    <w:snapToGrid w:val="0"/>
                    <w:jc w:val="center"/>
                    <w:textAlignment w:val="center"/>
                    <w:rPr>
                      <w:rFonts w:ascii="Times New Roman" w:hAnsi="Times New Roman" w:cs="Times New Roman"/>
                      <w:color w:val="auto"/>
                      <w:kern w:val="2"/>
                      <w:sz w:val="21"/>
                    </w:rPr>
                  </w:pPr>
                  <w:r>
                    <w:rPr>
                      <w:rFonts w:ascii="Times New Roman" w:hAnsi="Times New Roman" w:cs="Times New Roman"/>
                      <w:color w:val="auto"/>
                      <w:kern w:val="2"/>
                      <w:sz w:val="21"/>
                    </w:rPr>
                    <w:t>PM</w:t>
                  </w:r>
                  <w:r>
                    <w:rPr>
                      <w:rFonts w:ascii="Times New Roman" w:hAnsi="Times New Roman" w:cs="Times New Roman"/>
                      <w:color w:val="auto"/>
                      <w:kern w:val="2"/>
                      <w:sz w:val="21"/>
                      <w:vertAlign w:val="subscript"/>
                    </w:rPr>
                    <w:t>10</w:t>
                  </w:r>
                </w:p>
              </w:tc>
              <w:tc>
                <w:tcPr>
                  <w:tcW w:w="1532" w:type="pct"/>
                  <w:tcBorders>
                    <w:top w:val="single" w:color="auto" w:sz="6" w:space="0"/>
                    <w:left w:val="single" w:color="auto" w:sz="6" w:space="0"/>
                    <w:bottom w:val="single" w:color="auto" w:sz="6" w:space="0"/>
                    <w:right w:val="single" w:color="auto" w:sz="6" w:space="0"/>
                  </w:tcBorders>
                  <w:noWrap/>
                  <w:vAlign w:val="center"/>
                </w:tcPr>
                <w:p w14:paraId="25AF46F4">
                  <w:pPr>
                    <w:adjustRightInd w:val="0"/>
                    <w:snapToGrid w:val="0"/>
                    <w:jc w:val="center"/>
                    <w:rPr>
                      <w:color w:val="auto"/>
                      <w:szCs w:val="21"/>
                    </w:rPr>
                  </w:pPr>
                  <w:r>
                    <w:rPr>
                      <w:color w:val="auto"/>
                      <w:szCs w:val="21"/>
                    </w:rPr>
                    <w:t>年平均质量浓度</w:t>
                  </w:r>
                </w:p>
              </w:tc>
              <w:tc>
                <w:tcPr>
                  <w:tcW w:w="721" w:type="pct"/>
                  <w:tcBorders>
                    <w:top w:val="single" w:color="auto" w:sz="6" w:space="0"/>
                    <w:left w:val="single" w:color="auto" w:sz="6" w:space="0"/>
                    <w:bottom w:val="single" w:color="auto" w:sz="6" w:space="0"/>
                    <w:right w:val="single" w:color="auto" w:sz="6" w:space="0"/>
                  </w:tcBorders>
                  <w:noWrap/>
                  <w:vAlign w:val="center"/>
                </w:tcPr>
                <w:p w14:paraId="1F7C4EC2">
                  <w:pPr>
                    <w:adjustRightInd w:val="0"/>
                    <w:snapToGrid w:val="0"/>
                    <w:jc w:val="center"/>
                    <w:rPr>
                      <w:rFonts w:hint="default" w:eastAsia="宋体"/>
                      <w:color w:val="auto"/>
                      <w:szCs w:val="21"/>
                      <w:lang w:val="en-US" w:eastAsia="zh-CN"/>
                    </w:rPr>
                  </w:pPr>
                  <w:r>
                    <w:rPr>
                      <w:rFonts w:hint="eastAsia"/>
                      <w:color w:val="auto"/>
                      <w:szCs w:val="21"/>
                      <w:lang w:val="en-US" w:eastAsia="zh-CN"/>
                    </w:rPr>
                    <w:t>46</w:t>
                  </w:r>
                </w:p>
              </w:tc>
              <w:tc>
                <w:tcPr>
                  <w:tcW w:w="809" w:type="pct"/>
                  <w:tcBorders>
                    <w:top w:val="single" w:color="auto" w:sz="6" w:space="0"/>
                    <w:left w:val="single" w:color="auto" w:sz="6" w:space="0"/>
                    <w:bottom w:val="single" w:color="auto" w:sz="6" w:space="0"/>
                    <w:right w:val="single" w:color="auto" w:sz="6" w:space="0"/>
                  </w:tcBorders>
                  <w:noWrap/>
                  <w:vAlign w:val="center"/>
                </w:tcPr>
                <w:p w14:paraId="5718BC76">
                  <w:pPr>
                    <w:adjustRightInd w:val="0"/>
                    <w:snapToGrid w:val="0"/>
                    <w:jc w:val="center"/>
                    <w:rPr>
                      <w:color w:val="auto"/>
                      <w:szCs w:val="21"/>
                    </w:rPr>
                  </w:pPr>
                  <w:r>
                    <w:rPr>
                      <w:color w:val="auto"/>
                      <w:szCs w:val="21"/>
                    </w:rPr>
                    <w:t>70</w:t>
                  </w:r>
                </w:p>
              </w:tc>
              <w:tc>
                <w:tcPr>
                  <w:tcW w:w="574" w:type="pct"/>
                  <w:tcBorders>
                    <w:top w:val="single" w:color="auto" w:sz="6" w:space="0"/>
                    <w:left w:val="single" w:color="auto" w:sz="6" w:space="0"/>
                    <w:bottom w:val="single" w:color="auto" w:sz="6" w:space="0"/>
                    <w:right w:val="single" w:color="auto" w:sz="6" w:space="0"/>
                  </w:tcBorders>
                  <w:noWrap/>
                  <w:vAlign w:val="center"/>
                </w:tcPr>
                <w:p w14:paraId="4F4A8EE7">
                  <w:pPr>
                    <w:adjustRightInd w:val="0"/>
                    <w:snapToGrid w:val="0"/>
                    <w:jc w:val="center"/>
                    <w:rPr>
                      <w:rFonts w:hint="default" w:eastAsia="宋体"/>
                      <w:color w:val="auto"/>
                      <w:szCs w:val="21"/>
                      <w:lang w:val="en-US" w:eastAsia="zh-CN"/>
                    </w:rPr>
                  </w:pPr>
                  <w:r>
                    <w:rPr>
                      <w:rFonts w:hint="eastAsia"/>
                      <w:color w:val="auto"/>
                      <w:szCs w:val="21"/>
                      <w:lang w:val="en-US" w:eastAsia="zh-CN"/>
                    </w:rPr>
                    <w:t>65.71</w:t>
                  </w:r>
                </w:p>
              </w:tc>
              <w:tc>
                <w:tcPr>
                  <w:tcW w:w="801" w:type="pct"/>
                  <w:tcBorders>
                    <w:top w:val="single" w:color="auto" w:sz="6" w:space="0"/>
                    <w:left w:val="single" w:color="auto" w:sz="6" w:space="0"/>
                    <w:bottom w:val="single" w:color="auto" w:sz="6" w:space="0"/>
                    <w:right w:val="nil"/>
                  </w:tcBorders>
                  <w:noWrap/>
                  <w:vAlign w:val="center"/>
                </w:tcPr>
                <w:p w14:paraId="6C1B5B4C">
                  <w:pPr>
                    <w:adjustRightInd w:val="0"/>
                    <w:snapToGrid w:val="0"/>
                    <w:jc w:val="center"/>
                    <w:rPr>
                      <w:color w:val="auto"/>
                      <w:szCs w:val="21"/>
                    </w:rPr>
                  </w:pPr>
                  <w:r>
                    <w:rPr>
                      <w:rFonts w:hint="eastAsia"/>
                      <w:color w:val="auto"/>
                      <w:szCs w:val="21"/>
                    </w:rPr>
                    <w:t>达标</w:t>
                  </w:r>
                </w:p>
              </w:tc>
            </w:tr>
            <w:tr w14:paraId="253F4C6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60" w:type="pct"/>
                  <w:tcBorders>
                    <w:top w:val="single" w:color="auto" w:sz="6" w:space="0"/>
                    <w:left w:val="nil"/>
                    <w:bottom w:val="single" w:color="auto" w:sz="6" w:space="0"/>
                    <w:right w:val="single" w:color="auto" w:sz="6" w:space="0"/>
                  </w:tcBorders>
                  <w:noWrap/>
                  <w:vAlign w:val="center"/>
                </w:tcPr>
                <w:p w14:paraId="0645A0D4">
                  <w:pPr>
                    <w:pStyle w:val="90"/>
                    <w:adjustRightInd w:val="0"/>
                    <w:snapToGrid w:val="0"/>
                    <w:jc w:val="center"/>
                    <w:textAlignment w:val="center"/>
                    <w:rPr>
                      <w:rFonts w:ascii="Times New Roman" w:hAnsi="Times New Roman" w:cs="Times New Roman"/>
                      <w:color w:val="auto"/>
                      <w:kern w:val="2"/>
                      <w:sz w:val="21"/>
                    </w:rPr>
                  </w:pPr>
                  <w:r>
                    <w:rPr>
                      <w:rFonts w:ascii="Times New Roman" w:hAnsi="Times New Roman" w:cs="Times New Roman"/>
                      <w:color w:val="auto"/>
                      <w:kern w:val="2"/>
                      <w:sz w:val="21"/>
                    </w:rPr>
                    <w:t>NO</w:t>
                  </w:r>
                  <w:r>
                    <w:rPr>
                      <w:rFonts w:ascii="Times New Roman" w:hAnsi="Times New Roman" w:cs="Times New Roman"/>
                      <w:color w:val="auto"/>
                      <w:kern w:val="2"/>
                      <w:sz w:val="21"/>
                      <w:vertAlign w:val="subscript"/>
                    </w:rPr>
                    <w:t>2</w:t>
                  </w:r>
                </w:p>
              </w:tc>
              <w:tc>
                <w:tcPr>
                  <w:tcW w:w="1532" w:type="pct"/>
                  <w:tcBorders>
                    <w:top w:val="single" w:color="auto" w:sz="6" w:space="0"/>
                    <w:left w:val="single" w:color="auto" w:sz="6" w:space="0"/>
                    <w:bottom w:val="single" w:color="auto" w:sz="6" w:space="0"/>
                    <w:right w:val="single" w:color="auto" w:sz="6" w:space="0"/>
                  </w:tcBorders>
                  <w:noWrap/>
                  <w:vAlign w:val="center"/>
                </w:tcPr>
                <w:p w14:paraId="1F29FBF2">
                  <w:pPr>
                    <w:adjustRightInd w:val="0"/>
                    <w:snapToGrid w:val="0"/>
                    <w:jc w:val="center"/>
                    <w:rPr>
                      <w:color w:val="auto"/>
                      <w:szCs w:val="21"/>
                    </w:rPr>
                  </w:pPr>
                  <w:r>
                    <w:rPr>
                      <w:color w:val="auto"/>
                      <w:szCs w:val="21"/>
                    </w:rPr>
                    <w:t>年平均质量浓度</w:t>
                  </w:r>
                </w:p>
              </w:tc>
              <w:tc>
                <w:tcPr>
                  <w:tcW w:w="721" w:type="pct"/>
                  <w:tcBorders>
                    <w:top w:val="single" w:color="auto" w:sz="6" w:space="0"/>
                    <w:left w:val="single" w:color="auto" w:sz="6" w:space="0"/>
                    <w:bottom w:val="single" w:color="auto" w:sz="6" w:space="0"/>
                    <w:right w:val="single" w:color="auto" w:sz="6" w:space="0"/>
                  </w:tcBorders>
                  <w:noWrap/>
                  <w:vAlign w:val="center"/>
                </w:tcPr>
                <w:p w14:paraId="2A9703A0">
                  <w:pPr>
                    <w:adjustRightInd w:val="0"/>
                    <w:snapToGrid w:val="0"/>
                    <w:jc w:val="center"/>
                    <w:rPr>
                      <w:rFonts w:hint="default" w:eastAsia="宋体"/>
                      <w:color w:val="auto"/>
                      <w:szCs w:val="21"/>
                      <w:lang w:val="en-US" w:eastAsia="zh-CN"/>
                    </w:rPr>
                  </w:pPr>
                  <w:r>
                    <w:rPr>
                      <w:rFonts w:hint="eastAsia"/>
                      <w:color w:val="auto"/>
                      <w:szCs w:val="21"/>
                      <w:lang w:val="en-US" w:eastAsia="zh-CN"/>
                    </w:rPr>
                    <w:t>17</w:t>
                  </w:r>
                </w:p>
              </w:tc>
              <w:tc>
                <w:tcPr>
                  <w:tcW w:w="809" w:type="pct"/>
                  <w:tcBorders>
                    <w:top w:val="single" w:color="auto" w:sz="6" w:space="0"/>
                    <w:left w:val="single" w:color="auto" w:sz="6" w:space="0"/>
                    <w:bottom w:val="single" w:color="auto" w:sz="6" w:space="0"/>
                    <w:right w:val="single" w:color="auto" w:sz="6" w:space="0"/>
                  </w:tcBorders>
                  <w:noWrap/>
                  <w:vAlign w:val="center"/>
                </w:tcPr>
                <w:p w14:paraId="35D54F95">
                  <w:pPr>
                    <w:adjustRightInd w:val="0"/>
                    <w:snapToGrid w:val="0"/>
                    <w:jc w:val="center"/>
                    <w:rPr>
                      <w:color w:val="auto"/>
                      <w:szCs w:val="21"/>
                    </w:rPr>
                  </w:pPr>
                  <w:r>
                    <w:rPr>
                      <w:color w:val="auto"/>
                      <w:szCs w:val="21"/>
                    </w:rPr>
                    <w:t>40</w:t>
                  </w:r>
                </w:p>
              </w:tc>
              <w:tc>
                <w:tcPr>
                  <w:tcW w:w="574" w:type="pct"/>
                  <w:tcBorders>
                    <w:top w:val="single" w:color="auto" w:sz="6" w:space="0"/>
                    <w:left w:val="single" w:color="auto" w:sz="6" w:space="0"/>
                    <w:bottom w:val="single" w:color="auto" w:sz="6" w:space="0"/>
                    <w:right w:val="single" w:color="auto" w:sz="6" w:space="0"/>
                  </w:tcBorders>
                  <w:noWrap/>
                  <w:vAlign w:val="center"/>
                </w:tcPr>
                <w:p w14:paraId="6F5FD78C">
                  <w:pPr>
                    <w:adjustRightInd w:val="0"/>
                    <w:snapToGrid w:val="0"/>
                    <w:jc w:val="center"/>
                    <w:rPr>
                      <w:rFonts w:hint="default" w:eastAsia="宋体"/>
                      <w:color w:val="auto"/>
                      <w:szCs w:val="21"/>
                      <w:lang w:val="en-US" w:eastAsia="zh-CN"/>
                    </w:rPr>
                  </w:pPr>
                  <w:r>
                    <w:rPr>
                      <w:rFonts w:hint="eastAsia"/>
                      <w:color w:val="auto"/>
                      <w:szCs w:val="21"/>
                      <w:lang w:val="en-US" w:eastAsia="zh-CN"/>
                    </w:rPr>
                    <w:t>42.5</w:t>
                  </w:r>
                </w:p>
              </w:tc>
              <w:tc>
                <w:tcPr>
                  <w:tcW w:w="801" w:type="pct"/>
                  <w:tcBorders>
                    <w:top w:val="single" w:color="auto" w:sz="6" w:space="0"/>
                    <w:left w:val="single" w:color="auto" w:sz="6" w:space="0"/>
                    <w:bottom w:val="single" w:color="auto" w:sz="6" w:space="0"/>
                    <w:right w:val="nil"/>
                  </w:tcBorders>
                  <w:noWrap/>
                  <w:vAlign w:val="center"/>
                </w:tcPr>
                <w:p w14:paraId="1423CA10">
                  <w:pPr>
                    <w:adjustRightInd w:val="0"/>
                    <w:snapToGrid w:val="0"/>
                    <w:jc w:val="center"/>
                    <w:rPr>
                      <w:color w:val="auto"/>
                      <w:szCs w:val="21"/>
                    </w:rPr>
                  </w:pPr>
                  <w:r>
                    <w:rPr>
                      <w:rFonts w:hint="eastAsia"/>
                      <w:color w:val="auto"/>
                      <w:szCs w:val="21"/>
                    </w:rPr>
                    <w:t>达标</w:t>
                  </w:r>
                </w:p>
              </w:tc>
            </w:tr>
            <w:tr w14:paraId="41F1C99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atLeast"/>
                <w:jc w:val="center"/>
              </w:trPr>
              <w:tc>
                <w:tcPr>
                  <w:tcW w:w="560" w:type="pct"/>
                  <w:tcBorders>
                    <w:top w:val="single" w:color="auto" w:sz="6" w:space="0"/>
                    <w:left w:val="nil"/>
                    <w:bottom w:val="single" w:color="auto" w:sz="6" w:space="0"/>
                    <w:right w:val="single" w:color="auto" w:sz="6" w:space="0"/>
                  </w:tcBorders>
                  <w:noWrap/>
                  <w:vAlign w:val="center"/>
                </w:tcPr>
                <w:p w14:paraId="0DB9C5FC">
                  <w:pPr>
                    <w:pStyle w:val="90"/>
                    <w:adjustRightInd w:val="0"/>
                    <w:snapToGrid w:val="0"/>
                    <w:jc w:val="center"/>
                    <w:textAlignment w:val="center"/>
                    <w:rPr>
                      <w:rFonts w:ascii="Times New Roman" w:hAnsi="Times New Roman" w:cs="Times New Roman"/>
                      <w:color w:val="auto"/>
                      <w:kern w:val="2"/>
                      <w:sz w:val="21"/>
                    </w:rPr>
                  </w:pPr>
                  <w:r>
                    <w:rPr>
                      <w:rFonts w:ascii="Times New Roman" w:hAnsi="Times New Roman" w:cs="Times New Roman"/>
                      <w:color w:val="auto"/>
                      <w:kern w:val="2"/>
                      <w:sz w:val="21"/>
                    </w:rPr>
                    <w:t>SO</w:t>
                  </w:r>
                  <w:r>
                    <w:rPr>
                      <w:rFonts w:ascii="Times New Roman" w:hAnsi="Times New Roman" w:cs="Times New Roman"/>
                      <w:color w:val="auto"/>
                      <w:kern w:val="2"/>
                      <w:sz w:val="21"/>
                      <w:vertAlign w:val="subscript"/>
                    </w:rPr>
                    <w:t>2</w:t>
                  </w:r>
                </w:p>
              </w:tc>
              <w:tc>
                <w:tcPr>
                  <w:tcW w:w="1532" w:type="pct"/>
                  <w:tcBorders>
                    <w:top w:val="single" w:color="auto" w:sz="6" w:space="0"/>
                    <w:left w:val="single" w:color="auto" w:sz="6" w:space="0"/>
                    <w:bottom w:val="single" w:color="auto" w:sz="6" w:space="0"/>
                    <w:right w:val="single" w:color="auto" w:sz="6" w:space="0"/>
                  </w:tcBorders>
                  <w:noWrap/>
                  <w:vAlign w:val="center"/>
                </w:tcPr>
                <w:p w14:paraId="4B1F848E">
                  <w:pPr>
                    <w:adjustRightInd w:val="0"/>
                    <w:snapToGrid w:val="0"/>
                    <w:jc w:val="center"/>
                    <w:rPr>
                      <w:color w:val="auto"/>
                      <w:szCs w:val="21"/>
                    </w:rPr>
                  </w:pPr>
                  <w:r>
                    <w:rPr>
                      <w:color w:val="auto"/>
                      <w:szCs w:val="21"/>
                    </w:rPr>
                    <w:t>年平均质量浓度</w:t>
                  </w:r>
                </w:p>
              </w:tc>
              <w:tc>
                <w:tcPr>
                  <w:tcW w:w="721" w:type="pct"/>
                  <w:tcBorders>
                    <w:top w:val="single" w:color="auto" w:sz="6" w:space="0"/>
                    <w:left w:val="single" w:color="auto" w:sz="6" w:space="0"/>
                    <w:bottom w:val="single" w:color="auto" w:sz="6" w:space="0"/>
                    <w:right w:val="single" w:color="auto" w:sz="6" w:space="0"/>
                  </w:tcBorders>
                  <w:noWrap/>
                  <w:vAlign w:val="center"/>
                </w:tcPr>
                <w:p w14:paraId="30794E2B">
                  <w:pPr>
                    <w:adjustRightInd w:val="0"/>
                    <w:snapToGrid w:val="0"/>
                    <w:jc w:val="center"/>
                    <w:rPr>
                      <w:rFonts w:hint="default" w:eastAsia="宋体"/>
                      <w:color w:val="auto"/>
                      <w:szCs w:val="21"/>
                      <w:lang w:val="en-US" w:eastAsia="zh-CN"/>
                    </w:rPr>
                  </w:pPr>
                  <w:r>
                    <w:rPr>
                      <w:rFonts w:hint="eastAsia"/>
                      <w:color w:val="auto"/>
                      <w:szCs w:val="21"/>
                      <w:lang w:val="en-US" w:eastAsia="zh-CN"/>
                    </w:rPr>
                    <w:t>8</w:t>
                  </w:r>
                </w:p>
              </w:tc>
              <w:tc>
                <w:tcPr>
                  <w:tcW w:w="809" w:type="pct"/>
                  <w:tcBorders>
                    <w:top w:val="single" w:color="auto" w:sz="6" w:space="0"/>
                    <w:left w:val="single" w:color="auto" w:sz="6" w:space="0"/>
                    <w:bottom w:val="single" w:color="auto" w:sz="6" w:space="0"/>
                    <w:right w:val="single" w:color="auto" w:sz="6" w:space="0"/>
                  </w:tcBorders>
                  <w:noWrap/>
                  <w:vAlign w:val="center"/>
                </w:tcPr>
                <w:p w14:paraId="233A7EE6">
                  <w:pPr>
                    <w:adjustRightInd w:val="0"/>
                    <w:snapToGrid w:val="0"/>
                    <w:jc w:val="center"/>
                    <w:rPr>
                      <w:color w:val="auto"/>
                      <w:szCs w:val="21"/>
                    </w:rPr>
                  </w:pPr>
                  <w:r>
                    <w:rPr>
                      <w:color w:val="auto"/>
                      <w:szCs w:val="21"/>
                    </w:rPr>
                    <w:t>60</w:t>
                  </w:r>
                </w:p>
              </w:tc>
              <w:tc>
                <w:tcPr>
                  <w:tcW w:w="574" w:type="pct"/>
                  <w:tcBorders>
                    <w:top w:val="single" w:color="auto" w:sz="6" w:space="0"/>
                    <w:left w:val="single" w:color="auto" w:sz="6" w:space="0"/>
                    <w:bottom w:val="single" w:color="auto" w:sz="6" w:space="0"/>
                    <w:right w:val="single" w:color="auto" w:sz="6" w:space="0"/>
                  </w:tcBorders>
                  <w:noWrap/>
                  <w:vAlign w:val="center"/>
                </w:tcPr>
                <w:p w14:paraId="1DDFBA61">
                  <w:pPr>
                    <w:adjustRightInd w:val="0"/>
                    <w:snapToGrid w:val="0"/>
                    <w:jc w:val="center"/>
                    <w:rPr>
                      <w:rFonts w:hint="default" w:eastAsia="宋体"/>
                      <w:color w:val="auto"/>
                      <w:szCs w:val="21"/>
                      <w:lang w:val="en-US" w:eastAsia="zh-CN"/>
                    </w:rPr>
                  </w:pPr>
                  <w:r>
                    <w:rPr>
                      <w:rFonts w:hint="eastAsia"/>
                      <w:color w:val="auto"/>
                      <w:szCs w:val="21"/>
                      <w:lang w:val="en-US" w:eastAsia="zh-CN"/>
                    </w:rPr>
                    <w:t>13.33</w:t>
                  </w:r>
                </w:p>
              </w:tc>
              <w:tc>
                <w:tcPr>
                  <w:tcW w:w="801" w:type="pct"/>
                  <w:tcBorders>
                    <w:top w:val="single" w:color="auto" w:sz="6" w:space="0"/>
                    <w:left w:val="single" w:color="auto" w:sz="6" w:space="0"/>
                    <w:bottom w:val="single" w:color="auto" w:sz="6" w:space="0"/>
                    <w:right w:val="nil"/>
                  </w:tcBorders>
                  <w:noWrap/>
                  <w:vAlign w:val="center"/>
                </w:tcPr>
                <w:p w14:paraId="31463A1E">
                  <w:pPr>
                    <w:adjustRightInd w:val="0"/>
                    <w:snapToGrid w:val="0"/>
                    <w:jc w:val="center"/>
                    <w:rPr>
                      <w:color w:val="auto"/>
                      <w:szCs w:val="21"/>
                    </w:rPr>
                  </w:pPr>
                  <w:r>
                    <w:rPr>
                      <w:rFonts w:hint="eastAsia"/>
                      <w:color w:val="auto"/>
                      <w:szCs w:val="21"/>
                    </w:rPr>
                    <w:t>达标</w:t>
                  </w:r>
                </w:p>
              </w:tc>
            </w:tr>
            <w:tr w14:paraId="2510D8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60" w:type="pct"/>
                  <w:tcBorders>
                    <w:top w:val="single" w:color="auto" w:sz="6" w:space="0"/>
                    <w:left w:val="nil"/>
                    <w:bottom w:val="single" w:color="auto" w:sz="6" w:space="0"/>
                    <w:right w:val="single" w:color="auto" w:sz="6" w:space="0"/>
                  </w:tcBorders>
                  <w:noWrap/>
                  <w:vAlign w:val="center"/>
                </w:tcPr>
                <w:p w14:paraId="62B6C3AE">
                  <w:pPr>
                    <w:pStyle w:val="90"/>
                    <w:adjustRightInd w:val="0"/>
                    <w:snapToGrid w:val="0"/>
                    <w:jc w:val="center"/>
                    <w:textAlignment w:val="center"/>
                    <w:rPr>
                      <w:rFonts w:ascii="Times New Roman" w:hAnsi="Times New Roman" w:cs="Times New Roman"/>
                      <w:color w:val="auto"/>
                      <w:kern w:val="2"/>
                      <w:sz w:val="21"/>
                    </w:rPr>
                  </w:pPr>
                  <w:r>
                    <w:rPr>
                      <w:rFonts w:ascii="Times New Roman" w:hAnsi="Times New Roman" w:cs="Times New Roman"/>
                      <w:color w:val="auto"/>
                      <w:kern w:val="2"/>
                      <w:sz w:val="21"/>
                    </w:rPr>
                    <w:t>CO</w:t>
                  </w:r>
                </w:p>
              </w:tc>
              <w:tc>
                <w:tcPr>
                  <w:tcW w:w="1532" w:type="pct"/>
                  <w:tcBorders>
                    <w:top w:val="single" w:color="auto" w:sz="6" w:space="0"/>
                    <w:left w:val="single" w:color="auto" w:sz="6" w:space="0"/>
                    <w:bottom w:val="single" w:color="auto" w:sz="6" w:space="0"/>
                    <w:right w:val="single" w:color="auto" w:sz="6" w:space="0"/>
                  </w:tcBorders>
                  <w:noWrap/>
                  <w:vAlign w:val="center"/>
                </w:tcPr>
                <w:p w14:paraId="245AA93C">
                  <w:pPr>
                    <w:adjustRightInd w:val="0"/>
                    <w:snapToGrid w:val="0"/>
                    <w:jc w:val="center"/>
                    <w:rPr>
                      <w:color w:val="auto"/>
                      <w:szCs w:val="21"/>
                    </w:rPr>
                  </w:pPr>
                  <w:r>
                    <w:rPr>
                      <w:color w:val="auto"/>
                      <w:szCs w:val="21"/>
                    </w:rPr>
                    <w:t>日均值第95百分位浓度</w:t>
                  </w:r>
                </w:p>
              </w:tc>
              <w:tc>
                <w:tcPr>
                  <w:tcW w:w="721" w:type="pct"/>
                  <w:tcBorders>
                    <w:top w:val="single" w:color="auto" w:sz="6" w:space="0"/>
                    <w:left w:val="single" w:color="auto" w:sz="6" w:space="0"/>
                    <w:bottom w:val="single" w:color="auto" w:sz="6" w:space="0"/>
                    <w:right w:val="single" w:color="auto" w:sz="6" w:space="0"/>
                  </w:tcBorders>
                  <w:noWrap/>
                  <w:vAlign w:val="center"/>
                </w:tcPr>
                <w:p w14:paraId="5FBFA860">
                  <w:pPr>
                    <w:adjustRightInd w:val="0"/>
                    <w:snapToGrid w:val="0"/>
                    <w:jc w:val="center"/>
                    <w:rPr>
                      <w:rFonts w:hint="default" w:eastAsia="宋体"/>
                      <w:color w:val="auto"/>
                      <w:szCs w:val="21"/>
                      <w:lang w:val="en-US" w:eastAsia="zh-CN"/>
                    </w:rPr>
                  </w:pPr>
                  <w:r>
                    <w:rPr>
                      <w:rFonts w:hint="eastAsia"/>
                      <w:color w:val="auto"/>
                      <w:szCs w:val="21"/>
                      <w:lang w:val="en-US" w:eastAsia="zh-CN"/>
                    </w:rPr>
                    <w:t>1000</w:t>
                  </w:r>
                </w:p>
              </w:tc>
              <w:tc>
                <w:tcPr>
                  <w:tcW w:w="809" w:type="pct"/>
                  <w:tcBorders>
                    <w:top w:val="single" w:color="auto" w:sz="6" w:space="0"/>
                    <w:left w:val="single" w:color="auto" w:sz="6" w:space="0"/>
                    <w:bottom w:val="single" w:color="auto" w:sz="6" w:space="0"/>
                    <w:right w:val="single" w:color="auto" w:sz="6" w:space="0"/>
                  </w:tcBorders>
                  <w:noWrap/>
                  <w:vAlign w:val="center"/>
                </w:tcPr>
                <w:p w14:paraId="707A6847">
                  <w:pPr>
                    <w:adjustRightInd w:val="0"/>
                    <w:snapToGrid w:val="0"/>
                    <w:jc w:val="center"/>
                    <w:rPr>
                      <w:color w:val="auto"/>
                      <w:szCs w:val="21"/>
                    </w:rPr>
                  </w:pPr>
                  <w:r>
                    <w:rPr>
                      <w:color w:val="auto"/>
                      <w:szCs w:val="21"/>
                    </w:rPr>
                    <w:t>4000</w:t>
                  </w:r>
                </w:p>
              </w:tc>
              <w:tc>
                <w:tcPr>
                  <w:tcW w:w="574" w:type="pct"/>
                  <w:tcBorders>
                    <w:top w:val="single" w:color="auto" w:sz="6" w:space="0"/>
                    <w:left w:val="single" w:color="auto" w:sz="6" w:space="0"/>
                    <w:bottom w:val="single" w:color="auto" w:sz="6" w:space="0"/>
                    <w:right w:val="single" w:color="auto" w:sz="6" w:space="0"/>
                  </w:tcBorders>
                  <w:noWrap/>
                  <w:vAlign w:val="center"/>
                </w:tcPr>
                <w:p w14:paraId="08B4A298">
                  <w:pPr>
                    <w:adjustRightInd w:val="0"/>
                    <w:snapToGrid w:val="0"/>
                    <w:jc w:val="center"/>
                    <w:rPr>
                      <w:rFonts w:hint="default" w:eastAsia="宋体"/>
                      <w:color w:val="auto"/>
                      <w:szCs w:val="21"/>
                      <w:lang w:val="en-US" w:eastAsia="zh-CN"/>
                    </w:rPr>
                  </w:pPr>
                  <w:r>
                    <w:rPr>
                      <w:rFonts w:hint="eastAsia"/>
                      <w:color w:val="auto"/>
                      <w:szCs w:val="21"/>
                      <w:lang w:val="en-US" w:eastAsia="zh-CN"/>
                    </w:rPr>
                    <w:t>25</w:t>
                  </w:r>
                </w:p>
              </w:tc>
              <w:tc>
                <w:tcPr>
                  <w:tcW w:w="801" w:type="pct"/>
                  <w:tcBorders>
                    <w:top w:val="single" w:color="auto" w:sz="6" w:space="0"/>
                    <w:left w:val="single" w:color="auto" w:sz="6" w:space="0"/>
                    <w:bottom w:val="single" w:color="auto" w:sz="6" w:space="0"/>
                    <w:right w:val="nil"/>
                  </w:tcBorders>
                  <w:noWrap/>
                  <w:vAlign w:val="center"/>
                </w:tcPr>
                <w:p w14:paraId="40483E3E">
                  <w:pPr>
                    <w:adjustRightInd w:val="0"/>
                    <w:snapToGrid w:val="0"/>
                    <w:jc w:val="center"/>
                    <w:rPr>
                      <w:color w:val="auto"/>
                      <w:szCs w:val="21"/>
                    </w:rPr>
                  </w:pPr>
                  <w:r>
                    <w:rPr>
                      <w:rFonts w:hint="eastAsia"/>
                      <w:color w:val="auto"/>
                      <w:szCs w:val="21"/>
                    </w:rPr>
                    <w:t>达标</w:t>
                  </w:r>
                </w:p>
              </w:tc>
            </w:tr>
            <w:tr w14:paraId="0132888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60" w:type="pct"/>
                  <w:tcBorders>
                    <w:top w:val="single" w:color="auto" w:sz="6" w:space="0"/>
                    <w:left w:val="nil"/>
                    <w:bottom w:val="single" w:color="auto" w:sz="12" w:space="0"/>
                    <w:right w:val="single" w:color="auto" w:sz="6" w:space="0"/>
                  </w:tcBorders>
                  <w:noWrap/>
                  <w:vAlign w:val="center"/>
                </w:tcPr>
                <w:p w14:paraId="65135F5C">
                  <w:pPr>
                    <w:pStyle w:val="90"/>
                    <w:adjustRightInd w:val="0"/>
                    <w:snapToGrid w:val="0"/>
                    <w:jc w:val="center"/>
                    <w:textAlignment w:val="center"/>
                    <w:rPr>
                      <w:rFonts w:ascii="Times New Roman" w:hAnsi="Times New Roman" w:cs="Times New Roman"/>
                      <w:color w:val="auto"/>
                      <w:kern w:val="2"/>
                      <w:sz w:val="21"/>
                    </w:rPr>
                  </w:pPr>
                  <w:r>
                    <w:rPr>
                      <w:rFonts w:ascii="Times New Roman" w:hAnsi="Times New Roman" w:cs="Times New Roman"/>
                      <w:color w:val="auto"/>
                      <w:kern w:val="2"/>
                      <w:sz w:val="21"/>
                    </w:rPr>
                    <w:t>O</w:t>
                  </w:r>
                  <w:r>
                    <w:rPr>
                      <w:rFonts w:ascii="Times New Roman" w:hAnsi="Times New Roman" w:cs="Times New Roman"/>
                      <w:color w:val="auto"/>
                      <w:kern w:val="2"/>
                      <w:sz w:val="21"/>
                      <w:vertAlign w:val="subscript"/>
                    </w:rPr>
                    <w:t>3</w:t>
                  </w:r>
                </w:p>
              </w:tc>
              <w:tc>
                <w:tcPr>
                  <w:tcW w:w="1532" w:type="pct"/>
                  <w:tcBorders>
                    <w:top w:val="single" w:color="auto" w:sz="6" w:space="0"/>
                    <w:left w:val="single" w:color="auto" w:sz="6" w:space="0"/>
                    <w:bottom w:val="single" w:color="auto" w:sz="12" w:space="0"/>
                    <w:right w:val="single" w:color="auto" w:sz="6" w:space="0"/>
                  </w:tcBorders>
                  <w:noWrap/>
                  <w:vAlign w:val="center"/>
                </w:tcPr>
                <w:p w14:paraId="268E1BFA">
                  <w:pPr>
                    <w:adjustRightInd w:val="0"/>
                    <w:snapToGrid w:val="0"/>
                    <w:jc w:val="center"/>
                    <w:rPr>
                      <w:color w:val="auto"/>
                      <w:szCs w:val="21"/>
                    </w:rPr>
                  </w:pPr>
                  <w:r>
                    <w:rPr>
                      <w:color w:val="auto"/>
                      <w:szCs w:val="21"/>
                    </w:rPr>
                    <w:t>日最大8小时平均值</w:t>
                  </w:r>
                </w:p>
                <w:p w14:paraId="0FD8C90D">
                  <w:pPr>
                    <w:adjustRightInd w:val="0"/>
                    <w:snapToGrid w:val="0"/>
                    <w:jc w:val="center"/>
                    <w:rPr>
                      <w:color w:val="auto"/>
                      <w:szCs w:val="21"/>
                    </w:rPr>
                  </w:pPr>
                  <w:r>
                    <w:rPr>
                      <w:color w:val="auto"/>
                      <w:szCs w:val="21"/>
                    </w:rPr>
                    <w:t>第90百分位浓度</w:t>
                  </w:r>
                </w:p>
              </w:tc>
              <w:tc>
                <w:tcPr>
                  <w:tcW w:w="721" w:type="pct"/>
                  <w:tcBorders>
                    <w:top w:val="single" w:color="auto" w:sz="6" w:space="0"/>
                    <w:left w:val="single" w:color="auto" w:sz="6" w:space="0"/>
                    <w:bottom w:val="single" w:color="auto" w:sz="12" w:space="0"/>
                    <w:right w:val="single" w:color="auto" w:sz="6" w:space="0"/>
                  </w:tcBorders>
                  <w:noWrap/>
                  <w:vAlign w:val="center"/>
                </w:tcPr>
                <w:p w14:paraId="54D1A71A">
                  <w:pPr>
                    <w:adjustRightInd w:val="0"/>
                    <w:snapToGrid w:val="0"/>
                    <w:jc w:val="center"/>
                    <w:rPr>
                      <w:rFonts w:hint="default" w:eastAsia="宋体"/>
                      <w:color w:val="auto"/>
                      <w:szCs w:val="21"/>
                      <w:lang w:val="en-US" w:eastAsia="zh-CN"/>
                    </w:rPr>
                  </w:pPr>
                  <w:r>
                    <w:rPr>
                      <w:rFonts w:hint="eastAsia"/>
                      <w:color w:val="auto"/>
                      <w:szCs w:val="21"/>
                      <w:lang w:val="en-US" w:eastAsia="zh-CN"/>
                    </w:rPr>
                    <w:t>90</w:t>
                  </w:r>
                </w:p>
              </w:tc>
              <w:tc>
                <w:tcPr>
                  <w:tcW w:w="809" w:type="pct"/>
                  <w:tcBorders>
                    <w:top w:val="single" w:color="auto" w:sz="6" w:space="0"/>
                    <w:left w:val="single" w:color="auto" w:sz="6" w:space="0"/>
                    <w:bottom w:val="single" w:color="auto" w:sz="12" w:space="0"/>
                    <w:right w:val="single" w:color="auto" w:sz="6" w:space="0"/>
                  </w:tcBorders>
                  <w:noWrap/>
                  <w:vAlign w:val="center"/>
                </w:tcPr>
                <w:p w14:paraId="57ED7AB2">
                  <w:pPr>
                    <w:adjustRightInd w:val="0"/>
                    <w:snapToGrid w:val="0"/>
                    <w:jc w:val="center"/>
                    <w:rPr>
                      <w:color w:val="auto"/>
                      <w:szCs w:val="21"/>
                    </w:rPr>
                  </w:pPr>
                  <w:r>
                    <w:rPr>
                      <w:color w:val="auto"/>
                      <w:szCs w:val="21"/>
                    </w:rPr>
                    <w:t>160</w:t>
                  </w:r>
                </w:p>
              </w:tc>
              <w:tc>
                <w:tcPr>
                  <w:tcW w:w="574" w:type="pct"/>
                  <w:tcBorders>
                    <w:top w:val="single" w:color="auto" w:sz="6" w:space="0"/>
                    <w:left w:val="single" w:color="auto" w:sz="6" w:space="0"/>
                    <w:bottom w:val="single" w:color="auto" w:sz="12" w:space="0"/>
                    <w:right w:val="single" w:color="auto" w:sz="6" w:space="0"/>
                  </w:tcBorders>
                  <w:noWrap/>
                  <w:vAlign w:val="center"/>
                </w:tcPr>
                <w:p w14:paraId="0ADFE92D">
                  <w:pPr>
                    <w:adjustRightInd w:val="0"/>
                    <w:snapToGrid w:val="0"/>
                    <w:jc w:val="center"/>
                    <w:rPr>
                      <w:rFonts w:hint="default" w:eastAsia="宋体"/>
                      <w:color w:val="auto"/>
                      <w:szCs w:val="21"/>
                      <w:lang w:val="en-US" w:eastAsia="zh-CN"/>
                    </w:rPr>
                  </w:pPr>
                  <w:r>
                    <w:rPr>
                      <w:rFonts w:hint="eastAsia"/>
                      <w:color w:val="auto"/>
                      <w:szCs w:val="21"/>
                      <w:lang w:val="en-US" w:eastAsia="zh-CN"/>
                    </w:rPr>
                    <w:t>56.25</w:t>
                  </w:r>
                </w:p>
              </w:tc>
              <w:tc>
                <w:tcPr>
                  <w:tcW w:w="801" w:type="pct"/>
                  <w:tcBorders>
                    <w:top w:val="single" w:color="auto" w:sz="6" w:space="0"/>
                    <w:left w:val="single" w:color="auto" w:sz="6" w:space="0"/>
                    <w:bottom w:val="single" w:color="auto" w:sz="12" w:space="0"/>
                    <w:right w:val="nil"/>
                  </w:tcBorders>
                  <w:noWrap/>
                  <w:vAlign w:val="center"/>
                </w:tcPr>
                <w:p w14:paraId="621AC427">
                  <w:pPr>
                    <w:adjustRightInd w:val="0"/>
                    <w:snapToGrid w:val="0"/>
                    <w:jc w:val="center"/>
                    <w:rPr>
                      <w:color w:val="auto"/>
                      <w:szCs w:val="21"/>
                    </w:rPr>
                  </w:pPr>
                  <w:r>
                    <w:rPr>
                      <w:rFonts w:hint="eastAsia"/>
                      <w:color w:val="auto"/>
                      <w:szCs w:val="21"/>
                    </w:rPr>
                    <w:t>达标</w:t>
                  </w:r>
                </w:p>
              </w:tc>
            </w:tr>
          </w:tbl>
          <w:p w14:paraId="6BF97249">
            <w:pPr>
              <w:snapToGrid w:val="0"/>
              <w:spacing w:line="360" w:lineRule="auto"/>
              <w:ind w:firstLine="480" w:firstLineChars="200"/>
              <w:rPr>
                <w:rFonts w:hAnsi="宋体"/>
                <w:color w:val="auto"/>
                <w:sz w:val="24"/>
                <w:lang w:val="en-GB"/>
              </w:rPr>
            </w:pPr>
            <w:r>
              <w:rPr>
                <w:rFonts w:hint="eastAsia"/>
                <w:color w:val="auto"/>
                <w:kern w:val="2"/>
                <w:sz w:val="24"/>
                <w:szCs w:val="32"/>
                <w:lang w:val="en-US" w:eastAsia="zh-CN"/>
              </w:rPr>
              <w:t>根据《2024年黑龙江省生态环境质量状况》，本项目区域为环境空气质量达标区。</w:t>
            </w:r>
          </w:p>
          <w:p w14:paraId="204736A4">
            <w:pPr>
              <w:snapToGrid w:val="0"/>
              <w:spacing w:line="360" w:lineRule="auto"/>
              <w:ind w:firstLine="480" w:firstLineChars="200"/>
              <w:rPr>
                <w:snapToGrid w:val="0"/>
                <w:color w:val="auto"/>
                <w:sz w:val="24"/>
                <w:lang w:val="en-GB"/>
              </w:rPr>
            </w:pPr>
            <w:r>
              <w:rPr>
                <w:snapToGrid w:val="0"/>
                <w:color w:val="auto"/>
                <w:sz w:val="24"/>
                <w:lang w:val="en-GB"/>
              </w:rPr>
              <w:t>（2）其他污染物</w:t>
            </w:r>
          </w:p>
          <w:p w14:paraId="0138930E">
            <w:pPr>
              <w:snapToGrid w:val="0"/>
              <w:spacing w:line="360" w:lineRule="auto"/>
              <w:ind w:firstLine="480" w:firstLineChars="200"/>
              <w:rPr>
                <w:snapToGrid w:val="0"/>
                <w:color w:val="auto"/>
                <w:sz w:val="24"/>
                <w:lang w:val="en-GB"/>
              </w:rPr>
            </w:pPr>
            <w:r>
              <w:rPr>
                <w:snapToGrid w:val="0"/>
                <w:color w:val="auto"/>
                <w:sz w:val="24"/>
                <w:lang w:val="en-GB"/>
              </w:rPr>
              <w:t>本项目特征污染物为TSP，项目委托</w:t>
            </w:r>
            <w:r>
              <w:rPr>
                <w:rFonts w:hint="eastAsia"/>
                <w:snapToGrid w:val="0"/>
                <w:color w:val="auto"/>
                <w:sz w:val="24"/>
                <w:lang w:val="en-GB"/>
              </w:rPr>
              <w:t>黑龙江</w:t>
            </w:r>
            <w:r>
              <w:rPr>
                <w:rFonts w:hint="eastAsia"/>
                <w:snapToGrid w:val="0"/>
                <w:color w:val="auto"/>
                <w:sz w:val="24"/>
                <w:lang w:val="en-US" w:eastAsia="zh-CN"/>
              </w:rPr>
              <w:t>汇川检测</w:t>
            </w:r>
            <w:r>
              <w:rPr>
                <w:rFonts w:hint="eastAsia"/>
                <w:snapToGrid w:val="0"/>
                <w:color w:val="auto"/>
                <w:sz w:val="24"/>
                <w:lang w:val="en-GB"/>
              </w:rPr>
              <w:t>有限公司</w:t>
            </w:r>
            <w:r>
              <w:rPr>
                <w:snapToGrid w:val="0"/>
                <w:color w:val="auto"/>
                <w:sz w:val="24"/>
                <w:lang w:val="en-GB"/>
              </w:rPr>
              <w:t>对特征污染TSP进行监测，监测时间为202</w:t>
            </w:r>
            <w:r>
              <w:rPr>
                <w:rFonts w:hint="eastAsia"/>
                <w:snapToGrid w:val="0"/>
                <w:color w:val="auto"/>
                <w:sz w:val="24"/>
                <w:lang w:val="en-US" w:eastAsia="zh-CN"/>
              </w:rPr>
              <w:t>5</w:t>
            </w:r>
            <w:r>
              <w:rPr>
                <w:snapToGrid w:val="0"/>
                <w:color w:val="auto"/>
                <w:sz w:val="24"/>
                <w:lang w:val="en-GB"/>
              </w:rPr>
              <w:t>年</w:t>
            </w:r>
            <w:r>
              <w:rPr>
                <w:rFonts w:hint="eastAsia"/>
                <w:snapToGrid w:val="0"/>
                <w:color w:val="auto"/>
                <w:sz w:val="24"/>
                <w:lang w:val="en-US" w:eastAsia="zh-CN"/>
              </w:rPr>
              <w:t>10</w:t>
            </w:r>
            <w:r>
              <w:rPr>
                <w:snapToGrid w:val="0"/>
                <w:color w:val="auto"/>
                <w:sz w:val="24"/>
                <w:lang w:val="en-GB"/>
              </w:rPr>
              <w:t>月</w:t>
            </w:r>
            <w:r>
              <w:rPr>
                <w:rFonts w:hint="eastAsia"/>
                <w:snapToGrid w:val="0"/>
                <w:color w:val="auto"/>
                <w:sz w:val="24"/>
              </w:rPr>
              <w:t>2</w:t>
            </w:r>
            <w:r>
              <w:rPr>
                <w:rFonts w:hint="eastAsia"/>
                <w:snapToGrid w:val="0"/>
                <w:color w:val="auto"/>
                <w:sz w:val="24"/>
                <w:lang w:val="en-US" w:eastAsia="zh-CN"/>
              </w:rPr>
              <w:t>1</w:t>
            </w:r>
            <w:r>
              <w:rPr>
                <w:snapToGrid w:val="0"/>
                <w:color w:val="auto"/>
                <w:sz w:val="24"/>
                <w:lang w:val="en-GB"/>
              </w:rPr>
              <w:t>日—</w:t>
            </w:r>
            <w:r>
              <w:rPr>
                <w:rFonts w:hint="eastAsia"/>
                <w:snapToGrid w:val="0"/>
                <w:color w:val="auto"/>
                <w:sz w:val="24"/>
                <w:lang w:val="en-US" w:eastAsia="zh-CN"/>
              </w:rPr>
              <w:t>10</w:t>
            </w:r>
            <w:r>
              <w:rPr>
                <w:snapToGrid w:val="0"/>
                <w:color w:val="auto"/>
                <w:sz w:val="24"/>
                <w:lang w:val="en-GB"/>
              </w:rPr>
              <w:t>月</w:t>
            </w:r>
            <w:r>
              <w:rPr>
                <w:rFonts w:hint="eastAsia"/>
                <w:snapToGrid w:val="0"/>
                <w:color w:val="auto"/>
                <w:sz w:val="24"/>
              </w:rPr>
              <w:t>2</w:t>
            </w:r>
            <w:r>
              <w:rPr>
                <w:rFonts w:hint="eastAsia"/>
                <w:snapToGrid w:val="0"/>
                <w:color w:val="auto"/>
                <w:sz w:val="24"/>
                <w:lang w:val="en-US" w:eastAsia="zh-CN"/>
              </w:rPr>
              <w:t>5</w:t>
            </w:r>
            <w:r>
              <w:rPr>
                <w:snapToGrid w:val="0"/>
                <w:color w:val="auto"/>
                <w:sz w:val="24"/>
                <w:lang w:val="en-GB"/>
              </w:rPr>
              <w:t>日对项目所在区域进行监测，TSP</w:t>
            </w:r>
            <w:r>
              <w:rPr>
                <w:rFonts w:hint="eastAsia"/>
                <w:snapToGrid w:val="0"/>
                <w:color w:val="auto"/>
                <w:sz w:val="24"/>
                <w:lang w:val="en-GB"/>
              </w:rPr>
              <w:t>连续监测</w:t>
            </w:r>
            <w:r>
              <w:rPr>
                <w:rFonts w:hint="eastAsia"/>
                <w:snapToGrid w:val="0"/>
                <w:color w:val="auto"/>
                <w:sz w:val="24"/>
              </w:rPr>
              <w:t>3天，每天</w:t>
            </w:r>
            <w:r>
              <w:rPr>
                <w:snapToGrid w:val="0"/>
                <w:color w:val="auto"/>
                <w:sz w:val="24"/>
                <w:lang w:val="en-GB"/>
              </w:rPr>
              <w:t>监测日均值。在本项目</w:t>
            </w:r>
            <w:r>
              <w:rPr>
                <w:rFonts w:hint="eastAsia"/>
                <w:snapToGrid w:val="0"/>
                <w:color w:val="auto"/>
                <w:sz w:val="24"/>
              </w:rPr>
              <w:t>厂界</w:t>
            </w:r>
            <w:r>
              <w:rPr>
                <w:snapToGrid w:val="0"/>
                <w:color w:val="auto"/>
                <w:sz w:val="24"/>
                <w:lang w:val="en-GB"/>
              </w:rPr>
              <w:t>下风向</w:t>
            </w:r>
            <w:r>
              <w:rPr>
                <w:rFonts w:hint="eastAsia"/>
                <w:snapToGrid w:val="0"/>
                <w:color w:val="auto"/>
                <w:sz w:val="24"/>
              </w:rPr>
              <w:t>15m</w:t>
            </w:r>
            <w:r>
              <w:rPr>
                <w:snapToGrid w:val="0"/>
                <w:color w:val="auto"/>
                <w:sz w:val="24"/>
                <w:lang w:val="en-GB"/>
              </w:rPr>
              <w:t>处布设1个检测点位，监测点位见下图。</w:t>
            </w:r>
          </w:p>
          <w:p w14:paraId="3136244E">
            <w:pPr>
              <w:pStyle w:val="33"/>
              <w:tabs>
                <w:tab w:val="right" w:leader="dot" w:pos="8296"/>
              </w:tabs>
              <w:spacing w:line="240" w:lineRule="auto"/>
              <w:ind w:firstLine="0" w:firstLineChars="0"/>
              <w:jc w:val="center"/>
              <w:rPr>
                <w:rFonts w:eastAsia="仿宋"/>
                <w:color w:val="auto"/>
                <w:lang w:val="en-GB"/>
              </w:rPr>
            </w:pPr>
            <w:r>
              <w:rPr>
                <w:color w:val="auto"/>
              </w:rPr>
              <w:drawing>
                <wp:inline distT="0" distB="0" distL="114300" distR="114300">
                  <wp:extent cx="3561080" cy="4781550"/>
                  <wp:effectExtent l="0" t="0" r="1270" b="0"/>
                  <wp:docPr id="5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
                          <pic:cNvPicPr>
                            <a:picLocks noChangeAspect="1"/>
                          </pic:cNvPicPr>
                        </pic:nvPicPr>
                        <pic:blipFill>
                          <a:blip r:embed="rId13"/>
                          <a:stretch>
                            <a:fillRect/>
                          </a:stretch>
                        </pic:blipFill>
                        <pic:spPr>
                          <a:xfrm>
                            <a:off x="0" y="0"/>
                            <a:ext cx="3561080" cy="4781550"/>
                          </a:xfrm>
                          <a:prstGeom prst="rect">
                            <a:avLst/>
                          </a:prstGeom>
                          <a:noFill/>
                          <a:ln>
                            <a:noFill/>
                          </a:ln>
                        </pic:spPr>
                      </pic:pic>
                    </a:graphicData>
                  </a:graphic>
                </wp:inline>
              </w:drawing>
            </w:r>
          </w:p>
          <w:p w14:paraId="32A8787A">
            <w:pPr>
              <w:snapToGrid w:val="0"/>
              <w:ind w:firstLine="422" w:firstLineChars="200"/>
              <w:jc w:val="center"/>
              <w:rPr>
                <w:b/>
                <w:bCs/>
                <w:color w:val="auto"/>
                <w:szCs w:val="21"/>
              </w:rPr>
            </w:pPr>
            <w:r>
              <w:rPr>
                <w:b/>
                <w:bCs/>
                <w:color w:val="auto"/>
                <w:szCs w:val="21"/>
              </w:rPr>
              <w:t>图</w:t>
            </w:r>
            <w:r>
              <w:rPr>
                <w:rFonts w:hint="eastAsia"/>
                <w:b/>
                <w:bCs/>
                <w:color w:val="auto"/>
                <w:szCs w:val="21"/>
              </w:rPr>
              <w:t>3-</w:t>
            </w:r>
            <w:r>
              <w:rPr>
                <w:b/>
                <w:bCs/>
                <w:color w:val="auto"/>
                <w:szCs w:val="21"/>
              </w:rPr>
              <w:t xml:space="preserve">1 </w:t>
            </w:r>
            <w:r>
              <w:rPr>
                <w:rFonts w:hint="eastAsia"/>
                <w:b/>
                <w:bCs/>
                <w:color w:val="auto"/>
                <w:szCs w:val="21"/>
              </w:rPr>
              <w:t xml:space="preserve"> </w:t>
            </w:r>
            <w:r>
              <w:rPr>
                <w:b/>
                <w:bCs/>
                <w:color w:val="auto"/>
                <w:szCs w:val="21"/>
              </w:rPr>
              <w:t>大气现状监测图</w:t>
            </w:r>
          </w:p>
          <w:p w14:paraId="22713581">
            <w:pPr>
              <w:snapToGrid w:val="0"/>
              <w:spacing w:line="360" w:lineRule="auto"/>
              <w:ind w:firstLine="480" w:firstLineChars="200"/>
              <w:rPr>
                <w:color w:val="auto"/>
                <w:sz w:val="24"/>
              </w:rPr>
            </w:pPr>
            <w:r>
              <w:rPr>
                <w:color w:val="auto"/>
                <w:sz w:val="24"/>
              </w:rPr>
              <w:t>监测结果及监测方法见下表</w:t>
            </w:r>
            <w:r>
              <w:rPr>
                <w:rFonts w:hint="eastAsia"/>
                <w:color w:val="auto"/>
                <w:sz w:val="24"/>
              </w:rPr>
              <w:t>。</w:t>
            </w:r>
          </w:p>
          <w:p w14:paraId="04201A6F">
            <w:pPr>
              <w:wordWrap w:val="0"/>
              <w:snapToGrid w:val="0"/>
              <w:jc w:val="center"/>
              <w:rPr>
                <w:b/>
                <w:bCs/>
                <w:color w:val="auto"/>
                <w:szCs w:val="21"/>
              </w:rPr>
            </w:pPr>
            <w:r>
              <w:rPr>
                <w:b/>
                <w:bCs/>
                <w:color w:val="auto"/>
                <w:szCs w:val="21"/>
              </w:rPr>
              <w:t>表3-</w:t>
            </w:r>
            <w:r>
              <w:rPr>
                <w:rFonts w:hint="eastAsia"/>
                <w:b/>
                <w:bCs/>
                <w:color w:val="auto"/>
                <w:szCs w:val="21"/>
              </w:rPr>
              <w:t xml:space="preserve">2  </w:t>
            </w:r>
            <w:r>
              <w:rPr>
                <w:b/>
                <w:bCs/>
                <w:color w:val="auto"/>
                <w:szCs w:val="21"/>
              </w:rPr>
              <w:t>检测方法</w:t>
            </w:r>
          </w:p>
          <w:tbl>
            <w:tblPr>
              <w:tblStyle w:val="3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43"/>
              <w:gridCol w:w="6805"/>
            </w:tblGrid>
            <w:tr w14:paraId="6C9FBE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exact"/>
                <w:tblHeader/>
                <w:jc w:val="center"/>
              </w:trPr>
              <w:tc>
                <w:tcPr>
                  <w:tcW w:w="824" w:type="pct"/>
                  <w:vAlign w:val="center"/>
                </w:tcPr>
                <w:p w14:paraId="5A14971B">
                  <w:pPr>
                    <w:snapToGrid w:val="0"/>
                    <w:jc w:val="center"/>
                    <w:rPr>
                      <w:color w:val="auto"/>
                      <w:szCs w:val="21"/>
                    </w:rPr>
                  </w:pPr>
                  <w:r>
                    <w:rPr>
                      <w:color w:val="auto"/>
                      <w:szCs w:val="21"/>
                    </w:rPr>
                    <w:t>检测项目</w:t>
                  </w:r>
                </w:p>
              </w:tc>
              <w:tc>
                <w:tcPr>
                  <w:tcW w:w="4175" w:type="pct"/>
                  <w:vAlign w:val="center"/>
                </w:tcPr>
                <w:p w14:paraId="4C2B7ECC">
                  <w:pPr>
                    <w:snapToGrid w:val="0"/>
                    <w:jc w:val="center"/>
                    <w:rPr>
                      <w:color w:val="auto"/>
                      <w:szCs w:val="21"/>
                    </w:rPr>
                  </w:pPr>
                  <w:r>
                    <w:rPr>
                      <w:color w:val="auto"/>
                      <w:szCs w:val="21"/>
                    </w:rPr>
                    <w:t>检测方法</w:t>
                  </w:r>
                </w:p>
              </w:tc>
            </w:tr>
            <w:tr w14:paraId="797AB1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1" w:hRule="exact"/>
                <w:jc w:val="center"/>
              </w:trPr>
              <w:tc>
                <w:tcPr>
                  <w:tcW w:w="824" w:type="pct"/>
                  <w:vAlign w:val="center"/>
                </w:tcPr>
                <w:p w14:paraId="775E62DB">
                  <w:pPr>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TSP</w:t>
                  </w:r>
                </w:p>
              </w:tc>
              <w:tc>
                <w:tcPr>
                  <w:tcW w:w="4175" w:type="pct"/>
                  <w:vAlign w:val="center"/>
                </w:tcPr>
                <w:p w14:paraId="1F649A3D">
                  <w:pPr>
                    <w:snapToGrid w:val="0"/>
                    <w:jc w:val="center"/>
                    <w:rPr>
                      <w:color w:val="auto"/>
                      <w:szCs w:val="21"/>
                    </w:rPr>
                  </w:pPr>
                  <w:r>
                    <w:rPr>
                      <w:rFonts w:hint="eastAsia"/>
                      <w:color w:val="auto"/>
                      <w:szCs w:val="21"/>
                    </w:rPr>
                    <w:t>《</w:t>
                  </w:r>
                  <w:r>
                    <w:rPr>
                      <w:color w:val="auto"/>
                      <w:szCs w:val="21"/>
                    </w:rPr>
                    <w:t>环境空气</w:t>
                  </w:r>
                  <w:r>
                    <w:rPr>
                      <w:rFonts w:hint="eastAsia"/>
                      <w:color w:val="auto"/>
                      <w:szCs w:val="21"/>
                    </w:rPr>
                    <w:t xml:space="preserve"> </w:t>
                  </w:r>
                  <w:r>
                    <w:rPr>
                      <w:color w:val="auto"/>
                      <w:szCs w:val="21"/>
                    </w:rPr>
                    <w:t>总悬浮颗粒物的测定</w:t>
                  </w:r>
                  <w:r>
                    <w:rPr>
                      <w:rFonts w:hint="eastAsia"/>
                      <w:color w:val="auto"/>
                      <w:szCs w:val="21"/>
                    </w:rPr>
                    <w:t xml:space="preserve"> </w:t>
                  </w:r>
                  <w:r>
                    <w:rPr>
                      <w:color w:val="auto"/>
                      <w:szCs w:val="21"/>
                    </w:rPr>
                    <w:t>重量法</w:t>
                  </w:r>
                  <w:r>
                    <w:rPr>
                      <w:rFonts w:hint="eastAsia"/>
                      <w:color w:val="auto"/>
                      <w:szCs w:val="21"/>
                    </w:rPr>
                    <w:t>》（</w:t>
                  </w:r>
                  <w:r>
                    <w:rPr>
                      <w:color w:val="auto"/>
                      <w:szCs w:val="21"/>
                    </w:rPr>
                    <w:t>GB/T 15432-1995及修改单</w:t>
                  </w:r>
                  <w:r>
                    <w:rPr>
                      <w:rFonts w:hint="eastAsia"/>
                      <w:color w:val="auto"/>
                      <w:szCs w:val="21"/>
                    </w:rPr>
                    <w:t>）</w:t>
                  </w:r>
                </w:p>
              </w:tc>
            </w:tr>
          </w:tbl>
          <w:p w14:paraId="3FDB2B7C">
            <w:pPr>
              <w:wordWrap w:val="0"/>
              <w:snapToGrid w:val="0"/>
              <w:jc w:val="center"/>
              <w:rPr>
                <w:b/>
                <w:bCs/>
                <w:color w:val="auto"/>
                <w:szCs w:val="21"/>
              </w:rPr>
            </w:pPr>
            <w:r>
              <w:rPr>
                <w:b/>
                <w:bCs/>
                <w:color w:val="auto"/>
                <w:szCs w:val="21"/>
              </w:rPr>
              <w:t>表3-</w:t>
            </w:r>
            <w:r>
              <w:rPr>
                <w:rFonts w:hint="eastAsia"/>
                <w:b/>
                <w:bCs/>
                <w:color w:val="auto"/>
                <w:szCs w:val="21"/>
              </w:rPr>
              <w:t>3</w:t>
            </w:r>
            <w:r>
              <w:rPr>
                <w:b/>
                <w:bCs/>
                <w:color w:val="auto"/>
                <w:szCs w:val="21"/>
              </w:rPr>
              <w:t xml:space="preserve">  其他污染物监测结果</w:t>
            </w:r>
          </w:p>
          <w:tbl>
            <w:tblPr>
              <w:tblStyle w:val="39"/>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108" w:type="dxa"/>
                <w:bottom w:w="0" w:type="dxa"/>
                <w:right w:w="108" w:type="dxa"/>
              </w:tblCellMar>
            </w:tblPr>
            <w:tblGrid>
              <w:gridCol w:w="1094"/>
              <w:gridCol w:w="1120"/>
              <w:gridCol w:w="1381"/>
              <w:gridCol w:w="1652"/>
              <w:gridCol w:w="1079"/>
              <w:gridCol w:w="983"/>
              <w:gridCol w:w="839"/>
            </w:tblGrid>
            <w:tr w14:paraId="0C671D39">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413" w:hRule="atLeast"/>
                <w:jc w:val="center"/>
              </w:trPr>
              <w:tc>
                <w:tcPr>
                  <w:tcW w:w="671" w:type="pct"/>
                  <w:vMerge w:val="restart"/>
                  <w:vAlign w:val="center"/>
                </w:tcPr>
                <w:p w14:paraId="59F890E5">
                  <w:pPr>
                    <w:snapToGrid w:val="0"/>
                    <w:jc w:val="center"/>
                    <w:rPr>
                      <w:color w:val="auto"/>
                      <w:sz w:val="22"/>
                      <w:szCs w:val="22"/>
                    </w:rPr>
                  </w:pPr>
                  <w:r>
                    <w:rPr>
                      <w:color w:val="auto"/>
                      <w:sz w:val="22"/>
                      <w:szCs w:val="22"/>
                    </w:rPr>
                    <w:t>名称</w:t>
                  </w:r>
                </w:p>
              </w:tc>
              <w:tc>
                <w:tcPr>
                  <w:tcW w:w="687" w:type="pct"/>
                  <w:vMerge w:val="restart"/>
                  <w:vAlign w:val="center"/>
                </w:tcPr>
                <w:p w14:paraId="4074CB16">
                  <w:pPr>
                    <w:snapToGrid w:val="0"/>
                    <w:jc w:val="center"/>
                    <w:rPr>
                      <w:color w:val="auto"/>
                      <w:sz w:val="22"/>
                      <w:szCs w:val="22"/>
                    </w:rPr>
                  </w:pPr>
                  <w:r>
                    <w:rPr>
                      <w:color w:val="auto"/>
                      <w:sz w:val="22"/>
                      <w:szCs w:val="22"/>
                    </w:rPr>
                    <w:t>污染物</w:t>
                  </w:r>
                </w:p>
              </w:tc>
              <w:tc>
                <w:tcPr>
                  <w:tcW w:w="847" w:type="pct"/>
                  <w:vMerge w:val="restart"/>
                  <w:vAlign w:val="center"/>
                </w:tcPr>
                <w:p w14:paraId="55BE6DA6">
                  <w:pPr>
                    <w:snapToGrid w:val="0"/>
                    <w:jc w:val="center"/>
                    <w:rPr>
                      <w:color w:val="auto"/>
                      <w:sz w:val="22"/>
                      <w:szCs w:val="22"/>
                    </w:rPr>
                  </w:pPr>
                  <w:r>
                    <w:rPr>
                      <w:color w:val="auto"/>
                      <w:sz w:val="22"/>
                      <w:szCs w:val="22"/>
                    </w:rPr>
                    <w:t>评价标准（mg/m</w:t>
                  </w:r>
                  <w:r>
                    <w:rPr>
                      <w:color w:val="auto"/>
                      <w:sz w:val="22"/>
                      <w:szCs w:val="22"/>
                      <w:vertAlign w:val="superscript"/>
                    </w:rPr>
                    <w:t>3</w:t>
                  </w:r>
                  <w:r>
                    <w:rPr>
                      <w:color w:val="auto"/>
                      <w:sz w:val="22"/>
                      <w:szCs w:val="22"/>
                    </w:rPr>
                    <w:t>）</w:t>
                  </w:r>
                </w:p>
              </w:tc>
              <w:tc>
                <w:tcPr>
                  <w:tcW w:w="1013" w:type="pct"/>
                  <w:vMerge w:val="restart"/>
                  <w:vAlign w:val="center"/>
                </w:tcPr>
                <w:p w14:paraId="27D9E0FB">
                  <w:pPr>
                    <w:snapToGrid w:val="0"/>
                    <w:jc w:val="center"/>
                    <w:rPr>
                      <w:color w:val="auto"/>
                      <w:sz w:val="22"/>
                      <w:szCs w:val="22"/>
                    </w:rPr>
                  </w:pPr>
                  <w:r>
                    <w:rPr>
                      <w:color w:val="auto"/>
                      <w:sz w:val="22"/>
                      <w:szCs w:val="22"/>
                    </w:rPr>
                    <w:t>浓度范围（mg/m</w:t>
                  </w:r>
                  <w:r>
                    <w:rPr>
                      <w:color w:val="auto"/>
                      <w:sz w:val="22"/>
                      <w:szCs w:val="22"/>
                      <w:vertAlign w:val="superscript"/>
                    </w:rPr>
                    <w:t>3</w:t>
                  </w:r>
                  <w:r>
                    <w:rPr>
                      <w:color w:val="auto"/>
                      <w:sz w:val="22"/>
                      <w:szCs w:val="22"/>
                    </w:rPr>
                    <w:t>）</w:t>
                  </w:r>
                </w:p>
              </w:tc>
              <w:tc>
                <w:tcPr>
                  <w:tcW w:w="662" w:type="pct"/>
                  <w:vMerge w:val="restart"/>
                  <w:vAlign w:val="center"/>
                </w:tcPr>
                <w:p w14:paraId="6A932E7C">
                  <w:pPr>
                    <w:snapToGrid w:val="0"/>
                    <w:jc w:val="center"/>
                    <w:rPr>
                      <w:color w:val="auto"/>
                      <w:sz w:val="22"/>
                      <w:szCs w:val="22"/>
                    </w:rPr>
                  </w:pPr>
                  <w:r>
                    <w:rPr>
                      <w:color w:val="auto"/>
                      <w:sz w:val="22"/>
                      <w:szCs w:val="22"/>
                    </w:rPr>
                    <w:t>最大占标率%</w:t>
                  </w:r>
                </w:p>
              </w:tc>
              <w:tc>
                <w:tcPr>
                  <w:tcW w:w="603" w:type="pct"/>
                  <w:vMerge w:val="restart"/>
                  <w:vAlign w:val="center"/>
                </w:tcPr>
                <w:p w14:paraId="60890669">
                  <w:pPr>
                    <w:snapToGrid w:val="0"/>
                    <w:jc w:val="center"/>
                    <w:rPr>
                      <w:color w:val="auto"/>
                      <w:sz w:val="22"/>
                      <w:szCs w:val="22"/>
                    </w:rPr>
                  </w:pPr>
                  <w:r>
                    <w:rPr>
                      <w:color w:val="auto"/>
                      <w:sz w:val="22"/>
                      <w:szCs w:val="22"/>
                    </w:rPr>
                    <w:t>超标率%</w:t>
                  </w:r>
                </w:p>
              </w:tc>
              <w:tc>
                <w:tcPr>
                  <w:tcW w:w="514" w:type="pct"/>
                  <w:vMerge w:val="restart"/>
                  <w:vAlign w:val="center"/>
                </w:tcPr>
                <w:p w14:paraId="437563F4">
                  <w:pPr>
                    <w:snapToGrid w:val="0"/>
                    <w:jc w:val="center"/>
                    <w:rPr>
                      <w:color w:val="auto"/>
                      <w:sz w:val="22"/>
                      <w:szCs w:val="22"/>
                    </w:rPr>
                  </w:pPr>
                  <w:r>
                    <w:rPr>
                      <w:color w:val="auto"/>
                      <w:sz w:val="22"/>
                      <w:szCs w:val="22"/>
                    </w:rPr>
                    <w:t>达标情况</w:t>
                  </w:r>
                </w:p>
              </w:tc>
            </w:tr>
            <w:tr w14:paraId="6A4FEE90">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98" w:hRule="atLeast"/>
                <w:jc w:val="center"/>
              </w:trPr>
              <w:tc>
                <w:tcPr>
                  <w:tcW w:w="671" w:type="pct"/>
                  <w:vMerge w:val="continue"/>
                  <w:vAlign w:val="center"/>
                </w:tcPr>
                <w:p w14:paraId="52E16B6E">
                  <w:pPr>
                    <w:widowControl/>
                    <w:snapToGrid w:val="0"/>
                    <w:jc w:val="left"/>
                    <w:rPr>
                      <w:color w:val="auto"/>
                      <w:sz w:val="22"/>
                      <w:szCs w:val="22"/>
                    </w:rPr>
                  </w:pPr>
                </w:p>
              </w:tc>
              <w:tc>
                <w:tcPr>
                  <w:tcW w:w="687" w:type="pct"/>
                  <w:vMerge w:val="continue"/>
                  <w:vAlign w:val="center"/>
                </w:tcPr>
                <w:p w14:paraId="4D9EB692">
                  <w:pPr>
                    <w:widowControl/>
                    <w:snapToGrid w:val="0"/>
                    <w:jc w:val="left"/>
                    <w:rPr>
                      <w:color w:val="auto"/>
                      <w:sz w:val="22"/>
                      <w:szCs w:val="22"/>
                    </w:rPr>
                  </w:pPr>
                </w:p>
              </w:tc>
              <w:tc>
                <w:tcPr>
                  <w:tcW w:w="847" w:type="pct"/>
                  <w:vMerge w:val="continue"/>
                  <w:vAlign w:val="center"/>
                </w:tcPr>
                <w:p w14:paraId="08211A2C">
                  <w:pPr>
                    <w:widowControl/>
                    <w:snapToGrid w:val="0"/>
                    <w:jc w:val="left"/>
                    <w:rPr>
                      <w:color w:val="auto"/>
                      <w:sz w:val="22"/>
                      <w:szCs w:val="22"/>
                    </w:rPr>
                  </w:pPr>
                </w:p>
              </w:tc>
              <w:tc>
                <w:tcPr>
                  <w:tcW w:w="1013" w:type="pct"/>
                  <w:vMerge w:val="continue"/>
                  <w:vAlign w:val="center"/>
                </w:tcPr>
                <w:p w14:paraId="544437A2">
                  <w:pPr>
                    <w:widowControl/>
                    <w:snapToGrid w:val="0"/>
                    <w:jc w:val="left"/>
                    <w:rPr>
                      <w:color w:val="auto"/>
                      <w:sz w:val="22"/>
                      <w:szCs w:val="22"/>
                    </w:rPr>
                  </w:pPr>
                </w:p>
              </w:tc>
              <w:tc>
                <w:tcPr>
                  <w:tcW w:w="662" w:type="pct"/>
                  <w:vMerge w:val="continue"/>
                  <w:vAlign w:val="center"/>
                </w:tcPr>
                <w:p w14:paraId="00851CB9">
                  <w:pPr>
                    <w:widowControl/>
                    <w:snapToGrid w:val="0"/>
                    <w:jc w:val="left"/>
                    <w:rPr>
                      <w:color w:val="auto"/>
                      <w:sz w:val="22"/>
                      <w:szCs w:val="22"/>
                    </w:rPr>
                  </w:pPr>
                </w:p>
              </w:tc>
              <w:tc>
                <w:tcPr>
                  <w:tcW w:w="603" w:type="pct"/>
                  <w:vMerge w:val="continue"/>
                  <w:vAlign w:val="center"/>
                </w:tcPr>
                <w:p w14:paraId="23FAE529">
                  <w:pPr>
                    <w:widowControl/>
                    <w:snapToGrid w:val="0"/>
                    <w:jc w:val="left"/>
                    <w:rPr>
                      <w:color w:val="auto"/>
                      <w:sz w:val="22"/>
                      <w:szCs w:val="22"/>
                    </w:rPr>
                  </w:pPr>
                </w:p>
              </w:tc>
              <w:tc>
                <w:tcPr>
                  <w:tcW w:w="514" w:type="pct"/>
                  <w:vMerge w:val="continue"/>
                  <w:vAlign w:val="center"/>
                </w:tcPr>
                <w:p w14:paraId="4BFE13A4">
                  <w:pPr>
                    <w:widowControl/>
                    <w:snapToGrid w:val="0"/>
                    <w:jc w:val="left"/>
                    <w:rPr>
                      <w:color w:val="auto"/>
                      <w:sz w:val="22"/>
                      <w:szCs w:val="22"/>
                    </w:rPr>
                  </w:pPr>
                </w:p>
              </w:tc>
            </w:tr>
            <w:tr w14:paraId="62614FC7">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621" w:hRule="atLeast"/>
                <w:jc w:val="center"/>
              </w:trPr>
              <w:tc>
                <w:tcPr>
                  <w:tcW w:w="671" w:type="pct"/>
                  <w:vAlign w:val="center"/>
                </w:tcPr>
                <w:p w14:paraId="7DBEE299">
                  <w:pPr>
                    <w:snapToGrid w:val="0"/>
                    <w:jc w:val="center"/>
                    <w:rPr>
                      <w:color w:val="auto"/>
                      <w:sz w:val="22"/>
                      <w:szCs w:val="22"/>
                    </w:rPr>
                  </w:pPr>
                  <w:r>
                    <w:rPr>
                      <w:rFonts w:hint="eastAsia"/>
                      <w:color w:val="auto"/>
                      <w:szCs w:val="21"/>
                    </w:rPr>
                    <w:t>厂界</w:t>
                  </w:r>
                  <w:r>
                    <w:rPr>
                      <w:color w:val="auto"/>
                      <w:szCs w:val="21"/>
                      <w:lang w:val="en-GB"/>
                    </w:rPr>
                    <w:t>下风向</w:t>
                  </w:r>
                  <w:r>
                    <w:rPr>
                      <w:rFonts w:hint="eastAsia"/>
                      <w:color w:val="auto"/>
                      <w:szCs w:val="21"/>
                    </w:rPr>
                    <w:t>15m</w:t>
                  </w:r>
                  <w:r>
                    <w:rPr>
                      <w:color w:val="auto"/>
                      <w:szCs w:val="21"/>
                      <w:lang w:val="en-GB"/>
                    </w:rPr>
                    <w:t>处</w:t>
                  </w:r>
                </w:p>
              </w:tc>
              <w:tc>
                <w:tcPr>
                  <w:tcW w:w="687" w:type="pct"/>
                  <w:vAlign w:val="center"/>
                </w:tcPr>
                <w:p w14:paraId="78687D0D">
                  <w:pPr>
                    <w:snapToGrid w:val="0"/>
                    <w:jc w:val="center"/>
                    <w:rPr>
                      <w:color w:val="auto"/>
                      <w:sz w:val="22"/>
                      <w:szCs w:val="22"/>
                    </w:rPr>
                  </w:pPr>
                  <w:r>
                    <w:rPr>
                      <w:color w:val="auto"/>
                      <w:sz w:val="22"/>
                      <w:szCs w:val="22"/>
                    </w:rPr>
                    <w:t>TSP</w:t>
                  </w:r>
                </w:p>
              </w:tc>
              <w:tc>
                <w:tcPr>
                  <w:tcW w:w="847" w:type="pct"/>
                  <w:vAlign w:val="center"/>
                </w:tcPr>
                <w:p w14:paraId="79EEC96C">
                  <w:pPr>
                    <w:widowControl/>
                    <w:snapToGrid w:val="0"/>
                    <w:jc w:val="center"/>
                    <w:rPr>
                      <w:color w:val="auto"/>
                      <w:sz w:val="22"/>
                      <w:szCs w:val="22"/>
                    </w:rPr>
                  </w:pPr>
                  <w:r>
                    <w:rPr>
                      <w:color w:val="auto"/>
                      <w:sz w:val="22"/>
                      <w:szCs w:val="22"/>
                    </w:rPr>
                    <w:t>0.3</w:t>
                  </w:r>
                </w:p>
              </w:tc>
              <w:tc>
                <w:tcPr>
                  <w:tcW w:w="1013" w:type="pct"/>
                  <w:vAlign w:val="center"/>
                </w:tcPr>
                <w:p w14:paraId="7113847E">
                  <w:pPr>
                    <w:widowControl/>
                    <w:snapToGrid w:val="0"/>
                    <w:jc w:val="center"/>
                    <w:rPr>
                      <w:rFonts w:hint="default" w:eastAsia="宋体"/>
                      <w:color w:val="auto"/>
                      <w:sz w:val="22"/>
                      <w:szCs w:val="22"/>
                      <w:lang w:val="en-US" w:eastAsia="zh-CN"/>
                    </w:rPr>
                  </w:pPr>
                  <w:r>
                    <w:rPr>
                      <w:rFonts w:hint="eastAsia"/>
                      <w:color w:val="auto"/>
                      <w:sz w:val="22"/>
                      <w:szCs w:val="22"/>
                      <w:lang w:val="en-US" w:eastAsia="zh-CN"/>
                    </w:rPr>
                    <w:t>0.153~0.17</w:t>
                  </w:r>
                </w:p>
              </w:tc>
              <w:tc>
                <w:tcPr>
                  <w:tcW w:w="662" w:type="pct"/>
                  <w:vAlign w:val="center"/>
                </w:tcPr>
                <w:p w14:paraId="5333A21C">
                  <w:pPr>
                    <w:widowControl/>
                    <w:snapToGrid w:val="0"/>
                    <w:jc w:val="center"/>
                    <w:rPr>
                      <w:rFonts w:hint="default" w:eastAsia="宋体"/>
                      <w:color w:val="auto"/>
                      <w:sz w:val="22"/>
                      <w:szCs w:val="22"/>
                      <w:lang w:val="en-US" w:eastAsia="zh-CN"/>
                    </w:rPr>
                  </w:pPr>
                  <w:r>
                    <w:rPr>
                      <w:rFonts w:hint="eastAsia"/>
                      <w:color w:val="auto"/>
                      <w:sz w:val="22"/>
                      <w:szCs w:val="22"/>
                      <w:lang w:val="en-US" w:eastAsia="zh-CN"/>
                    </w:rPr>
                    <w:t>56.7</w:t>
                  </w:r>
                </w:p>
              </w:tc>
              <w:tc>
                <w:tcPr>
                  <w:tcW w:w="603" w:type="pct"/>
                  <w:vAlign w:val="center"/>
                </w:tcPr>
                <w:p w14:paraId="031FD930">
                  <w:pPr>
                    <w:widowControl/>
                    <w:snapToGrid w:val="0"/>
                    <w:jc w:val="center"/>
                    <w:rPr>
                      <w:color w:val="auto"/>
                      <w:sz w:val="22"/>
                      <w:szCs w:val="22"/>
                    </w:rPr>
                  </w:pPr>
                  <w:r>
                    <w:rPr>
                      <w:color w:val="auto"/>
                      <w:sz w:val="22"/>
                      <w:szCs w:val="22"/>
                    </w:rPr>
                    <w:t>0</w:t>
                  </w:r>
                </w:p>
              </w:tc>
              <w:tc>
                <w:tcPr>
                  <w:tcW w:w="514" w:type="pct"/>
                  <w:vAlign w:val="center"/>
                </w:tcPr>
                <w:p w14:paraId="6A723501">
                  <w:pPr>
                    <w:widowControl/>
                    <w:snapToGrid w:val="0"/>
                    <w:jc w:val="center"/>
                    <w:rPr>
                      <w:color w:val="auto"/>
                      <w:sz w:val="22"/>
                      <w:szCs w:val="22"/>
                    </w:rPr>
                  </w:pPr>
                  <w:r>
                    <w:rPr>
                      <w:color w:val="auto"/>
                      <w:sz w:val="22"/>
                      <w:szCs w:val="22"/>
                    </w:rPr>
                    <w:t>达标</w:t>
                  </w:r>
                </w:p>
              </w:tc>
            </w:tr>
          </w:tbl>
          <w:p w14:paraId="595B4A6B">
            <w:pPr>
              <w:adjustRightInd w:val="0"/>
              <w:snapToGrid w:val="0"/>
              <w:spacing w:line="360" w:lineRule="auto"/>
              <w:ind w:firstLine="480" w:firstLineChars="200"/>
              <w:rPr>
                <w:bCs/>
                <w:color w:val="auto"/>
                <w:sz w:val="24"/>
              </w:rPr>
            </w:pPr>
            <w:r>
              <w:rPr>
                <w:rFonts w:hint="default"/>
                <w:color w:val="auto"/>
                <w:kern w:val="2"/>
                <w:sz w:val="24"/>
                <w:szCs w:val="24"/>
                <w:vertAlign w:val="baseline"/>
              </w:rPr>
              <w:t>根据现状监测数据，项目厂区周边总悬浮颗粒物（TSP）24小时平均浓度可达到《环境空气质量标准》（GB3095-2012）及其修改单中二级标准要求。</w:t>
            </w:r>
          </w:p>
          <w:p w14:paraId="5F074131">
            <w:pPr>
              <w:snapToGrid w:val="0"/>
              <w:spacing w:line="360" w:lineRule="auto"/>
              <w:ind w:firstLine="482" w:firstLineChars="200"/>
              <w:rPr>
                <w:b/>
                <w:color w:val="auto"/>
                <w:sz w:val="24"/>
              </w:rPr>
            </w:pPr>
            <w:r>
              <w:rPr>
                <w:b/>
                <w:color w:val="auto"/>
                <w:sz w:val="24"/>
              </w:rPr>
              <w:t>2、地表水环境</w:t>
            </w:r>
          </w:p>
          <w:p w14:paraId="45690459">
            <w:pPr>
              <w:adjustRightInd w:val="0"/>
              <w:snapToGrid w:val="0"/>
              <w:spacing w:line="360" w:lineRule="auto"/>
              <w:ind w:firstLine="480" w:firstLineChars="200"/>
              <w:rPr>
                <w:color w:val="auto"/>
                <w:sz w:val="24"/>
              </w:rPr>
            </w:pPr>
            <w:r>
              <w:rPr>
                <w:rFonts w:hint="eastAsia" w:ascii="Times New Roman" w:hAnsi="Times New Roman" w:eastAsia="宋体" w:cs="Times New Roman"/>
                <w:color w:val="auto"/>
                <w:kern w:val="0"/>
                <w:sz w:val="24"/>
                <w:szCs w:val="28"/>
                <w:lang w:val="en-US" w:eastAsia="zh-CN" w:bidi="ar-SA"/>
              </w:rPr>
              <w:t>根据《2024年黑龙江省生态环境质量状况》，2024年，鸡西市参与国家考核计算的断面共8个，I-类水质比例为75.0%，无劣V类水质断面。与上年同期相比，Ⅰ</w:t>
            </w:r>
            <w:r>
              <w:rPr>
                <w:rFonts w:hint="eastAsia" w:cs="Times New Roman"/>
                <w:color w:val="auto"/>
                <w:kern w:val="0"/>
                <w:sz w:val="24"/>
                <w:szCs w:val="28"/>
                <w:lang w:val="en-US" w:eastAsia="zh-CN" w:bidi="ar-SA"/>
              </w:rPr>
              <w:t>~</w:t>
            </w:r>
            <w:r>
              <w:rPr>
                <w:rFonts w:hint="eastAsia" w:ascii="Times New Roman" w:hAnsi="Times New Roman" w:eastAsia="宋体" w:cs="Times New Roman"/>
                <w:color w:val="auto"/>
                <w:kern w:val="0"/>
                <w:sz w:val="24"/>
                <w:szCs w:val="28"/>
                <w:lang w:val="en-US" w:eastAsia="zh-CN" w:bidi="ar-SA"/>
              </w:rPr>
              <w:t>Ⅲ类水质比例上升12.5个百分点，均无劣Ⅴ类水质断面。小兴凯湖和兴凯湖的水质状况为轻度污染。</w:t>
            </w:r>
          </w:p>
          <w:p w14:paraId="6EE78125">
            <w:pPr>
              <w:snapToGrid w:val="0"/>
              <w:spacing w:line="360" w:lineRule="auto"/>
              <w:ind w:firstLine="482" w:firstLineChars="200"/>
              <w:rPr>
                <w:b/>
                <w:color w:val="auto"/>
                <w:sz w:val="24"/>
              </w:rPr>
            </w:pPr>
            <w:r>
              <w:rPr>
                <w:b/>
                <w:color w:val="auto"/>
                <w:sz w:val="24"/>
              </w:rPr>
              <w:t>3、声环境</w:t>
            </w:r>
          </w:p>
          <w:p w14:paraId="451CBBEA">
            <w:pPr>
              <w:adjustRightInd w:val="0"/>
              <w:snapToGrid w:val="0"/>
              <w:spacing w:line="360" w:lineRule="auto"/>
              <w:ind w:firstLine="480" w:firstLineChars="200"/>
              <w:rPr>
                <w:rFonts w:hint="default" w:ascii="Times New Roman" w:hAnsi="Times New Roman" w:cs="Times New Roman"/>
                <w:color w:val="auto"/>
                <w:kern w:val="2"/>
                <w:sz w:val="24"/>
                <w:szCs w:val="24"/>
                <w:vertAlign w:val="baseline"/>
              </w:rPr>
            </w:pPr>
            <w:r>
              <w:rPr>
                <w:rFonts w:hint="eastAsia" w:ascii="Times New Roman" w:hAnsi="Times New Roman" w:cs="Times New Roman"/>
                <w:color w:val="auto"/>
                <w:kern w:val="2"/>
                <w:sz w:val="24"/>
                <w:szCs w:val="24"/>
                <w:vertAlign w:val="baseline"/>
                <w:lang w:val="en-US" w:eastAsia="zh-CN"/>
              </w:rPr>
              <w:t>根据</w:t>
            </w:r>
            <w:r>
              <w:rPr>
                <w:rFonts w:hint="default" w:ascii="Times New Roman" w:hAnsi="Times New Roman" w:cs="Times New Roman"/>
                <w:color w:val="auto"/>
                <w:kern w:val="2"/>
                <w:sz w:val="24"/>
                <w:szCs w:val="24"/>
                <w:vertAlign w:val="baseline"/>
                <w:lang w:val="en-US" w:eastAsia="zh-CN"/>
              </w:rPr>
              <w:t>《</w:t>
            </w:r>
            <w:r>
              <w:rPr>
                <w:rFonts w:hint="default" w:ascii="Times New Roman" w:hAnsi="Times New Roman" w:cs="Times New Roman"/>
                <w:color w:val="auto"/>
                <w:kern w:val="2"/>
                <w:sz w:val="24"/>
                <w:szCs w:val="24"/>
                <w:vertAlign w:val="baseline"/>
              </w:rPr>
              <w:t>2024年黑龙江省生态环境质量状况</w:t>
            </w:r>
            <w:r>
              <w:rPr>
                <w:rFonts w:hint="default" w:ascii="Times New Roman" w:hAnsi="Times New Roman" w:cs="Times New Roman"/>
                <w:color w:val="auto"/>
                <w:kern w:val="2"/>
                <w:sz w:val="24"/>
                <w:szCs w:val="24"/>
                <w:vertAlign w:val="baseline"/>
                <w:lang w:val="en-US" w:eastAsia="zh-CN"/>
              </w:rPr>
              <w:t>》</w:t>
            </w:r>
            <w:r>
              <w:rPr>
                <w:rFonts w:hint="eastAsia" w:ascii="Times New Roman" w:hAnsi="Times New Roman" w:cs="Times New Roman"/>
                <w:color w:val="auto"/>
                <w:kern w:val="2"/>
                <w:sz w:val="24"/>
                <w:szCs w:val="24"/>
                <w:vertAlign w:val="baseline"/>
                <w:lang w:val="en-US" w:eastAsia="zh-CN"/>
              </w:rPr>
              <w:t>可知，鸡西市区域昼间声环境质量为二级，等效声级为53.6dB(A)；道路交通昼间声环境质量为一级，等效声级为65.8dB(A)；功能区昼间达标率100%，功能区夜间达标率100%。</w:t>
            </w:r>
          </w:p>
          <w:p w14:paraId="4F639721">
            <w:pPr>
              <w:adjustRightInd w:val="0"/>
              <w:snapToGrid w:val="0"/>
              <w:spacing w:line="360" w:lineRule="auto"/>
              <w:ind w:firstLine="480" w:firstLineChars="200"/>
              <w:rPr>
                <w:rFonts w:hint="eastAsia" w:ascii="Times New Roman" w:hAnsi="Times New Roman" w:eastAsia="宋体" w:cs="Times New Roman"/>
                <w:color w:val="auto"/>
                <w:kern w:val="0"/>
                <w:sz w:val="24"/>
                <w:szCs w:val="28"/>
                <w:lang w:val="en-US" w:eastAsia="zh-CN" w:bidi="ar-SA"/>
              </w:rPr>
            </w:pPr>
            <w:r>
              <w:rPr>
                <w:rFonts w:hint="eastAsia" w:ascii="Times New Roman" w:hAnsi="Times New Roman" w:eastAsia="宋体" w:cs="Times New Roman"/>
                <w:color w:val="auto"/>
                <w:kern w:val="0"/>
                <w:sz w:val="24"/>
                <w:szCs w:val="28"/>
                <w:lang w:val="en-US" w:eastAsia="zh-CN" w:bidi="ar-SA"/>
              </w:rPr>
              <w:t>本项目厂界周边50m范围内不存在声环境保护目标，不对声环境质量现状进行监测。</w:t>
            </w:r>
          </w:p>
          <w:p w14:paraId="6A4AD169">
            <w:pPr>
              <w:snapToGrid w:val="0"/>
              <w:spacing w:line="360" w:lineRule="auto"/>
              <w:ind w:firstLine="482" w:firstLineChars="200"/>
              <w:rPr>
                <w:b/>
                <w:color w:val="auto"/>
                <w:sz w:val="24"/>
              </w:rPr>
            </w:pPr>
            <w:r>
              <w:rPr>
                <w:rFonts w:hint="eastAsia"/>
                <w:b/>
                <w:color w:val="auto"/>
                <w:sz w:val="24"/>
              </w:rPr>
              <w:t>4、生态环境</w:t>
            </w:r>
          </w:p>
          <w:p w14:paraId="0BF7C5CC">
            <w:pPr>
              <w:adjustRightInd w:val="0"/>
              <w:snapToGrid w:val="0"/>
              <w:spacing w:line="360" w:lineRule="auto"/>
              <w:ind w:firstLine="480" w:firstLineChars="200"/>
              <w:rPr>
                <w:color w:val="auto"/>
                <w:sz w:val="24"/>
              </w:rPr>
            </w:pPr>
            <w:r>
              <w:rPr>
                <w:rFonts w:hint="eastAsia"/>
                <w:bCs/>
                <w:color w:val="auto"/>
                <w:kern w:val="0"/>
                <w:sz w:val="24"/>
              </w:rPr>
              <w:t>本项目</w:t>
            </w:r>
            <w:r>
              <w:rPr>
                <w:rFonts w:hint="eastAsia"/>
                <w:color w:val="auto"/>
                <w:spacing w:val="4"/>
                <w:sz w:val="24"/>
                <w:lang w:val="en-US" w:eastAsia="zh-CN"/>
              </w:rPr>
              <w:t>利用现有锅炉房</w:t>
            </w:r>
            <w:r>
              <w:rPr>
                <w:rFonts w:hint="eastAsia"/>
                <w:bCs/>
                <w:color w:val="auto"/>
                <w:kern w:val="0"/>
                <w:sz w:val="24"/>
              </w:rPr>
              <w:t>，用地类型</w:t>
            </w:r>
            <w:r>
              <w:rPr>
                <w:rFonts w:hint="eastAsia" w:cs="宋体"/>
                <w:bCs/>
                <w:color w:val="auto"/>
                <w:sz w:val="24"/>
              </w:rPr>
              <w:t>为</w:t>
            </w:r>
            <w:r>
              <w:rPr>
                <w:rFonts w:hint="eastAsia" w:cs="宋体"/>
                <w:bCs/>
                <w:color w:val="auto"/>
                <w:sz w:val="24"/>
                <w:lang w:val="en-US" w:eastAsia="zh-CN"/>
              </w:rPr>
              <w:t>建设</w:t>
            </w:r>
            <w:r>
              <w:rPr>
                <w:rFonts w:hint="eastAsia" w:cs="宋体"/>
                <w:bCs/>
                <w:color w:val="auto"/>
                <w:sz w:val="24"/>
              </w:rPr>
              <w:t>用地，</w:t>
            </w:r>
            <w:r>
              <w:rPr>
                <w:rFonts w:hint="eastAsia"/>
                <w:bCs/>
                <w:color w:val="auto"/>
                <w:kern w:val="0"/>
                <w:sz w:val="24"/>
              </w:rPr>
              <w:t>地表无植被覆盖，本项目周边无国家</w:t>
            </w:r>
            <w:r>
              <w:rPr>
                <w:rFonts w:hint="eastAsia"/>
                <w:color w:val="auto"/>
                <w:sz w:val="24"/>
              </w:rPr>
              <w:t>级、省级、市级名胜古迹、自然保护区，生态敏感、脆弱区，故本项目不开展生态环境现状调查。</w:t>
            </w:r>
          </w:p>
          <w:p w14:paraId="5A78C184">
            <w:pPr>
              <w:snapToGrid w:val="0"/>
              <w:spacing w:line="360" w:lineRule="auto"/>
              <w:ind w:firstLine="482" w:firstLineChars="200"/>
              <w:rPr>
                <w:b/>
                <w:color w:val="auto"/>
                <w:sz w:val="24"/>
              </w:rPr>
            </w:pPr>
            <w:r>
              <w:rPr>
                <w:rFonts w:hint="eastAsia"/>
                <w:b/>
                <w:color w:val="auto"/>
                <w:sz w:val="24"/>
              </w:rPr>
              <w:t>5、地下水和土壤环境</w:t>
            </w:r>
          </w:p>
          <w:p w14:paraId="11190053">
            <w:pPr>
              <w:adjustRightInd w:val="0"/>
              <w:snapToGrid w:val="0"/>
              <w:spacing w:line="360" w:lineRule="auto"/>
              <w:ind w:firstLine="480" w:firstLineChars="200"/>
              <w:rPr>
                <w:bCs/>
                <w:color w:val="auto"/>
                <w:lang w:val="zh-CN"/>
              </w:rPr>
            </w:pPr>
            <w:r>
              <w:rPr>
                <w:rFonts w:hint="eastAsia" w:cs="Times New Roman"/>
                <w:color w:val="auto"/>
                <w:kern w:val="0"/>
                <w:sz w:val="24"/>
                <w:szCs w:val="24"/>
                <w:highlight w:val="none"/>
                <w:lang w:val="en-US" w:eastAsia="zh-CN" w:bidi="ar-SA"/>
              </w:rPr>
              <w:t>本项目厂区路面全部硬化，</w:t>
            </w:r>
            <w:r>
              <w:rPr>
                <w:color w:val="auto"/>
                <w:kern w:val="0"/>
                <w:sz w:val="24"/>
              </w:rPr>
              <w:t>不会对地下水产生影响。本项目废气不涉及重金属、持久性有机污染物，</w:t>
            </w:r>
            <w:r>
              <w:rPr>
                <w:rFonts w:hint="eastAsia"/>
                <w:color w:val="auto"/>
                <w:kern w:val="0"/>
                <w:sz w:val="24"/>
                <w:lang w:val="en-US" w:eastAsia="zh-CN"/>
              </w:rPr>
              <w:t>厂区路面全部水泥硬化，</w:t>
            </w:r>
            <w:r>
              <w:rPr>
                <w:color w:val="auto"/>
                <w:kern w:val="0"/>
                <w:sz w:val="24"/>
              </w:rPr>
              <w:t>无土壤污染途径</w:t>
            </w:r>
            <w:r>
              <w:rPr>
                <w:rFonts w:hint="eastAsia"/>
                <w:color w:val="auto"/>
                <w:kern w:val="0"/>
                <w:sz w:val="24"/>
                <w:lang w:eastAsia="zh-CN"/>
              </w:rPr>
              <w:t>。</w:t>
            </w:r>
            <w:r>
              <w:rPr>
                <w:rFonts w:hint="eastAsia" w:ascii="Times New Roman" w:hAnsi="Times New Roman" w:eastAsia="宋体" w:cs="Times New Roman"/>
                <w:color w:val="auto"/>
                <w:kern w:val="0"/>
                <w:sz w:val="24"/>
                <w:szCs w:val="28"/>
                <w:lang w:val="en-US" w:eastAsia="zh-CN" w:bidi="ar-SA"/>
              </w:rPr>
              <w:t>综合分析对土壤和地下水影响较小。</w:t>
            </w:r>
            <w:r>
              <w:rPr>
                <w:rFonts w:hint="eastAsia"/>
                <w:color w:val="auto"/>
                <w:sz w:val="24"/>
              </w:rPr>
              <w:t>根据《建设项目环境影响报告表编制技术指南（污染影响</w:t>
            </w:r>
            <w:r>
              <w:rPr>
                <w:rFonts w:hint="eastAsia"/>
                <w:color w:val="auto"/>
                <w:kern w:val="0"/>
                <w:sz w:val="24"/>
              </w:rPr>
              <w:t>类）（试行）》中的相关要求，本项目不需开展环境质量现状调查</w:t>
            </w:r>
            <w:r>
              <w:rPr>
                <w:rFonts w:hint="eastAsia"/>
                <w:color w:val="auto"/>
                <w:spacing w:val="12"/>
                <w:kern w:val="0"/>
                <w:sz w:val="24"/>
              </w:rPr>
              <w:t>。</w:t>
            </w:r>
          </w:p>
        </w:tc>
      </w:tr>
      <w:tr w14:paraId="37EA83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694" w:type="dxa"/>
            <w:vAlign w:val="center"/>
          </w:tcPr>
          <w:p w14:paraId="5800F8CF">
            <w:pPr>
              <w:adjustRightInd w:val="0"/>
              <w:snapToGrid w:val="0"/>
              <w:jc w:val="center"/>
              <w:rPr>
                <w:rFonts w:cs="宋体"/>
                <w:b/>
                <w:bCs/>
                <w:color w:val="auto"/>
                <w:kern w:val="0"/>
                <w:szCs w:val="21"/>
              </w:rPr>
            </w:pPr>
            <w:r>
              <w:rPr>
                <w:rFonts w:hint="eastAsia" w:cs="宋体"/>
                <w:b/>
                <w:bCs/>
                <w:color w:val="auto"/>
                <w:kern w:val="0"/>
                <w:szCs w:val="21"/>
              </w:rPr>
              <w:t>环境</w:t>
            </w:r>
          </w:p>
          <w:p w14:paraId="75C2AABB">
            <w:pPr>
              <w:adjustRightInd w:val="0"/>
              <w:snapToGrid w:val="0"/>
              <w:jc w:val="center"/>
              <w:rPr>
                <w:rFonts w:cs="宋体"/>
                <w:b/>
                <w:bCs/>
                <w:color w:val="auto"/>
                <w:kern w:val="0"/>
                <w:szCs w:val="21"/>
              </w:rPr>
            </w:pPr>
            <w:r>
              <w:rPr>
                <w:rFonts w:hint="eastAsia" w:cs="宋体"/>
                <w:b/>
                <w:bCs/>
                <w:color w:val="auto"/>
                <w:kern w:val="0"/>
                <w:szCs w:val="21"/>
              </w:rPr>
              <w:t>保护</w:t>
            </w:r>
          </w:p>
          <w:p w14:paraId="184153FF">
            <w:pPr>
              <w:adjustRightInd w:val="0"/>
              <w:snapToGrid w:val="0"/>
              <w:jc w:val="center"/>
              <w:rPr>
                <w:rFonts w:cs="宋体"/>
                <w:color w:val="auto"/>
                <w:kern w:val="0"/>
                <w:szCs w:val="21"/>
              </w:rPr>
            </w:pPr>
            <w:r>
              <w:rPr>
                <w:rFonts w:hint="eastAsia" w:cs="宋体"/>
                <w:b/>
                <w:bCs/>
                <w:color w:val="auto"/>
                <w:kern w:val="0"/>
                <w:szCs w:val="21"/>
              </w:rPr>
              <w:t>目标</w:t>
            </w:r>
          </w:p>
        </w:tc>
        <w:tc>
          <w:tcPr>
            <w:tcW w:w="8367" w:type="dxa"/>
            <w:vAlign w:val="center"/>
          </w:tcPr>
          <w:p w14:paraId="66FA0119">
            <w:pPr>
              <w:pStyle w:val="58"/>
              <w:adjustRightInd w:val="0"/>
              <w:snapToGrid w:val="0"/>
              <w:spacing w:line="360" w:lineRule="auto"/>
              <w:ind w:firstLine="482"/>
              <w:rPr>
                <w:b/>
                <w:bCs/>
                <w:color w:val="auto"/>
              </w:rPr>
            </w:pPr>
            <w:bookmarkStart w:id="11" w:name="_Hlk72490597"/>
            <w:r>
              <w:rPr>
                <w:b/>
                <w:bCs/>
                <w:color w:val="auto"/>
              </w:rPr>
              <w:t>1、大气环境保护目标</w:t>
            </w:r>
          </w:p>
          <w:p w14:paraId="3BDD72A0">
            <w:pPr>
              <w:spacing w:line="360" w:lineRule="auto"/>
              <w:ind w:firstLine="480" w:firstLineChars="200"/>
              <w:rPr>
                <w:rFonts w:hint="default" w:ascii="Times New Roman" w:hAnsi="Times New Roman" w:eastAsia="宋体" w:cs="Times New Roman"/>
                <w:snapToGrid w:val="0"/>
                <w:color w:val="auto"/>
                <w:kern w:val="2"/>
                <w:sz w:val="24"/>
                <w:szCs w:val="24"/>
                <w:highlight w:val="none"/>
                <w:lang w:val="en-US" w:eastAsia="zh-CN" w:bidi="ar-SA"/>
              </w:rPr>
            </w:pPr>
            <w:r>
              <w:rPr>
                <w:rFonts w:hint="eastAsia" w:ascii="Times New Roman" w:hAnsi="Times New Roman" w:eastAsia="宋体" w:cs="Times New Roman"/>
                <w:snapToGrid w:val="0"/>
                <w:color w:val="auto"/>
                <w:kern w:val="2"/>
                <w:sz w:val="24"/>
                <w:szCs w:val="24"/>
                <w:highlight w:val="none"/>
                <w:lang w:val="en-US" w:eastAsia="zh-CN" w:bidi="ar-SA"/>
              </w:rPr>
              <w:t>本项目</w:t>
            </w:r>
            <w:r>
              <w:rPr>
                <w:rFonts w:hint="default" w:ascii="Times New Roman" w:hAnsi="Times New Roman" w:eastAsia="宋体" w:cs="Times New Roman"/>
                <w:snapToGrid w:val="0"/>
                <w:color w:val="auto"/>
                <w:kern w:val="2"/>
                <w:sz w:val="24"/>
                <w:szCs w:val="24"/>
                <w:highlight w:val="none"/>
                <w:lang w:val="en-US" w:eastAsia="zh-CN" w:bidi="ar-SA"/>
              </w:rPr>
              <w:t>厂界外500米范围内</w:t>
            </w:r>
            <w:r>
              <w:rPr>
                <w:rFonts w:hint="eastAsia" w:ascii="Times New Roman" w:hAnsi="Times New Roman" w:eastAsia="宋体" w:cs="Times New Roman"/>
                <w:snapToGrid w:val="0"/>
                <w:color w:val="auto"/>
                <w:kern w:val="2"/>
                <w:sz w:val="24"/>
                <w:szCs w:val="24"/>
                <w:highlight w:val="none"/>
                <w:lang w:val="en-US" w:eastAsia="zh-CN" w:bidi="ar-SA"/>
              </w:rPr>
              <w:t>无</w:t>
            </w:r>
            <w:r>
              <w:rPr>
                <w:rFonts w:hint="default" w:ascii="Times New Roman" w:hAnsi="Times New Roman" w:eastAsia="宋体" w:cs="Times New Roman"/>
                <w:snapToGrid w:val="0"/>
                <w:color w:val="auto"/>
                <w:kern w:val="2"/>
                <w:sz w:val="24"/>
                <w:szCs w:val="24"/>
                <w:highlight w:val="none"/>
                <w:lang w:val="en-US" w:eastAsia="zh-CN" w:bidi="ar-SA"/>
              </w:rPr>
              <w:t>自然保护区、风景名胜区、居住区、文化区和农村地区中人群较集中的区域等保护目标。</w:t>
            </w:r>
            <w:r>
              <w:rPr>
                <w:rFonts w:ascii="Segoe UI" w:hAnsi="Segoe UI" w:eastAsia="Segoe UI" w:cs="Segoe UI"/>
                <w:i w:val="0"/>
                <w:iCs w:val="0"/>
                <w:caps w:val="0"/>
                <w:color w:val="auto"/>
                <w:spacing w:val="0"/>
                <w:sz w:val="24"/>
                <w:szCs w:val="24"/>
                <w:shd w:val="clear" w:fill="FFFFFF"/>
              </w:rPr>
              <w:t>区域内既有房屋现状均为无人居住。</w:t>
            </w:r>
          </w:p>
          <w:p w14:paraId="2360B2AA">
            <w:pPr>
              <w:spacing w:line="360" w:lineRule="auto"/>
              <w:ind w:firstLine="482" w:firstLineChars="200"/>
              <w:rPr>
                <w:rFonts w:eastAsiaTheme="minorEastAsia"/>
                <w:b/>
                <w:bCs/>
                <w:color w:val="auto"/>
                <w:sz w:val="24"/>
              </w:rPr>
            </w:pPr>
            <w:r>
              <w:rPr>
                <w:rFonts w:hint="eastAsia" w:eastAsiaTheme="minorEastAsia"/>
                <w:b/>
                <w:bCs/>
                <w:color w:val="auto"/>
                <w:sz w:val="24"/>
              </w:rPr>
              <w:t>2</w:t>
            </w:r>
            <w:r>
              <w:rPr>
                <w:rFonts w:eastAsiaTheme="minorEastAsia"/>
                <w:b/>
                <w:bCs/>
                <w:color w:val="auto"/>
                <w:sz w:val="24"/>
              </w:rPr>
              <w:t>、声环境保护目标</w:t>
            </w:r>
          </w:p>
          <w:p w14:paraId="7D3C06D8">
            <w:pPr>
              <w:spacing w:line="360" w:lineRule="auto"/>
              <w:ind w:firstLine="480" w:firstLineChars="200"/>
              <w:rPr>
                <w:rFonts w:hint="eastAsia" w:ascii="Times New Roman" w:hAnsi="Times New Roman" w:cs="Times New Roman" w:eastAsiaTheme="minorEastAsia"/>
                <w:color w:val="auto"/>
                <w:sz w:val="24"/>
                <w:lang w:val="en-US" w:eastAsia="zh-CN"/>
              </w:rPr>
            </w:pPr>
            <w:r>
              <w:rPr>
                <w:rFonts w:hint="eastAsia" w:ascii="Times New Roman" w:hAnsi="Times New Roman" w:cs="Times New Roman" w:eastAsiaTheme="minorEastAsia"/>
                <w:color w:val="auto"/>
                <w:sz w:val="24"/>
                <w:lang w:val="en-US" w:eastAsia="zh-CN"/>
              </w:rPr>
              <w:t>本项目厂界外50m范围内无声环境保护目标。</w:t>
            </w:r>
          </w:p>
          <w:p w14:paraId="15B15B13">
            <w:pPr>
              <w:spacing w:line="360" w:lineRule="auto"/>
              <w:ind w:firstLine="482" w:firstLineChars="200"/>
              <w:rPr>
                <w:rFonts w:eastAsiaTheme="minorEastAsia"/>
                <w:b/>
                <w:bCs/>
                <w:color w:val="auto"/>
                <w:sz w:val="24"/>
              </w:rPr>
            </w:pPr>
            <w:r>
              <w:rPr>
                <w:rFonts w:hint="eastAsia" w:eastAsiaTheme="minorEastAsia"/>
                <w:b/>
                <w:bCs/>
                <w:color w:val="auto"/>
                <w:sz w:val="24"/>
              </w:rPr>
              <w:t>3</w:t>
            </w:r>
            <w:r>
              <w:rPr>
                <w:rFonts w:eastAsiaTheme="minorEastAsia"/>
                <w:b/>
                <w:bCs/>
                <w:color w:val="auto"/>
                <w:sz w:val="24"/>
              </w:rPr>
              <w:t>、地下水环境保护目标</w:t>
            </w:r>
          </w:p>
          <w:p w14:paraId="14E8BCBF">
            <w:pPr>
              <w:spacing w:line="360" w:lineRule="auto"/>
              <w:ind w:firstLine="480" w:firstLineChars="200"/>
              <w:rPr>
                <w:rFonts w:hint="eastAsia" w:eastAsiaTheme="minorEastAsia"/>
                <w:color w:val="auto"/>
                <w:sz w:val="24"/>
                <w:lang w:val="en-US" w:eastAsia="zh-CN"/>
              </w:rPr>
            </w:pPr>
            <w:r>
              <w:rPr>
                <w:rFonts w:hint="eastAsia" w:ascii="Times New Roman" w:hAnsi="Times New Roman" w:eastAsia="宋体" w:cs="Times New Roman"/>
                <w:snapToGrid w:val="0"/>
                <w:color w:val="auto"/>
                <w:kern w:val="2"/>
                <w:sz w:val="24"/>
                <w:szCs w:val="24"/>
                <w:highlight w:val="none"/>
                <w:lang w:val="en-US" w:eastAsia="zh-CN" w:bidi="ar-SA"/>
              </w:rPr>
              <w:t>本项目厂界外500米范围内无地下水集中式饮用水水源和热水、矿泉水、温泉等特殊地下水资源。</w:t>
            </w:r>
          </w:p>
          <w:p w14:paraId="51E127DC">
            <w:pPr>
              <w:pStyle w:val="58"/>
              <w:adjustRightInd w:val="0"/>
              <w:snapToGrid w:val="0"/>
              <w:spacing w:before="120" w:beforeLines="50" w:line="360" w:lineRule="auto"/>
              <w:ind w:firstLine="482"/>
              <w:rPr>
                <w:b/>
                <w:bCs/>
                <w:color w:val="auto"/>
              </w:rPr>
            </w:pPr>
            <w:r>
              <w:rPr>
                <w:b/>
                <w:bCs/>
                <w:color w:val="auto"/>
              </w:rPr>
              <w:t>4、生态环境保护目标</w:t>
            </w:r>
          </w:p>
          <w:p w14:paraId="58DEDC67">
            <w:pPr>
              <w:pStyle w:val="58"/>
              <w:adjustRightInd w:val="0"/>
              <w:snapToGrid w:val="0"/>
              <w:spacing w:line="360" w:lineRule="auto"/>
              <w:ind w:firstLine="480"/>
              <w:rPr>
                <w:color w:val="auto"/>
              </w:rPr>
            </w:pPr>
            <w:r>
              <w:rPr>
                <w:snapToGrid w:val="0"/>
                <w:color w:val="auto"/>
              </w:rPr>
              <w:t>本项目占地范围内无特殊生态敏感区及重要生态敏感区等生态环境保护目标。</w:t>
            </w:r>
            <w:bookmarkEnd w:id="11"/>
          </w:p>
        </w:tc>
      </w:tr>
      <w:tr w14:paraId="0C3DD6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694" w:type="dxa"/>
            <w:tcMar>
              <w:left w:w="28" w:type="dxa"/>
              <w:right w:w="28" w:type="dxa"/>
            </w:tcMar>
            <w:vAlign w:val="center"/>
          </w:tcPr>
          <w:p w14:paraId="3D75B287">
            <w:pPr>
              <w:adjustRightInd w:val="0"/>
              <w:snapToGrid w:val="0"/>
              <w:jc w:val="center"/>
              <w:rPr>
                <w:rFonts w:cs="宋体"/>
                <w:b/>
                <w:bCs/>
                <w:color w:val="auto"/>
                <w:kern w:val="0"/>
                <w:szCs w:val="21"/>
              </w:rPr>
            </w:pPr>
            <w:r>
              <w:rPr>
                <w:rFonts w:hint="eastAsia" w:cs="宋体"/>
                <w:b/>
                <w:bCs/>
                <w:color w:val="auto"/>
                <w:kern w:val="0"/>
                <w:szCs w:val="21"/>
              </w:rPr>
              <w:t>污染</w:t>
            </w:r>
          </w:p>
          <w:p w14:paraId="7CD6C5AE">
            <w:pPr>
              <w:adjustRightInd w:val="0"/>
              <w:snapToGrid w:val="0"/>
              <w:jc w:val="center"/>
              <w:rPr>
                <w:rFonts w:cs="宋体"/>
                <w:b/>
                <w:bCs/>
                <w:color w:val="auto"/>
                <w:kern w:val="0"/>
                <w:szCs w:val="21"/>
              </w:rPr>
            </w:pPr>
            <w:r>
              <w:rPr>
                <w:rFonts w:hint="eastAsia" w:cs="宋体"/>
                <w:b/>
                <w:bCs/>
                <w:color w:val="auto"/>
                <w:kern w:val="0"/>
                <w:szCs w:val="21"/>
              </w:rPr>
              <w:t>物排</w:t>
            </w:r>
          </w:p>
          <w:p w14:paraId="480ADF4F">
            <w:pPr>
              <w:adjustRightInd w:val="0"/>
              <w:snapToGrid w:val="0"/>
              <w:jc w:val="center"/>
              <w:rPr>
                <w:rFonts w:cs="宋体"/>
                <w:b/>
                <w:bCs/>
                <w:color w:val="auto"/>
                <w:kern w:val="0"/>
                <w:szCs w:val="21"/>
              </w:rPr>
            </w:pPr>
            <w:r>
              <w:rPr>
                <w:rFonts w:hint="eastAsia" w:cs="宋体"/>
                <w:b/>
                <w:bCs/>
                <w:color w:val="auto"/>
                <w:kern w:val="0"/>
                <w:szCs w:val="21"/>
              </w:rPr>
              <w:t>放控</w:t>
            </w:r>
          </w:p>
          <w:p w14:paraId="630A52FA">
            <w:pPr>
              <w:adjustRightInd w:val="0"/>
              <w:snapToGrid w:val="0"/>
              <w:jc w:val="center"/>
              <w:rPr>
                <w:rFonts w:cs="宋体"/>
                <w:b/>
                <w:bCs/>
                <w:color w:val="auto"/>
                <w:kern w:val="0"/>
                <w:szCs w:val="21"/>
              </w:rPr>
            </w:pPr>
            <w:r>
              <w:rPr>
                <w:rFonts w:hint="eastAsia" w:cs="宋体"/>
                <w:b/>
                <w:bCs/>
                <w:color w:val="auto"/>
                <w:kern w:val="0"/>
                <w:szCs w:val="21"/>
              </w:rPr>
              <w:t>制标</w:t>
            </w:r>
          </w:p>
          <w:p w14:paraId="5D621EEE">
            <w:pPr>
              <w:adjustRightInd w:val="0"/>
              <w:snapToGrid w:val="0"/>
              <w:jc w:val="center"/>
              <w:rPr>
                <w:rFonts w:cs="宋体"/>
                <w:color w:val="auto"/>
                <w:kern w:val="0"/>
                <w:szCs w:val="21"/>
              </w:rPr>
            </w:pPr>
            <w:r>
              <w:rPr>
                <w:rFonts w:hint="eastAsia" w:cs="宋体"/>
                <w:b/>
                <w:bCs/>
                <w:color w:val="auto"/>
                <w:kern w:val="0"/>
                <w:szCs w:val="21"/>
              </w:rPr>
              <w:t>准</w:t>
            </w:r>
          </w:p>
        </w:tc>
        <w:tc>
          <w:tcPr>
            <w:tcW w:w="8367" w:type="dxa"/>
            <w:vAlign w:val="center"/>
          </w:tcPr>
          <w:p w14:paraId="7964554F">
            <w:pPr>
              <w:spacing w:line="360" w:lineRule="auto"/>
              <w:ind w:firstLine="482" w:firstLineChars="200"/>
              <w:jc w:val="left"/>
              <w:outlineLvl w:val="1"/>
              <w:rPr>
                <w:b/>
                <w:bCs/>
                <w:color w:val="auto"/>
                <w:sz w:val="24"/>
              </w:rPr>
            </w:pPr>
            <w:bookmarkStart w:id="12" w:name="_Toc73523372"/>
            <w:r>
              <w:rPr>
                <w:b/>
                <w:bCs/>
                <w:color w:val="auto"/>
                <w:sz w:val="24"/>
              </w:rPr>
              <w:t>1、废气</w:t>
            </w:r>
            <w:r>
              <w:rPr>
                <w:rFonts w:hint="eastAsia"/>
                <w:b/>
                <w:bCs/>
                <w:color w:val="auto"/>
                <w:sz w:val="24"/>
              </w:rPr>
              <w:t>排放标准</w:t>
            </w:r>
            <w:bookmarkEnd w:id="12"/>
          </w:p>
          <w:p w14:paraId="7777CA14">
            <w:pPr>
              <w:spacing w:line="360" w:lineRule="auto"/>
              <w:ind w:firstLine="480" w:firstLineChars="200"/>
              <w:rPr>
                <w:bCs/>
                <w:color w:val="auto"/>
                <w:sz w:val="24"/>
              </w:rPr>
            </w:pPr>
            <w:r>
              <w:rPr>
                <w:rFonts w:hint="eastAsia" w:cs="Times New Roman"/>
                <w:color w:val="auto"/>
                <w:kern w:val="0"/>
                <w:sz w:val="24"/>
                <w:szCs w:val="24"/>
                <w:lang w:val="en-US" w:eastAsia="zh-CN"/>
              </w:rPr>
              <w:t>燃生物质</w:t>
            </w:r>
            <w:r>
              <w:rPr>
                <w:rFonts w:hint="eastAsia" w:ascii="Times New Roman" w:hAnsi="Times New Roman" w:eastAsia="宋体" w:cs="Times New Roman"/>
                <w:color w:val="auto"/>
                <w:kern w:val="0"/>
                <w:sz w:val="24"/>
                <w:szCs w:val="24"/>
                <w:lang w:eastAsia="zh-CN"/>
              </w:rPr>
              <w:t>锅炉产生SO</w:t>
            </w:r>
            <w:r>
              <w:rPr>
                <w:rFonts w:hint="eastAsia" w:ascii="Times New Roman" w:hAnsi="Times New Roman" w:eastAsia="宋体" w:cs="Times New Roman"/>
                <w:color w:val="auto"/>
                <w:kern w:val="0"/>
                <w:sz w:val="24"/>
                <w:szCs w:val="24"/>
                <w:vertAlign w:val="subscript"/>
                <w:lang w:eastAsia="zh-CN"/>
              </w:rPr>
              <w:t>2</w:t>
            </w:r>
            <w:r>
              <w:rPr>
                <w:rFonts w:hint="eastAsia" w:ascii="Times New Roman" w:hAnsi="Times New Roman" w:eastAsia="宋体" w:cs="Times New Roman"/>
                <w:color w:val="auto"/>
                <w:kern w:val="0"/>
                <w:sz w:val="24"/>
                <w:szCs w:val="24"/>
                <w:lang w:eastAsia="zh-CN"/>
              </w:rPr>
              <w:t>、NOx、颗粒物</w:t>
            </w:r>
            <w:r>
              <w:rPr>
                <w:rFonts w:hint="eastAsia" w:cs="Times New Roman"/>
                <w:color w:val="auto"/>
                <w:kern w:val="0"/>
                <w:sz w:val="24"/>
                <w:szCs w:val="24"/>
                <w:lang w:eastAsia="zh-CN"/>
              </w:rPr>
              <w:t>、</w:t>
            </w:r>
            <w:r>
              <w:rPr>
                <w:rFonts w:hint="eastAsia" w:cs="Times New Roman"/>
                <w:color w:val="auto"/>
                <w:kern w:val="0"/>
                <w:sz w:val="24"/>
                <w:szCs w:val="24"/>
                <w:lang w:val="en-US" w:eastAsia="zh-CN"/>
              </w:rPr>
              <w:t>林格曼黑度、汞及其化合物</w:t>
            </w:r>
            <w:r>
              <w:rPr>
                <w:rFonts w:hint="eastAsia" w:ascii="Times New Roman" w:hAnsi="Times New Roman" w:eastAsia="宋体" w:cs="Times New Roman"/>
                <w:color w:val="auto"/>
                <w:kern w:val="0"/>
                <w:sz w:val="24"/>
                <w:szCs w:val="24"/>
                <w:lang w:eastAsia="zh-CN"/>
              </w:rPr>
              <w:t>排放执行《锅炉大气污染物排放标准》（GB13271-2014）表</w:t>
            </w:r>
            <w:r>
              <w:rPr>
                <w:rFonts w:hint="eastAsia" w:cs="Times New Roman"/>
                <w:color w:val="auto"/>
                <w:kern w:val="0"/>
                <w:sz w:val="24"/>
                <w:szCs w:val="24"/>
                <w:lang w:val="en-US" w:eastAsia="zh-CN"/>
              </w:rPr>
              <w:t>2</w:t>
            </w:r>
            <w:r>
              <w:rPr>
                <w:rFonts w:hint="eastAsia" w:ascii="Times New Roman" w:hAnsi="Times New Roman" w:eastAsia="宋体" w:cs="Times New Roman"/>
                <w:color w:val="auto"/>
                <w:kern w:val="0"/>
                <w:sz w:val="24"/>
                <w:szCs w:val="24"/>
                <w:lang w:eastAsia="zh-CN"/>
              </w:rPr>
              <w:t>中燃煤锅炉大气污染物排放浓度限值要求</w:t>
            </w:r>
            <w:r>
              <w:rPr>
                <w:rFonts w:hint="eastAsia" w:cs="Times New Roman"/>
                <w:color w:val="auto"/>
                <w:kern w:val="0"/>
                <w:sz w:val="24"/>
                <w:szCs w:val="24"/>
                <w:lang w:eastAsia="zh-CN"/>
              </w:rPr>
              <w:t>。</w:t>
            </w:r>
            <w:r>
              <w:rPr>
                <w:rFonts w:hint="eastAsia" w:cs="Times New Roman"/>
                <w:color w:val="auto"/>
                <w:kern w:val="0"/>
                <w:sz w:val="24"/>
                <w:szCs w:val="24"/>
                <w:lang w:val="en-US" w:eastAsia="zh-CN"/>
              </w:rPr>
              <w:t>厂界无组织颗粒物执行</w:t>
            </w:r>
            <w:r>
              <w:rPr>
                <w:rFonts w:hint="eastAsia" w:ascii="Times New Roman" w:hAnsi="Times New Roman" w:eastAsia="宋体" w:cs="Times New Roman"/>
                <w:bCs/>
                <w:color w:val="auto"/>
                <w:sz w:val="24"/>
              </w:rPr>
              <w:t>《大气污染物综合排放标准》（GB16297-1996）表2中无组织排放限值</w:t>
            </w:r>
            <w:r>
              <w:rPr>
                <w:rFonts w:hint="eastAsia" w:cs="Times New Roman"/>
                <w:bCs/>
                <w:color w:val="auto"/>
                <w:sz w:val="24"/>
                <w:lang w:eastAsia="zh-CN"/>
              </w:rPr>
              <w:t>，</w:t>
            </w:r>
            <w:r>
              <w:rPr>
                <w:rFonts w:hint="eastAsia"/>
                <w:bCs/>
                <w:color w:val="auto"/>
                <w:sz w:val="24"/>
              </w:rPr>
              <w:t>具体见表3-</w:t>
            </w:r>
            <w:r>
              <w:rPr>
                <w:rFonts w:hint="eastAsia"/>
                <w:bCs/>
                <w:color w:val="auto"/>
                <w:sz w:val="24"/>
                <w:lang w:val="en-US" w:eastAsia="zh-CN"/>
              </w:rPr>
              <w:t>4</w:t>
            </w:r>
            <w:r>
              <w:rPr>
                <w:rFonts w:hint="eastAsia"/>
                <w:bCs/>
                <w:color w:val="auto"/>
                <w:sz w:val="24"/>
                <w:lang w:eastAsia="zh-CN"/>
              </w:rPr>
              <w:t>、</w:t>
            </w:r>
            <w:r>
              <w:rPr>
                <w:rFonts w:hint="eastAsia"/>
                <w:bCs/>
                <w:color w:val="auto"/>
                <w:sz w:val="24"/>
                <w:lang w:val="en-US" w:eastAsia="zh-CN"/>
              </w:rPr>
              <w:t>3-5</w:t>
            </w:r>
            <w:r>
              <w:rPr>
                <w:bCs/>
                <w:color w:val="auto"/>
                <w:sz w:val="24"/>
              </w:rPr>
              <w:t>。</w:t>
            </w:r>
          </w:p>
          <w:p w14:paraId="00A07EF4">
            <w:pPr>
              <w:pStyle w:val="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2" w:firstLineChars="200"/>
              <w:jc w:val="center"/>
              <w:textAlignment w:val="auto"/>
              <w:rPr>
                <w:rFonts w:hint="default" w:ascii="Times New Roman" w:hAnsi="Times New Roman" w:cs="Times New Roman" w:eastAsiaTheme="minorEastAsia"/>
                <w:b/>
                <w:bCs/>
                <w:color w:val="auto"/>
                <w:kern w:val="2"/>
                <w:sz w:val="21"/>
                <w:szCs w:val="24"/>
                <w:highlight w:val="none"/>
                <w:lang w:val="en-US" w:eastAsia="zh-CN" w:bidi="ar-SA"/>
              </w:rPr>
            </w:pPr>
            <w:r>
              <w:rPr>
                <w:rFonts w:hint="default" w:ascii="Times New Roman" w:hAnsi="Times New Roman" w:cs="Times New Roman" w:eastAsiaTheme="minorEastAsia"/>
                <w:b/>
                <w:bCs/>
                <w:color w:val="auto"/>
                <w:kern w:val="2"/>
                <w:sz w:val="21"/>
                <w:szCs w:val="24"/>
                <w:highlight w:val="none"/>
                <w:lang w:val="en-US" w:eastAsia="zh-CN" w:bidi="ar-SA"/>
              </w:rPr>
              <w:t>表3-</w:t>
            </w:r>
            <w:r>
              <w:rPr>
                <w:rFonts w:hint="eastAsia" w:cs="Times New Roman" w:eastAsiaTheme="minorEastAsia"/>
                <w:b/>
                <w:bCs/>
                <w:color w:val="auto"/>
                <w:kern w:val="2"/>
                <w:sz w:val="21"/>
                <w:szCs w:val="24"/>
                <w:highlight w:val="none"/>
                <w:lang w:val="en-US" w:eastAsia="zh-CN" w:bidi="ar-SA"/>
              </w:rPr>
              <w:t xml:space="preserve">4 </w:t>
            </w:r>
            <w:r>
              <w:rPr>
                <w:rFonts w:hint="default" w:ascii="Times New Roman" w:hAnsi="Times New Roman" w:cs="Times New Roman" w:eastAsiaTheme="minorEastAsia"/>
                <w:b/>
                <w:bCs/>
                <w:color w:val="auto"/>
                <w:kern w:val="2"/>
                <w:sz w:val="21"/>
                <w:szCs w:val="24"/>
                <w:highlight w:val="none"/>
                <w:lang w:val="en-US" w:eastAsia="zh-CN" w:bidi="ar-SA"/>
              </w:rPr>
              <w:t xml:space="preserve"> </w:t>
            </w:r>
            <w:r>
              <w:rPr>
                <w:rFonts w:hint="eastAsia" w:ascii="Times New Roman" w:hAnsi="Times New Roman" w:cs="Times New Roman" w:eastAsiaTheme="minorEastAsia"/>
                <w:b/>
                <w:bCs/>
                <w:color w:val="auto"/>
                <w:kern w:val="2"/>
                <w:sz w:val="21"/>
                <w:szCs w:val="24"/>
                <w:highlight w:val="none"/>
                <w:lang w:val="en-US" w:eastAsia="zh-CN" w:bidi="ar-SA"/>
              </w:rPr>
              <w:t>锅炉大气污染物排放标准</w:t>
            </w:r>
          </w:p>
          <w:tbl>
            <w:tblPr>
              <w:tblStyle w:val="3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305"/>
              <w:gridCol w:w="1837"/>
              <w:gridCol w:w="3006"/>
            </w:tblGrid>
            <w:tr w14:paraId="76FF05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8" w:type="pct"/>
                  <w:vMerge w:val="restart"/>
                  <w:shd w:val="clear" w:color="auto" w:fill="auto"/>
                  <w:noWrap w:val="0"/>
                  <w:vAlign w:val="center"/>
                </w:tcPr>
                <w:p w14:paraId="6B77F93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rPr>
                  </w:pPr>
                  <w:r>
                    <w:rPr>
                      <w:rFonts w:hint="default" w:ascii="Times New Roman" w:hAnsi="Times New Roman" w:cs="Times New Roman"/>
                      <w:bCs/>
                      <w:color w:val="auto"/>
                    </w:rPr>
                    <w:t>标准名称</w:t>
                  </w:r>
                </w:p>
              </w:tc>
              <w:tc>
                <w:tcPr>
                  <w:tcW w:w="2971" w:type="pct"/>
                  <w:gridSpan w:val="2"/>
                  <w:shd w:val="clear" w:color="auto" w:fill="auto"/>
                  <w:noWrap w:val="0"/>
                  <w:vAlign w:val="center"/>
                </w:tcPr>
                <w:p w14:paraId="52091D1C">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rPr>
                  </w:pPr>
                  <w:r>
                    <w:rPr>
                      <w:rFonts w:hint="default" w:ascii="Times New Roman" w:hAnsi="Times New Roman" w:cs="Times New Roman"/>
                      <w:bCs/>
                      <w:color w:val="auto"/>
                    </w:rPr>
                    <w:t>标准限值</w:t>
                  </w:r>
                </w:p>
              </w:tc>
            </w:tr>
            <w:tr w14:paraId="16D062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8" w:type="pct"/>
                  <w:vMerge w:val="continue"/>
                  <w:shd w:val="clear" w:color="auto" w:fill="auto"/>
                  <w:noWrap w:val="0"/>
                  <w:vAlign w:val="center"/>
                </w:tcPr>
                <w:p w14:paraId="0F6C49E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rPr>
                  </w:pPr>
                </w:p>
              </w:tc>
              <w:tc>
                <w:tcPr>
                  <w:tcW w:w="1127" w:type="pct"/>
                  <w:shd w:val="clear" w:color="auto" w:fill="auto"/>
                  <w:noWrap w:val="0"/>
                  <w:vAlign w:val="center"/>
                </w:tcPr>
                <w:p w14:paraId="01C23203">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lang w:eastAsia="zh-CN"/>
                    </w:rPr>
                  </w:pPr>
                  <w:r>
                    <w:rPr>
                      <w:rFonts w:hint="eastAsia" w:cs="Times New Roman"/>
                      <w:bCs/>
                      <w:color w:val="auto"/>
                      <w:lang w:eastAsia="zh-CN"/>
                    </w:rPr>
                    <w:t>污染物</w:t>
                  </w:r>
                </w:p>
              </w:tc>
              <w:tc>
                <w:tcPr>
                  <w:tcW w:w="1844" w:type="pct"/>
                  <w:shd w:val="clear" w:color="auto" w:fill="auto"/>
                  <w:noWrap w:val="0"/>
                  <w:vAlign w:val="center"/>
                </w:tcPr>
                <w:p w14:paraId="25A72C3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rPr>
                  </w:pPr>
                  <w:r>
                    <w:rPr>
                      <w:rFonts w:hint="default" w:ascii="Times New Roman" w:hAnsi="Times New Roman" w:cs="Times New Roman"/>
                      <w:bCs/>
                      <w:color w:val="auto"/>
                    </w:rPr>
                    <w:t>浓度限值</w:t>
                  </w:r>
                </w:p>
              </w:tc>
            </w:tr>
            <w:tr w14:paraId="24A775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8" w:type="pct"/>
                  <w:vMerge w:val="restart"/>
                  <w:shd w:val="clear" w:color="auto" w:fill="auto"/>
                  <w:noWrap w:val="0"/>
                  <w:vAlign w:val="center"/>
                </w:tcPr>
                <w:p w14:paraId="315396D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rPr>
                  </w:pPr>
                  <w:r>
                    <w:rPr>
                      <w:rFonts w:hint="eastAsia" w:ascii="Times New Roman" w:hAnsi="Times New Roman" w:eastAsia="宋体" w:cs="Times New Roman"/>
                      <w:bCs/>
                      <w:color w:val="auto"/>
                      <w:lang w:eastAsia="zh-CN"/>
                    </w:rPr>
                    <w:t>《锅炉大气污染物排放标准》（GB13271-2014）表</w:t>
                  </w:r>
                  <w:r>
                    <w:rPr>
                      <w:rFonts w:hint="eastAsia" w:cs="Times New Roman"/>
                      <w:bCs/>
                      <w:color w:val="auto"/>
                      <w:lang w:val="en-US" w:eastAsia="zh-CN"/>
                    </w:rPr>
                    <w:t>3</w:t>
                  </w:r>
                  <w:r>
                    <w:rPr>
                      <w:rFonts w:hint="eastAsia" w:ascii="Times New Roman" w:hAnsi="Times New Roman" w:eastAsia="宋体" w:cs="Times New Roman"/>
                      <w:bCs/>
                      <w:color w:val="auto"/>
                      <w:lang w:eastAsia="zh-CN"/>
                    </w:rPr>
                    <w:t>中燃煤锅炉大气污染物排放限值标准要求</w:t>
                  </w:r>
                </w:p>
              </w:tc>
              <w:tc>
                <w:tcPr>
                  <w:tcW w:w="1127" w:type="pct"/>
                  <w:shd w:val="clear" w:color="auto" w:fill="auto"/>
                  <w:noWrap w:val="0"/>
                  <w:vAlign w:val="center"/>
                </w:tcPr>
                <w:p w14:paraId="2372CB3C">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lang w:eastAsia="zh-CN"/>
                    </w:rPr>
                  </w:pPr>
                  <w:r>
                    <w:rPr>
                      <w:rFonts w:hint="eastAsia" w:cs="Times New Roman"/>
                      <w:bCs/>
                      <w:color w:val="auto"/>
                      <w:lang w:eastAsia="zh-CN"/>
                    </w:rPr>
                    <w:t>颗粒物</w:t>
                  </w:r>
                </w:p>
              </w:tc>
              <w:tc>
                <w:tcPr>
                  <w:tcW w:w="1844" w:type="pct"/>
                  <w:shd w:val="clear" w:color="auto" w:fill="auto"/>
                  <w:noWrap w:val="0"/>
                  <w:vAlign w:val="center"/>
                </w:tcPr>
                <w:p w14:paraId="721532A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rPr>
                  </w:pPr>
                  <w:r>
                    <w:rPr>
                      <w:rFonts w:hint="eastAsia" w:cs="Times New Roman"/>
                      <w:bCs/>
                      <w:color w:val="auto"/>
                      <w:lang w:val="en-US" w:eastAsia="zh-CN"/>
                    </w:rPr>
                    <w:t>50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p>
              </w:tc>
            </w:tr>
            <w:tr w14:paraId="6CFCCB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8" w:type="pct"/>
                  <w:vMerge w:val="continue"/>
                  <w:shd w:val="clear" w:color="auto" w:fill="auto"/>
                  <w:noWrap w:val="0"/>
                  <w:vAlign w:val="center"/>
                </w:tcPr>
                <w:p w14:paraId="6CABA9A3">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rPr>
                  </w:pPr>
                </w:p>
              </w:tc>
              <w:tc>
                <w:tcPr>
                  <w:tcW w:w="1127" w:type="pct"/>
                  <w:shd w:val="clear" w:color="auto" w:fill="auto"/>
                  <w:noWrap w:val="0"/>
                  <w:vAlign w:val="center"/>
                </w:tcPr>
                <w:p w14:paraId="1916D88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4"/>
                      <w:lang w:val="en-US" w:eastAsia="zh-CN" w:bidi="ar-SA"/>
                    </w:rPr>
                  </w:pPr>
                  <w:r>
                    <w:rPr>
                      <w:rFonts w:hint="default" w:ascii="Times New Roman" w:hAnsi="Times New Roman" w:cs="Times New Roman"/>
                      <w:bCs/>
                      <w:color w:val="auto"/>
                    </w:rPr>
                    <w:t>SO</w:t>
                  </w:r>
                  <w:r>
                    <w:rPr>
                      <w:rFonts w:hint="default" w:ascii="Times New Roman" w:hAnsi="Times New Roman" w:cs="Times New Roman"/>
                      <w:bCs/>
                      <w:color w:val="auto"/>
                      <w:vertAlign w:val="subscript"/>
                    </w:rPr>
                    <w:t>2</w:t>
                  </w:r>
                </w:p>
              </w:tc>
              <w:tc>
                <w:tcPr>
                  <w:tcW w:w="1844" w:type="pct"/>
                  <w:shd w:val="clear" w:color="auto" w:fill="auto"/>
                  <w:noWrap w:val="0"/>
                  <w:vAlign w:val="center"/>
                </w:tcPr>
                <w:p w14:paraId="3169DA90">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4"/>
                      <w:lang w:val="en-US" w:eastAsia="zh-CN" w:bidi="ar-SA"/>
                    </w:rPr>
                  </w:pPr>
                  <w:r>
                    <w:rPr>
                      <w:rFonts w:hint="eastAsia" w:cs="Times New Roman"/>
                      <w:bCs/>
                      <w:color w:val="auto"/>
                      <w:lang w:val="en-US" w:eastAsia="zh-CN"/>
                    </w:rPr>
                    <w:t>3</w:t>
                  </w:r>
                  <w:r>
                    <w:rPr>
                      <w:rFonts w:hint="eastAsia" w:ascii="Times New Roman" w:hAnsi="Times New Roman" w:cs="Times New Roman"/>
                      <w:bCs/>
                      <w:color w:val="auto"/>
                      <w:lang w:val="en-US" w:eastAsia="zh-CN"/>
                    </w:rPr>
                    <w:t>00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p>
              </w:tc>
            </w:tr>
            <w:tr w14:paraId="01482B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8" w:type="pct"/>
                  <w:vMerge w:val="continue"/>
                  <w:shd w:val="clear" w:color="auto" w:fill="auto"/>
                  <w:noWrap w:val="0"/>
                  <w:vAlign w:val="center"/>
                </w:tcPr>
                <w:p w14:paraId="1160C86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rPr>
                  </w:pPr>
                </w:p>
              </w:tc>
              <w:tc>
                <w:tcPr>
                  <w:tcW w:w="1127" w:type="pct"/>
                  <w:shd w:val="clear" w:color="auto" w:fill="auto"/>
                  <w:noWrap w:val="0"/>
                  <w:vAlign w:val="center"/>
                </w:tcPr>
                <w:p w14:paraId="53DE0F3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lang w:eastAsia="zh-CN"/>
                    </w:rPr>
                    <w:t>NOx</w:t>
                  </w:r>
                </w:p>
              </w:tc>
              <w:tc>
                <w:tcPr>
                  <w:tcW w:w="1844" w:type="pct"/>
                  <w:shd w:val="clear" w:color="auto" w:fill="auto"/>
                  <w:noWrap w:val="0"/>
                  <w:vAlign w:val="center"/>
                </w:tcPr>
                <w:p w14:paraId="02270FB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4"/>
                      <w:lang w:val="en-US" w:eastAsia="zh-CN" w:bidi="ar-SA"/>
                    </w:rPr>
                  </w:pPr>
                  <w:r>
                    <w:rPr>
                      <w:rFonts w:hint="eastAsia" w:cs="Times New Roman"/>
                      <w:bCs/>
                      <w:color w:val="auto"/>
                      <w:lang w:val="en-US" w:eastAsia="zh-CN"/>
                    </w:rPr>
                    <w:t>3</w:t>
                  </w:r>
                  <w:r>
                    <w:rPr>
                      <w:rFonts w:hint="eastAsia" w:ascii="Times New Roman" w:hAnsi="Times New Roman" w:cs="Times New Roman"/>
                      <w:bCs/>
                      <w:color w:val="auto"/>
                      <w:lang w:val="en-US" w:eastAsia="zh-CN"/>
                    </w:rPr>
                    <w:t>00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p>
              </w:tc>
            </w:tr>
            <w:tr w14:paraId="690F6E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8" w:type="pct"/>
                  <w:vMerge w:val="continue"/>
                  <w:shd w:val="clear" w:color="auto" w:fill="auto"/>
                  <w:noWrap w:val="0"/>
                  <w:vAlign w:val="center"/>
                </w:tcPr>
                <w:p w14:paraId="2F5D635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rPr>
                  </w:pPr>
                </w:p>
              </w:tc>
              <w:tc>
                <w:tcPr>
                  <w:tcW w:w="1127" w:type="pct"/>
                  <w:shd w:val="clear" w:color="auto" w:fill="auto"/>
                  <w:noWrap w:val="0"/>
                  <w:vAlign w:val="center"/>
                </w:tcPr>
                <w:p w14:paraId="332FEBD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4"/>
                      <w:lang w:val="en-US" w:eastAsia="zh-CN" w:bidi="ar-SA"/>
                    </w:rPr>
                  </w:pPr>
                  <w:r>
                    <w:rPr>
                      <w:rFonts w:hint="default" w:ascii="Times New Roman" w:hAnsi="Times New Roman" w:cs="Times New Roman"/>
                      <w:bCs/>
                      <w:color w:val="auto"/>
                      <w:lang w:eastAsia="zh-CN"/>
                    </w:rPr>
                    <w:t>林格曼黑度</w:t>
                  </w:r>
                </w:p>
              </w:tc>
              <w:tc>
                <w:tcPr>
                  <w:tcW w:w="1844" w:type="pct"/>
                  <w:shd w:val="clear" w:color="auto" w:fill="auto"/>
                  <w:noWrap w:val="0"/>
                  <w:vAlign w:val="center"/>
                </w:tcPr>
                <w:p w14:paraId="752698A8">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4"/>
                      <w:lang w:val="en-US" w:eastAsia="zh-CN" w:bidi="ar-SA"/>
                    </w:rPr>
                  </w:pPr>
                  <w:r>
                    <w:rPr>
                      <w:rFonts w:hint="default" w:ascii="Times New Roman" w:hAnsi="Times New Roman" w:cs="Times New Roman"/>
                      <w:bCs/>
                      <w:color w:val="auto"/>
                      <w:lang w:eastAsia="zh-CN"/>
                    </w:rPr>
                    <w:t>≤</w:t>
                  </w:r>
                  <w:r>
                    <w:rPr>
                      <w:rFonts w:hint="default" w:ascii="Times New Roman" w:hAnsi="Times New Roman" w:cs="Times New Roman"/>
                      <w:bCs/>
                      <w:color w:val="auto"/>
                      <w:lang w:val="en-US" w:eastAsia="zh-CN"/>
                    </w:rPr>
                    <w:t>1级</w:t>
                  </w:r>
                </w:p>
              </w:tc>
            </w:tr>
            <w:tr w14:paraId="02B7A4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028" w:type="pct"/>
                  <w:vMerge w:val="continue"/>
                  <w:shd w:val="clear" w:color="auto" w:fill="auto"/>
                  <w:noWrap w:val="0"/>
                  <w:vAlign w:val="center"/>
                </w:tcPr>
                <w:p w14:paraId="672543B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rPr>
                  </w:pPr>
                </w:p>
              </w:tc>
              <w:tc>
                <w:tcPr>
                  <w:tcW w:w="1127" w:type="pct"/>
                  <w:shd w:val="clear" w:color="auto" w:fill="auto"/>
                  <w:noWrap w:val="0"/>
                  <w:vAlign w:val="center"/>
                </w:tcPr>
                <w:p w14:paraId="6DC74E6D">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ascii="Times New Roman" w:hAnsi="Times New Roman" w:cs="Times New Roman"/>
                      <w:bCs/>
                      <w:color w:val="auto"/>
                      <w:lang w:val="en-US" w:eastAsia="zh-CN"/>
                    </w:rPr>
                    <w:t>汞及其化合物</w:t>
                  </w:r>
                </w:p>
              </w:tc>
              <w:tc>
                <w:tcPr>
                  <w:tcW w:w="1844" w:type="pct"/>
                  <w:shd w:val="clear" w:color="auto" w:fill="auto"/>
                  <w:noWrap w:val="0"/>
                  <w:vAlign w:val="center"/>
                </w:tcPr>
                <w:p w14:paraId="1991F4F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cs="Times New Roman"/>
                      <w:bCs/>
                      <w:color w:val="auto"/>
                      <w:lang w:val="en-US" w:eastAsia="zh-CN"/>
                    </w:rPr>
                  </w:pPr>
                  <w:r>
                    <w:rPr>
                      <w:rFonts w:hint="eastAsia" w:cs="Times New Roman"/>
                      <w:bCs/>
                      <w:color w:val="auto"/>
                      <w:lang w:val="en-US" w:eastAsia="zh-CN"/>
                    </w:rPr>
                    <w:t>0.05</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p>
              </w:tc>
            </w:tr>
          </w:tbl>
          <w:p w14:paraId="4EB7D4C3">
            <w:pPr>
              <w:pStyle w:val="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2" w:firstLineChars="200"/>
              <w:jc w:val="center"/>
              <w:textAlignment w:val="auto"/>
              <w:rPr>
                <w:rFonts w:hint="default" w:ascii="Times New Roman" w:hAnsi="Times New Roman" w:cs="Times New Roman" w:eastAsiaTheme="minorEastAsia"/>
                <w:b/>
                <w:bCs/>
                <w:color w:val="auto"/>
                <w:kern w:val="2"/>
                <w:sz w:val="21"/>
                <w:szCs w:val="24"/>
                <w:highlight w:val="none"/>
                <w:lang w:val="en-US" w:eastAsia="zh-CN" w:bidi="ar-SA"/>
              </w:rPr>
            </w:pPr>
            <w:r>
              <w:rPr>
                <w:rFonts w:hint="default" w:ascii="Times New Roman" w:hAnsi="Times New Roman" w:cs="Times New Roman" w:eastAsiaTheme="minorEastAsia"/>
                <w:b/>
                <w:bCs/>
                <w:color w:val="auto"/>
                <w:kern w:val="2"/>
                <w:sz w:val="21"/>
                <w:szCs w:val="24"/>
                <w:highlight w:val="none"/>
                <w:lang w:val="en-US" w:eastAsia="zh-CN" w:bidi="ar-SA"/>
              </w:rPr>
              <w:t>表</w:t>
            </w:r>
            <w:r>
              <w:rPr>
                <w:rFonts w:hint="eastAsia" w:ascii="Times New Roman" w:hAnsi="Times New Roman" w:cs="Times New Roman" w:eastAsiaTheme="minorEastAsia"/>
                <w:b/>
                <w:bCs/>
                <w:color w:val="auto"/>
                <w:kern w:val="2"/>
                <w:sz w:val="21"/>
                <w:szCs w:val="24"/>
                <w:highlight w:val="none"/>
                <w:lang w:val="en-US" w:eastAsia="zh-CN" w:bidi="ar-SA"/>
              </w:rPr>
              <w:t>3-</w:t>
            </w:r>
            <w:r>
              <w:rPr>
                <w:rFonts w:hint="eastAsia" w:cs="Times New Roman" w:eastAsiaTheme="minorEastAsia"/>
                <w:b/>
                <w:bCs/>
                <w:color w:val="auto"/>
                <w:kern w:val="2"/>
                <w:sz w:val="21"/>
                <w:szCs w:val="24"/>
                <w:highlight w:val="none"/>
                <w:lang w:val="en-US" w:eastAsia="zh-CN" w:bidi="ar-SA"/>
              </w:rPr>
              <w:t xml:space="preserve">5 </w:t>
            </w:r>
            <w:r>
              <w:rPr>
                <w:rFonts w:hint="default" w:ascii="Times New Roman" w:hAnsi="Times New Roman" w:cs="Times New Roman" w:eastAsiaTheme="minorEastAsia"/>
                <w:b/>
                <w:bCs/>
                <w:color w:val="auto"/>
                <w:kern w:val="2"/>
                <w:sz w:val="21"/>
                <w:szCs w:val="24"/>
                <w:highlight w:val="none"/>
                <w:lang w:val="en-US" w:eastAsia="zh-CN" w:bidi="ar-SA"/>
              </w:rPr>
              <w:t xml:space="preserve"> 大气污染物</w:t>
            </w:r>
            <w:r>
              <w:rPr>
                <w:rFonts w:hint="eastAsia" w:ascii="Times New Roman" w:hAnsi="Times New Roman" w:cs="Times New Roman" w:eastAsiaTheme="minorEastAsia"/>
                <w:b/>
                <w:bCs/>
                <w:color w:val="auto"/>
                <w:kern w:val="2"/>
                <w:sz w:val="21"/>
                <w:szCs w:val="24"/>
                <w:highlight w:val="none"/>
                <w:lang w:val="en-US" w:eastAsia="zh-CN" w:bidi="ar-SA"/>
              </w:rPr>
              <w:t>综合</w:t>
            </w:r>
            <w:r>
              <w:rPr>
                <w:rFonts w:hint="default" w:ascii="Times New Roman" w:hAnsi="Times New Roman" w:cs="Times New Roman" w:eastAsiaTheme="minorEastAsia"/>
                <w:b/>
                <w:bCs/>
                <w:color w:val="auto"/>
                <w:kern w:val="2"/>
                <w:sz w:val="21"/>
                <w:szCs w:val="24"/>
                <w:highlight w:val="none"/>
                <w:lang w:val="en-US" w:eastAsia="zh-CN" w:bidi="ar-SA"/>
              </w:rPr>
              <w:t>排放标准</w:t>
            </w:r>
          </w:p>
          <w:tbl>
            <w:tblPr>
              <w:tblStyle w:val="39"/>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56"/>
              <w:gridCol w:w="2944"/>
              <w:gridCol w:w="2949"/>
            </w:tblGrid>
            <w:tr w14:paraId="2F6FFF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6" w:hRule="atLeast"/>
                <w:jc w:val="center"/>
              </w:trPr>
              <w:tc>
                <w:tcPr>
                  <w:tcW w:w="1384" w:type="pct"/>
                  <w:vMerge w:val="restart"/>
                  <w:noWrap w:val="0"/>
                  <w:vAlign w:val="center"/>
                </w:tcPr>
                <w:p w14:paraId="3D92573B">
                  <w:pPr>
                    <w:keepNext w:val="0"/>
                    <w:keepLines w:val="0"/>
                    <w:pageBreakBefore w:val="0"/>
                    <w:kinsoku/>
                    <w:wordWrap/>
                    <w:overflowPunct/>
                    <w:topLinePunct w:val="0"/>
                    <w:autoSpaceDE/>
                    <w:autoSpaceDN/>
                    <w:bidi w:val="0"/>
                    <w:adjustRightInd/>
                    <w:snapToGrid/>
                    <w:spacing w:after="12" w:line="240" w:lineRule="atLeast"/>
                    <w:jc w:val="center"/>
                    <w:textAlignment w:val="auto"/>
                    <w:rPr>
                      <w:color w:val="auto"/>
                      <w:szCs w:val="21"/>
                    </w:rPr>
                  </w:pPr>
                  <w:r>
                    <w:rPr>
                      <w:color w:val="auto"/>
                      <w:szCs w:val="21"/>
                    </w:rPr>
                    <w:t>污染物</w:t>
                  </w:r>
                </w:p>
              </w:tc>
              <w:tc>
                <w:tcPr>
                  <w:tcW w:w="3615" w:type="pct"/>
                  <w:gridSpan w:val="2"/>
                  <w:noWrap w:val="0"/>
                  <w:vAlign w:val="center"/>
                </w:tcPr>
                <w:p w14:paraId="5813B9D4">
                  <w:pPr>
                    <w:keepNext w:val="0"/>
                    <w:keepLines w:val="0"/>
                    <w:pageBreakBefore w:val="0"/>
                    <w:kinsoku/>
                    <w:wordWrap/>
                    <w:overflowPunct/>
                    <w:topLinePunct w:val="0"/>
                    <w:autoSpaceDE/>
                    <w:autoSpaceDN/>
                    <w:bidi w:val="0"/>
                    <w:adjustRightInd/>
                    <w:snapToGrid/>
                    <w:spacing w:after="12" w:line="240" w:lineRule="atLeast"/>
                    <w:jc w:val="center"/>
                    <w:textAlignment w:val="auto"/>
                    <w:rPr>
                      <w:rFonts w:hint="eastAsia"/>
                      <w:color w:val="auto"/>
                      <w:szCs w:val="21"/>
                    </w:rPr>
                  </w:pPr>
                  <w:r>
                    <w:rPr>
                      <w:rFonts w:hint="eastAsia"/>
                      <w:color w:val="auto"/>
                      <w:szCs w:val="21"/>
                    </w:rPr>
                    <w:t>无组织排放监控浓度限值</w:t>
                  </w:r>
                </w:p>
              </w:tc>
            </w:tr>
            <w:tr w14:paraId="32F304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05" w:hRule="atLeast"/>
                <w:jc w:val="center"/>
              </w:trPr>
              <w:tc>
                <w:tcPr>
                  <w:tcW w:w="1384" w:type="pct"/>
                  <w:vMerge w:val="continue"/>
                  <w:noWrap w:val="0"/>
                  <w:vAlign w:val="center"/>
                </w:tcPr>
                <w:p w14:paraId="6E0C05F1">
                  <w:pPr>
                    <w:keepNext w:val="0"/>
                    <w:keepLines w:val="0"/>
                    <w:pageBreakBefore w:val="0"/>
                    <w:widowControl/>
                    <w:kinsoku/>
                    <w:wordWrap/>
                    <w:overflowPunct/>
                    <w:topLinePunct w:val="0"/>
                    <w:autoSpaceDE/>
                    <w:autoSpaceDN/>
                    <w:bidi w:val="0"/>
                    <w:adjustRightInd/>
                    <w:snapToGrid/>
                    <w:spacing w:line="240" w:lineRule="atLeast"/>
                    <w:jc w:val="center"/>
                    <w:textAlignment w:val="auto"/>
                    <w:rPr>
                      <w:color w:val="auto"/>
                      <w:szCs w:val="21"/>
                    </w:rPr>
                  </w:pPr>
                </w:p>
              </w:tc>
              <w:tc>
                <w:tcPr>
                  <w:tcW w:w="1806" w:type="pct"/>
                  <w:noWrap w:val="0"/>
                  <w:vAlign w:val="center"/>
                </w:tcPr>
                <w:p w14:paraId="52E64BC4">
                  <w:pPr>
                    <w:keepNext w:val="0"/>
                    <w:keepLines w:val="0"/>
                    <w:pageBreakBefore w:val="0"/>
                    <w:kinsoku/>
                    <w:wordWrap/>
                    <w:overflowPunct/>
                    <w:topLinePunct w:val="0"/>
                    <w:autoSpaceDE/>
                    <w:autoSpaceDN/>
                    <w:bidi w:val="0"/>
                    <w:adjustRightInd/>
                    <w:snapToGrid/>
                    <w:spacing w:after="12" w:line="240" w:lineRule="atLeast"/>
                    <w:jc w:val="center"/>
                    <w:textAlignment w:val="auto"/>
                    <w:rPr>
                      <w:rFonts w:hint="eastAsia"/>
                      <w:color w:val="auto"/>
                      <w:szCs w:val="21"/>
                    </w:rPr>
                  </w:pPr>
                  <w:r>
                    <w:rPr>
                      <w:rFonts w:hint="eastAsia"/>
                      <w:color w:val="auto"/>
                      <w:szCs w:val="21"/>
                    </w:rPr>
                    <w:t>监控点</w:t>
                  </w:r>
                </w:p>
              </w:tc>
              <w:tc>
                <w:tcPr>
                  <w:tcW w:w="1808" w:type="pct"/>
                  <w:noWrap w:val="0"/>
                  <w:vAlign w:val="center"/>
                </w:tcPr>
                <w:p w14:paraId="5AE341B2">
                  <w:pPr>
                    <w:keepNext w:val="0"/>
                    <w:keepLines w:val="0"/>
                    <w:pageBreakBefore w:val="0"/>
                    <w:kinsoku/>
                    <w:wordWrap/>
                    <w:overflowPunct/>
                    <w:topLinePunct w:val="0"/>
                    <w:autoSpaceDE/>
                    <w:autoSpaceDN/>
                    <w:bidi w:val="0"/>
                    <w:adjustRightInd/>
                    <w:snapToGrid/>
                    <w:spacing w:after="12" w:line="240" w:lineRule="atLeast"/>
                    <w:jc w:val="center"/>
                    <w:textAlignment w:val="auto"/>
                    <w:rPr>
                      <w:rFonts w:hint="eastAsia"/>
                      <w:color w:val="auto"/>
                      <w:szCs w:val="21"/>
                    </w:rPr>
                  </w:pPr>
                  <w:r>
                    <w:rPr>
                      <w:rFonts w:hint="eastAsia"/>
                      <w:color w:val="auto"/>
                      <w:szCs w:val="21"/>
                    </w:rPr>
                    <w:t>浓度</w:t>
                  </w:r>
                  <w:r>
                    <w:rPr>
                      <w:color w:val="auto"/>
                      <w:szCs w:val="21"/>
                    </w:rPr>
                    <w:t>(mg/m</w:t>
                  </w:r>
                  <w:r>
                    <w:rPr>
                      <w:color w:val="auto"/>
                      <w:szCs w:val="21"/>
                      <w:vertAlign w:val="superscript"/>
                    </w:rPr>
                    <w:t>3</w:t>
                  </w:r>
                  <w:r>
                    <w:rPr>
                      <w:color w:val="auto"/>
                      <w:szCs w:val="21"/>
                    </w:rPr>
                    <w:t>)</w:t>
                  </w:r>
                </w:p>
              </w:tc>
            </w:tr>
            <w:tr w14:paraId="533635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76" w:hRule="atLeast"/>
                <w:jc w:val="center"/>
              </w:trPr>
              <w:tc>
                <w:tcPr>
                  <w:tcW w:w="1384" w:type="pct"/>
                  <w:noWrap w:val="0"/>
                  <w:vAlign w:val="center"/>
                </w:tcPr>
                <w:p w14:paraId="4D40C711">
                  <w:pPr>
                    <w:keepNext w:val="0"/>
                    <w:keepLines w:val="0"/>
                    <w:pageBreakBefore w:val="0"/>
                    <w:kinsoku/>
                    <w:wordWrap/>
                    <w:overflowPunct/>
                    <w:topLinePunct w:val="0"/>
                    <w:autoSpaceDE/>
                    <w:autoSpaceDN/>
                    <w:bidi w:val="0"/>
                    <w:adjustRightInd/>
                    <w:snapToGrid/>
                    <w:spacing w:after="12" w:line="240" w:lineRule="atLeast"/>
                    <w:jc w:val="center"/>
                    <w:textAlignment w:val="auto"/>
                    <w:rPr>
                      <w:color w:val="auto"/>
                      <w:szCs w:val="21"/>
                    </w:rPr>
                  </w:pPr>
                  <w:r>
                    <w:rPr>
                      <w:color w:val="auto"/>
                      <w:szCs w:val="21"/>
                    </w:rPr>
                    <w:t>颗粒物</w:t>
                  </w:r>
                </w:p>
              </w:tc>
              <w:tc>
                <w:tcPr>
                  <w:tcW w:w="1806" w:type="pct"/>
                  <w:noWrap w:val="0"/>
                  <w:vAlign w:val="center"/>
                </w:tcPr>
                <w:p w14:paraId="072BDB6C">
                  <w:pPr>
                    <w:keepNext w:val="0"/>
                    <w:keepLines w:val="0"/>
                    <w:pageBreakBefore w:val="0"/>
                    <w:kinsoku/>
                    <w:wordWrap/>
                    <w:overflowPunct/>
                    <w:topLinePunct w:val="0"/>
                    <w:autoSpaceDE/>
                    <w:autoSpaceDN/>
                    <w:bidi w:val="0"/>
                    <w:adjustRightInd/>
                    <w:snapToGrid/>
                    <w:spacing w:after="12" w:line="240" w:lineRule="atLeast"/>
                    <w:jc w:val="center"/>
                    <w:textAlignment w:val="auto"/>
                    <w:rPr>
                      <w:rFonts w:hint="eastAsia"/>
                      <w:color w:val="auto"/>
                      <w:szCs w:val="21"/>
                    </w:rPr>
                  </w:pPr>
                  <w:r>
                    <w:rPr>
                      <w:rFonts w:hint="eastAsia"/>
                      <w:color w:val="auto"/>
                      <w:szCs w:val="21"/>
                    </w:rPr>
                    <w:t>周界外浓度最高点</w:t>
                  </w:r>
                </w:p>
              </w:tc>
              <w:tc>
                <w:tcPr>
                  <w:tcW w:w="1808" w:type="pct"/>
                  <w:noWrap w:val="0"/>
                  <w:vAlign w:val="center"/>
                </w:tcPr>
                <w:p w14:paraId="62B65136">
                  <w:pPr>
                    <w:keepNext w:val="0"/>
                    <w:keepLines w:val="0"/>
                    <w:pageBreakBefore w:val="0"/>
                    <w:kinsoku/>
                    <w:wordWrap/>
                    <w:overflowPunct/>
                    <w:topLinePunct w:val="0"/>
                    <w:autoSpaceDE/>
                    <w:autoSpaceDN/>
                    <w:bidi w:val="0"/>
                    <w:adjustRightInd/>
                    <w:snapToGrid/>
                    <w:spacing w:after="12" w:line="240" w:lineRule="atLeast"/>
                    <w:jc w:val="center"/>
                    <w:textAlignment w:val="auto"/>
                    <w:rPr>
                      <w:color w:val="auto"/>
                      <w:szCs w:val="21"/>
                    </w:rPr>
                  </w:pPr>
                  <w:r>
                    <w:rPr>
                      <w:color w:val="auto"/>
                      <w:szCs w:val="21"/>
                    </w:rPr>
                    <w:t>1.0</w:t>
                  </w:r>
                </w:p>
              </w:tc>
            </w:tr>
          </w:tbl>
          <w:p w14:paraId="4894AF17">
            <w:pPr>
              <w:spacing w:before="240" w:beforeLines="100" w:line="360" w:lineRule="auto"/>
              <w:ind w:firstLine="482" w:firstLineChars="200"/>
              <w:rPr>
                <w:rFonts w:hint="default" w:eastAsia="宋体"/>
                <w:b/>
                <w:bCs/>
                <w:color w:val="auto"/>
                <w:sz w:val="24"/>
                <w:lang w:val="en-US" w:eastAsia="zh-CN"/>
              </w:rPr>
            </w:pPr>
            <w:r>
              <w:rPr>
                <w:rFonts w:hint="eastAsia"/>
                <w:b/>
                <w:bCs/>
                <w:color w:val="auto"/>
                <w:sz w:val="24"/>
              </w:rPr>
              <w:t>2、</w:t>
            </w:r>
            <w:r>
              <w:rPr>
                <w:rFonts w:hint="eastAsia"/>
                <w:b/>
                <w:bCs/>
                <w:color w:val="auto"/>
                <w:sz w:val="24"/>
                <w:lang w:val="en-US" w:eastAsia="zh-CN"/>
              </w:rPr>
              <w:t>废水排放标准</w:t>
            </w:r>
          </w:p>
          <w:p w14:paraId="51CABA4E">
            <w:pPr>
              <w:adjustRightInd w:val="0"/>
              <w:snapToGrid w:val="0"/>
              <w:spacing w:line="360" w:lineRule="auto"/>
              <w:ind w:firstLine="480" w:firstLineChars="200"/>
              <w:textAlignment w:val="center"/>
              <w:rPr>
                <w:rFonts w:hint="eastAsia"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本项目运营期</w:t>
            </w:r>
            <w:r>
              <w:rPr>
                <w:rFonts w:hint="eastAsia" w:cs="Times New Roman"/>
                <w:color w:val="auto"/>
                <w:sz w:val="24"/>
                <w:lang w:val="en-US" w:eastAsia="zh-CN"/>
              </w:rPr>
              <w:t>生产不用水，不</w:t>
            </w:r>
            <w:r>
              <w:rPr>
                <w:rFonts w:hint="eastAsia" w:ascii="Times New Roman" w:hAnsi="Times New Roman" w:eastAsia="宋体" w:cs="Times New Roman"/>
                <w:color w:val="auto"/>
                <w:sz w:val="24"/>
                <w:lang w:eastAsia="zh-CN"/>
              </w:rPr>
              <w:t>产生废水。</w:t>
            </w:r>
          </w:p>
          <w:p w14:paraId="4F2CE8FA">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eastAsia="宋体" w:cs="Times New Roman"/>
                <w:b/>
                <w:bCs/>
                <w:color w:val="auto"/>
                <w:sz w:val="24"/>
              </w:rPr>
            </w:pPr>
            <w:r>
              <w:rPr>
                <w:rFonts w:hint="eastAsia" w:ascii="Times New Roman" w:hAnsi="Times New Roman" w:eastAsia="宋体" w:cs="Times New Roman"/>
                <w:b/>
                <w:bCs/>
                <w:color w:val="auto"/>
                <w:sz w:val="24"/>
                <w:lang w:val="en-US" w:eastAsia="zh-CN"/>
              </w:rPr>
              <w:t>3、</w:t>
            </w:r>
            <w:r>
              <w:rPr>
                <w:rFonts w:hint="eastAsia" w:ascii="Times New Roman" w:hAnsi="Times New Roman" w:eastAsia="宋体" w:cs="Times New Roman"/>
                <w:b/>
                <w:bCs/>
                <w:color w:val="auto"/>
                <w:sz w:val="24"/>
              </w:rPr>
              <w:t>噪声排放标准</w:t>
            </w:r>
          </w:p>
          <w:p w14:paraId="5D667D42">
            <w:pPr>
              <w:adjustRightInd w:val="0"/>
              <w:snapToGrid w:val="0"/>
              <w:spacing w:line="360" w:lineRule="auto"/>
              <w:ind w:firstLine="480" w:firstLineChars="200"/>
              <w:textAlignment w:val="center"/>
              <w:rPr>
                <w:color w:val="auto"/>
              </w:rPr>
            </w:pPr>
            <w:r>
              <w:rPr>
                <w:color w:val="auto"/>
                <w:sz w:val="24"/>
              </w:rPr>
              <w:t>本项目</w:t>
            </w:r>
            <w:r>
              <w:rPr>
                <w:rFonts w:hint="eastAsia"/>
                <w:color w:val="auto"/>
                <w:sz w:val="24"/>
              </w:rPr>
              <w:t>位于</w:t>
            </w:r>
            <w:r>
              <w:rPr>
                <w:rFonts w:hint="eastAsia" w:ascii="Times New Roman" w:hAnsi="Times New Roman" w:eastAsia="宋体" w:cs="Times New Roman"/>
                <w:color w:val="auto"/>
                <w:spacing w:val="4"/>
                <w:sz w:val="24"/>
                <w:lang w:val="en-US" w:eastAsia="zh-CN"/>
              </w:rPr>
              <w:t>黑龙江省鸡西市梨树区穆棱办新兴委</w:t>
            </w:r>
            <w:r>
              <w:rPr>
                <w:rFonts w:hint="eastAsia"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根据《</w:t>
            </w:r>
            <w:r>
              <w:rPr>
                <w:rFonts w:hint="eastAsia" w:ascii="Times New Roman" w:hAnsi="Times New Roman" w:eastAsia="宋体" w:cs="Times New Roman"/>
                <w:color w:val="auto"/>
                <w:sz w:val="24"/>
              </w:rPr>
              <w:t>声环境功能区划分技术规范</w:t>
            </w:r>
            <w:r>
              <w:rPr>
                <w:rFonts w:hint="eastAsia" w:ascii="Times New Roman" w:hAnsi="Times New Roman" w:eastAsia="宋体" w:cs="Times New Roman"/>
                <w:color w:val="auto"/>
                <w:sz w:val="24"/>
                <w:lang w:val="en-US" w:eastAsia="zh-CN"/>
              </w:rPr>
              <w:t>》（GB/T15190-2014）属</w:t>
            </w:r>
            <w:r>
              <w:rPr>
                <w:rFonts w:hint="eastAsia" w:ascii="Times New Roman" w:hAnsi="Times New Roman" w:cs="Times New Roman" w:eastAsiaTheme="minorEastAsia"/>
                <w:bCs/>
                <w:color w:val="auto"/>
                <w:sz w:val="24"/>
                <w:lang w:val="en-US" w:eastAsia="zh-CN"/>
              </w:rPr>
              <w:t>于</w:t>
            </w:r>
            <w:r>
              <w:rPr>
                <w:rFonts w:hint="eastAsia" w:cs="Times New Roman" w:eastAsiaTheme="minorEastAsia"/>
                <w:bCs/>
                <w:color w:val="auto"/>
                <w:sz w:val="24"/>
                <w:lang w:val="en-US" w:eastAsia="zh-CN"/>
              </w:rPr>
              <w:t>2</w:t>
            </w:r>
            <w:r>
              <w:rPr>
                <w:rFonts w:hint="eastAsia" w:ascii="Times New Roman" w:hAnsi="Times New Roman" w:cs="Times New Roman" w:eastAsiaTheme="minorEastAsia"/>
                <w:bCs/>
                <w:color w:val="auto"/>
                <w:sz w:val="24"/>
                <w:lang w:val="en-US" w:eastAsia="zh-CN"/>
              </w:rPr>
              <w:t>类声功能区，则</w:t>
            </w:r>
            <w:r>
              <w:rPr>
                <w:rFonts w:hint="eastAsia"/>
                <w:color w:val="auto"/>
                <w:sz w:val="24"/>
              </w:rPr>
              <w:t>厂界</w:t>
            </w:r>
            <w:r>
              <w:rPr>
                <w:rFonts w:hint="eastAsia"/>
                <w:color w:val="auto"/>
                <w:szCs w:val="21"/>
              </w:rPr>
              <w:t>四周</w:t>
            </w:r>
            <w:r>
              <w:rPr>
                <w:rFonts w:hint="eastAsia"/>
                <w:color w:val="auto"/>
                <w:sz w:val="24"/>
              </w:rPr>
              <w:t>噪声</w:t>
            </w:r>
            <w:r>
              <w:rPr>
                <w:color w:val="auto"/>
                <w:sz w:val="24"/>
              </w:rPr>
              <w:t>执行《工业企业厂界环境噪声排放标准》（GB12348</w:t>
            </w:r>
            <w:r>
              <w:rPr>
                <w:rFonts w:hint="eastAsia"/>
                <w:color w:val="auto"/>
                <w:sz w:val="24"/>
              </w:rPr>
              <w:t>-</w:t>
            </w:r>
            <w:r>
              <w:rPr>
                <w:color w:val="auto"/>
                <w:sz w:val="24"/>
              </w:rPr>
              <w:t>2008）中的</w:t>
            </w:r>
            <w:r>
              <w:rPr>
                <w:rFonts w:hint="eastAsia"/>
                <w:color w:val="auto"/>
                <w:sz w:val="24"/>
                <w:lang w:val="en-US" w:eastAsia="zh-CN"/>
              </w:rPr>
              <w:t>2</w:t>
            </w:r>
            <w:r>
              <w:rPr>
                <w:color w:val="auto"/>
                <w:sz w:val="24"/>
              </w:rPr>
              <w:t>类标准</w:t>
            </w:r>
            <w:r>
              <w:rPr>
                <w:rFonts w:hint="eastAsia"/>
                <w:color w:val="auto"/>
                <w:sz w:val="24"/>
              </w:rPr>
              <w:t>，工业企业厂界环境噪声排放</w:t>
            </w:r>
            <w:r>
              <w:rPr>
                <w:color w:val="auto"/>
                <w:sz w:val="24"/>
              </w:rPr>
              <w:t>标准见表</w:t>
            </w:r>
            <w:r>
              <w:rPr>
                <w:rFonts w:hint="eastAsia"/>
                <w:color w:val="auto"/>
                <w:sz w:val="24"/>
              </w:rPr>
              <w:t>3</w:t>
            </w:r>
            <w:r>
              <w:rPr>
                <w:color w:val="auto"/>
                <w:sz w:val="24"/>
              </w:rPr>
              <w:t>-</w:t>
            </w:r>
            <w:r>
              <w:rPr>
                <w:rFonts w:hint="eastAsia"/>
                <w:color w:val="auto"/>
                <w:sz w:val="24"/>
                <w:lang w:val="en-US" w:eastAsia="zh-CN"/>
              </w:rPr>
              <w:t>6</w:t>
            </w:r>
            <w:r>
              <w:rPr>
                <w:color w:val="auto"/>
                <w:sz w:val="24"/>
              </w:rPr>
              <w:t>。</w:t>
            </w:r>
          </w:p>
          <w:p w14:paraId="0CF7E7FD">
            <w:pPr>
              <w:snapToGrid w:val="0"/>
              <w:jc w:val="center"/>
              <w:rPr>
                <w:b/>
                <w:bCs/>
                <w:iCs/>
                <w:color w:val="auto"/>
                <w:kern w:val="0"/>
                <w:szCs w:val="21"/>
              </w:rPr>
            </w:pPr>
            <w:r>
              <w:rPr>
                <w:b/>
                <w:bCs/>
                <w:iCs/>
                <w:color w:val="auto"/>
                <w:kern w:val="0"/>
                <w:szCs w:val="21"/>
              </w:rPr>
              <w:t>表3-</w:t>
            </w:r>
            <w:r>
              <w:rPr>
                <w:rFonts w:hint="eastAsia"/>
                <w:b/>
                <w:bCs/>
                <w:iCs/>
                <w:color w:val="auto"/>
                <w:kern w:val="0"/>
                <w:szCs w:val="21"/>
                <w:lang w:val="en-US" w:eastAsia="zh-CN"/>
              </w:rPr>
              <w:t xml:space="preserve">6 </w:t>
            </w:r>
            <w:r>
              <w:rPr>
                <w:b/>
                <w:bCs/>
                <w:iCs/>
                <w:color w:val="auto"/>
                <w:kern w:val="0"/>
                <w:szCs w:val="21"/>
              </w:rPr>
              <w:t xml:space="preserve"> 工业企业厂界环境噪声排放标准      单位：dB(A)</w:t>
            </w:r>
          </w:p>
          <w:tbl>
            <w:tblPr>
              <w:tblStyle w:val="39"/>
              <w:tblW w:w="4998"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2952"/>
              <w:gridCol w:w="1553"/>
              <w:gridCol w:w="1865"/>
              <w:gridCol w:w="1778"/>
            </w:tblGrid>
            <w:tr w14:paraId="65B47398">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20" w:hRule="atLeast"/>
                <w:jc w:val="center"/>
              </w:trPr>
              <w:tc>
                <w:tcPr>
                  <w:tcW w:w="1811" w:type="pct"/>
                  <w:vMerge w:val="restart"/>
                  <w:tcBorders>
                    <w:top w:val="single" w:color="auto" w:sz="12" w:space="0"/>
                  </w:tcBorders>
                  <w:vAlign w:val="center"/>
                </w:tcPr>
                <w:p w14:paraId="65237407">
                  <w:pPr>
                    <w:spacing w:line="360" w:lineRule="exact"/>
                    <w:jc w:val="center"/>
                    <w:rPr>
                      <w:b/>
                      <w:bCs/>
                      <w:color w:val="auto"/>
                      <w:szCs w:val="21"/>
                    </w:rPr>
                  </w:pPr>
                  <w:r>
                    <w:rPr>
                      <w:b/>
                      <w:bCs/>
                      <w:color w:val="auto"/>
                      <w:szCs w:val="21"/>
                    </w:rPr>
                    <w:t>声源类型</w:t>
                  </w:r>
                </w:p>
              </w:tc>
              <w:tc>
                <w:tcPr>
                  <w:tcW w:w="953" w:type="pct"/>
                  <w:vMerge w:val="restart"/>
                  <w:tcBorders>
                    <w:top w:val="single" w:color="auto" w:sz="12" w:space="0"/>
                  </w:tcBorders>
                  <w:vAlign w:val="center"/>
                </w:tcPr>
                <w:p w14:paraId="6B4E9B6A">
                  <w:pPr>
                    <w:spacing w:line="360" w:lineRule="exact"/>
                    <w:jc w:val="center"/>
                    <w:rPr>
                      <w:b/>
                      <w:bCs/>
                      <w:color w:val="auto"/>
                      <w:szCs w:val="21"/>
                    </w:rPr>
                  </w:pPr>
                  <w:r>
                    <w:rPr>
                      <w:b/>
                      <w:bCs/>
                      <w:color w:val="auto"/>
                      <w:szCs w:val="21"/>
                    </w:rPr>
                    <w:t>标准类别</w:t>
                  </w:r>
                </w:p>
              </w:tc>
              <w:tc>
                <w:tcPr>
                  <w:tcW w:w="2235" w:type="pct"/>
                  <w:gridSpan w:val="2"/>
                  <w:tcBorders>
                    <w:top w:val="single" w:color="auto" w:sz="12" w:space="0"/>
                  </w:tcBorders>
                  <w:vAlign w:val="center"/>
                </w:tcPr>
                <w:p w14:paraId="195A055F">
                  <w:pPr>
                    <w:spacing w:line="360" w:lineRule="exact"/>
                    <w:jc w:val="center"/>
                    <w:rPr>
                      <w:b/>
                      <w:bCs/>
                      <w:color w:val="auto"/>
                      <w:szCs w:val="21"/>
                    </w:rPr>
                  </w:pPr>
                  <w:r>
                    <w:rPr>
                      <w:b/>
                      <w:bCs/>
                      <w:color w:val="auto"/>
                      <w:szCs w:val="21"/>
                    </w:rPr>
                    <w:t>标准限值</w:t>
                  </w:r>
                </w:p>
              </w:tc>
            </w:tr>
            <w:tr w14:paraId="7F3A6646">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55" w:hRule="atLeast"/>
                <w:jc w:val="center"/>
              </w:trPr>
              <w:tc>
                <w:tcPr>
                  <w:tcW w:w="1811" w:type="pct"/>
                  <w:vMerge w:val="continue"/>
                  <w:tcBorders>
                    <w:bottom w:val="single" w:color="auto" w:sz="8" w:space="0"/>
                  </w:tcBorders>
                  <w:vAlign w:val="center"/>
                </w:tcPr>
                <w:p w14:paraId="02CDAA42">
                  <w:pPr>
                    <w:spacing w:line="360" w:lineRule="exact"/>
                    <w:jc w:val="center"/>
                    <w:rPr>
                      <w:b/>
                      <w:bCs/>
                      <w:color w:val="auto"/>
                      <w:szCs w:val="21"/>
                    </w:rPr>
                  </w:pPr>
                </w:p>
              </w:tc>
              <w:tc>
                <w:tcPr>
                  <w:tcW w:w="953" w:type="pct"/>
                  <w:vMerge w:val="continue"/>
                  <w:tcBorders>
                    <w:bottom w:val="single" w:color="auto" w:sz="8" w:space="0"/>
                  </w:tcBorders>
                </w:tcPr>
                <w:p w14:paraId="25B26288">
                  <w:pPr>
                    <w:spacing w:line="360" w:lineRule="exact"/>
                    <w:jc w:val="center"/>
                    <w:rPr>
                      <w:b/>
                      <w:bCs/>
                      <w:color w:val="auto"/>
                      <w:szCs w:val="21"/>
                    </w:rPr>
                  </w:pPr>
                </w:p>
              </w:tc>
              <w:tc>
                <w:tcPr>
                  <w:tcW w:w="1144" w:type="pct"/>
                  <w:tcBorders>
                    <w:bottom w:val="single" w:color="auto" w:sz="8" w:space="0"/>
                  </w:tcBorders>
                  <w:vAlign w:val="center"/>
                </w:tcPr>
                <w:p w14:paraId="457AC012">
                  <w:pPr>
                    <w:spacing w:line="360" w:lineRule="exact"/>
                    <w:jc w:val="center"/>
                    <w:rPr>
                      <w:b/>
                      <w:bCs/>
                      <w:color w:val="auto"/>
                      <w:szCs w:val="21"/>
                    </w:rPr>
                  </w:pPr>
                  <w:r>
                    <w:rPr>
                      <w:b/>
                      <w:bCs/>
                      <w:color w:val="auto"/>
                      <w:szCs w:val="21"/>
                    </w:rPr>
                    <w:t>昼间</w:t>
                  </w:r>
                </w:p>
              </w:tc>
              <w:tc>
                <w:tcPr>
                  <w:tcW w:w="1091" w:type="pct"/>
                  <w:tcBorders>
                    <w:bottom w:val="single" w:color="auto" w:sz="8" w:space="0"/>
                  </w:tcBorders>
                  <w:vAlign w:val="center"/>
                </w:tcPr>
                <w:p w14:paraId="0E080DC8">
                  <w:pPr>
                    <w:spacing w:line="360" w:lineRule="exact"/>
                    <w:jc w:val="center"/>
                    <w:rPr>
                      <w:b/>
                      <w:bCs/>
                      <w:color w:val="auto"/>
                      <w:szCs w:val="21"/>
                    </w:rPr>
                  </w:pPr>
                  <w:r>
                    <w:rPr>
                      <w:b/>
                      <w:bCs/>
                      <w:color w:val="auto"/>
                      <w:szCs w:val="21"/>
                    </w:rPr>
                    <w:t>夜间</w:t>
                  </w:r>
                </w:p>
              </w:tc>
            </w:tr>
            <w:tr w14:paraId="084BF08B">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70" w:hRule="atLeast"/>
                <w:jc w:val="center"/>
              </w:trPr>
              <w:tc>
                <w:tcPr>
                  <w:tcW w:w="1811" w:type="pct"/>
                  <w:vAlign w:val="center"/>
                </w:tcPr>
                <w:p w14:paraId="0D376568">
                  <w:pPr>
                    <w:jc w:val="center"/>
                    <w:rPr>
                      <w:color w:val="auto"/>
                      <w:szCs w:val="21"/>
                    </w:rPr>
                  </w:pPr>
                  <w:r>
                    <w:rPr>
                      <w:rFonts w:hint="eastAsia"/>
                      <w:color w:val="auto"/>
                      <w:szCs w:val="21"/>
                    </w:rPr>
                    <w:t>厂界四周</w:t>
                  </w:r>
                </w:p>
              </w:tc>
              <w:tc>
                <w:tcPr>
                  <w:tcW w:w="953" w:type="pct"/>
                  <w:vAlign w:val="center"/>
                </w:tcPr>
                <w:p w14:paraId="4E1303EA">
                  <w:pPr>
                    <w:jc w:val="center"/>
                    <w:rPr>
                      <w:color w:val="auto"/>
                      <w:szCs w:val="21"/>
                    </w:rPr>
                  </w:pPr>
                  <w:r>
                    <w:rPr>
                      <w:rFonts w:hint="eastAsia"/>
                      <w:color w:val="auto"/>
                      <w:szCs w:val="21"/>
                      <w:lang w:val="en-US" w:eastAsia="zh-CN"/>
                    </w:rPr>
                    <w:t>2</w:t>
                  </w:r>
                  <w:r>
                    <w:rPr>
                      <w:color w:val="auto"/>
                      <w:szCs w:val="21"/>
                    </w:rPr>
                    <w:t>类</w:t>
                  </w:r>
                </w:p>
              </w:tc>
              <w:tc>
                <w:tcPr>
                  <w:tcW w:w="1144" w:type="pct"/>
                  <w:vAlign w:val="center"/>
                </w:tcPr>
                <w:p w14:paraId="32D6A660">
                  <w:pPr>
                    <w:jc w:val="center"/>
                    <w:rPr>
                      <w:rFonts w:hint="default" w:eastAsia="宋体"/>
                      <w:color w:val="auto"/>
                      <w:szCs w:val="21"/>
                      <w:lang w:val="en-US" w:eastAsia="zh-CN"/>
                    </w:rPr>
                  </w:pPr>
                  <w:r>
                    <w:rPr>
                      <w:rFonts w:hint="eastAsia"/>
                      <w:color w:val="auto"/>
                      <w:szCs w:val="21"/>
                      <w:lang w:val="en-US" w:eastAsia="zh-CN"/>
                    </w:rPr>
                    <w:t>60</w:t>
                  </w:r>
                </w:p>
              </w:tc>
              <w:tc>
                <w:tcPr>
                  <w:tcW w:w="1091" w:type="pct"/>
                  <w:vAlign w:val="center"/>
                </w:tcPr>
                <w:p w14:paraId="2A43D7A0">
                  <w:pPr>
                    <w:jc w:val="center"/>
                    <w:rPr>
                      <w:rFonts w:hint="default" w:eastAsia="宋体"/>
                      <w:color w:val="auto"/>
                      <w:szCs w:val="21"/>
                      <w:lang w:val="en-US" w:eastAsia="zh-CN"/>
                    </w:rPr>
                  </w:pPr>
                  <w:r>
                    <w:rPr>
                      <w:rFonts w:hint="eastAsia"/>
                      <w:color w:val="auto"/>
                      <w:szCs w:val="21"/>
                      <w:lang w:val="en-US" w:eastAsia="zh-CN"/>
                    </w:rPr>
                    <w:t>50</w:t>
                  </w:r>
                </w:p>
              </w:tc>
            </w:tr>
          </w:tbl>
          <w:p w14:paraId="301148D9">
            <w:pPr>
              <w:spacing w:line="360" w:lineRule="auto"/>
              <w:ind w:firstLine="482" w:firstLineChars="200"/>
              <w:rPr>
                <w:color w:val="auto"/>
                <w:sz w:val="24"/>
              </w:rPr>
            </w:pPr>
            <w:r>
              <w:rPr>
                <w:rFonts w:hint="eastAsia"/>
                <w:b/>
                <w:bCs/>
                <w:color w:val="auto"/>
                <w:sz w:val="24"/>
                <w:lang w:val="en-US" w:eastAsia="zh-CN"/>
              </w:rPr>
              <w:t>4</w:t>
            </w:r>
            <w:r>
              <w:rPr>
                <w:b/>
                <w:bCs/>
                <w:color w:val="auto"/>
                <w:sz w:val="24"/>
              </w:rPr>
              <w:t>、固废</w:t>
            </w:r>
            <w:r>
              <w:rPr>
                <w:rFonts w:hint="eastAsia"/>
                <w:b/>
                <w:bCs/>
                <w:color w:val="auto"/>
                <w:sz w:val="24"/>
              </w:rPr>
              <w:t>排放标准</w:t>
            </w:r>
          </w:p>
          <w:p w14:paraId="574DFD4F">
            <w:pPr>
              <w:spacing w:line="360" w:lineRule="auto"/>
              <w:ind w:firstLine="480" w:firstLineChars="200"/>
              <w:rPr>
                <w:color w:val="auto"/>
                <w:sz w:val="24"/>
              </w:rPr>
            </w:pPr>
            <w:r>
              <w:rPr>
                <w:color w:val="auto"/>
                <w:sz w:val="24"/>
              </w:rPr>
              <w:t>《</w:t>
            </w:r>
            <w:r>
              <w:rPr>
                <w:rFonts w:hint="eastAsia"/>
                <w:color w:val="auto"/>
                <w:sz w:val="24"/>
              </w:rPr>
              <w:t>一般</w:t>
            </w:r>
            <w:r>
              <w:rPr>
                <w:color w:val="auto"/>
                <w:sz w:val="24"/>
              </w:rPr>
              <w:t>工业固体废物贮存</w:t>
            </w:r>
            <w:r>
              <w:rPr>
                <w:rFonts w:hint="eastAsia"/>
                <w:color w:val="auto"/>
                <w:sz w:val="24"/>
              </w:rPr>
              <w:t>和填埋</w:t>
            </w:r>
            <w:r>
              <w:rPr>
                <w:color w:val="auto"/>
                <w:sz w:val="24"/>
              </w:rPr>
              <w:t>污染控制标准》（G</w:t>
            </w:r>
            <w:r>
              <w:rPr>
                <w:rFonts w:hint="eastAsia"/>
                <w:color w:val="auto"/>
                <w:sz w:val="24"/>
              </w:rPr>
              <w:t>B18599-2020）</w:t>
            </w:r>
            <w:r>
              <w:rPr>
                <w:rFonts w:hint="eastAsia"/>
                <w:color w:val="auto"/>
                <w:sz w:val="24"/>
                <w:lang w:eastAsia="zh-CN"/>
              </w:rPr>
              <w:t>、</w:t>
            </w:r>
            <w:r>
              <w:rPr>
                <w:rFonts w:hint="eastAsia"/>
                <w:color w:val="auto"/>
                <w:sz w:val="24"/>
              </w:rPr>
              <w:t>《危险废物贮存污染控制标准》（GB18597-2023）。</w:t>
            </w:r>
          </w:p>
        </w:tc>
      </w:tr>
      <w:tr w14:paraId="217139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44" w:hRule="atLeast"/>
          <w:jc w:val="center"/>
        </w:trPr>
        <w:tc>
          <w:tcPr>
            <w:tcW w:w="694" w:type="dxa"/>
            <w:tcMar>
              <w:left w:w="28" w:type="dxa"/>
              <w:right w:w="28" w:type="dxa"/>
            </w:tcMar>
            <w:vAlign w:val="center"/>
          </w:tcPr>
          <w:p w14:paraId="65E0D217">
            <w:pPr>
              <w:adjustRightInd w:val="0"/>
              <w:snapToGrid w:val="0"/>
              <w:jc w:val="center"/>
              <w:rPr>
                <w:rFonts w:cs="宋体"/>
                <w:b/>
                <w:bCs/>
                <w:color w:val="auto"/>
                <w:kern w:val="0"/>
                <w:szCs w:val="21"/>
              </w:rPr>
            </w:pPr>
            <w:r>
              <w:rPr>
                <w:rFonts w:hint="eastAsia" w:cs="宋体"/>
                <w:b/>
                <w:bCs/>
                <w:color w:val="auto"/>
                <w:kern w:val="0"/>
                <w:szCs w:val="21"/>
              </w:rPr>
              <w:t>总量</w:t>
            </w:r>
          </w:p>
          <w:p w14:paraId="23EBF848">
            <w:pPr>
              <w:adjustRightInd w:val="0"/>
              <w:snapToGrid w:val="0"/>
              <w:jc w:val="center"/>
              <w:rPr>
                <w:rFonts w:cs="宋体"/>
                <w:b/>
                <w:bCs/>
                <w:color w:val="auto"/>
                <w:kern w:val="0"/>
                <w:szCs w:val="21"/>
              </w:rPr>
            </w:pPr>
            <w:r>
              <w:rPr>
                <w:rFonts w:hint="eastAsia" w:cs="宋体"/>
                <w:b/>
                <w:bCs/>
                <w:color w:val="auto"/>
                <w:kern w:val="0"/>
                <w:szCs w:val="21"/>
              </w:rPr>
              <w:t>控制</w:t>
            </w:r>
          </w:p>
          <w:p w14:paraId="05E10C33">
            <w:pPr>
              <w:adjustRightInd w:val="0"/>
              <w:snapToGrid w:val="0"/>
              <w:jc w:val="center"/>
              <w:rPr>
                <w:rFonts w:cs="宋体"/>
                <w:b/>
                <w:bCs/>
                <w:color w:val="auto"/>
                <w:kern w:val="0"/>
                <w:szCs w:val="21"/>
              </w:rPr>
            </w:pPr>
            <w:r>
              <w:rPr>
                <w:rFonts w:hint="eastAsia" w:cs="宋体"/>
                <w:b/>
                <w:bCs/>
                <w:color w:val="auto"/>
                <w:kern w:val="0"/>
                <w:szCs w:val="21"/>
              </w:rPr>
              <w:t>指标</w:t>
            </w:r>
          </w:p>
        </w:tc>
        <w:tc>
          <w:tcPr>
            <w:tcW w:w="8367" w:type="dxa"/>
            <w:vAlign w:val="center"/>
          </w:tcPr>
          <w:p w14:paraId="2CDF7247">
            <w:pPr>
              <w:rPr>
                <w:color w:val="auto"/>
              </w:rPr>
            </w:pPr>
          </w:p>
          <w:p w14:paraId="7903EA80">
            <w:pPr>
              <w:pStyle w:val="2"/>
              <w:rPr>
                <w:color w:val="auto"/>
              </w:rPr>
            </w:pPr>
          </w:p>
          <w:p w14:paraId="33FFA561">
            <w:pPr>
              <w:pStyle w:val="3"/>
              <w:rPr>
                <w:color w:val="auto"/>
              </w:rPr>
            </w:pPr>
          </w:p>
          <w:p w14:paraId="187CFAB7">
            <w:pPr>
              <w:pStyle w:val="4"/>
              <w:rPr>
                <w:color w:val="auto"/>
              </w:rPr>
            </w:pPr>
          </w:p>
          <w:p w14:paraId="13419503">
            <w:pPr>
              <w:rPr>
                <w:color w:val="auto"/>
              </w:rPr>
            </w:pPr>
            <w:r>
              <w:rPr>
                <w:rFonts w:hint="eastAsia" w:cs="Times New Roman"/>
                <w:color w:val="auto"/>
                <w:sz w:val="24"/>
                <w:highlight w:val="none"/>
                <w:lang w:val="en-US" w:eastAsia="zh-CN"/>
              </w:rPr>
              <w:t>根据“十四五”主要污染物排放总量，</w:t>
            </w:r>
            <w:r>
              <w:rPr>
                <w:rFonts w:hint="default" w:ascii="Times New Roman" w:hAnsi="Times New Roman" w:cs="Times New Roman" w:eastAsiaTheme="minorEastAsia"/>
                <w:b w:val="0"/>
                <w:bCs w:val="0"/>
                <w:color w:val="auto"/>
                <w:sz w:val="24"/>
                <w:szCs w:val="24"/>
              </w:rPr>
              <w:t>本项目污染物排放总量见表3-</w:t>
            </w:r>
            <w:r>
              <w:rPr>
                <w:rFonts w:hint="eastAsia" w:cs="Times New Roman" w:eastAsiaTheme="minorEastAsia"/>
                <w:b w:val="0"/>
                <w:bCs w:val="0"/>
                <w:color w:val="auto"/>
                <w:sz w:val="24"/>
                <w:szCs w:val="24"/>
                <w:lang w:val="en-US" w:eastAsia="zh-CN"/>
              </w:rPr>
              <w:t>7</w:t>
            </w:r>
            <w:r>
              <w:rPr>
                <w:rFonts w:hint="default" w:ascii="Times New Roman" w:hAnsi="Times New Roman" w:cs="Times New Roman" w:eastAsiaTheme="minorEastAsia"/>
                <w:b w:val="0"/>
                <w:bCs w:val="0"/>
                <w:color w:val="auto"/>
                <w:sz w:val="24"/>
                <w:szCs w:val="24"/>
              </w:rPr>
              <w:t>。</w:t>
            </w:r>
          </w:p>
          <w:p w14:paraId="1A82F8A6">
            <w:pPr>
              <w:pStyle w:val="2"/>
              <w:rPr>
                <w:color w:val="auto"/>
              </w:rPr>
            </w:pPr>
          </w:p>
          <w:p w14:paraId="48E2F4A3">
            <w:pPr>
              <w:pStyle w:val="3"/>
              <w:rPr>
                <w:color w:val="auto"/>
              </w:rPr>
            </w:pPr>
          </w:p>
          <w:p w14:paraId="7A1F61A5">
            <w:pPr>
              <w:pStyle w:val="4"/>
              <w:rPr>
                <w:color w:val="auto"/>
              </w:rPr>
            </w:pPr>
          </w:p>
          <w:p w14:paraId="7B1BBABD">
            <w:pPr>
              <w:snapToGrid w:val="0"/>
              <w:jc w:val="center"/>
              <w:rPr>
                <w:color w:val="auto"/>
              </w:rPr>
            </w:pPr>
            <w:r>
              <w:rPr>
                <w:b/>
                <w:bCs/>
                <w:iCs/>
                <w:color w:val="auto"/>
                <w:kern w:val="0"/>
                <w:szCs w:val="21"/>
              </w:rPr>
              <w:t>表</w:t>
            </w:r>
            <w:r>
              <w:rPr>
                <w:rFonts w:hint="eastAsia"/>
                <w:b/>
                <w:bCs/>
                <w:iCs/>
                <w:color w:val="auto"/>
                <w:kern w:val="0"/>
                <w:szCs w:val="21"/>
              </w:rPr>
              <w:t>3-</w:t>
            </w:r>
            <w:r>
              <w:rPr>
                <w:rFonts w:hint="eastAsia"/>
                <w:b/>
                <w:bCs/>
                <w:iCs/>
                <w:color w:val="auto"/>
                <w:kern w:val="0"/>
                <w:szCs w:val="21"/>
                <w:lang w:val="en-US" w:eastAsia="zh-CN"/>
              </w:rPr>
              <w:t>7</w:t>
            </w:r>
            <w:r>
              <w:rPr>
                <w:rFonts w:hint="eastAsia"/>
                <w:b/>
                <w:bCs/>
                <w:iCs/>
                <w:color w:val="auto"/>
                <w:kern w:val="0"/>
                <w:szCs w:val="21"/>
              </w:rPr>
              <w:t xml:space="preserve"> </w:t>
            </w:r>
            <w:r>
              <w:rPr>
                <w:b/>
                <w:bCs/>
                <w:iCs/>
                <w:color w:val="auto"/>
                <w:kern w:val="0"/>
                <w:szCs w:val="21"/>
              </w:rPr>
              <w:t xml:space="preserve"> 本项目主要污染物总量控制推荐指标表    单位：t/a</w:t>
            </w:r>
          </w:p>
          <w:tbl>
            <w:tblPr>
              <w:tblStyle w:val="39"/>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3"/>
              <w:gridCol w:w="968"/>
              <w:gridCol w:w="993"/>
              <w:gridCol w:w="879"/>
              <w:gridCol w:w="879"/>
              <w:gridCol w:w="758"/>
              <w:gridCol w:w="466"/>
              <w:gridCol w:w="794"/>
              <w:gridCol w:w="795"/>
              <w:gridCol w:w="888"/>
            </w:tblGrid>
            <w:tr w14:paraId="300FDF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44" w:type="pct"/>
                  <w:vAlign w:val="center"/>
                </w:tcPr>
                <w:p w14:paraId="0B787BF4">
                  <w:pPr>
                    <w:adjustRightInd w:val="0"/>
                    <w:snapToGrid w:val="0"/>
                    <w:spacing w:line="240" w:lineRule="auto"/>
                    <w:jc w:val="center"/>
                    <w:rPr>
                      <w:bCs/>
                      <w:color w:val="auto"/>
                      <w:szCs w:val="21"/>
                      <w:highlight w:val="none"/>
                    </w:rPr>
                  </w:pPr>
                  <w:r>
                    <w:rPr>
                      <w:bCs/>
                      <w:color w:val="auto"/>
                      <w:szCs w:val="21"/>
                      <w:highlight w:val="none"/>
                    </w:rPr>
                    <w:t>污染物</w:t>
                  </w:r>
                </w:p>
              </w:tc>
              <w:tc>
                <w:tcPr>
                  <w:tcW w:w="594" w:type="pct"/>
                  <w:vAlign w:val="center"/>
                </w:tcPr>
                <w:p w14:paraId="0A0403FD">
                  <w:pPr>
                    <w:adjustRightInd w:val="0"/>
                    <w:snapToGrid w:val="0"/>
                    <w:spacing w:line="240" w:lineRule="auto"/>
                    <w:jc w:val="center"/>
                    <w:rPr>
                      <w:bCs/>
                      <w:color w:val="auto"/>
                      <w:szCs w:val="21"/>
                      <w:highlight w:val="none"/>
                    </w:rPr>
                  </w:pPr>
                  <w:r>
                    <w:rPr>
                      <w:bCs/>
                      <w:color w:val="auto"/>
                      <w:szCs w:val="21"/>
                      <w:highlight w:val="none"/>
                    </w:rPr>
                    <w:t>现有工程</w:t>
                  </w:r>
                  <w:r>
                    <w:rPr>
                      <w:rFonts w:hint="eastAsia"/>
                      <w:bCs/>
                      <w:color w:val="auto"/>
                      <w:szCs w:val="21"/>
                      <w:highlight w:val="none"/>
                      <w:lang w:val="en-US" w:eastAsia="zh-CN"/>
                    </w:rPr>
                    <w:t>实际</w:t>
                  </w:r>
                  <w:r>
                    <w:rPr>
                      <w:bCs/>
                      <w:color w:val="auto"/>
                      <w:szCs w:val="21"/>
                      <w:highlight w:val="none"/>
                    </w:rPr>
                    <w:t>排放量</w:t>
                  </w:r>
                </w:p>
              </w:tc>
              <w:tc>
                <w:tcPr>
                  <w:tcW w:w="609" w:type="pct"/>
                  <w:shd w:val="clear" w:color="auto" w:fill="auto"/>
                  <w:vAlign w:val="center"/>
                </w:tcPr>
                <w:p w14:paraId="7A9FA6AD">
                  <w:pPr>
                    <w:adjustRightInd w:val="0"/>
                    <w:snapToGrid w:val="0"/>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bCs/>
                      <w:color w:val="auto"/>
                      <w:szCs w:val="21"/>
                      <w:highlight w:val="none"/>
                    </w:rPr>
                    <w:t>现有工程</w:t>
                  </w:r>
                  <w:r>
                    <w:rPr>
                      <w:rFonts w:hint="eastAsia"/>
                      <w:bCs/>
                      <w:color w:val="auto"/>
                      <w:szCs w:val="21"/>
                      <w:highlight w:val="none"/>
                      <w:lang w:val="en-US" w:eastAsia="zh-CN"/>
                    </w:rPr>
                    <w:t>核定</w:t>
                  </w:r>
                  <w:r>
                    <w:rPr>
                      <w:bCs/>
                      <w:color w:val="auto"/>
                      <w:szCs w:val="21"/>
                      <w:highlight w:val="none"/>
                    </w:rPr>
                    <w:t>排放量</w:t>
                  </w:r>
                </w:p>
              </w:tc>
              <w:tc>
                <w:tcPr>
                  <w:tcW w:w="539" w:type="pct"/>
                  <w:shd w:val="clear" w:color="auto" w:fill="auto"/>
                  <w:vAlign w:val="center"/>
                </w:tcPr>
                <w:p w14:paraId="6179AD16">
                  <w:pPr>
                    <w:adjustRightInd w:val="0"/>
                    <w:snapToGrid w:val="0"/>
                    <w:spacing w:line="240" w:lineRule="auto"/>
                    <w:jc w:val="center"/>
                    <w:rPr>
                      <w:rFonts w:hint="eastAsia"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rPr>
                    <w:t>本项目预测排放量</w:t>
                  </w:r>
                </w:p>
              </w:tc>
              <w:tc>
                <w:tcPr>
                  <w:tcW w:w="539" w:type="pct"/>
                  <w:vAlign w:val="center"/>
                </w:tcPr>
                <w:p w14:paraId="49923ABF">
                  <w:pPr>
                    <w:adjustRightInd w:val="0"/>
                    <w:snapToGrid w:val="0"/>
                    <w:spacing w:line="240" w:lineRule="auto"/>
                    <w:jc w:val="center"/>
                    <w:rPr>
                      <w:rFonts w:hint="eastAsia"/>
                      <w:bCs/>
                      <w:color w:val="auto"/>
                      <w:szCs w:val="21"/>
                      <w:highlight w:val="none"/>
                    </w:rPr>
                  </w:pPr>
                  <w:r>
                    <w:rPr>
                      <w:rFonts w:hint="eastAsia"/>
                      <w:bCs/>
                      <w:color w:val="auto"/>
                      <w:szCs w:val="21"/>
                      <w:highlight w:val="none"/>
                    </w:rPr>
                    <w:t>本项目核定排放量</w:t>
                  </w:r>
                </w:p>
              </w:tc>
              <w:tc>
                <w:tcPr>
                  <w:tcW w:w="465" w:type="pct"/>
                  <w:vAlign w:val="center"/>
                </w:tcPr>
                <w:p w14:paraId="0A87B2A5">
                  <w:pPr>
                    <w:adjustRightInd w:val="0"/>
                    <w:snapToGrid w:val="0"/>
                    <w:spacing w:line="240" w:lineRule="auto"/>
                    <w:jc w:val="center"/>
                    <w:rPr>
                      <w:bCs/>
                      <w:color w:val="auto"/>
                      <w:szCs w:val="21"/>
                      <w:highlight w:val="none"/>
                    </w:rPr>
                  </w:pPr>
                  <w:r>
                    <w:rPr>
                      <w:rFonts w:hint="eastAsia"/>
                      <w:bCs/>
                      <w:color w:val="auto"/>
                      <w:szCs w:val="21"/>
                      <w:highlight w:val="none"/>
                    </w:rPr>
                    <w:t>以新带老</w:t>
                  </w:r>
                  <w:r>
                    <w:rPr>
                      <w:rFonts w:hint="eastAsia"/>
                      <w:bCs/>
                      <w:color w:val="auto"/>
                      <w:szCs w:val="21"/>
                      <w:highlight w:val="none"/>
                      <w:lang w:val="en-US" w:eastAsia="zh-CN"/>
                    </w:rPr>
                    <w:t>削</w:t>
                  </w:r>
                  <w:r>
                    <w:rPr>
                      <w:rFonts w:hint="eastAsia"/>
                      <w:bCs/>
                      <w:color w:val="auto"/>
                      <w:szCs w:val="21"/>
                      <w:highlight w:val="none"/>
                    </w:rPr>
                    <w:t>减量</w:t>
                  </w:r>
                </w:p>
              </w:tc>
              <w:tc>
                <w:tcPr>
                  <w:tcW w:w="286" w:type="pct"/>
                  <w:vAlign w:val="center"/>
                </w:tcPr>
                <w:p w14:paraId="61F9A054">
                  <w:pPr>
                    <w:adjustRightInd w:val="0"/>
                    <w:snapToGrid w:val="0"/>
                    <w:spacing w:line="240" w:lineRule="auto"/>
                    <w:jc w:val="center"/>
                    <w:rPr>
                      <w:rFonts w:hint="default" w:eastAsia="宋体"/>
                      <w:bCs/>
                      <w:color w:val="auto"/>
                      <w:szCs w:val="21"/>
                      <w:highlight w:val="none"/>
                      <w:lang w:val="en-US" w:eastAsia="zh-CN"/>
                    </w:rPr>
                  </w:pPr>
                  <w:r>
                    <w:rPr>
                      <w:rFonts w:hint="eastAsia"/>
                      <w:bCs/>
                      <w:color w:val="auto"/>
                      <w:szCs w:val="21"/>
                      <w:highlight w:val="none"/>
                      <w:lang w:val="en-US" w:eastAsia="zh-CN"/>
                    </w:rPr>
                    <w:t>区域替代排放量</w:t>
                  </w:r>
                </w:p>
              </w:tc>
              <w:tc>
                <w:tcPr>
                  <w:tcW w:w="487" w:type="pct"/>
                  <w:vAlign w:val="center"/>
                </w:tcPr>
                <w:p w14:paraId="7B7240DF">
                  <w:pPr>
                    <w:adjustRightInd w:val="0"/>
                    <w:snapToGrid w:val="0"/>
                    <w:spacing w:line="240" w:lineRule="auto"/>
                    <w:jc w:val="center"/>
                    <w:rPr>
                      <w:rFonts w:hint="default" w:eastAsia="宋体"/>
                      <w:bCs/>
                      <w:color w:val="auto"/>
                      <w:szCs w:val="21"/>
                      <w:highlight w:val="none"/>
                      <w:lang w:val="en-US" w:eastAsia="zh-CN"/>
                    </w:rPr>
                  </w:pPr>
                  <w:r>
                    <w:rPr>
                      <w:rFonts w:hint="eastAsia"/>
                      <w:bCs/>
                      <w:color w:val="auto"/>
                      <w:szCs w:val="21"/>
                      <w:highlight w:val="none"/>
                      <w:lang w:val="en-US" w:eastAsia="zh-CN"/>
                    </w:rPr>
                    <w:t>总体工程预测排放量</w:t>
                  </w:r>
                </w:p>
              </w:tc>
              <w:tc>
                <w:tcPr>
                  <w:tcW w:w="488" w:type="pct"/>
                  <w:vAlign w:val="center"/>
                </w:tcPr>
                <w:p w14:paraId="34A6BCBA">
                  <w:pPr>
                    <w:adjustRightInd w:val="0"/>
                    <w:snapToGrid w:val="0"/>
                    <w:spacing w:line="240" w:lineRule="auto"/>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总体工程核定排放量</w:t>
                  </w:r>
                </w:p>
              </w:tc>
              <w:tc>
                <w:tcPr>
                  <w:tcW w:w="545" w:type="pct"/>
                  <w:vAlign w:val="center"/>
                </w:tcPr>
                <w:p w14:paraId="4002B2D7">
                  <w:pPr>
                    <w:adjustRightInd w:val="0"/>
                    <w:snapToGrid w:val="0"/>
                    <w:spacing w:line="240" w:lineRule="auto"/>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总体工程的排放增减量</w:t>
                  </w:r>
                </w:p>
              </w:tc>
            </w:tr>
            <w:tr w14:paraId="5958CB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4" w:hRule="atLeast"/>
                <w:jc w:val="center"/>
              </w:trPr>
              <w:tc>
                <w:tcPr>
                  <w:tcW w:w="444" w:type="pct"/>
                  <w:shd w:val="clear" w:color="auto" w:fill="auto"/>
                  <w:vAlign w:val="center"/>
                </w:tcPr>
                <w:p w14:paraId="0CEA0FA5">
                  <w:pPr>
                    <w:pStyle w:val="73"/>
                    <w:keepNext w:val="0"/>
                    <w:keepLines w:val="0"/>
                    <w:pageBreakBefore w:val="0"/>
                    <w:suppressLineNumbers w:val="0"/>
                    <w:wordWrap/>
                    <w:bidi w:val="0"/>
                    <w:spacing w:before="0" w:beforeAutospacing="0" w:after="0" w:afterAutospacing="0" w:line="240" w:lineRule="auto"/>
                    <w:ind w:left="0" w:leftChars="0" w:right="0" w:righ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szCs w:val="21"/>
                      <w:highlight w:val="none"/>
                      <w:lang w:eastAsia="zh-CN"/>
                    </w:rPr>
                    <w:t>颗粒物</w:t>
                  </w:r>
                </w:p>
              </w:tc>
              <w:tc>
                <w:tcPr>
                  <w:tcW w:w="594" w:type="pct"/>
                  <w:vAlign w:val="center"/>
                </w:tcPr>
                <w:p w14:paraId="7999B13B">
                  <w:pPr>
                    <w:widowControl/>
                    <w:adjustRightInd w:val="0"/>
                    <w:snapToGrid w:val="0"/>
                    <w:spacing w:line="240" w:lineRule="auto"/>
                    <w:jc w:val="center"/>
                    <w:rPr>
                      <w:rFonts w:hint="default" w:ascii="Times New Roman" w:hAnsi="Times New Roman" w:eastAsia="宋体" w:cs="Times New Roman"/>
                      <w:b w:val="0"/>
                      <w:bCs/>
                      <w:color w:val="auto"/>
                      <w:kern w:val="2"/>
                      <w:sz w:val="21"/>
                      <w:szCs w:val="21"/>
                      <w:highlight w:val="none"/>
                      <w:lang w:val="en-US" w:eastAsia="zh-CN" w:bidi="ar-SA"/>
                    </w:rPr>
                  </w:pPr>
                  <w:r>
                    <w:rPr>
                      <w:rFonts w:hint="eastAsia" w:cs="Times New Roman"/>
                      <w:b w:val="0"/>
                      <w:bCs w:val="0"/>
                      <w:color w:val="auto"/>
                      <w:kern w:val="0"/>
                      <w:sz w:val="21"/>
                      <w:szCs w:val="21"/>
                      <w:vertAlign w:val="baseline"/>
                      <w:lang w:val="en-US" w:eastAsia="zh-CN"/>
                    </w:rPr>
                    <w:t>0.318</w:t>
                  </w:r>
                </w:p>
              </w:tc>
              <w:tc>
                <w:tcPr>
                  <w:tcW w:w="609" w:type="pct"/>
                  <w:shd w:val="clear" w:color="auto" w:fill="auto"/>
                  <w:vAlign w:val="center"/>
                </w:tcPr>
                <w:p w14:paraId="7F1633B2">
                  <w:pPr>
                    <w:pStyle w:val="10"/>
                    <w:adjustRightInd w:val="0"/>
                    <w:snapToGrid w:val="0"/>
                    <w:spacing w:after="0" w:line="240" w:lineRule="auto"/>
                    <w:ind w:firstLine="0" w:firstLineChars="0"/>
                    <w:jc w:val="center"/>
                    <w:rPr>
                      <w:rFonts w:hint="default" w:ascii="Times New Roman" w:hAnsi="Times New Roman" w:eastAsia="宋体" w:cs="Times New Roman"/>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bidi="ar-SA"/>
                    </w:rPr>
                    <w:t>0.456</w:t>
                  </w:r>
                </w:p>
              </w:tc>
              <w:tc>
                <w:tcPr>
                  <w:tcW w:w="539" w:type="pct"/>
                  <w:shd w:val="clear" w:color="auto" w:fill="auto"/>
                  <w:vAlign w:val="center"/>
                </w:tcPr>
                <w:p w14:paraId="100D74B0">
                  <w:pPr>
                    <w:spacing w:line="240" w:lineRule="auto"/>
                    <w:jc w:val="center"/>
                    <w:rPr>
                      <w:rFonts w:hint="default"/>
                      <w:bCs/>
                      <w:color w:val="auto"/>
                      <w:szCs w:val="21"/>
                      <w:highlight w:val="none"/>
                      <w:lang w:val="en-US" w:eastAsia="zh-CN"/>
                    </w:rPr>
                  </w:pPr>
                  <w:r>
                    <w:rPr>
                      <w:rFonts w:hint="eastAsia"/>
                      <w:bCs/>
                      <w:color w:val="auto"/>
                      <w:szCs w:val="21"/>
                      <w:highlight w:val="none"/>
                      <w:lang w:val="en-US" w:eastAsia="zh-CN"/>
                    </w:rPr>
                    <w:t>1.109</w:t>
                  </w:r>
                </w:p>
              </w:tc>
              <w:tc>
                <w:tcPr>
                  <w:tcW w:w="539" w:type="pct"/>
                  <w:vAlign w:val="center"/>
                </w:tcPr>
                <w:p w14:paraId="6AC9262B">
                  <w:pPr>
                    <w:spacing w:line="240" w:lineRule="auto"/>
                    <w:jc w:val="center"/>
                    <w:rPr>
                      <w:rFonts w:hint="default"/>
                      <w:bCs/>
                      <w:color w:val="auto"/>
                      <w:szCs w:val="21"/>
                      <w:highlight w:val="none"/>
                      <w:lang w:val="en-US" w:eastAsia="zh-CN"/>
                    </w:rPr>
                  </w:pPr>
                  <w:r>
                    <w:rPr>
                      <w:rFonts w:hint="eastAsia"/>
                      <w:bCs/>
                      <w:color w:val="auto"/>
                      <w:szCs w:val="21"/>
                      <w:highlight w:val="none"/>
                      <w:lang w:val="en-US" w:eastAsia="zh-CN"/>
                    </w:rPr>
                    <w:t>1.412</w:t>
                  </w:r>
                </w:p>
              </w:tc>
              <w:tc>
                <w:tcPr>
                  <w:tcW w:w="465" w:type="pct"/>
                  <w:vAlign w:val="center"/>
                </w:tcPr>
                <w:p w14:paraId="5F51C74B">
                  <w:pPr>
                    <w:widowControl/>
                    <w:adjustRightInd w:val="0"/>
                    <w:snapToGrid w:val="0"/>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 w:val="0"/>
                      <w:bCs w:val="0"/>
                      <w:color w:val="auto"/>
                      <w:kern w:val="0"/>
                      <w:sz w:val="21"/>
                      <w:szCs w:val="21"/>
                      <w:vertAlign w:val="baseline"/>
                      <w:lang w:val="en-US" w:eastAsia="zh-CN"/>
                    </w:rPr>
                    <w:t>0.318</w:t>
                  </w:r>
                </w:p>
              </w:tc>
              <w:tc>
                <w:tcPr>
                  <w:tcW w:w="286" w:type="pct"/>
                  <w:vAlign w:val="center"/>
                </w:tcPr>
                <w:p w14:paraId="62752056">
                  <w:pPr>
                    <w:pStyle w:val="10"/>
                    <w:adjustRightInd w:val="0"/>
                    <w:snapToGrid w:val="0"/>
                    <w:spacing w:after="0" w:line="240" w:lineRule="auto"/>
                    <w:ind w:firstLine="0" w:firstLineChars="0"/>
                    <w:jc w:val="center"/>
                    <w:rPr>
                      <w:rFonts w:hint="default"/>
                      <w:bCs/>
                      <w:color w:val="auto"/>
                      <w:szCs w:val="21"/>
                      <w:highlight w:val="none"/>
                      <w:lang w:val="en-US" w:eastAsia="zh-CN"/>
                    </w:rPr>
                  </w:pPr>
                  <w:r>
                    <w:rPr>
                      <w:rFonts w:hint="eastAsia"/>
                      <w:color w:val="auto"/>
                      <w:highlight w:val="none"/>
                      <w:lang w:val="en-US" w:eastAsia="zh-CN"/>
                    </w:rPr>
                    <w:t>/</w:t>
                  </w:r>
                </w:p>
              </w:tc>
              <w:tc>
                <w:tcPr>
                  <w:tcW w:w="487" w:type="pct"/>
                  <w:vAlign w:val="center"/>
                </w:tcPr>
                <w:p w14:paraId="4200E624">
                  <w:pPr>
                    <w:spacing w:line="240" w:lineRule="auto"/>
                    <w:jc w:val="center"/>
                    <w:rPr>
                      <w:rFonts w:hint="default" w:ascii="Times New Roman" w:hAnsi="Times New Roman" w:eastAsia="宋体" w:cs="Times New Roman"/>
                      <w:color w:val="auto"/>
                      <w:kern w:val="0"/>
                      <w:sz w:val="21"/>
                      <w:szCs w:val="21"/>
                      <w:vertAlign w:val="baseline"/>
                      <w:lang w:val="en-US" w:eastAsia="zh-CN"/>
                    </w:rPr>
                  </w:pPr>
                  <w:r>
                    <w:rPr>
                      <w:rFonts w:hint="eastAsia"/>
                      <w:bCs/>
                      <w:color w:val="auto"/>
                      <w:szCs w:val="21"/>
                      <w:highlight w:val="none"/>
                      <w:lang w:val="en-US" w:eastAsia="zh-CN"/>
                    </w:rPr>
                    <w:t>1.109</w:t>
                  </w:r>
                </w:p>
              </w:tc>
              <w:tc>
                <w:tcPr>
                  <w:tcW w:w="488" w:type="pct"/>
                  <w:shd w:val="clear" w:color="auto" w:fill="auto"/>
                  <w:vAlign w:val="center"/>
                </w:tcPr>
                <w:p w14:paraId="67FDE599">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1.412</w:t>
                  </w:r>
                </w:p>
              </w:tc>
              <w:tc>
                <w:tcPr>
                  <w:tcW w:w="545" w:type="pct"/>
                  <w:vAlign w:val="center"/>
                </w:tcPr>
                <w:p w14:paraId="69AE5A0E">
                  <w:pPr>
                    <w:spacing w:line="240" w:lineRule="auto"/>
                    <w:jc w:val="center"/>
                    <w:rPr>
                      <w:rFonts w:hint="default" w:ascii="Times New Roman" w:hAnsi="Times New Roman" w:eastAsia="宋体" w:cs="Times New Roman"/>
                      <w:b w:val="0"/>
                      <w:bCs/>
                      <w:color w:val="auto"/>
                      <w:szCs w:val="21"/>
                      <w:highlight w:val="none"/>
                      <w:lang w:val="en-US" w:eastAsia="zh-CN"/>
                    </w:rPr>
                  </w:pPr>
                  <w:r>
                    <w:rPr>
                      <w:rFonts w:hint="eastAsia" w:cs="Times New Roman"/>
                      <w:b w:val="0"/>
                      <w:bCs/>
                      <w:color w:val="auto"/>
                      <w:szCs w:val="21"/>
                      <w:highlight w:val="none"/>
                      <w:lang w:val="en-US" w:eastAsia="zh-CN"/>
                    </w:rPr>
                    <w:t>0.791</w:t>
                  </w:r>
                </w:p>
              </w:tc>
            </w:tr>
            <w:tr w14:paraId="2546F3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44" w:type="pct"/>
                  <w:shd w:val="clear" w:color="auto" w:fill="auto"/>
                  <w:vAlign w:val="center"/>
                </w:tcPr>
                <w:p w14:paraId="1167DF52">
                  <w:pPr>
                    <w:pStyle w:val="73"/>
                    <w:keepNext w:val="0"/>
                    <w:keepLines w:val="0"/>
                    <w:pageBreakBefore w:val="0"/>
                    <w:suppressLineNumbers w:val="0"/>
                    <w:wordWrap/>
                    <w:bidi w:val="0"/>
                    <w:spacing w:before="0" w:beforeAutospacing="0" w:after="0" w:afterAutospacing="0" w:line="240" w:lineRule="auto"/>
                    <w:ind w:left="0" w:leftChars="0" w:right="0" w:right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lang w:val="en-US" w:eastAsia="zh-CN"/>
                    </w:rPr>
                    <w:t>SO</w:t>
                  </w:r>
                  <w:r>
                    <w:rPr>
                      <w:rFonts w:hint="eastAsia"/>
                      <w:color w:val="auto"/>
                      <w:vertAlign w:val="subscript"/>
                      <w:lang w:val="en-US" w:eastAsia="zh-CN"/>
                    </w:rPr>
                    <w:t>2</w:t>
                  </w:r>
                </w:p>
              </w:tc>
              <w:tc>
                <w:tcPr>
                  <w:tcW w:w="594" w:type="pct"/>
                  <w:vAlign w:val="center"/>
                </w:tcPr>
                <w:p w14:paraId="341F2D43">
                  <w:pPr>
                    <w:widowControl/>
                    <w:adjustRightInd w:val="0"/>
                    <w:snapToGrid w:val="0"/>
                    <w:spacing w:line="240" w:lineRule="auto"/>
                    <w:jc w:val="center"/>
                    <w:rPr>
                      <w:rFonts w:hint="default" w:ascii="Times New Roman" w:hAnsi="Times New Roman"/>
                      <w:b w:val="0"/>
                      <w:bCs/>
                      <w:color w:val="auto"/>
                      <w:szCs w:val="21"/>
                      <w:highlight w:val="none"/>
                      <w:lang w:val="en-US" w:eastAsia="zh-CN"/>
                    </w:rPr>
                  </w:pPr>
                  <w:r>
                    <w:rPr>
                      <w:rFonts w:hint="eastAsia" w:cs="Times New Roman"/>
                      <w:b w:val="0"/>
                      <w:bCs w:val="0"/>
                      <w:color w:val="auto"/>
                      <w:kern w:val="0"/>
                      <w:sz w:val="21"/>
                      <w:szCs w:val="21"/>
                      <w:vertAlign w:val="baseline"/>
                      <w:lang w:val="en-US" w:eastAsia="zh-CN"/>
                    </w:rPr>
                    <w:t>0.535</w:t>
                  </w:r>
                </w:p>
              </w:tc>
              <w:tc>
                <w:tcPr>
                  <w:tcW w:w="609" w:type="pct"/>
                  <w:shd w:val="clear" w:color="auto" w:fill="auto"/>
                  <w:vAlign w:val="center"/>
                </w:tcPr>
                <w:p w14:paraId="29AF25C6">
                  <w:pPr>
                    <w:pStyle w:val="10"/>
                    <w:adjustRightInd w:val="0"/>
                    <w:snapToGrid w:val="0"/>
                    <w:spacing w:after="0" w:line="240" w:lineRule="auto"/>
                    <w:ind w:firstLine="0" w:firstLineChars="0"/>
                    <w:jc w:val="center"/>
                    <w:rPr>
                      <w:rFonts w:hint="default" w:ascii="Times New Roman" w:hAnsi="Times New Roman" w:eastAsia="宋体" w:cs="Times New Roman"/>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bidi="ar-SA"/>
                    </w:rPr>
                    <w:t>2.186</w:t>
                  </w:r>
                </w:p>
              </w:tc>
              <w:tc>
                <w:tcPr>
                  <w:tcW w:w="539" w:type="pct"/>
                  <w:shd w:val="clear" w:color="auto" w:fill="auto"/>
                  <w:vAlign w:val="center"/>
                </w:tcPr>
                <w:p w14:paraId="2248E88C">
                  <w:pPr>
                    <w:spacing w:line="240" w:lineRule="auto"/>
                    <w:jc w:val="center"/>
                    <w:rPr>
                      <w:rFonts w:hint="default"/>
                      <w:bCs/>
                      <w:color w:val="auto"/>
                      <w:szCs w:val="21"/>
                      <w:highlight w:val="none"/>
                      <w:lang w:val="en-US" w:eastAsia="zh-CN"/>
                    </w:rPr>
                  </w:pPr>
                  <w:r>
                    <w:rPr>
                      <w:rFonts w:hint="eastAsia"/>
                      <w:bCs/>
                      <w:color w:val="auto"/>
                      <w:szCs w:val="21"/>
                      <w:highlight w:val="none"/>
                      <w:lang w:val="en-US" w:eastAsia="zh-CN"/>
                    </w:rPr>
                    <w:t>1.657</w:t>
                  </w:r>
                </w:p>
              </w:tc>
              <w:tc>
                <w:tcPr>
                  <w:tcW w:w="539" w:type="pct"/>
                  <w:vAlign w:val="center"/>
                </w:tcPr>
                <w:p w14:paraId="1013837E">
                  <w:pPr>
                    <w:spacing w:line="240" w:lineRule="auto"/>
                    <w:jc w:val="center"/>
                    <w:rPr>
                      <w:rFonts w:hint="default"/>
                      <w:bCs/>
                      <w:color w:val="auto"/>
                      <w:szCs w:val="21"/>
                      <w:highlight w:val="none"/>
                      <w:lang w:val="en-US" w:eastAsia="zh-CN"/>
                    </w:rPr>
                  </w:pPr>
                  <w:r>
                    <w:rPr>
                      <w:rFonts w:hint="eastAsia"/>
                      <w:bCs/>
                      <w:color w:val="auto"/>
                      <w:szCs w:val="21"/>
                      <w:highlight w:val="none"/>
                      <w:lang w:val="en-US" w:eastAsia="zh-CN"/>
                    </w:rPr>
                    <w:t>6.776</w:t>
                  </w:r>
                </w:p>
              </w:tc>
              <w:tc>
                <w:tcPr>
                  <w:tcW w:w="465" w:type="pct"/>
                  <w:vAlign w:val="center"/>
                </w:tcPr>
                <w:p w14:paraId="58BC6934">
                  <w:pPr>
                    <w:widowControl/>
                    <w:adjustRightInd w:val="0"/>
                    <w:snapToGrid w:val="0"/>
                    <w:spacing w:line="240" w:lineRule="auto"/>
                    <w:jc w:val="center"/>
                    <w:rPr>
                      <w:rFonts w:hint="default"/>
                      <w:bCs/>
                      <w:color w:val="auto"/>
                      <w:szCs w:val="21"/>
                      <w:highlight w:val="none"/>
                      <w:lang w:val="en-US" w:eastAsia="zh-CN"/>
                    </w:rPr>
                  </w:pPr>
                  <w:r>
                    <w:rPr>
                      <w:rFonts w:hint="eastAsia" w:cs="Times New Roman"/>
                      <w:b w:val="0"/>
                      <w:bCs w:val="0"/>
                      <w:color w:val="auto"/>
                      <w:kern w:val="0"/>
                      <w:sz w:val="21"/>
                      <w:szCs w:val="21"/>
                      <w:vertAlign w:val="baseline"/>
                      <w:lang w:val="en-US" w:eastAsia="zh-CN"/>
                    </w:rPr>
                    <w:t>0.535</w:t>
                  </w:r>
                </w:p>
              </w:tc>
              <w:tc>
                <w:tcPr>
                  <w:tcW w:w="286" w:type="pct"/>
                  <w:vAlign w:val="center"/>
                </w:tcPr>
                <w:p w14:paraId="4914170F">
                  <w:pPr>
                    <w:pStyle w:val="10"/>
                    <w:adjustRightInd w:val="0"/>
                    <w:snapToGrid w:val="0"/>
                    <w:spacing w:after="0" w:line="240" w:lineRule="auto"/>
                    <w:ind w:firstLine="0" w:firstLineChars="0"/>
                    <w:jc w:val="center"/>
                    <w:rPr>
                      <w:rFonts w:hint="default"/>
                      <w:bCs/>
                      <w:color w:val="auto"/>
                      <w:szCs w:val="21"/>
                      <w:highlight w:val="none"/>
                      <w:lang w:val="en-US" w:eastAsia="zh-CN"/>
                    </w:rPr>
                  </w:pPr>
                  <w:r>
                    <w:rPr>
                      <w:rFonts w:hint="eastAsia"/>
                      <w:color w:val="auto"/>
                      <w:highlight w:val="none"/>
                      <w:lang w:val="en-US" w:eastAsia="zh-CN"/>
                    </w:rPr>
                    <w:t>/</w:t>
                  </w:r>
                </w:p>
              </w:tc>
              <w:tc>
                <w:tcPr>
                  <w:tcW w:w="487" w:type="pct"/>
                  <w:vAlign w:val="center"/>
                </w:tcPr>
                <w:p w14:paraId="0F68C807">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1.657</w:t>
                  </w:r>
                </w:p>
              </w:tc>
              <w:tc>
                <w:tcPr>
                  <w:tcW w:w="488" w:type="pct"/>
                  <w:shd w:val="clear" w:color="auto" w:fill="auto"/>
                  <w:vAlign w:val="center"/>
                </w:tcPr>
                <w:p w14:paraId="56BB3870">
                  <w:pPr>
                    <w:spacing w:line="240" w:lineRule="auto"/>
                    <w:jc w:val="center"/>
                    <w:rPr>
                      <w:rFonts w:hint="default"/>
                      <w:bCs/>
                      <w:color w:val="auto"/>
                      <w:szCs w:val="21"/>
                      <w:highlight w:val="none"/>
                      <w:lang w:val="en-US" w:eastAsia="zh-CN"/>
                    </w:rPr>
                  </w:pPr>
                  <w:r>
                    <w:rPr>
                      <w:rFonts w:hint="eastAsia"/>
                      <w:bCs/>
                      <w:color w:val="auto"/>
                      <w:szCs w:val="21"/>
                      <w:highlight w:val="none"/>
                      <w:lang w:val="en-US" w:eastAsia="zh-CN"/>
                    </w:rPr>
                    <w:t>6.776</w:t>
                  </w:r>
                </w:p>
              </w:tc>
              <w:tc>
                <w:tcPr>
                  <w:tcW w:w="545" w:type="pct"/>
                  <w:vAlign w:val="center"/>
                </w:tcPr>
                <w:p w14:paraId="4A5B6601">
                  <w:pPr>
                    <w:pStyle w:val="10"/>
                    <w:adjustRightInd w:val="0"/>
                    <w:snapToGrid w:val="0"/>
                    <w:spacing w:after="0" w:line="240" w:lineRule="auto"/>
                    <w:ind w:firstLine="0" w:firstLineChars="0"/>
                    <w:jc w:val="center"/>
                    <w:rPr>
                      <w:rFonts w:hint="default" w:ascii="Times New Roman" w:hAnsi="Times New Roman" w:eastAsia="宋体" w:cs="Times New Roman"/>
                      <w:b w:val="0"/>
                      <w:bCs/>
                      <w:color w:val="auto"/>
                      <w:szCs w:val="21"/>
                      <w:highlight w:val="none"/>
                      <w:lang w:val="en-US" w:eastAsia="zh-CN"/>
                    </w:rPr>
                  </w:pPr>
                  <w:r>
                    <w:rPr>
                      <w:rFonts w:hint="eastAsia" w:cs="Times New Roman"/>
                      <w:b w:val="0"/>
                      <w:bCs/>
                      <w:color w:val="auto"/>
                      <w:szCs w:val="21"/>
                      <w:highlight w:val="none"/>
                      <w:lang w:val="en-US" w:eastAsia="zh-CN"/>
                    </w:rPr>
                    <w:t>1.122</w:t>
                  </w:r>
                </w:p>
              </w:tc>
            </w:tr>
            <w:tr w14:paraId="14C4F7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44" w:type="pct"/>
                  <w:shd w:val="clear" w:color="auto" w:fill="auto"/>
                  <w:vAlign w:val="center"/>
                </w:tcPr>
                <w:p w14:paraId="321DF0BE">
                  <w:pPr>
                    <w:pStyle w:val="73"/>
                    <w:keepNext w:val="0"/>
                    <w:keepLines w:val="0"/>
                    <w:pageBreakBefore w:val="0"/>
                    <w:suppressLineNumbers w:val="0"/>
                    <w:wordWrap/>
                    <w:bidi w:val="0"/>
                    <w:spacing w:before="0" w:beforeAutospacing="0" w:after="0" w:afterAutospacing="0" w:line="240" w:lineRule="auto"/>
                    <w:ind w:left="0" w:leftChars="0" w:right="0" w:rightChars="0"/>
                    <w:jc w:val="center"/>
                    <w:rPr>
                      <w:rFonts w:hint="eastAsia"/>
                      <w:color w:val="auto"/>
                      <w:lang w:val="en-US" w:eastAsia="zh-CN"/>
                    </w:rPr>
                  </w:pPr>
                  <w:r>
                    <w:rPr>
                      <w:rFonts w:hint="eastAsia"/>
                      <w:color w:val="auto"/>
                      <w:lang w:val="en-US" w:eastAsia="zh-CN"/>
                    </w:rPr>
                    <w:t>NOx</w:t>
                  </w:r>
                </w:p>
              </w:tc>
              <w:tc>
                <w:tcPr>
                  <w:tcW w:w="594" w:type="pct"/>
                  <w:vAlign w:val="center"/>
                </w:tcPr>
                <w:p w14:paraId="07FA8A4D">
                  <w:pPr>
                    <w:widowControl/>
                    <w:adjustRightInd w:val="0"/>
                    <w:snapToGrid w:val="0"/>
                    <w:spacing w:line="240" w:lineRule="auto"/>
                    <w:jc w:val="center"/>
                    <w:rPr>
                      <w:rFonts w:hint="default" w:ascii="Times New Roman" w:hAnsi="Times New Roman"/>
                      <w:b w:val="0"/>
                      <w:bCs/>
                      <w:color w:val="auto"/>
                      <w:szCs w:val="21"/>
                      <w:highlight w:val="none"/>
                      <w:lang w:val="en-US" w:eastAsia="zh-CN"/>
                    </w:rPr>
                  </w:pPr>
                  <w:r>
                    <w:rPr>
                      <w:rFonts w:hint="eastAsia" w:cs="Times New Roman"/>
                      <w:b w:val="0"/>
                      <w:bCs w:val="0"/>
                      <w:color w:val="auto"/>
                      <w:kern w:val="0"/>
                      <w:sz w:val="21"/>
                      <w:szCs w:val="21"/>
                      <w:vertAlign w:val="baseline"/>
                      <w:lang w:val="en-US" w:eastAsia="zh-CN"/>
                    </w:rPr>
                    <w:t>2.005</w:t>
                  </w:r>
                </w:p>
              </w:tc>
              <w:tc>
                <w:tcPr>
                  <w:tcW w:w="609" w:type="pct"/>
                  <w:shd w:val="clear" w:color="auto" w:fill="auto"/>
                  <w:vAlign w:val="center"/>
                </w:tcPr>
                <w:p w14:paraId="5DF94E3A">
                  <w:pPr>
                    <w:pStyle w:val="10"/>
                    <w:adjustRightInd w:val="0"/>
                    <w:snapToGrid w:val="0"/>
                    <w:spacing w:after="0" w:line="240" w:lineRule="auto"/>
                    <w:ind w:firstLine="0" w:firstLineChars="0"/>
                    <w:jc w:val="center"/>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2"/>
                      <w:sz w:val="21"/>
                      <w:szCs w:val="24"/>
                      <w:highlight w:val="none"/>
                      <w:lang w:val="en-US" w:eastAsia="zh-CN" w:bidi="ar-SA"/>
                    </w:rPr>
                    <w:t>2.733</w:t>
                  </w:r>
                </w:p>
              </w:tc>
              <w:tc>
                <w:tcPr>
                  <w:tcW w:w="539" w:type="pct"/>
                  <w:shd w:val="clear" w:color="auto" w:fill="auto"/>
                  <w:vAlign w:val="center"/>
                </w:tcPr>
                <w:p w14:paraId="3E67AD89">
                  <w:pPr>
                    <w:spacing w:line="240" w:lineRule="auto"/>
                    <w:jc w:val="center"/>
                    <w:rPr>
                      <w:rFonts w:hint="default"/>
                      <w:bCs/>
                      <w:color w:val="auto"/>
                      <w:szCs w:val="21"/>
                      <w:highlight w:val="none"/>
                      <w:lang w:val="en-US" w:eastAsia="zh-CN"/>
                    </w:rPr>
                  </w:pPr>
                  <w:r>
                    <w:rPr>
                      <w:rFonts w:hint="eastAsia"/>
                      <w:bCs/>
                      <w:color w:val="auto"/>
                      <w:szCs w:val="21"/>
                      <w:highlight w:val="none"/>
                      <w:lang w:val="en-US" w:eastAsia="zh-CN"/>
                    </w:rPr>
                    <w:t>2.626</w:t>
                  </w:r>
                </w:p>
              </w:tc>
              <w:tc>
                <w:tcPr>
                  <w:tcW w:w="539" w:type="pct"/>
                  <w:vAlign w:val="center"/>
                </w:tcPr>
                <w:p w14:paraId="1E8EADCE">
                  <w:pPr>
                    <w:spacing w:line="240" w:lineRule="auto"/>
                    <w:jc w:val="center"/>
                    <w:rPr>
                      <w:rFonts w:hint="default"/>
                      <w:bCs/>
                      <w:color w:val="auto"/>
                      <w:szCs w:val="21"/>
                      <w:highlight w:val="none"/>
                      <w:lang w:val="en-US" w:eastAsia="zh-CN"/>
                    </w:rPr>
                  </w:pPr>
                  <w:r>
                    <w:rPr>
                      <w:rFonts w:hint="eastAsia"/>
                      <w:bCs/>
                      <w:color w:val="auto"/>
                      <w:szCs w:val="21"/>
                      <w:highlight w:val="none"/>
                      <w:lang w:val="en-US" w:eastAsia="zh-CN"/>
                    </w:rPr>
                    <w:t>8.47</w:t>
                  </w:r>
                </w:p>
              </w:tc>
              <w:tc>
                <w:tcPr>
                  <w:tcW w:w="465" w:type="pct"/>
                  <w:vAlign w:val="center"/>
                </w:tcPr>
                <w:p w14:paraId="2F878403">
                  <w:pPr>
                    <w:widowControl/>
                    <w:adjustRightInd w:val="0"/>
                    <w:snapToGrid w:val="0"/>
                    <w:spacing w:line="240" w:lineRule="auto"/>
                    <w:jc w:val="center"/>
                    <w:rPr>
                      <w:rFonts w:hint="default"/>
                      <w:bCs/>
                      <w:color w:val="auto"/>
                      <w:szCs w:val="21"/>
                      <w:highlight w:val="none"/>
                      <w:lang w:val="en-US" w:eastAsia="zh-CN"/>
                    </w:rPr>
                  </w:pPr>
                  <w:r>
                    <w:rPr>
                      <w:rFonts w:hint="eastAsia" w:cs="Times New Roman"/>
                      <w:b w:val="0"/>
                      <w:bCs w:val="0"/>
                      <w:color w:val="auto"/>
                      <w:kern w:val="0"/>
                      <w:sz w:val="21"/>
                      <w:szCs w:val="21"/>
                      <w:vertAlign w:val="baseline"/>
                      <w:lang w:val="en-US" w:eastAsia="zh-CN"/>
                    </w:rPr>
                    <w:t>2.005</w:t>
                  </w:r>
                </w:p>
              </w:tc>
              <w:tc>
                <w:tcPr>
                  <w:tcW w:w="286" w:type="pct"/>
                  <w:vAlign w:val="center"/>
                </w:tcPr>
                <w:p w14:paraId="303031DD">
                  <w:pPr>
                    <w:pStyle w:val="10"/>
                    <w:adjustRightInd w:val="0"/>
                    <w:snapToGrid w:val="0"/>
                    <w:spacing w:after="0" w:line="240" w:lineRule="auto"/>
                    <w:ind w:firstLine="0" w:firstLineChars="0"/>
                    <w:jc w:val="center"/>
                    <w:rPr>
                      <w:rFonts w:hint="default"/>
                      <w:bCs/>
                      <w:color w:val="auto"/>
                      <w:szCs w:val="21"/>
                      <w:highlight w:val="none"/>
                      <w:lang w:val="en-US" w:eastAsia="zh-CN"/>
                    </w:rPr>
                  </w:pPr>
                  <w:r>
                    <w:rPr>
                      <w:rFonts w:hint="eastAsia"/>
                      <w:color w:val="auto"/>
                      <w:highlight w:val="none"/>
                      <w:lang w:val="en-US" w:eastAsia="zh-CN"/>
                    </w:rPr>
                    <w:t>/</w:t>
                  </w:r>
                </w:p>
              </w:tc>
              <w:tc>
                <w:tcPr>
                  <w:tcW w:w="487" w:type="pct"/>
                  <w:vAlign w:val="center"/>
                </w:tcPr>
                <w:p w14:paraId="3C26CC90">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2.626</w:t>
                  </w:r>
                </w:p>
              </w:tc>
              <w:tc>
                <w:tcPr>
                  <w:tcW w:w="488" w:type="pct"/>
                  <w:shd w:val="clear" w:color="auto" w:fill="auto"/>
                  <w:vAlign w:val="center"/>
                </w:tcPr>
                <w:p w14:paraId="4602ECEA">
                  <w:pPr>
                    <w:spacing w:line="240" w:lineRule="auto"/>
                    <w:jc w:val="center"/>
                    <w:rPr>
                      <w:rFonts w:hint="default"/>
                      <w:bCs/>
                      <w:color w:val="auto"/>
                      <w:szCs w:val="21"/>
                      <w:highlight w:val="none"/>
                      <w:lang w:val="en-US" w:eastAsia="zh-CN"/>
                    </w:rPr>
                  </w:pPr>
                  <w:r>
                    <w:rPr>
                      <w:rFonts w:hint="eastAsia"/>
                      <w:bCs/>
                      <w:color w:val="auto"/>
                      <w:szCs w:val="21"/>
                      <w:highlight w:val="none"/>
                      <w:lang w:val="en-US" w:eastAsia="zh-CN"/>
                    </w:rPr>
                    <w:t>8.47</w:t>
                  </w:r>
                </w:p>
              </w:tc>
              <w:tc>
                <w:tcPr>
                  <w:tcW w:w="545" w:type="pct"/>
                  <w:vAlign w:val="center"/>
                </w:tcPr>
                <w:p w14:paraId="4D4D307F">
                  <w:pPr>
                    <w:pStyle w:val="10"/>
                    <w:adjustRightInd w:val="0"/>
                    <w:snapToGrid w:val="0"/>
                    <w:spacing w:after="0" w:line="240" w:lineRule="auto"/>
                    <w:ind w:firstLine="0" w:firstLineChars="0"/>
                    <w:jc w:val="center"/>
                    <w:rPr>
                      <w:rFonts w:hint="default" w:ascii="Times New Roman" w:hAnsi="Times New Roman" w:eastAsia="宋体" w:cs="Times New Roman"/>
                      <w:b w:val="0"/>
                      <w:bCs/>
                      <w:color w:val="auto"/>
                      <w:szCs w:val="21"/>
                      <w:highlight w:val="none"/>
                      <w:lang w:val="en-US" w:eastAsia="zh-CN"/>
                    </w:rPr>
                  </w:pPr>
                  <w:r>
                    <w:rPr>
                      <w:rFonts w:hint="eastAsia" w:cs="Times New Roman"/>
                      <w:b w:val="0"/>
                      <w:bCs/>
                      <w:color w:val="auto"/>
                      <w:szCs w:val="21"/>
                      <w:highlight w:val="none"/>
                      <w:lang w:val="en-US" w:eastAsia="zh-CN"/>
                    </w:rPr>
                    <w:t>0.621</w:t>
                  </w:r>
                </w:p>
              </w:tc>
            </w:tr>
            <w:tr w14:paraId="715E8D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44" w:type="pct"/>
                  <w:shd w:val="clear" w:color="auto" w:fill="auto"/>
                  <w:vAlign w:val="center"/>
                </w:tcPr>
                <w:p w14:paraId="1283E44A">
                  <w:pPr>
                    <w:pStyle w:val="73"/>
                    <w:keepNext w:val="0"/>
                    <w:keepLines w:val="0"/>
                    <w:pageBreakBefore w:val="0"/>
                    <w:suppressLineNumbers w:val="0"/>
                    <w:wordWrap/>
                    <w:bidi w:val="0"/>
                    <w:spacing w:before="0" w:beforeAutospacing="0" w:after="0" w:afterAutospacing="0" w:line="240" w:lineRule="auto"/>
                    <w:ind w:left="0" w:leftChars="0" w:right="0" w:rightChars="0"/>
                    <w:jc w:val="center"/>
                    <w:rPr>
                      <w:rFonts w:hint="default"/>
                      <w:color w:val="auto"/>
                      <w:lang w:val="en-US" w:eastAsia="zh-CN"/>
                    </w:rPr>
                  </w:pPr>
                  <w:r>
                    <w:rPr>
                      <w:rFonts w:hint="eastAsia"/>
                      <w:color w:val="auto"/>
                      <w:lang w:val="en-US" w:eastAsia="zh-CN"/>
                    </w:rPr>
                    <w:t>工业粉尘</w:t>
                  </w:r>
                </w:p>
              </w:tc>
              <w:tc>
                <w:tcPr>
                  <w:tcW w:w="594" w:type="pct"/>
                  <w:vAlign w:val="center"/>
                </w:tcPr>
                <w:p w14:paraId="0F0962DD">
                  <w:pPr>
                    <w:widowControl/>
                    <w:adjustRightInd w:val="0"/>
                    <w:snapToGrid w:val="0"/>
                    <w:spacing w:line="240" w:lineRule="auto"/>
                    <w:jc w:val="center"/>
                    <w:rPr>
                      <w:rFonts w:hint="default" w:ascii="Times New Roman" w:hAnsi="Times New Roman"/>
                      <w:b w:val="0"/>
                      <w:bCs/>
                      <w:color w:val="auto"/>
                      <w:szCs w:val="21"/>
                      <w:highlight w:val="none"/>
                      <w:lang w:val="en-US" w:eastAsia="zh-CN"/>
                    </w:rPr>
                  </w:pPr>
                  <w:r>
                    <w:rPr>
                      <w:rFonts w:hint="default" w:cs="Times New Roman"/>
                      <w:b w:val="0"/>
                      <w:bCs w:val="0"/>
                      <w:color w:val="auto"/>
                      <w:kern w:val="0"/>
                      <w:sz w:val="21"/>
                      <w:szCs w:val="21"/>
                      <w:vertAlign w:val="baseline"/>
                      <w:lang w:val="en-US" w:eastAsia="zh-CN"/>
                    </w:rPr>
                    <w:t>1.4875</w:t>
                  </w:r>
                </w:p>
              </w:tc>
              <w:tc>
                <w:tcPr>
                  <w:tcW w:w="609" w:type="pct"/>
                  <w:shd w:val="clear" w:color="auto" w:fill="auto"/>
                  <w:vAlign w:val="center"/>
                </w:tcPr>
                <w:p w14:paraId="62E55AE2">
                  <w:pPr>
                    <w:pStyle w:val="10"/>
                    <w:adjustRightInd w:val="0"/>
                    <w:snapToGrid w:val="0"/>
                    <w:spacing w:after="0" w:line="240" w:lineRule="auto"/>
                    <w:ind w:firstLine="0" w:firstLineChars="0"/>
                    <w:jc w:val="center"/>
                    <w:rPr>
                      <w:rFonts w:hint="default" w:ascii="Times New Roman" w:hAnsi="Times New Roman" w:eastAsia="宋体" w:cs="Times New Roman"/>
                      <w:color w:val="auto"/>
                      <w:kern w:val="0"/>
                      <w:sz w:val="21"/>
                      <w:szCs w:val="21"/>
                      <w:vertAlign w:val="baseline"/>
                      <w:lang w:val="en-US" w:eastAsia="zh-CN"/>
                    </w:rPr>
                  </w:pPr>
                  <w:r>
                    <w:rPr>
                      <w:rFonts w:hint="default" w:cs="Times New Roman"/>
                      <w:b w:val="0"/>
                      <w:bCs w:val="0"/>
                      <w:color w:val="auto"/>
                      <w:kern w:val="0"/>
                      <w:sz w:val="21"/>
                      <w:szCs w:val="21"/>
                      <w:vertAlign w:val="baseline"/>
                      <w:lang w:val="en-US" w:eastAsia="zh-CN"/>
                    </w:rPr>
                    <w:t>1.4875</w:t>
                  </w:r>
                </w:p>
              </w:tc>
              <w:tc>
                <w:tcPr>
                  <w:tcW w:w="539" w:type="pct"/>
                  <w:shd w:val="clear" w:color="auto" w:fill="auto"/>
                  <w:vAlign w:val="center"/>
                </w:tcPr>
                <w:p w14:paraId="12009D58">
                  <w:pPr>
                    <w:pStyle w:val="10"/>
                    <w:adjustRightInd w:val="0"/>
                    <w:snapToGrid w:val="0"/>
                    <w:spacing w:after="0" w:line="240" w:lineRule="auto"/>
                    <w:ind w:firstLine="0" w:firstLineChars="0"/>
                    <w:jc w:val="center"/>
                    <w:rPr>
                      <w:rFonts w:hint="default"/>
                      <w:color w:val="auto"/>
                      <w:highlight w:val="none"/>
                      <w:lang w:val="en-US" w:eastAsia="zh-CN"/>
                    </w:rPr>
                  </w:pPr>
                  <w:r>
                    <w:rPr>
                      <w:rFonts w:hint="eastAsia"/>
                      <w:color w:val="auto"/>
                      <w:highlight w:val="none"/>
                      <w:lang w:val="en-US" w:eastAsia="zh-CN"/>
                    </w:rPr>
                    <w:t>/</w:t>
                  </w:r>
                </w:p>
              </w:tc>
              <w:tc>
                <w:tcPr>
                  <w:tcW w:w="539" w:type="pct"/>
                  <w:vAlign w:val="center"/>
                </w:tcPr>
                <w:p w14:paraId="34A41514">
                  <w:pPr>
                    <w:pStyle w:val="10"/>
                    <w:adjustRightInd w:val="0"/>
                    <w:snapToGrid w:val="0"/>
                    <w:spacing w:after="0" w:line="240" w:lineRule="auto"/>
                    <w:ind w:firstLine="0" w:firstLineChars="0"/>
                    <w:jc w:val="center"/>
                    <w:rPr>
                      <w:rFonts w:hint="default"/>
                      <w:bCs/>
                      <w:color w:val="auto"/>
                      <w:szCs w:val="21"/>
                      <w:highlight w:val="none"/>
                      <w:lang w:val="en-US" w:eastAsia="zh-CN"/>
                    </w:rPr>
                  </w:pPr>
                  <w:r>
                    <w:rPr>
                      <w:rFonts w:hint="eastAsia"/>
                      <w:color w:val="auto"/>
                      <w:highlight w:val="none"/>
                      <w:lang w:val="en-US" w:eastAsia="zh-CN"/>
                    </w:rPr>
                    <w:t>/</w:t>
                  </w:r>
                </w:p>
              </w:tc>
              <w:tc>
                <w:tcPr>
                  <w:tcW w:w="465" w:type="pct"/>
                  <w:vAlign w:val="center"/>
                </w:tcPr>
                <w:p w14:paraId="2CBB7805">
                  <w:pPr>
                    <w:pStyle w:val="10"/>
                    <w:adjustRightInd w:val="0"/>
                    <w:snapToGrid w:val="0"/>
                    <w:spacing w:after="0" w:line="240" w:lineRule="auto"/>
                    <w:ind w:firstLine="0" w:firstLineChars="0"/>
                    <w:jc w:val="center"/>
                    <w:rPr>
                      <w:rFonts w:hint="default"/>
                      <w:bCs/>
                      <w:color w:val="auto"/>
                      <w:szCs w:val="21"/>
                      <w:highlight w:val="none"/>
                      <w:lang w:val="en-US" w:eastAsia="zh-CN"/>
                    </w:rPr>
                  </w:pPr>
                  <w:r>
                    <w:rPr>
                      <w:rFonts w:hint="eastAsia"/>
                      <w:color w:val="auto"/>
                      <w:highlight w:val="none"/>
                      <w:lang w:val="en-US" w:eastAsia="zh-CN"/>
                    </w:rPr>
                    <w:t>/</w:t>
                  </w:r>
                </w:p>
              </w:tc>
              <w:tc>
                <w:tcPr>
                  <w:tcW w:w="286" w:type="pct"/>
                  <w:vAlign w:val="center"/>
                </w:tcPr>
                <w:p w14:paraId="18E52030">
                  <w:pPr>
                    <w:pStyle w:val="10"/>
                    <w:adjustRightInd w:val="0"/>
                    <w:snapToGrid w:val="0"/>
                    <w:spacing w:after="0" w:line="240" w:lineRule="auto"/>
                    <w:ind w:firstLine="0" w:firstLineChars="0"/>
                    <w:jc w:val="center"/>
                    <w:rPr>
                      <w:rFonts w:hint="default"/>
                      <w:bCs/>
                      <w:color w:val="auto"/>
                      <w:szCs w:val="21"/>
                      <w:highlight w:val="none"/>
                      <w:lang w:val="en-US" w:eastAsia="zh-CN"/>
                    </w:rPr>
                  </w:pPr>
                  <w:r>
                    <w:rPr>
                      <w:rFonts w:hint="eastAsia"/>
                      <w:color w:val="auto"/>
                      <w:highlight w:val="none"/>
                      <w:lang w:val="en-US" w:eastAsia="zh-CN"/>
                    </w:rPr>
                    <w:t>/</w:t>
                  </w:r>
                </w:p>
              </w:tc>
              <w:tc>
                <w:tcPr>
                  <w:tcW w:w="487" w:type="pct"/>
                  <w:vAlign w:val="center"/>
                </w:tcPr>
                <w:p w14:paraId="64B4A689">
                  <w:pPr>
                    <w:widowControl/>
                    <w:adjustRightInd w:val="0"/>
                    <w:snapToGrid w:val="0"/>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default" w:cs="Times New Roman"/>
                      <w:b w:val="0"/>
                      <w:bCs w:val="0"/>
                      <w:color w:val="auto"/>
                      <w:kern w:val="0"/>
                      <w:sz w:val="21"/>
                      <w:szCs w:val="21"/>
                      <w:vertAlign w:val="baseline"/>
                      <w:lang w:val="en-US" w:eastAsia="zh-CN"/>
                    </w:rPr>
                    <w:t>1.4875</w:t>
                  </w:r>
                </w:p>
              </w:tc>
              <w:tc>
                <w:tcPr>
                  <w:tcW w:w="488" w:type="pct"/>
                  <w:shd w:val="clear" w:color="auto" w:fill="auto"/>
                  <w:vAlign w:val="center"/>
                </w:tcPr>
                <w:p w14:paraId="6342413C">
                  <w:pPr>
                    <w:pStyle w:val="10"/>
                    <w:adjustRightInd w:val="0"/>
                    <w:snapToGrid w:val="0"/>
                    <w:spacing w:after="0" w:line="240" w:lineRule="auto"/>
                    <w:ind w:firstLine="0" w:firstLineChars="0"/>
                    <w:jc w:val="center"/>
                    <w:rPr>
                      <w:rFonts w:hint="default"/>
                      <w:bCs/>
                      <w:color w:val="auto"/>
                      <w:szCs w:val="21"/>
                      <w:highlight w:val="none"/>
                      <w:lang w:val="en-US" w:eastAsia="zh-CN"/>
                    </w:rPr>
                  </w:pPr>
                  <w:r>
                    <w:rPr>
                      <w:rFonts w:hint="default" w:cs="Times New Roman"/>
                      <w:b w:val="0"/>
                      <w:bCs w:val="0"/>
                      <w:color w:val="auto"/>
                      <w:kern w:val="0"/>
                      <w:sz w:val="21"/>
                      <w:szCs w:val="21"/>
                      <w:vertAlign w:val="baseline"/>
                      <w:lang w:val="en-US" w:eastAsia="zh-CN"/>
                    </w:rPr>
                    <w:t>1.4875</w:t>
                  </w:r>
                </w:p>
              </w:tc>
              <w:tc>
                <w:tcPr>
                  <w:tcW w:w="545" w:type="pct"/>
                  <w:vAlign w:val="center"/>
                </w:tcPr>
                <w:p w14:paraId="029410A4">
                  <w:pPr>
                    <w:pStyle w:val="10"/>
                    <w:adjustRightInd w:val="0"/>
                    <w:snapToGrid w:val="0"/>
                    <w:spacing w:after="0" w:line="240" w:lineRule="auto"/>
                    <w:ind w:firstLine="0" w:firstLineChars="0"/>
                    <w:jc w:val="center"/>
                    <w:rPr>
                      <w:rFonts w:hint="default" w:ascii="Times New Roman" w:hAnsi="Times New Roman" w:eastAsia="宋体" w:cs="Times New Roman"/>
                      <w:b w:val="0"/>
                      <w:bCs/>
                      <w:color w:val="auto"/>
                      <w:szCs w:val="21"/>
                      <w:highlight w:val="none"/>
                      <w:lang w:val="en-US" w:eastAsia="zh-CN"/>
                    </w:rPr>
                  </w:pPr>
                  <w:r>
                    <w:rPr>
                      <w:rFonts w:hint="eastAsia" w:cs="Times New Roman"/>
                      <w:b w:val="0"/>
                      <w:bCs/>
                      <w:color w:val="auto"/>
                      <w:szCs w:val="21"/>
                      <w:highlight w:val="none"/>
                      <w:lang w:val="en-US" w:eastAsia="zh-CN"/>
                    </w:rPr>
                    <w:t>/</w:t>
                  </w:r>
                </w:p>
              </w:tc>
            </w:tr>
            <w:tr w14:paraId="0DBF88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44" w:type="pct"/>
                  <w:shd w:val="clear" w:color="auto" w:fill="auto"/>
                  <w:vAlign w:val="center"/>
                </w:tcPr>
                <w:p w14:paraId="22686131">
                  <w:pPr>
                    <w:pStyle w:val="73"/>
                    <w:keepNext w:val="0"/>
                    <w:keepLines w:val="0"/>
                    <w:pageBreakBefore w:val="0"/>
                    <w:suppressLineNumbers w:val="0"/>
                    <w:wordWrap/>
                    <w:bidi w:val="0"/>
                    <w:spacing w:before="0" w:beforeAutospacing="0" w:after="0" w:afterAutospacing="0" w:line="240" w:lineRule="auto"/>
                    <w:ind w:left="0" w:leftChars="0" w:right="0" w:rightChars="0"/>
                    <w:jc w:val="center"/>
                    <w:rPr>
                      <w:rFonts w:hint="default"/>
                      <w:color w:val="auto"/>
                      <w:lang w:val="en-US" w:eastAsia="zh-CN"/>
                    </w:rPr>
                  </w:pPr>
                  <w:r>
                    <w:rPr>
                      <w:rFonts w:hint="eastAsia"/>
                      <w:color w:val="auto"/>
                      <w:lang w:val="en-US" w:eastAsia="zh-CN"/>
                    </w:rPr>
                    <w:t>COD</w:t>
                  </w:r>
                </w:p>
              </w:tc>
              <w:tc>
                <w:tcPr>
                  <w:tcW w:w="594" w:type="pct"/>
                  <w:vAlign w:val="center"/>
                </w:tcPr>
                <w:p w14:paraId="132674C4">
                  <w:pPr>
                    <w:adjustRightInd w:val="0"/>
                    <w:snapToGrid w:val="0"/>
                    <w:spacing w:line="240" w:lineRule="auto"/>
                    <w:jc w:val="center"/>
                    <w:rPr>
                      <w:rFonts w:hint="eastAsia"/>
                      <w:b w:val="0"/>
                      <w:bCs/>
                      <w:color w:val="auto"/>
                      <w:szCs w:val="21"/>
                      <w:highlight w:val="none"/>
                      <w:lang w:val="en-US" w:eastAsia="zh-CN"/>
                    </w:rPr>
                  </w:pPr>
                  <w:r>
                    <w:rPr>
                      <w:rFonts w:hint="eastAsia" w:ascii="Times New Roman" w:hAnsi="Times New Roman" w:cs="Times New Roman"/>
                      <w:color w:val="auto"/>
                      <w:kern w:val="0"/>
                      <w:sz w:val="21"/>
                      <w:szCs w:val="21"/>
                      <w:vertAlign w:val="baseline"/>
                      <w:lang w:val="en-US" w:eastAsia="zh-CN"/>
                    </w:rPr>
                    <w:t>0.0058</w:t>
                  </w:r>
                </w:p>
              </w:tc>
              <w:tc>
                <w:tcPr>
                  <w:tcW w:w="609" w:type="pct"/>
                  <w:shd w:val="clear" w:color="auto" w:fill="auto"/>
                  <w:vAlign w:val="center"/>
                </w:tcPr>
                <w:p w14:paraId="68F8BB08">
                  <w:pPr>
                    <w:pStyle w:val="10"/>
                    <w:adjustRightInd w:val="0"/>
                    <w:snapToGrid w:val="0"/>
                    <w:spacing w:after="0" w:line="240" w:lineRule="auto"/>
                    <w:ind w:firstLine="0" w:firstLineChars="0"/>
                    <w:jc w:val="center"/>
                    <w:rPr>
                      <w:rFonts w:hint="default" w:ascii="Times New Roman" w:hAnsi="Times New Roman" w:eastAsia="宋体" w:cs="Times New Roman"/>
                      <w:color w:val="auto"/>
                      <w:kern w:val="0"/>
                      <w:sz w:val="21"/>
                      <w:szCs w:val="21"/>
                      <w:vertAlign w:val="baseline"/>
                      <w:lang w:val="en-US" w:eastAsia="zh-CN"/>
                    </w:rPr>
                  </w:pPr>
                  <w:r>
                    <w:rPr>
                      <w:rFonts w:hint="eastAsia" w:cs="Times New Roman"/>
                      <w:b w:val="0"/>
                      <w:bCs w:val="0"/>
                      <w:color w:val="auto"/>
                      <w:kern w:val="0"/>
                      <w:sz w:val="21"/>
                      <w:szCs w:val="21"/>
                      <w:vertAlign w:val="baseline"/>
                      <w:lang w:val="en-US" w:eastAsia="zh-CN"/>
                    </w:rPr>
                    <w:t>0.048</w:t>
                  </w:r>
                </w:p>
              </w:tc>
              <w:tc>
                <w:tcPr>
                  <w:tcW w:w="539" w:type="pct"/>
                  <w:shd w:val="clear" w:color="auto" w:fill="auto"/>
                  <w:vAlign w:val="center"/>
                </w:tcPr>
                <w:p w14:paraId="7F2D4761">
                  <w:pPr>
                    <w:pStyle w:val="10"/>
                    <w:adjustRightInd w:val="0"/>
                    <w:snapToGrid w:val="0"/>
                    <w:spacing w:after="0" w:line="240" w:lineRule="auto"/>
                    <w:ind w:firstLine="0" w:firstLineChars="0"/>
                    <w:jc w:val="center"/>
                    <w:rPr>
                      <w:rFonts w:hint="default"/>
                      <w:color w:val="auto"/>
                      <w:highlight w:val="none"/>
                      <w:lang w:val="en-US" w:eastAsia="zh-CN"/>
                    </w:rPr>
                  </w:pPr>
                  <w:r>
                    <w:rPr>
                      <w:rFonts w:hint="eastAsia"/>
                      <w:color w:val="auto"/>
                      <w:highlight w:val="none"/>
                      <w:lang w:val="en-US" w:eastAsia="zh-CN"/>
                    </w:rPr>
                    <w:t>/</w:t>
                  </w:r>
                </w:p>
              </w:tc>
              <w:tc>
                <w:tcPr>
                  <w:tcW w:w="539" w:type="pct"/>
                  <w:vAlign w:val="center"/>
                </w:tcPr>
                <w:p w14:paraId="1D9C09F4">
                  <w:pPr>
                    <w:pStyle w:val="10"/>
                    <w:adjustRightInd w:val="0"/>
                    <w:snapToGrid w:val="0"/>
                    <w:spacing w:after="0" w:line="240" w:lineRule="auto"/>
                    <w:ind w:firstLine="0" w:firstLineChars="0"/>
                    <w:jc w:val="center"/>
                    <w:rPr>
                      <w:rFonts w:hint="default"/>
                      <w:bCs/>
                      <w:color w:val="auto"/>
                      <w:szCs w:val="21"/>
                      <w:highlight w:val="none"/>
                      <w:lang w:val="en-US" w:eastAsia="zh-CN"/>
                    </w:rPr>
                  </w:pPr>
                  <w:r>
                    <w:rPr>
                      <w:rFonts w:hint="eastAsia"/>
                      <w:color w:val="auto"/>
                      <w:highlight w:val="none"/>
                      <w:lang w:val="en-US" w:eastAsia="zh-CN"/>
                    </w:rPr>
                    <w:t>/</w:t>
                  </w:r>
                </w:p>
              </w:tc>
              <w:tc>
                <w:tcPr>
                  <w:tcW w:w="465" w:type="pct"/>
                  <w:vAlign w:val="center"/>
                </w:tcPr>
                <w:p w14:paraId="7B5C67FE">
                  <w:pPr>
                    <w:pStyle w:val="10"/>
                    <w:adjustRightInd w:val="0"/>
                    <w:snapToGrid w:val="0"/>
                    <w:spacing w:after="0" w:line="240" w:lineRule="auto"/>
                    <w:ind w:firstLine="0" w:firstLineChars="0"/>
                    <w:jc w:val="center"/>
                    <w:rPr>
                      <w:rFonts w:hint="default"/>
                      <w:bCs/>
                      <w:color w:val="auto"/>
                      <w:szCs w:val="21"/>
                      <w:highlight w:val="none"/>
                      <w:lang w:val="en-US" w:eastAsia="zh-CN"/>
                    </w:rPr>
                  </w:pPr>
                  <w:r>
                    <w:rPr>
                      <w:rFonts w:hint="eastAsia"/>
                      <w:color w:val="auto"/>
                      <w:highlight w:val="none"/>
                      <w:lang w:val="en-US" w:eastAsia="zh-CN"/>
                    </w:rPr>
                    <w:t>/</w:t>
                  </w:r>
                </w:p>
              </w:tc>
              <w:tc>
                <w:tcPr>
                  <w:tcW w:w="286" w:type="pct"/>
                  <w:vAlign w:val="center"/>
                </w:tcPr>
                <w:p w14:paraId="34816FE0">
                  <w:pPr>
                    <w:pStyle w:val="10"/>
                    <w:adjustRightInd w:val="0"/>
                    <w:snapToGrid w:val="0"/>
                    <w:spacing w:after="0" w:line="240" w:lineRule="auto"/>
                    <w:ind w:firstLine="0" w:firstLineChars="0"/>
                    <w:jc w:val="center"/>
                    <w:rPr>
                      <w:rFonts w:hint="default"/>
                      <w:bCs/>
                      <w:color w:val="auto"/>
                      <w:szCs w:val="21"/>
                      <w:highlight w:val="none"/>
                      <w:lang w:val="en-US" w:eastAsia="zh-CN"/>
                    </w:rPr>
                  </w:pPr>
                  <w:r>
                    <w:rPr>
                      <w:rFonts w:hint="eastAsia"/>
                      <w:color w:val="auto"/>
                      <w:highlight w:val="none"/>
                      <w:lang w:val="en-US" w:eastAsia="zh-CN"/>
                    </w:rPr>
                    <w:t>/</w:t>
                  </w:r>
                </w:p>
              </w:tc>
              <w:tc>
                <w:tcPr>
                  <w:tcW w:w="487" w:type="pct"/>
                  <w:vAlign w:val="center"/>
                </w:tcPr>
                <w:p w14:paraId="3BD81E7D">
                  <w:pPr>
                    <w:adjustRightInd w:val="0"/>
                    <w:snapToGrid w:val="0"/>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cs="Times New Roman"/>
                      <w:color w:val="auto"/>
                      <w:kern w:val="0"/>
                      <w:sz w:val="21"/>
                      <w:szCs w:val="21"/>
                      <w:vertAlign w:val="baseline"/>
                      <w:lang w:val="en-US" w:eastAsia="zh-CN"/>
                    </w:rPr>
                    <w:t>0.0058</w:t>
                  </w:r>
                </w:p>
              </w:tc>
              <w:tc>
                <w:tcPr>
                  <w:tcW w:w="488" w:type="pct"/>
                  <w:shd w:val="clear" w:color="auto" w:fill="auto"/>
                  <w:vAlign w:val="center"/>
                </w:tcPr>
                <w:p w14:paraId="7D45B8D9">
                  <w:pPr>
                    <w:pStyle w:val="10"/>
                    <w:adjustRightInd w:val="0"/>
                    <w:snapToGrid w:val="0"/>
                    <w:spacing w:after="0" w:line="240" w:lineRule="auto"/>
                    <w:ind w:firstLine="0" w:firstLineChars="0"/>
                    <w:jc w:val="center"/>
                    <w:rPr>
                      <w:rFonts w:hint="default"/>
                      <w:bCs/>
                      <w:color w:val="auto"/>
                      <w:szCs w:val="21"/>
                      <w:highlight w:val="none"/>
                      <w:lang w:val="en-US" w:eastAsia="zh-CN"/>
                    </w:rPr>
                  </w:pPr>
                  <w:r>
                    <w:rPr>
                      <w:rFonts w:hint="eastAsia" w:cs="Times New Roman"/>
                      <w:b w:val="0"/>
                      <w:bCs w:val="0"/>
                      <w:color w:val="auto"/>
                      <w:kern w:val="0"/>
                      <w:sz w:val="21"/>
                      <w:szCs w:val="21"/>
                      <w:vertAlign w:val="baseline"/>
                      <w:lang w:val="en-US" w:eastAsia="zh-CN"/>
                    </w:rPr>
                    <w:t>0.048</w:t>
                  </w:r>
                </w:p>
              </w:tc>
              <w:tc>
                <w:tcPr>
                  <w:tcW w:w="545" w:type="pct"/>
                  <w:vAlign w:val="center"/>
                </w:tcPr>
                <w:p w14:paraId="25F6AAC0">
                  <w:pPr>
                    <w:pStyle w:val="10"/>
                    <w:adjustRightInd w:val="0"/>
                    <w:snapToGrid w:val="0"/>
                    <w:spacing w:after="0" w:line="240" w:lineRule="auto"/>
                    <w:ind w:firstLine="0" w:firstLineChars="0"/>
                    <w:jc w:val="center"/>
                    <w:rPr>
                      <w:rFonts w:hint="default" w:ascii="Times New Roman" w:hAnsi="Times New Roman" w:eastAsia="宋体" w:cs="Times New Roman"/>
                      <w:b w:val="0"/>
                      <w:bCs/>
                      <w:color w:val="auto"/>
                      <w:szCs w:val="21"/>
                      <w:highlight w:val="none"/>
                      <w:lang w:val="en-US" w:eastAsia="zh-CN"/>
                    </w:rPr>
                  </w:pPr>
                  <w:r>
                    <w:rPr>
                      <w:rFonts w:hint="eastAsia" w:cs="Times New Roman"/>
                      <w:b w:val="0"/>
                      <w:bCs/>
                      <w:color w:val="auto"/>
                      <w:szCs w:val="21"/>
                      <w:highlight w:val="none"/>
                      <w:lang w:val="en-US" w:eastAsia="zh-CN"/>
                    </w:rPr>
                    <w:t>/</w:t>
                  </w:r>
                </w:p>
              </w:tc>
            </w:tr>
            <w:tr w14:paraId="43997E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44" w:type="pct"/>
                  <w:shd w:val="clear" w:color="auto" w:fill="auto"/>
                  <w:vAlign w:val="center"/>
                </w:tcPr>
                <w:p w14:paraId="175F051C">
                  <w:pPr>
                    <w:pStyle w:val="73"/>
                    <w:keepNext w:val="0"/>
                    <w:keepLines w:val="0"/>
                    <w:pageBreakBefore w:val="0"/>
                    <w:suppressLineNumbers w:val="0"/>
                    <w:wordWrap/>
                    <w:bidi w:val="0"/>
                    <w:spacing w:before="0" w:beforeAutospacing="0" w:after="0" w:afterAutospacing="0" w:line="240" w:lineRule="auto"/>
                    <w:ind w:left="0" w:leftChars="0" w:right="0" w:rightChars="0"/>
                    <w:jc w:val="center"/>
                    <w:rPr>
                      <w:rFonts w:hint="default"/>
                      <w:color w:val="auto"/>
                      <w:lang w:val="en-US" w:eastAsia="zh-CN"/>
                    </w:rPr>
                  </w:pPr>
                  <w:r>
                    <w:rPr>
                      <w:rFonts w:hint="eastAsia"/>
                      <w:color w:val="auto"/>
                      <w:lang w:val="en-US" w:eastAsia="zh-CN"/>
                    </w:rPr>
                    <w:t>氨氮</w:t>
                  </w:r>
                </w:p>
              </w:tc>
              <w:tc>
                <w:tcPr>
                  <w:tcW w:w="594" w:type="pct"/>
                  <w:vAlign w:val="center"/>
                </w:tcPr>
                <w:p w14:paraId="3AA8549C">
                  <w:pPr>
                    <w:adjustRightInd w:val="0"/>
                    <w:snapToGrid w:val="0"/>
                    <w:spacing w:line="240" w:lineRule="auto"/>
                    <w:jc w:val="center"/>
                    <w:rPr>
                      <w:rFonts w:hint="eastAsia"/>
                      <w:b w:val="0"/>
                      <w:bCs/>
                      <w:color w:val="auto"/>
                      <w:szCs w:val="21"/>
                      <w:highlight w:val="none"/>
                      <w:lang w:val="en-US" w:eastAsia="zh-CN"/>
                    </w:rPr>
                  </w:pPr>
                  <w:r>
                    <w:rPr>
                      <w:rFonts w:hint="eastAsia" w:ascii="Times New Roman" w:hAnsi="Times New Roman" w:cs="Times New Roman"/>
                      <w:color w:val="auto"/>
                      <w:kern w:val="0"/>
                      <w:sz w:val="21"/>
                      <w:szCs w:val="21"/>
                      <w:vertAlign w:val="baseline"/>
                      <w:lang w:val="en-US" w:eastAsia="zh-CN"/>
                    </w:rPr>
                    <w:t>0.0014</w:t>
                  </w:r>
                </w:p>
              </w:tc>
              <w:tc>
                <w:tcPr>
                  <w:tcW w:w="609" w:type="pct"/>
                  <w:shd w:val="clear" w:color="auto" w:fill="auto"/>
                  <w:vAlign w:val="center"/>
                </w:tcPr>
                <w:p w14:paraId="4F319F12">
                  <w:pPr>
                    <w:pStyle w:val="10"/>
                    <w:adjustRightInd w:val="0"/>
                    <w:snapToGrid w:val="0"/>
                    <w:spacing w:after="0" w:line="240" w:lineRule="auto"/>
                    <w:ind w:firstLine="0" w:firstLineChars="0"/>
                    <w:jc w:val="center"/>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cs="Times New Roman"/>
                      <w:color w:val="auto"/>
                      <w:kern w:val="0"/>
                      <w:sz w:val="21"/>
                      <w:szCs w:val="21"/>
                      <w:vertAlign w:val="baseline"/>
                      <w:lang w:val="en-US" w:eastAsia="zh-CN"/>
                    </w:rPr>
                    <w:t>0.0014</w:t>
                  </w:r>
                </w:p>
              </w:tc>
              <w:tc>
                <w:tcPr>
                  <w:tcW w:w="539" w:type="pct"/>
                  <w:shd w:val="clear" w:color="auto" w:fill="auto"/>
                  <w:vAlign w:val="center"/>
                </w:tcPr>
                <w:p w14:paraId="46CD594E">
                  <w:pPr>
                    <w:pStyle w:val="10"/>
                    <w:adjustRightInd w:val="0"/>
                    <w:snapToGrid w:val="0"/>
                    <w:spacing w:after="0" w:line="240" w:lineRule="auto"/>
                    <w:ind w:firstLine="0" w:firstLineChars="0"/>
                    <w:jc w:val="center"/>
                    <w:rPr>
                      <w:rFonts w:hint="default"/>
                      <w:color w:val="auto"/>
                      <w:highlight w:val="none"/>
                      <w:lang w:val="en-US" w:eastAsia="zh-CN"/>
                    </w:rPr>
                  </w:pPr>
                  <w:r>
                    <w:rPr>
                      <w:rFonts w:hint="eastAsia"/>
                      <w:color w:val="auto"/>
                      <w:highlight w:val="none"/>
                      <w:lang w:val="en-US" w:eastAsia="zh-CN"/>
                    </w:rPr>
                    <w:t>/</w:t>
                  </w:r>
                </w:p>
              </w:tc>
              <w:tc>
                <w:tcPr>
                  <w:tcW w:w="539" w:type="pct"/>
                  <w:vAlign w:val="center"/>
                </w:tcPr>
                <w:p w14:paraId="3C0B9370">
                  <w:pPr>
                    <w:pStyle w:val="10"/>
                    <w:adjustRightInd w:val="0"/>
                    <w:snapToGrid w:val="0"/>
                    <w:spacing w:after="0" w:line="240" w:lineRule="auto"/>
                    <w:ind w:firstLine="0" w:firstLineChars="0"/>
                    <w:jc w:val="center"/>
                    <w:rPr>
                      <w:rFonts w:hint="default"/>
                      <w:bCs/>
                      <w:color w:val="auto"/>
                      <w:szCs w:val="21"/>
                      <w:highlight w:val="none"/>
                      <w:lang w:val="en-US" w:eastAsia="zh-CN"/>
                    </w:rPr>
                  </w:pPr>
                  <w:r>
                    <w:rPr>
                      <w:rFonts w:hint="eastAsia"/>
                      <w:color w:val="auto"/>
                      <w:highlight w:val="none"/>
                      <w:lang w:val="en-US" w:eastAsia="zh-CN"/>
                    </w:rPr>
                    <w:t>/</w:t>
                  </w:r>
                </w:p>
              </w:tc>
              <w:tc>
                <w:tcPr>
                  <w:tcW w:w="465" w:type="pct"/>
                  <w:vAlign w:val="center"/>
                </w:tcPr>
                <w:p w14:paraId="3C1503E0">
                  <w:pPr>
                    <w:pStyle w:val="10"/>
                    <w:adjustRightInd w:val="0"/>
                    <w:snapToGrid w:val="0"/>
                    <w:spacing w:after="0" w:line="240" w:lineRule="auto"/>
                    <w:ind w:firstLine="0" w:firstLineChars="0"/>
                    <w:jc w:val="center"/>
                    <w:rPr>
                      <w:rFonts w:hint="default"/>
                      <w:bCs/>
                      <w:color w:val="auto"/>
                      <w:szCs w:val="21"/>
                      <w:highlight w:val="none"/>
                      <w:lang w:val="en-US" w:eastAsia="zh-CN"/>
                    </w:rPr>
                  </w:pPr>
                  <w:r>
                    <w:rPr>
                      <w:rFonts w:hint="eastAsia"/>
                      <w:color w:val="auto"/>
                      <w:highlight w:val="none"/>
                      <w:lang w:val="en-US" w:eastAsia="zh-CN"/>
                    </w:rPr>
                    <w:t>/</w:t>
                  </w:r>
                </w:p>
              </w:tc>
              <w:tc>
                <w:tcPr>
                  <w:tcW w:w="286" w:type="pct"/>
                  <w:vAlign w:val="center"/>
                </w:tcPr>
                <w:p w14:paraId="60E9CE5F">
                  <w:pPr>
                    <w:pStyle w:val="10"/>
                    <w:adjustRightInd w:val="0"/>
                    <w:snapToGrid w:val="0"/>
                    <w:spacing w:after="0" w:line="240" w:lineRule="auto"/>
                    <w:ind w:firstLine="0" w:firstLineChars="0"/>
                    <w:jc w:val="center"/>
                    <w:rPr>
                      <w:rFonts w:hint="default"/>
                      <w:bCs/>
                      <w:color w:val="auto"/>
                      <w:szCs w:val="21"/>
                      <w:highlight w:val="none"/>
                      <w:lang w:val="en-US" w:eastAsia="zh-CN"/>
                    </w:rPr>
                  </w:pPr>
                  <w:r>
                    <w:rPr>
                      <w:rFonts w:hint="eastAsia"/>
                      <w:color w:val="auto"/>
                      <w:highlight w:val="none"/>
                      <w:lang w:val="en-US" w:eastAsia="zh-CN"/>
                    </w:rPr>
                    <w:t>/</w:t>
                  </w:r>
                </w:p>
              </w:tc>
              <w:tc>
                <w:tcPr>
                  <w:tcW w:w="487" w:type="pct"/>
                  <w:vAlign w:val="center"/>
                </w:tcPr>
                <w:p w14:paraId="4E5F7CA4">
                  <w:pPr>
                    <w:adjustRightInd w:val="0"/>
                    <w:snapToGrid w:val="0"/>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cs="Times New Roman"/>
                      <w:color w:val="auto"/>
                      <w:kern w:val="0"/>
                      <w:sz w:val="21"/>
                      <w:szCs w:val="21"/>
                      <w:vertAlign w:val="baseline"/>
                      <w:lang w:val="en-US" w:eastAsia="zh-CN"/>
                    </w:rPr>
                    <w:t>0.0014</w:t>
                  </w:r>
                </w:p>
              </w:tc>
              <w:tc>
                <w:tcPr>
                  <w:tcW w:w="488" w:type="pct"/>
                  <w:shd w:val="clear" w:color="auto" w:fill="auto"/>
                  <w:vAlign w:val="center"/>
                </w:tcPr>
                <w:p w14:paraId="75369C20">
                  <w:pPr>
                    <w:pStyle w:val="10"/>
                    <w:adjustRightInd w:val="0"/>
                    <w:snapToGrid w:val="0"/>
                    <w:spacing w:after="0" w:line="240" w:lineRule="auto"/>
                    <w:ind w:firstLine="0" w:firstLineChars="0"/>
                    <w:jc w:val="center"/>
                    <w:rPr>
                      <w:rFonts w:hint="default"/>
                      <w:bCs/>
                      <w:color w:val="auto"/>
                      <w:szCs w:val="21"/>
                      <w:highlight w:val="none"/>
                      <w:lang w:val="en-US" w:eastAsia="zh-CN"/>
                    </w:rPr>
                  </w:pPr>
                  <w:r>
                    <w:rPr>
                      <w:rFonts w:hint="eastAsia" w:ascii="Times New Roman" w:hAnsi="Times New Roman" w:cs="Times New Roman"/>
                      <w:color w:val="auto"/>
                      <w:kern w:val="0"/>
                      <w:sz w:val="21"/>
                      <w:szCs w:val="21"/>
                      <w:vertAlign w:val="baseline"/>
                      <w:lang w:val="en-US" w:eastAsia="zh-CN"/>
                    </w:rPr>
                    <w:t>0.0014</w:t>
                  </w:r>
                </w:p>
              </w:tc>
              <w:tc>
                <w:tcPr>
                  <w:tcW w:w="545" w:type="pct"/>
                  <w:vAlign w:val="center"/>
                </w:tcPr>
                <w:p w14:paraId="7BCA0F59">
                  <w:pPr>
                    <w:pStyle w:val="10"/>
                    <w:adjustRightInd w:val="0"/>
                    <w:snapToGrid w:val="0"/>
                    <w:spacing w:after="0" w:line="240" w:lineRule="auto"/>
                    <w:ind w:firstLine="0" w:firstLineChars="0"/>
                    <w:jc w:val="center"/>
                    <w:rPr>
                      <w:rFonts w:hint="default" w:ascii="Times New Roman" w:hAnsi="Times New Roman" w:eastAsia="宋体" w:cs="Times New Roman"/>
                      <w:b w:val="0"/>
                      <w:bCs/>
                      <w:color w:val="auto"/>
                      <w:szCs w:val="21"/>
                      <w:highlight w:val="none"/>
                      <w:lang w:val="en-US" w:eastAsia="zh-CN"/>
                    </w:rPr>
                  </w:pPr>
                  <w:r>
                    <w:rPr>
                      <w:rFonts w:hint="eastAsia" w:cs="Times New Roman"/>
                      <w:b w:val="0"/>
                      <w:bCs/>
                      <w:color w:val="auto"/>
                      <w:szCs w:val="21"/>
                      <w:highlight w:val="none"/>
                      <w:lang w:val="en-US" w:eastAsia="zh-CN"/>
                    </w:rPr>
                    <w:t>/</w:t>
                  </w:r>
                </w:p>
              </w:tc>
            </w:tr>
          </w:tbl>
          <w:p w14:paraId="7D3369F9">
            <w:pPr>
              <w:snapToGrid w:val="0"/>
              <w:jc w:val="center"/>
              <w:rPr>
                <w:color w:val="auto"/>
              </w:rPr>
            </w:pPr>
          </w:p>
          <w:p w14:paraId="065459D4">
            <w:pPr>
              <w:snapToGrid w:val="0"/>
              <w:jc w:val="center"/>
              <w:rPr>
                <w:color w:val="auto"/>
              </w:rPr>
            </w:pPr>
          </w:p>
          <w:p w14:paraId="58996344">
            <w:pPr>
              <w:rPr>
                <w:color w:val="auto"/>
              </w:rPr>
            </w:pPr>
          </w:p>
          <w:p w14:paraId="71E89668">
            <w:pPr>
              <w:pStyle w:val="33"/>
              <w:ind w:firstLine="420"/>
              <w:rPr>
                <w:color w:val="auto"/>
              </w:rPr>
            </w:pPr>
          </w:p>
          <w:p w14:paraId="42B80ED0">
            <w:pPr>
              <w:rPr>
                <w:color w:val="auto"/>
              </w:rPr>
            </w:pPr>
          </w:p>
          <w:p w14:paraId="225A37EC">
            <w:pPr>
              <w:pStyle w:val="33"/>
              <w:ind w:firstLine="420"/>
              <w:rPr>
                <w:color w:val="auto"/>
              </w:rPr>
            </w:pPr>
          </w:p>
          <w:p w14:paraId="257686A7">
            <w:pPr>
              <w:rPr>
                <w:color w:val="auto"/>
              </w:rPr>
            </w:pPr>
          </w:p>
          <w:p w14:paraId="4746D46E">
            <w:pPr>
              <w:pStyle w:val="33"/>
              <w:ind w:firstLine="420"/>
              <w:rPr>
                <w:color w:val="auto"/>
              </w:rPr>
            </w:pPr>
          </w:p>
          <w:p w14:paraId="2AB53FA6">
            <w:pPr>
              <w:rPr>
                <w:color w:val="auto"/>
              </w:rPr>
            </w:pPr>
          </w:p>
          <w:p w14:paraId="4709733F">
            <w:pPr>
              <w:pStyle w:val="33"/>
              <w:ind w:firstLine="420"/>
              <w:rPr>
                <w:color w:val="auto"/>
              </w:rPr>
            </w:pPr>
          </w:p>
          <w:p w14:paraId="70BFE7DC">
            <w:pPr>
              <w:rPr>
                <w:color w:val="auto"/>
              </w:rPr>
            </w:pPr>
          </w:p>
          <w:p w14:paraId="4D93A6A4">
            <w:pPr>
              <w:pStyle w:val="2"/>
              <w:rPr>
                <w:color w:val="auto"/>
              </w:rPr>
            </w:pPr>
          </w:p>
          <w:p w14:paraId="042B9BB6">
            <w:pPr>
              <w:spacing w:line="520" w:lineRule="exact"/>
              <w:rPr>
                <w:color w:val="auto"/>
                <w:sz w:val="24"/>
              </w:rPr>
            </w:pPr>
          </w:p>
        </w:tc>
      </w:tr>
    </w:tbl>
    <w:p w14:paraId="0D41F2F4">
      <w:pPr>
        <w:pStyle w:val="16"/>
        <w:outlineLvl w:val="0"/>
        <w:rPr>
          <w:rFonts w:ascii="Times New Roman" w:hAnsi="Times New Roman"/>
          <w:snapToGrid w:val="0"/>
          <w:color w:val="auto"/>
          <w:sz w:val="30"/>
          <w:szCs w:val="30"/>
        </w:rPr>
      </w:pPr>
      <w:r>
        <w:rPr>
          <w:rFonts w:ascii="Times New Roman" w:hAnsi="Times New Roman"/>
          <w:snapToGrid w:val="0"/>
          <w:color w:val="auto"/>
          <w:sz w:val="36"/>
          <w:szCs w:val="36"/>
        </w:rPr>
        <w:br w:type="page"/>
      </w:r>
      <w:bookmarkStart w:id="13" w:name="_Toc73523373"/>
      <w:r>
        <w:rPr>
          <w:rFonts w:hint="eastAsia" w:ascii="Times New Roman" w:hAnsi="Times New Roman"/>
          <w:snapToGrid w:val="0"/>
          <w:color w:val="auto"/>
          <w:sz w:val="30"/>
          <w:szCs w:val="30"/>
        </w:rPr>
        <w:t>四、主要环境影响和保护措施</w:t>
      </w:r>
      <w:bookmarkEnd w:id="13"/>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4"/>
        <w:gridCol w:w="8397"/>
      </w:tblGrid>
      <w:tr w14:paraId="7054C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4" w:type="dxa"/>
          </w:tcPr>
          <w:p w14:paraId="4FF757CF">
            <w:pPr>
              <w:rPr>
                <w:snapToGrid w:val="0"/>
                <w:color w:val="auto"/>
                <w:sz w:val="30"/>
                <w:szCs w:val="30"/>
              </w:rPr>
            </w:pPr>
            <w:r>
              <w:rPr>
                <w:rFonts w:hint="eastAsia"/>
                <w:b/>
                <w:bCs/>
                <w:color w:val="auto"/>
              </w:rPr>
              <w:t>施工期环境影响和保护措施</w:t>
            </w:r>
          </w:p>
        </w:tc>
        <w:tc>
          <w:tcPr>
            <w:tcW w:w="8397" w:type="dxa"/>
            <w:vAlign w:val="center"/>
          </w:tcPr>
          <w:p w14:paraId="72AEE5AE">
            <w:pPr>
              <w:adjustRightInd w:val="0"/>
              <w:snapToGrid w:val="0"/>
              <w:spacing w:line="360" w:lineRule="auto"/>
              <w:ind w:firstLine="480" w:firstLineChars="200"/>
              <w:rPr>
                <w:b/>
                <w:bCs/>
                <w:color w:val="auto"/>
                <w:kern w:val="0"/>
                <w:sz w:val="24"/>
              </w:rPr>
            </w:pPr>
            <w:r>
              <w:rPr>
                <w:color w:val="auto"/>
                <w:kern w:val="0"/>
                <w:sz w:val="24"/>
              </w:rPr>
              <w:t>本项目</w:t>
            </w:r>
            <w:r>
              <w:rPr>
                <w:rFonts w:hint="eastAsia"/>
                <w:color w:val="auto"/>
                <w:kern w:val="0"/>
                <w:sz w:val="24"/>
                <w:lang w:val="en-US" w:eastAsia="zh-CN"/>
              </w:rPr>
              <w:t>不进行土木建设，利用现有锅炉房替换</w:t>
            </w:r>
            <w:r>
              <w:rPr>
                <w:rFonts w:hint="eastAsia"/>
                <w:color w:val="auto"/>
                <w:sz w:val="24"/>
                <w:highlight w:val="none"/>
                <w:lang w:val="en-US" w:eastAsia="zh-CN"/>
              </w:rPr>
              <w:t>导热油炉</w:t>
            </w:r>
            <w:r>
              <w:rPr>
                <w:rFonts w:hint="eastAsia"/>
                <w:color w:val="auto"/>
                <w:kern w:val="0"/>
                <w:sz w:val="24"/>
                <w:lang w:val="en-US" w:eastAsia="zh-CN"/>
              </w:rPr>
              <w:t>，本项目施工期仅进行设备安装，</w:t>
            </w:r>
            <w:r>
              <w:rPr>
                <w:rFonts w:hint="eastAsia" w:ascii="Times New Roman" w:hAnsi="Times New Roman" w:cs="Times New Roman" w:eastAsiaTheme="minorEastAsia"/>
                <w:color w:val="auto"/>
                <w:kern w:val="0"/>
                <w:sz w:val="24"/>
                <w:highlight w:val="none"/>
                <w:lang w:val="en-US" w:eastAsia="zh-CN"/>
              </w:rPr>
              <w:t>因为施工期影响较小，</w:t>
            </w:r>
            <w:r>
              <w:rPr>
                <w:rFonts w:hint="eastAsia" w:ascii="Times New Roman" w:hAnsi="Times New Roman" w:cs="Times New Roman" w:eastAsiaTheme="minorEastAsia"/>
                <w:color w:val="auto"/>
                <w:kern w:val="0"/>
                <w:sz w:val="24"/>
              </w:rPr>
              <w:t>不对施工期进行分析。本项目主要影响来源于运营期。</w:t>
            </w:r>
          </w:p>
        </w:tc>
      </w:tr>
      <w:tr w14:paraId="1CB96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6" w:hRule="atLeast"/>
        </w:trPr>
        <w:tc>
          <w:tcPr>
            <w:tcW w:w="664" w:type="dxa"/>
            <w:vAlign w:val="center"/>
          </w:tcPr>
          <w:p w14:paraId="4766C425">
            <w:pPr>
              <w:jc w:val="center"/>
              <w:rPr>
                <w:snapToGrid w:val="0"/>
                <w:color w:val="auto"/>
                <w:sz w:val="30"/>
                <w:szCs w:val="30"/>
              </w:rPr>
            </w:pPr>
            <w:r>
              <w:rPr>
                <w:rFonts w:hint="eastAsia"/>
                <w:b/>
                <w:bCs/>
                <w:color w:val="auto"/>
              </w:rPr>
              <w:t>运营期环境影响和保护措施</w:t>
            </w:r>
          </w:p>
        </w:tc>
        <w:tc>
          <w:tcPr>
            <w:tcW w:w="8397" w:type="dxa"/>
          </w:tcPr>
          <w:p w14:paraId="31A65BCD">
            <w:pPr>
              <w:pStyle w:val="10"/>
              <w:spacing w:after="0" w:line="360" w:lineRule="auto"/>
              <w:ind w:firstLine="482" w:firstLineChars="200"/>
              <w:rPr>
                <w:color w:val="auto"/>
                <w:szCs w:val="24"/>
              </w:rPr>
            </w:pPr>
            <w:r>
              <w:rPr>
                <w:rFonts w:hint="eastAsia"/>
                <w:b/>
                <w:bCs/>
                <w:color w:val="auto"/>
                <w:kern w:val="0"/>
                <w:sz w:val="24"/>
              </w:rPr>
              <w:t>一、</w:t>
            </w:r>
            <w:r>
              <w:rPr>
                <w:b/>
                <w:bCs/>
                <w:color w:val="auto"/>
                <w:kern w:val="0"/>
                <w:sz w:val="24"/>
              </w:rPr>
              <w:t>废气</w:t>
            </w:r>
          </w:p>
          <w:p w14:paraId="42AD7C50">
            <w:pPr>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bCs/>
                <w:color w:val="auto"/>
                <w:sz w:val="24"/>
                <w:szCs w:val="21"/>
              </w:rPr>
            </w:pPr>
            <w:r>
              <w:rPr>
                <w:rFonts w:hint="eastAsia" w:ascii="Times New Roman" w:hAnsi="Times New Roman" w:eastAsia="宋体" w:cs="Times New Roman"/>
                <w:bCs/>
                <w:color w:val="auto"/>
                <w:sz w:val="24"/>
                <w:szCs w:val="21"/>
              </w:rPr>
              <w:t>1、源强核算及达标排放情况</w:t>
            </w:r>
          </w:p>
          <w:p w14:paraId="2CAFBD27">
            <w:pPr>
              <w:keepLines w:val="0"/>
              <w:pageBreakBefore w:val="0"/>
              <w:topLinePunct w:val="0"/>
              <w:bidi w:val="0"/>
              <w:spacing w:beforeAutospacing="0" w:afterAutospacing="0" w:line="360" w:lineRule="auto"/>
              <w:ind w:left="0" w:leftChars="0" w:right="0" w:rightChars="0" w:firstLine="480" w:firstLineChars="200"/>
              <w:jc w:val="both"/>
              <w:rPr>
                <w:color w:val="auto"/>
                <w:sz w:val="24"/>
                <w:szCs w:val="24"/>
                <w:highlight w:val="none"/>
              </w:rPr>
            </w:pPr>
            <w:r>
              <w:rPr>
                <w:rFonts w:hint="eastAsia"/>
                <w:bCs/>
                <w:color w:val="auto"/>
                <w:sz w:val="24"/>
                <w:szCs w:val="21"/>
              </w:rPr>
              <w:t>本项目建成后</w:t>
            </w:r>
            <w:r>
              <w:rPr>
                <w:rFonts w:hint="eastAsia"/>
                <w:bCs/>
                <w:color w:val="auto"/>
                <w:sz w:val="24"/>
                <w:szCs w:val="21"/>
                <w:lang w:eastAsia="zh-CN"/>
              </w:rPr>
              <w:t>，</w:t>
            </w:r>
            <w:r>
              <w:rPr>
                <w:rFonts w:hint="eastAsia"/>
                <w:color w:val="auto"/>
                <w:spacing w:val="4"/>
                <w:sz w:val="24"/>
                <w:lang w:val="en-US" w:eastAsia="zh-CN"/>
              </w:rPr>
              <w:t>淘汰现有的1</w:t>
            </w:r>
            <w:r>
              <w:rPr>
                <w:rFonts w:hint="eastAsia"/>
                <w:color w:val="auto"/>
                <w:spacing w:val="4"/>
                <w:sz w:val="24"/>
              </w:rPr>
              <w:t>台20万大卡</w:t>
            </w:r>
            <w:r>
              <w:rPr>
                <w:rFonts w:hint="eastAsia"/>
                <w:color w:val="auto"/>
                <w:spacing w:val="4"/>
                <w:sz w:val="24"/>
                <w:lang w:val="en-US" w:eastAsia="zh-CN"/>
              </w:rPr>
              <w:t>燃生物质</w:t>
            </w:r>
            <w:r>
              <w:rPr>
                <w:rFonts w:hint="eastAsia"/>
                <w:color w:val="auto"/>
                <w:spacing w:val="4"/>
                <w:sz w:val="24"/>
              </w:rPr>
              <w:t>导热油炉</w:t>
            </w:r>
            <w:r>
              <w:rPr>
                <w:rFonts w:hint="eastAsia"/>
                <w:color w:val="auto"/>
                <w:spacing w:val="4"/>
                <w:sz w:val="24"/>
                <w:lang w:val="en-US" w:eastAsia="zh-CN"/>
              </w:rPr>
              <w:t>和</w:t>
            </w:r>
            <w:r>
              <w:rPr>
                <w:rFonts w:hint="eastAsia"/>
                <w:color w:val="auto"/>
                <w:spacing w:val="4"/>
                <w:sz w:val="24"/>
              </w:rPr>
              <w:t>1台</w:t>
            </w:r>
            <w:r>
              <w:rPr>
                <w:rFonts w:hint="eastAsia"/>
                <w:color w:val="auto"/>
                <w:spacing w:val="4"/>
                <w:sz w:val="24"/>
                <w:lang w:val="en-US" w:eastAsia="zh-CN"/>
              </w:rPr>
              <w:t>3</w:t>
            </w:r>
            <w:r>
              <w:rPr>
                <w:rFonts w:hint="eastAsia"/>
                <w:color w:val="auto"/>
                <w:spacing w:val="4"/>
                <w:sz w:val="24"/>
              </w:rPr>
              <w:t>0万大卡</w:t>
            </w:r>
            <w:r>
              <w:rPr>
                <w:rFonts w:hint="eastAsia"/>
                <w:color w:val="auto"/>
                <w:spacing w:val="4"/>
                <w:sz w:val="24"/>
                <w:lang w:val="en-US" w:eastAsia="zh-CN"/>
              </w:rPr>
              <w:t>燃生物质</w:t>
            </w:r>
            <w:r>
              <w:rPr>
                <w:rFonts w:hint="eastAsia"/>
                <w:color w:val="auto"/>
                <w:spacing w:val="4"/>
                <w:sz w:val="24"/>
              </w:rPr>
              <w:t>导热油炉并替换为</w:t>
            </w:r>
            <w:r>
              <w:rPr>
                <w:rFonts w:hint="eastAsia"/>
                <w:color w:val="auto"/>
                <w:spacing w:val="4"/>
                <w:sz w:val="24"/>
                <w:lang w:val="en-US" w:eastAsia="zh-CN"/>
              </w:rPr>
              <w:t>1台1800KW燃生物质</w:t>
            </w:r>
            <w:r>
              <w:rPr>
                <w:rFonts w:hint="eastAsia"/>
                <w:color w:val="auto"/>
                <w:spacing w:val="4"/>
                <w:sz w:val="24"/>
              </w:rPr>
              <w:t>导热油炉</w:t>
            </w:r>
            <w:r>
              <w:rPr>
                <w:rFonts w:hint="eastAsia"/>
                <w:bCs/>
                <w:color w:val="auto"/>
                <w:sz w:val="24"/>
                <w:lang w:val="en-US" w:eastAsia="zh-CN"/>
              </w:rPr>
              <w:t>。更换后</w:t>
            </w:r>
            <w:r>
              <w:rPr>
                <w:rFonts w:hint="eastAsia"/>
                <w:color w:val="auto"/>
                <w:spacing w:val="4"/>
                <w:sz w:val="24"/>
                <w:lang w:val="en-US" w:eastAsia="zh-CN"/>
              </w:rPr>
              <w:t>1800KW燃生物质</w:t>
            </w:r>
            <w:r>
              <w:rPr>
                <w:rFonts w:hint="eastAsia"/>
                <w:color w:val="auto"/>
                <w:spacing w:val="4"/>
                <w:sz w:val="24"/>
              </w:rPr>
              <w:t>导热油炉</w:t>
            </w:r>
            <w:r>
              <w:rPr>
                <w:color w:val="auto"/>
                <w:sz w:val="24"/>
                <w:szCs w:val="24"/>
                <w:highlight w:val="none"/>
              </w:rPr>
              <w:t>，燃料为</w:t>
            </w:r>
            <w:r>
              <w:rPr>
                <w:rFonts w:hint="eastAsia"/>
                <w:color w:val="auto"/>
                <w:sz w:val="24"/>
                <w:szCs w:val="24"/>
                <w:highlight w:val="none"/>
                <w:lang w:eastAsia="zh-CN"/>
              </w:rPr>
              <w:t>生物质成型燃料</w:t>
            </w:r>
            <w:r>
              <w:rPr>
                <w:color w:val="auto"/>
                <w:sz w:val="24"/>
                <w:szCs w:val="24"/>
                <w:highlight w:val="none"/>
              </w:rPr>
              <w:t>。</w:t>
            </w:r>
            <w:r>
              <w:rPr>
                <w:rFonts w:hint="eastAsia"/>
                <w:color w:val="auto"/>
                <w:sz w:val="24"/>
                <w:szCs w:val="24"/>
                <w:lang w:val="en-US" w:eastAsia="zh-CN"/>
              </w:rPr>
              <w:t>本项目燃生物质</w:t>
            </w:r>
            <w:r>
              <w:rPr>
                <w:rFonts w:hint="eastAsia"/>
                <w:color w:val="auto"/>
                <w:sz w:val="24"/>
                <w:highlight w:val="none"/>
                <w:lang w:val="en-US" w:eastAsia="zh-CN"/>
              </w:rPr>
              <w:t>导热油炉</w:t>
            </w:r>
            <w:r>
              <w:rPr>
                <w:rFonts w:hint="eastAsia"/>
                <w:color w:val="auto"/>
                <w:sz w:val="24"/>
                <w:szCs w:val="24"/>
                <w:lang w:val="en-US" w:eastAsia="zh-CN"/>
              </w:rPr>
              <w:t>排放的烟气主要为</w:t>
            </w:r>
            <w:r>
              <w:rPr>
                <w:color w:val="auto"/>
                <w:sz w:val="24"/>
                <w:szCs w:val="24"/>
              </w:rPr>
              <w:t>SO</w:t>
            </w:r>
            <w:r>
              <w:rPr>
                <w:color w:val="auto"/>
                <w:sz w:val="24"/>
                <w:szCs w:val="24"/>
                <w:vertAlign w:val="subscript"/>
              </w:rPr>
              <w:t>2</w:t>
            </w:r>
            <w:r>
              <w:rPr>
                <w:color w:val="auto"/>
                <w:sz w:val="24"/>
                <w:szCs w:val="24"/>
              </w:rPr>
              <w:t>、NO</w:t>
            </w:r>
            <w:r>
              <w:rPr>
                <w:color w:val="auto"/>
                <w:sz w:val="24"/>
                <w:szCs w:val="24"/>
                <w:vertAlign w:val="subscript"/>
              </w:rPr>
              <w:t>x</w:t>
            </w:r>
            <w:r>
              <w:rPr>
                <w:color w:val="auto"/>
                <w:sz w:val="24"/>
                <w:szCs w:val="24"/>
              </w:rPr>
              <w:t>和</w:t>
            </w:r>
            <w:r>
              <w:rPr>
                <w:rFonts w:hint="eastAsia"/>
                <w:color w:val="auto"/>
                <w:sz w:val="24"/>
                <w:szCs w:val="24"/>
                <w:lang w:val="en-US" w:eastAsia="zh-CN"/>
              </w:rPr>
              <w:t>颗粒物。</w:t>
            </w:r>
            <w:r>
              <w:rPr>
                <w:rFonts w:ascii="Times New Roman" w:hAnsi="Times New Roman"/>
                <w:color w:val="auto"/>
                <w:sz w:val="24"/>
                <w:highlight w:val="none"/>
              </w:rPr>
              <w:t>颗粒物、SO</w:t>
            </w:r>
            <w:r>
              <w:rPr>
                <w:rFonts w:ascii="Times New Roman" w:hAnsi="Times New Roman"/>
                <w:color w:val="auto"/>
                <w:sz w:val="24"/>
                <w:highlight w:val="none"/>
                <w:vertAlign w:val="subscript"/>
              </w:rPr>
              <w:t>2</w:t>
            </w:r>
            <w:r>
              <w:rPr>
                <w:rFonts w:ascii="Times New Roman" w:hAnsi="Times New Roman"/>
                <w:color w:val="auto"/>
                <w:sz w:val="24"/>
                <w:highlight w:val="none"/>
              </w:rPr>
              <w:t>、NOx产生量根据《污染源源强核算技术指南 锅炉》（HJ991-2018）中物料衡算法计算。</w:t>
            </w:r>
          </w:p>
          <w:p w14:paraId="0AE58CC7">
            <w:pPr>
              <w:keepLines w:val="0"/>
              <w:pageBreakBefore w:val="0"/>
              <w:topLinePunct w:val="0"/>
              <w:bidi w:val="0"/>
              <w:adjustRightInd w:val="0"/>
              <w:snapToGrid w:val="0"/>
              <w:spacing w:beforeAutospacing="0" w:afterAutospacing="0" w:line="360" w:lineRule="auto"/>
              <w:ind w:left="0" w:leftChars="0" w:right="0" w:rightChars="0" w:firstLine="480" w:firstLineChars="200"/>
              <w:rPr>
                <w:rFonts w:hint="default"/>
                <w:color w:val="auto"/>
                <w:sz w:val="24"/>
                <w:szCs w:val="24"/>
                <w:highlight w:val="none"/>
                <w:lang w:val="en-US" w:eastAsia="zh-CN"/>
              </w:rPr>
            </w:pPr>
            <w:r>
              <w:rPr>
                <w:rFonts w:hint="eastAsia"/>
                <w:color w:val="auto"/>
                <w:sz w:val="24"/>
                <w:szCs w:val="24"/>
                <w:highlight w:val="none"/>
                <w:lang w:eastAsia="zh-CN"/>
              </w:rPr>
              <w:t>（</w:t>
            </w:r>
            <w:r>
              <w:rPr>
                <w:rFonts w:hint="eastAsia"/>
                <w:color w:val="auto"/>
                <w:sz w:val="24"/>
                <w:szCs w:val="24"/>
                <w:highlight w:val="none"/>
                <w:lang w:val="en-US" w:eastAsia="zh-CN"/>
              </w:rPr>
              <w:t>1</w:t>
            </w:r>
            <w:r>
              <w:rPr>
                <w:rFonts w:hint="eastAsia"/>
                <w:color w:val="auto"/>
                <w:sz w:val="24"/>
                <w:szCs w:val="24"/>
                <w:highlight w:val="none"/>
                <w:lang w:eastAsia="zh-CN"/>
              </w:rPr>
              <w:t>）</w:t>
            </w:r>
            <w:r>
              <w:rPr>
                <w:rFonts w:hint="eastAsia"/>
                <w:color w:val="auto"/>
                <w:sz w:val="24"/>
                <w:highlight w:val="none"/>
                <w:lang w:val="en-US" w:eastAsia="zh-CN"/>
              </w:rPr>
              <w:t>导热油炉</w:t>
            </w:r>
            <w:r>
              <w:rPr>
                <w:rFonts w:hint="eastAsia"/>
                <w:color w:val="auto"/>
                <w:sz w:val="24"/>
                <w:szCs w:val="24"/>
                <w:highlight w:val="none"/>
                <w:lang w:val="en-US" w:eastAsia="zh-CN"/>
              </w:rPr>
              <w:t>烟气</w:t>
            </w:r>
          </w:p>
          <w:p w14:paraId="01A978D3">
            <w:pPr>
              <w:keepLines w:val="0"/>
              <w:pageBreakBefore w:val="0"/>
              <w:topLinePunct w:val="0"/>
              <w:bidi w:val="0"/>
              <w:adjustRightInd w:val="0"/>
              <w:snapToGrid w:val="0"/>
              <w:spacing w:beforeAutospacing="0" w:afterAutospacing="0" w:line="360" w:lineRule="auto"/>
              <w:ind w:left="0" w:leftChars="0" w:right="0" w:rightChars="0" w:firstLine="480" w:firstLineChars="200"/>
              <w:rPr>
                <w:rFonts w:hint="default"/>
                <w:color w:val="auto"/>
                <w:sz w:val="24"/>
                <w:szCs w:val="24"/>
                <w:lang w:val="en-US" w:eastAsia="zh-CN"/>
              </w:rPr>
            </w:pPr>
            <w:r>
              <w:rPr>
                <w:rFonts w:hint="eastAsia"/>
                <w:color w:val="auto"/>
                <w:sz w:val="24"/>
                <w:szCs w:val="24"/>
                <w:highlight w:val="none"/>
                <w:lang w:eastAsia="zh-CN"/>
              </w:rPr>
              <w:t>①</w:t>
            </w:r>
            <w:r>
              <w:rPr>
                <w:rFonts w:hint="eastAsia"/>
                <w:color w:val="auto"/>
                <w:sz w:val="24"/>
                <w:szCs w:val="24"/>
                <w:highlight w:val="none"/>
                <w:lang w:val="en-US" w:eastAsia="zh-CN"/>
              </w:rPr>
              <w:t>燃料量计算</w:t>
            </w:r>
          </w:p>
          <w:p w14:paraId="160A5640">
            <w:pPr>
              <w:keepNext w:val="0"/>
              <w:keepLines w:val="0"/>
              <w:suppressLineNumbers w:val="0"/>
              <w:adjustRightInd w:val="0"/>
              <w:snapToGrid w:val="0"/>
              <w:spacing w:before="0" w:beforeAutospacing="0" w:after="0" w:afterAutospacing="0" w:line="360" w:lineRule="auto"/>
              <w:ind w:left="0" w:right="0" w:firstLine="480" w:firstLineChars="200"/>
              <w:rPr>
                <w:rFonts w:hint="eastAsia" w:eastAsia="宋体"/>
                <w:color w:val="auto"/>
                <w:sz w:val="24"/>
                <w:highlight w:val="none"/>
                <w:lang w:val="en-US" w:eastAsia="zh-CN"/>
              </w:rPr>
            </w:pPr>
            <w:r>
              <w:rPr>
                <w:rFonts w:hint="eastAsia" w:eastAsia="宋体"/>
                <w:color w:val="auto"/>
                <w:sz w:val="24"/>
                <w:highlight w:val="none"/>
                <w:lang w:val="en-US" w:eastAsia="zh-CN"/>
              </w:rPr>
              <w:t>本项目</w:t>
            </w:r>
            <w:r>
              <w:rPr>
                <w:rFonts w:hint="eastAsia"/>
                <w:color w:val="auto"/>
                <w:sz w:val="24"/>
                <w:highlight w:val="none"/>
                <w:lang w:val="en-US" w:eastAsia="zh-CN"/>
              </w:rPr>
              <w:t>导热油炉</w:t>
            </w:r>
            <w:r>
              <w:rPr>
                <w:rFonts w:hint="eastAsia" w:eastAsia="宋体"/>
                <w:color w:val="auto"/>
                <w:sz w:val="24"/>
                <w:highlight w:val="none"/>
                <w:lang w:val="en-US" w:eastAsia="zh-CN"/>
              </w:rPr>
              <w:t>每天运行</w:t>
            </w:r>
            <w:r>
              <w:rPr>
                <w:rFonts w:hint="eastAsia"/>
                <w:color w:val="auto"/>
                <w:sz w:val="24"/>
                <w:highlight w:val="none"/>
                <w:lang w:val="en-US" w:eastAsia="zh-CN"/>
              </w:rPr>
              <w:t>24</w:t>
            </w:r>
            <w:r>
              <w:rPr>
                <w:rFonts w:hint="eastAsia" w:eastAsia="宋体"/>
                <w:color w:val="auto"/>
                <w:sz w:val="24"/>
                <w:highlight w:val="none"/>
                <w:lang w:val="en-US" w:eastAsia="zh-CN"/>
              </w:rPr>
              <w:t>小时，年运行</w:t>
            </w:r>
            <w:r>
              <w:rPr>
                <w:rFonts w:hint="eastAsia"/>
                <w:color w:val="auto"/>
                <w:sz w:val="24"/>
                <w:highlight w:val="none"/>
                <w:lang w:val="en-US" w:eastAsia="zh-CN"/>
              </w:rPr>
              <w:t>3</w:t>
            </w:r>
            <w:r>
              <w:rPr>
                <w:rFonts w:hint="eastAsia" w:eastAsia="宋体"/>
                <w:color w:val="auto"/>
                <w:sz w:val="24"/>
                <w:highlight w:val="none"/>
                <w:lang w:val="en-US" w:eastAsia="zh-CN"/>
              </w:rPr>
              <w:t>00天，配套</w:t>
            </w:r>
            <w:r>
              <w:rPr>
                <w:rFonts w:hint="eastAsia"/>
                <w:color w:val="auto"/>
                <w:sz w:val="24"/>
                <w:highlight w:val="none"/>
                <w:lang w:val="en-US" w:eastAsia="zh-CN"/>
              </w:rPr>
              <w:t>旋风除尘+布袋除尘器</w:t>
            </w:r>
            <w:r>
              <w:rPr>
                <w:rFonts w:hint="eastAsia" w:eastAsia="宋体"/>
                <w:color w:val="auto"/>
                <w:sz w:val="24"/>
                <w:highlight w:val="none"/>
                <w:lang w:val="en-US" w:eastAsia="zh-CN"/>
              </w:rPr>
              <w:t>及</w:t>
            </w:r>
            <w:r>
              <w:rPr>
                <w:rFonts w:hint="eastAsia"/>
                <w:color w:val="auto"/>
                <w:sz w:val="24"/>
                <w:highlight w:val="none"/>
                <w:lang w:val="en-US" w:eastAsia="zh-CN"/>
              </w:rPr>
              <w:t>30</w:t>
            </w:r>
            <w:r>
              <w:rPr>
                <w:rFonts w:hint="eastAsia" w:eastAsia="宋体"/>
                <w:color w:val="auto"/>
                <w:sz w:val="24"/>
                <w:highlight w:val="none"/>
                <w:lang w:val="en-US" w:eastAsia="zh-CN"/>
              </w:rPr>
              <w:t>m高</w:t>
            </w:r>
            <w:r>
              <w:rPr>
                <w:rFonts w:hint="eastAsia"/>
                <w:color w:val="auto"/>
                <w:sz w:val="24"/>
                <w:highlight w:val="none"/>
                <w:lang w:val="en-US" w:eastAsia="zh-CN"/>
              </w:rPr>
              <w:t>排气筒</w:t>
            </w:r>
            <w:r>
              <w:rPr>
                <w:rFonts w:hint="eastAsia" w:eastAsia="宋体"/>
                <w:color w:val="auto"/>
                <w:sz w:val="24"/>
                <w:highlight w:val="none"/>
                <w:lang w:val="en-US" w:eastAsia="zh-CN"/>
              </w:rPr>
              <w:t>。燃料消耗量由</w:t>
            </w:r>
            <w:r>
              <w:rPr>
                <w:rFonts w:hint="eastAsia"/>
                <w:color w:val="auto"/>
                <w:sz w:val="24"/>
                <w:highlight w:val="none"/>
                <w:lang w:val="en-US" w:eastAsia="zh-CN"/>
              </w:rPr>
              <w:t>导热油炉</w:t>
            </w:r>
            <w:r>
              <w:rPr>
                <w:rFonts w:hint="eastAsia" w:eastAsia="宋体"/>
                <w:color w:val="auto"/>
                <w:sz w:val="24"/>
                <w:highlight w:val="none"/>
                <w:lang w:val="en-US" w:eastAsia="zh-CN"/>
              </w:rPr>
              <w:t>最大生产能力估算。</w:t>
            </w:r>
          </w:p>
          <w:p w14:paraId="261694C6">
            <w:pPr>
              <w:keepNext w:val="0"/>
              <w:keepLines w:val="0"/>
              <w:suppressLineNumbers w:val="0"/>
              <w:adjustRightInd w:val="0"/>
              <w:snapToGrid w:val="0"/>
              <w:spacing w:before="0" w:beforeAutospacing="0" w:after="0" w:afterAutospacing="0" w:line="360" w:lineRule="auto"/>
              <w:ind w:left="0" w:right="0" w:firstLine="480" w:firstLineChars="200"/>
              <w:rPr>
                <w:rFonts w:hint="eastAsia" w:eastAsia="宋体"/>
                <w:color w:val="auto"/>
                <w:sz w:val="24"/>
                <w:highlight w:val="none"/>
                <w:lang w:val="en-US" w:eastAsia="zh-CN"/>
              </w:rPr>
            </w:pPr>
            <w:r>
              <w:rPr>
                <w:rFonts w:hint="eastAsia"/>
                <w:color w:val="auto"/>
                <w:sz w:val="24"/>
                <w:highlight w:val="none"/>
                <w:lang w:val="en-US" w:eastAsia="zh-CN"/>
              </w:rPr>
              <w:t>导热油炉</w:t>
            </w:r>
            <w:r>
              <w:rPr>
                <w:rFonts w:hint="eastAsia" w:eastAsia="宋体"/>
                <w:color w:val="auto"/>
                <w:sz w:val="24"/>
                <w:highlight w:val="none"/>
                <w:lang w:val="en-US" w:eastAsia="zh-CN"/>
              </w:rPr>
              <w:t>每小时消耗</w:t>
            </w:r>
            <w:r>
              <w:rPr>
                <w:rFonts w:hint="eastAsia"/>
                <w:color w:val="auto"/>
                <w:sz w:val="24"/>
                <w:highlight w:val="none"/>
                <w:lang w:val="en-US" w:eastAsia="zh-CN"/>
              </w:rPr>
              <w:t>燃料</w:t>
            </w:r>
            <w:r>
              <w:rPr>
                <w:rFonts w:hint="eastAsia" w:eastAsia="宋体"/>
                <w:color w:val="auto"/>
                <w:sz w:val="24"/>
                <w:highlight w:val="none"/>
                <w:lang w:val="en-US" w:eastAsia="zh-CN"/>
              </w:rPr>
              <w:t>量的计算过程如下：</w:t>
            </w:r>
          </w:p>
          <w:p w14:paraId="24CF0513">
            <w:pPr>
              <w:keepNext w:val="0"/>
              <w:keepLines w:val="0"/>
              <w:suppressLineNumbers w:val="0"/>
              <w:adjustRightInd w:val="0"/>
              <w:snapToGrid w:val="0"/>
              <w:spacing w:before="0" w:beforeAutospacing="0" w:after="0" w:afterAutospacing="0" w:line="360" w:lineRule="auto"/>
              <w:ind w:left="0" w:right="0" w:firstLine="480" w:firstLineChars="200"/>
              <w:rPr>
                <w:rFonts w:hint="eastAsia" w:eastAsia="宋体"/>
                <w:color w:val="auto"/>
                <w:sz w:val="24"/>
                <w:highlight w:val="none"/>
                <w:lang w:val="en-US" w:eastAsia="zh-CN"/>
              </w:rPr>
            </w:pPr>
            <w:r>
              <w:rPr>
                <w:rFonts w:hint="eastAsia"/>
                <w:color w:val="auto"/>
                <w:sz w:val="24"/>
                <w:highlight w:val="none"/>
                <w:lang w:val="en-US" w:eastAsia="zh-CN"/>
              </w:rPr>
              <w:t>导热油炉</w:t>
            </w:r>
            <w:r>
              <w:rPr>
                <w:rFonts w:hint="eastAsia" w:eastAsia="宋体"/>
                <w:color w:val="auto"/>
                <w:sz w:val="24"/>
                <w:highlight w:val="none"/>
                <w:lang w:val="en-US" w:eastAsia="zh-CN"/>
              </w:rPr>
              <w:t>每小时消耗</w:t>
            </w:r>
            <w:r>
              <w:rPr>
                <w:rFonts w:hint="eastAsia"/>
                <w:color w:val="auto"/>
                <w:sz w:val="24"/>
                <w:highlight w:val="none"/>
                <w:lang w:val="en-US" w:eastAsia="zh-CN"/>
              </w:rPr>
              <w:t>燃料</w:t>
            </w:r>
            <w:r>
              <w:rPr>
                <w:rFonts w:hint="eastAsia" w:eastAsia="宋体"/>
                <w:color w:val="auto"/>
                <w:sz w:val="24"/>
                <w:highlight w:val="none"/>
                <w:lang w:val="en-US" w:eastAsia="zh-CN"/>
              </w:rPr>
              <w:t>量=</w:t>
            </w:r>
            <w:r>
              <w:rPr>
                <w:rFonts w:hint="eastAsia" w:ascii="Times New Roman" w:hAnsi="Times New Roman" w:eastAsia="宋体" w:cs="Times New Roman"/>
                <w:bCs/>
                <w:color w:val="auto"/>
                <w:sz w:val="24"/>
                <w:lang w:val="en-US" w:eastAsia="zh-CN"/>
              </w:rPr>
              <w:t>燃</w:t>
            </w:r>
            <w:r>
              <w:rPr>
                <w:rFonts w:hint="eastAsia" w:ascii="Times New Roman" w:hAnsi="Times New Roman" w:cs="Times New Roman"/>
                <w:bCs/>
                <w:color w:val="auto"/>
                <w:sz w:val="24"/>
                <w:lang w:val="en-US" w:eastAsia="zh-CN"/>
              </w:rPr>
              <w:t>生物质</w:t>
            </w:r>
            <w:r>
              <w:rPr>
                <w:rFonts w:hint="eastAsia"/>
                <w:color w:val="auto"/>
                <w:sz w:val="24"/>
                <w:highlight w:val="none"/>
                <w:lang w:val="en-US" w:eastAsia="zh-CN"/>
              </w:rPr>
              <w:t>导热油炉</w:t>
            </w:r>
            <w:r>
              <w:rPr>
                <w:rFonts w:hint="eastAsia" w:eastAsia="宋体"/>
                <w:color w:val="auto"/>
                <w:sz w:val="24"/>
                <w:highlight w:val="none"/>
                <w:lang w:val="en-US" w:eastAsia="zh-CN"/>
              </w:rPr>
              <w:t>出力/</w:t>
            </w:r>
            <w:r>
              <w:rPr>
                <w:rFonts w:hint="eastAsia"/>
                <w:color w:val="auto"/>
                <w:sz w:val="24"/>
                <w:highlight w:val="none"/>
                <w:lang w:val="en-US" w:eastAsia="zh-CN"/>
              </w:rPr>
              <w:t>锅炉热</w:t>
            </w:r>
            <w:r>
              <w:rPr>
                <w:rFonts w:hint="eastAsia" w:eastAsia="宋体"/>
                <w:color w:val="auto"/>
                <w:sz w:val="24"/>
                <w:highlight w:val="none"/>
                <w:lang w:val="en-US" w:eastAsia="zh-CN"/>
              </w:rPr>
              <w:t>效率/燃料热值</w:t>
            </w:r>
          </w:p>
          <w:p w14:paraId="556332F6">
            <w:pPr>
              <w:keepNext w:val="0"/>
              <w:keepLines w:val="0"/>
              <w:suppressLineNumbers w:val="0"/>
              <w:adjustRightInd w:val="0"/>
              <w:snapToGrid w:val="0"/>
              <w:spacing w:before="0" w:beforeAutospacing="0" w:after="0" w:afterAutospacing="0" w:line="360" w:lineRule="auto"/>
              <w:ind w:left="0" w:right="0" w:firstLine="480" w:firstLineChars="200"/>
              <w:rPr>
                <w:rFonts w:hint="eastAsia" w:eastAsia="宋体"/>
                <w:color w:val="auto"/>
                <w:sz w:val="24"/>
                <w:highlight w:val="none"/>
                <w:lang w:val="en-US" w:eastAsia="zh-CN"/>
              </w:rPr>
            </w:pPr>
            <w:r>
              <w:rPr>
                <w:rFonts w:hint="eastAsia" w:eastAsia="宋体"/>
                <w:color w:val="auto"/>
                <w:sz w:val="24"/>
                <w:highlight w:val="none"/>
                <w:lang w:val="en-US" w:eastAsia="zh-CN"/>
              </w:rPr>
              <w:t>本项目</w:t>
            </w:r>
            <w:r>
              <w:rPr>
                <w:rFonts w:hint="eastAsia"/>
                <w:color w:val="auto"/>
                <w:spacing w:val="4"/>
                <w:sz w:val="24"/>
                <w:lang w:val="en-US" w:eastAsia="zh-CN"/>
              </w:rPr>
              <w:t>1800KW燃生物质</w:t>
            </w:r>
            <w:r>
              <w:rPr>
                <w:rFonts w:hint="eastAsia"/>
                <w:color w:val="auto"/>
                <w:spacing w:val="4"/>
                <w:sz w:val="24"/>
              </w:rPr>
              <w:t>导热油炉</w:t>
            </w:r>
            <w:r>
              <w:rPr>
                <w:rFonts w:hint="eastAsia" w:eastAsia="宋体"/>
                <w:color w:val="auto"/>
                <w:sz w:val="24"/>
                <w:highlight w:val="none"/>
                <w:lang w:val="en-US" w:eastAsia="zh-CN"/>
              </w:rPr>
              <w:t>折算为</w:t>
            </w:r>
            <w:r>
              <w:rPr>
                <w:rFonts w:hint="eastAsia"/>
                <w:b w:val="0"/>
                <w:bCs/>
                <w:color w:val="auto"/>
                <w:sz w:val="24"/>
                <w:szCs w:val="24"/>
                <w:highlight w:val="none"/>
                <w:lang w:val="en-US" w:eastAsia="zh-CN"/>
              </w:rPr>
              <w:t>1550000</w:t>
            </w:r>
            <w:r>
              <w:rPr>
                <w:rFonts w:hint="eastAsia" w:ascii="Times New Roman" w:hAnsi="Times New Roman" w:eastAsia="宋体" w:cs="Times New Roman"/>
                <w:color w:val="auto"/>
                <w:sz w:val="24"/>
                <w:highlight w:val="none"/>
                <w:lang w:val="en-US" w:eastAsia="zh-CN"/>
              </w:rPr>
              <w:t>k</w:t>
            </w:r>
            <w:r>
              <w:rPr>
                <w:rFonts w:hint="eastAsia" w:eastAsia="宋体"/>
                <w:color w:val="auto"/>
                <w:sz w:val="24"/>
                <w:highlight w:val="none"/>
                <w:lang w:val="en-US" w:eastAsia="zh-CN"/>
              </w:rPr>
              <w:t>cal/h，</w:t>
            </w:r>
            <w:r>
              <w:rPr>
                <w:rFonts w:hint="eastAsia"/>
                <w:color w:val="auto"/>
                <w:sz w:val="24"/>
                <w:highlight w:val="none"/>
                <w:lang w:val="en-US" w:eastAsia="zh-CN"/>
              </w:rPr>
              <w:t>生物质成型燃料</w:t>
            </w:r>
            <w:r>
              <w:rPr>
                <w:rFonts w:hint="eastAsia" w:eastAsia="宋体"/>
                <w:color w:val="auto"/>
                <w:sz w:val="24"/>
                <w:highlight w:val="none"/>
                <w:lang w:val="en-US" w:eastAsia="zh-CN"/>
              </w:rPr>
              <w:t>低位发热量为</w:t>
            </w:r>
            <w:r>
              <w:rPr>
                <w:rFonts w:hint="eastAsia"/>
                <w:color w:val="auto"/>
                <w:sz w:val="24"/>
                <w:highlight w:val="none"/>
                <w:lang w:val="en-US" w:eastAsia="zh-CN"/>
              </w:rPr>
              <w:t>9.58</w:t>
            </w:r>
            <w:r>
              <w:rPr>
                <w:rFonts w:hint="eastAsia" w:eastAsia="宋体"/>
                <w:color w:val="auto"/>
                <w:sz w:val="24"/>
                <w:highlight w:val="none"/>
                <w:lang w:val="en-US" w:eastAsia="zh-CN"/>
              </w:rPr>
              <w:t>MJ/</w:t>
            </w:r>
            <w:r>
              <w:rPr>
                <w:rFonts w:hint="eastAsia"/>
                <w:color w:val="auto"/>
                <w:sz w:val="24"/>
                <w:highlight w:val="none"/>
                <w:lang w:val="en-US" w:eastAsia="zh-CN"/>
              </w:rPr>
              <w:t>kg</w:t>
            </w:r>
            <w:r>
              <w:rPr>
                <w:rFonts w:hint="eastAsia" w:eastAsia="宋体"/>
                <w:color w:val="auto"/>
                <w:sz w:val="24"/>
                <w:highlight w:val="none"/>
                <w:lang w:val="en-US" w:eastAsia="zh-CN"/>
              </w:rPr>
              <w:t>，已知1MJ/</w:t>
            </w:r>
            <w:r>
              <w:rPr>
                <w:rFonts w:hint="eastAsia"/>
                <w:color w:val="auto"/>
                <w:sz w:val="24"/>
                <w:highlight w:val="none"/>
                <w:lang w:val="en-US" w:eastAsia="zh-CN"/>
              </w:rPr>
              <w:t>kg</w:t>
            </w:r>
            <w:r>
              <w:rPr>
                <w:rFonts w:hint="eastAsia" w:eastAsia="宋体"/>
                <w:color w:val="auto"/>
                <w:sz w:val="24"/>
                <w:highlight w:val="none"/>
                <w:lang w:val="en-US" w:eastAsia="zh-CN"/>
              </w:rPr>
              <w:t>=</w:t>
            </w:r>
            <w:bookmarkStart w:id="14" w:name="OLE_LINK7"/>
            <w:r>
              <w:rPr>
                <w:rFonts w:hint="eastAsia" w:eastAsia="宋体"/>
                <w:color w:val="auto"/>
                <w:sz w:val="24"/>
                <w:highlight w:val="none"/>
                <w:lang w:val="en-US" w:eastAsia="zh-CN"/>
              </w:rPr>
              <w:t>239</w:t>
            </w:r>
            <w:bookmarkEnd w:id="14"/>
            <w:r>
              <w:rPr>
                <w:rFonts w:hint="eastAsia" w:eastAsia="宋体"/>
                <w:color w:val="auto"/>
                <w:sz w:val="24"/>
                <w:highlight w:val="none"/>
                <w:lang w:val="en-US" w:eastAsia="zh-CN"/>
              </w:rPr>
              <w:t>kcal/</w:t>
            </w:r>
            <w:r>
              <w:rPr>
                <w:rFonts w:hint="eastAsia"/>
                <w:color w:val="auto"/>
                <w:sz w:val="24"/>
                <w:highlight w:val="none"/>
                <w:lang w:val="en-US" w:eastAsia="zh-CN"/>
              </w:rPr>
              <w:t>kg</w:t>
            </w:r>
            <w:r>
              <w:rPr>
                <w:rFonts w:hint="eastAsia" w:eastAsia="宋体"/>
                <w:color w:val="auto"/>
                <w:sz w:val="24"/>
                <w:highlight w:val="none"/>
                <w:lang w:val="en-US" w:eastAsia="zh-CN"/>
              </w:rPr>
              <w:t>，故</w:t>
            </w:r>
            <w:r>
              <w:rPr>
                <w:rFonts w:hint="eastAsia"/>
                <w:color w:val="auto"/>
                <w:sz w:val="24"/>
                <w:highlight w:val="none"/>
                <w:lang w:val="en-US" w:eastAsia="zh-CN"/>
              </w:rPr>
              <w:t>生物质成型燃料</w:t>
            </w:r>
            <w:r>
              <w:rPr>
                <w:rFonts w:hint="eastAsia" w:eastAsia="宋体"/>
                <w:color w:val="auto"/>
                <w:sz w:val="24"/>
                <w:highlight w:val="none"/>
                <w:lang w:val="en-US" w:eastAsia="zh-CN"/>
              </w:rPr>
              <w:t>低位发热量=</w:t>
            </w:r>
            <w:r>
              <w:rPr>
                <w:rFonts w:hint="eastAsia"/>
                <w:color w:val="auto"/>
                <w:sz w:val="24"/>
                <w:highlight w:val="none"/>
                <w:lang w:val="en-US" w:eastAsia="zh-CN"/>
              </w:rPr>
              <w:t>9.58</w:t>
            </w:r>
            <w:r>
              <w:rPr>
                <w:rFonts w:hint="eastAsia" w:eastAsia="宋体"/>
                <w:color w:val="auto"/>
                <w:sz w:val="24"/>
                <w:highlight w:val="none"/>
                <w:lang w:val="en-US" w:eastAsia="zh-CN"/>
              </w:rPr>
              <w:t>*239=2289.62kcal/</w:t>
            </w:r>
            <w:r>
              <w:rPr>
                <w:rFonts w:hint="eastAsia"/>
                <w:color w:val="auto"/>
                <w:sz w:val="24"/>
                <w:highlight w:val="none"/>
                <w:lang w:val="en-US" w:eastAsia="zh-CN"/>
              </w:rPr>
              <w:t>kg</w:t>
            </w:r>
            <w:r>
              <w:rPr>
                <w:rFonts w:hint="eastAsia" w:eastAsia="宋体"/>
                <w:color w:val="auto"/>
                <w:sz w:val="24"/>
                <w:highlight w:val="none"/>
                <w:lang w:val="en-US" w:eastAsia="zh-CN"/>
              </w:rPr>
              <w:t>。</w:t>
            </w:r>
            <w:r>
              <w:rPr>
                <w:rFonts w:hint="eastAsia"/>
                <w:color w:val="auto"/>
                <w:sz w:val="24"/>
                <w:highlight w:val="none"/>
                <w:lang w:val="en-US" w:eastAsia="zh-CN"/>
              </w:rPr>
              <w:t>导热油炉热</w:t>
            </w:r>
            <w:r>
              <w:rPr>
                <w:rFonts w:hint="eastAsia" w:eastAsia="宋体"/>
                <w:color w:val="auto"/>
                <w:sz w:val="24"/>
                <w:highlight w:val="none"/>
                <w:lang w:val="en-US" w:eastAsia="zh-CN"/>
              </w:rPr>
              <w:t>效率取</w:t>
            </w:r>
            <w:r>
              <w:rPr>
                <w:rFonts w:hint="eastAsia"/>
                <w:color w:val="auto"/>
                <w:sz w:val="24"/>
                <w:highlight w:val="none"/>
                <w:lang w:val="en-US" w:eastAsia="zh-CN"/>
              </w:rPr>
              <w:t>80</w:t>
            </w:r>
            <w:r>
              <w:rPr>
                <w:rFonts w:hint="eastAsia" w:eastAsia="宋体"/>
                <w:color w:val="auto"/>
                <w:sz w:val="24"/>
                <w:highlight w:val="none"/>
                <w:lang w:val="en-US" w:eastAsia="zh-CN"/>
              </w:rPr>
              <w:t>%，则：</w:t>
            </w:r>
          </w:p>
          <w:p w14:paraId="333C6DF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360" w:lineRule="auto"/>
              <w:ind w:left="0" w:right="0" w:firstLine="496" w:firstLineChars="200"/>
              <w:textAlignment w:val="auto"/>
              <w:rPr>
                <w:rFonts w:hint="default" w:eastAsia="宋体"/>
                <w:color w:val="auto"/>
                <w:sz w:val="24"/>
                <w:highlight w:val="none"/>
                <w:lang w:val="en-US" w:eastAsia="zh-CN"/>
              </w:rPr>
            </w:pPr>
            <w:r>
              <w:rPr>
                <w:rFonts w:hint="eastAsia"/>
                <w:color w:val="auto"/>
                <w:spacing w:val="4"/>
                <w:sz w:val="24"/>
                <w:lang w:val="en-US" w:eastAsia="zh-CN"/>
              </w:rPr>
              <w:t>1800KW燃生物质</w:t>
            </w:r>
            <w:r>
              <w:rPr>
                <w:rFonts w:hint="eastAsia"/>
                <w:color w:val="auto"/>
                <w:spacing w:val="4"/>
                <w:sz w:val="24"/>
              </w:rPr>
              <w:t>导热油炉</w:t>
            </w:r>
            <w:r>
              <w:rPr>
                <w:rFonts w:hint="eastAsia" w:eastAsia="宋体"/>
                <w:color w:val="auto"/>
                <w:sz w:val="24"/>
                <w:highlight w:val="none"/>
                <w:lang w:val="en-US" w:eastAsia="zh-CN"/>
              </w:rPr>
              <w:t>每小时消耗</w:t>
            </w:r>
            <w:r>
              <w:rPr>
                <w:rFonts w:hint="eastAsia"/>
                <w:color w:val="auto"/>
                <w:sz w:val="24"/>
                <w:highlight w:val="none"/>
                <w:lang w:val="en-US" w:eastAsia="zh-CN"/>
              </w:rPr>
              <w:t>生物质成型燃料</w:t>
            </w:r>
            <w:r>
              <w:rPr>
                <w:rFonts w:hint="eastAsia" w:eastAsia="宋体"/>
                <w:color w:val="auto"/>
                <w:sz w:val="24"/>
                <w:highlight w:val="none"/>
                <w:lang w:val="en-US" w:eastAsia="zh-CN"/>
              </w:rPr>
              <w:t>量=</w:t>
            </w:r>
            <w:r>
              <w:rPr>
                <w:rFonts w:hint="eastAsia"/>
                <w:color w:val="auto"/>
                <w:sz w:val="24"/>
                <w:highlight w:val="none"/>
                <w:lang w:val="en-US" w:eastAsia="zh-CN"/>
              </w:rPr>
              <w:t>导热油炉</w:t>
            </w:r>
            <w:r>
              <w:rPr>
                <w:rFonts w:hint="eastAsia" w:eastAsia="宋体"/>
                <w:color w:val="auto"/>
                <w:sz w:val="24"/>
                <w:highlight w:val="none"/>
                <w:lang w:val="en-US" w:eastAsia="zh-CN"/>
              </w:rPr>
              <w:t>出力÷热效率÷</w:t>
            </w:r>
            <w:r>
              <w:rPr>
                <w:rFonts w:hint="eastAsia"/>
                <w:color w:val="auto"/>
                <w:sz w:val="24"/>
                <w:highlight w:val="none"/>
                <w:lang w:val="en-US" w:eastAsia="zh-CN"/>
              </w:rPr>
              <w:t>生物质成型燃料</w:t>
            </w:r>
            <w:r>
              <w:rPr>
                <w:rFonts w:hint="eastAsia" w:eastAsia="宋体"/>
                <w:color w:val="auto"/>
                <w:sz w:val="24"/>
                <w:highlight w:val="none"/>
                <w:lang w:val="en-US" w:eastAsia="zh-CN"/>
              </w:rPr>
              <w:t>低位发热量=</w:t>
            </w:r>
            <w:r>
              <w:rPr>
                <w:rFonts w:hint="eastAsia"/>
                <w:b w:val="0"/>
                <w:bCs/>
                <w:color w:val="auto"/>
                <w:sz w:val="24"/>
                <w:szCs w:val="24"/>
                <w:highlight w:val="none"/>
                <w:lang w:val="en-US" w:eastAsia="zh-CN"/>
              </w:rPr>
              <w:t>1550000</w:t>
            </w:r>
            <w:r>
              <w:rPr>
                <w:rFonts w:hint="eastAsia" w:eastAsia="宋体"/>
                <w:color w:val="auto"/>
                <w:sz w:val="24"/>
                <w:highlight w:val="none"/>
                <w:lang w:val="en-US" w:eastAsia="zh-CN"/>
              </w:rPr>
              <w:t>kcal/h÷</w:t>
            </w:r>
            <w:r>
              <w:rPr>
                <w:rFonts w:hint="eastAsia"/>
                <w:color w:val="auto"/>
                <w:sz w:val="24"/>
                <w:highlight w:val="none"/>
                <w:lang w:val="en-US" w:eastAsia="zh-CN"/>
              </w:rPr>
              <w:t>80</w:t>
            </w:r>
            <w:r>
              <w:rPr>
                <w:rFonts w:hint="eastAsia" w:eastAsia="宋体"/>
                <w:color w:val="auto"/>
                <w:sz w:val="24"/>
                <w:highlight w:val="none"/>
                <w:lang w:val="en-US" w:eastAsia="zh-CN"/>
              </w:rPr>
              <w:t>%÷2289.62kcal/m</w:t>
            </w:r>
            <w:r>
              <w:rPr>
                <w:rFonts w:hint="eastAsia" w:eastAsia="宋体"/>
                <w:color w:val="auto"/>
                <w:sz w:val="24"/>
                <w:highlight w:val="none"/>
                <w:vertAlign w:val="superscript"/>
                <w:lang w:val="en-US" w:eastAsia="zh-CN"/>
              </w:rPr>
              <w:t>3</w:t>
            </w:r>
            <w:r>
              <w:rPr>
                <w:rFonts w:hint="eastAsia" w:eastAsia="宋体"/>
                <w:color w:val="auto"/>
                <w:sz w:val="24"/>
                <w:highlight w:val="none"/>
                <w:lang w:val="en-US" w:eastAsia="zh-CN"/>
              </w:rPr>
              <w:t>÷1000=</w:t>
            </w:r>
            <w:r>
              <w:rPr>
                <w:rFonts w:hint="eastAsia"/>
                <w:color w:val="auto"/>
                <w:sz w:val="24"/>
                <w:highlight w:val="none"/>
                <w:lang w:val="en-US" w:eastAsia="zh-CN"/>
              </w:rPr>
              <w:t>0.846t</w:t>
            </w:r>
            <w:r>
              <w:rPr>
                <w:rFonts w:hint="eastAsia" w:eastAsia="宋体"/>
                <w:color w:val="auto"/>
                <w:sz w:val="24"/>
                <w:highlight w:val="none"/>
                <w:lang w:val="en-US" w:eastAsia="zh-CN"/>
              </w:rPr>
              <w:t>/h。</w:t>
            </w:r>
          </w:p>
          <w:p w14:paraId="423CFB1E">
            <w:pPr>
              <w:pStyle w:val="85"/>
              <w:keepLines w:val="0"/>
              <w:pageBreakBefore w:val="0"/>
              <w:topLinePunct w:val="0"/>
              <w:bidi w:val="0"/>
              <w:spacing w:beforeAutospacing="0" w:afterAutospacing="0"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综上，本项目一台</w:t>
            </w:r>
            <w:r>
              <w:rPr>
                <w:rFonts w:hint="eastAsia"/>
                <w:color w:val="auto"/>
                <w:spacing w:val="4"/>
                <w:sz w:val="24"/>
                <w:lang w:val="en-US" w:eastAsia="zh-CN"/>
              </w:rPr>
              <w:t>1800KW燃生物质</w:t>
            </w:r>
            <w:r>
              <w:rPr>
                <w:rFonts w:hint="eastAsia"/>
                <w:color w:val="auto"/>
                <w:spacing w:val="4"/>
                <w:sz w:val="24"/>
              </w:rPr>
              <w:t>导热油炉</w:t>
            </w:r>
            <w:r>
              <w:rPr>
                <w:rFonts w:hint="eastAsia" w:ascii="Times New Roman" w:hAnsi="Times New Roman" w:eastAsia="宋体" w:cs="Times New Roman"/>
                <w:color w:val="auto"/>
                <w:sz w:val="24"/>
                <w:szCs w:val="24"/>
                <w:highlight w:val="none"/>
                <w:lang w:val="en-US" w:eastAsia="zh-CN"/>
              </w:rPr>
              <w:t>生物质成型燃料用量为6091.2t/a。</w:t>
            </w:r>
          </w:p>
          <w:p w14:paraId="15267A6A">
            <w:pPr>
              <w:pStyle w:val="85"/>
              <w:keepLines w:val="0"/>
              <w:pageBreakBefore w:val="0"/>
              <w:topLinePunct w:val="0"/>
              <w:bidi w:val="0"/>
              <w:spacing w:beforeAutospacing="0" w:afterAutospacing="0" w:line="360" w:lineRule="auto"/>
              <w:ind w:left="0" w:leftChars="0" w:right="0" w:rightChars="0" w:firstLine="480" w:firstLineChars="200"/>
              <w:jc w:val="both"/>
              <w:rPr>
                <w:rFonts w:hint="eastAsia"/>
                <w:color w:val="auto"/>
                <w:sz w:val="24"/>
                <w:szCs w:val="24"/>
                <w:highlight w:val="none"/>
                <w:lang w:eastAsia="zh-CN"/>
              </w:rPr>
            </w:pPr>
            <w:r>
              <w:rPr>
                <w:rFonts w:hint="eastAsia"/>
                <w:color w:val="auto"/>
                <w:sz w:val="24"/>
                <w:szCs w:val="24"/>
                <w:highlight w:val="none"/>
                <w:lang w:eastAsia="zh-CN"/>
              </w:rPr>
              <w:t>②</w:t>
            </w:r>
            <w:r>
              <w:rPr>
                <w:rFonts w:hint="eastAsia"/>
                <w:color w:val="auto"/>
                <w:sz w:val="24"/>
                <w:highlight w:val="none"/>
                <w:lang w:val="en-US" w:eastAsia="zh-CN"/>
              </w:rPr>
              <w:t>导热油炉</w:t>
            </w:r>
            <w:r>
              <w:rPr>
                <w:rFonts w:hint="eastAsia"/>
                <w:color w:val="auto"/>
                <w:sz w:val="24"/>
                <w:szCs w:val="24"/>
                <w:highlight w:val="none"/>
                <w:lang w:eastAsia="zh-CN"/>
              </w:rPr>
              <w:t>烟气量的计算</w:t>
            </w:r>
          </w:p>
          <w:p w14:paraId="2AC4E6D0">
            <w:pPr>
              <w:pStyle w:val="85"/>
              <w:keepLines w:val="0"/>
              <w:pageBreakBefore w:val="0"/>
              <w:topLinePunct w:val="0"/>
              <w:bidi w:val="0"/>
              <w:spacing w:beforeAutospacing="0" w:afterAutospacing="0" w:line="360" w:lineRule="auto"/>
              <w:ind w:left="0" w:leftChars="0" w:right="0" w:rightChars="0" w:firstLine="480" w:firstLineChars="200"/>
              <w:jc w:val="both"/>
              <w:rPr>
                <w:color w:val="auto"/>
                <w:spacing w:val="-2"/>
                <w:sz w:val="24"/>
              </w:rPr>
            </w:pPr>
            <w:r>
              <w:rPr>
                <w:rFonts w:hint="eastAsia"/>
                <w:color w:val="auto"/>
                <w:sz w:val="24"/>
                <w:szCs w:val="24"/>
                <w:highlight w:val="none"/>
                <w:lang w:eastAsia="zh-CN"/>
              </w:rPr>
              <w:t>根据《污染源源强核算技术指南 锅炉》附录 C.</w:t>
            </w:r>
            <w:r>
              <w:rPr>
                <w:rFonts w:hint="eastAsia"/>
                <w:color w:val="auto"/>
                <w:sz w:val="24"/>
                <w:szCs w:val="24"/>
                <w:highlight w:val="none"/>
                <w:lang w:val="en-US" w:eastAsia="zh-CN"/>
              </w:rPr>
              <w:t>2</w:t>
            </w:r>
            <w:r>
              <w:rPr>
                <w:rFonts w:hint="eastAsia"/>
                <w:color w:val="auto"/>
                <w:sz w:val="24"/>
                <w:szCs w:val="24"/>
                <w:highlight w:val="none"/>
                <w:lang w:eastAsia="zh-CN"/>
              </w:rPr>
              <w:t>，</w:t>
            </w:r>
            <w:r>
              <w:rPr>
                <w:color w:val="auto"/>
                <w:spacing w:val="-2"/>
                <w:sz w:val="24"/>
              </w:rPr>
              <w:t>本项目</w:t>
            </w:r>
            <w:r>
              <w:rPr>
                <w:rFonts w:hint="eastAsia"/>
                <w:color w:val="auto"/>
                <w:sz w:val="24"/>
                <w:highlight w:val="none"/>
                <w:lang w:val="en-US" w:eastAsia="zh-CN"/>
              </w:rPr>
              <w:t>导热油炉</w:t>
            </w:r>
            <w:r>
              <w:rPr>
                <w:color w:val="auto"/>
                <w:spacing w:val="-2"/>
                <w:sz w:val="24"/>
              </w:rPr>
              <w:t>烟气计算情况如下：</w:t>
            </w:r>
          </w:p>
          <w:p w14:paraId="3EBB0F2A">
            <w:pPr>
              <w:pStyle w:val="85"/>
              <w:keepLines w:val="0"/>
              <w:pageBreakBefore w:val="0"/>
              <w:topLinePunct w:val="0"/>
              <w:bidi w:val="0"/>
              <w:spacing w:beforeAutospacing="0" w:afterAutospacing="0"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a.理论烟气量</w:t>
            </w:r>
          </w:p>
          <w:p w14:paraId="21248D54">
            <w:pPr>
              <w:pStyle w:val="85"/>
              <w:keepLines w:val="0"/>
              <w:pageBreakBefore w:val="0"/>
              <w:topLinePunct w:val="0"/>
              <w:bidi w:val="0"/>
              <w:spacing w:beforeAutospacing="0" w:afterAutospacing="0" w:line="360" w:lineRule="auto"/>
              <w:ind w:left="0" w:leftChars="0" w:right="0" w:rightChars="0" w:firstLine="0" w:firstLineChars="0"/>
              <w:jc w:val="center"/>
              <w:rPr>
                <w:rFonts w:hint="eastAsia"/>
                <w:color w:val="auto"/>
                <w:sz w:val="24"/>
                <w:szCs w:val="24"/>
                <w:highlight w:val="none"/>
                <w:lang w:eastAsia="zh-CN"/>
              </w:rPr>
            </w:pPr>
            <w:r>
              <w:rPr>
                <w:color w:val="auto"/>
              </w:rPr>
              <w:drawing>
                <wp:inline distT="0" distB="0" distL="114300" distR="114300">
                  <wp:extent cx="3924300" cy="429895"/>
                  <wp:effectExtent l="0" t="0" r="0" b="8255"/>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14"/>
                          <a:stretch>
                            <a:fillRect/>
                          </a:stretch>
                        </pic:blipFill>
                        <pic:spPr>
                          <a:xfrm>
                            <a:off x="0" y="0"/>
                            <a:ext cx="3924300" cy="429895"/>
                          </a:xfrm>
                          <a:prstGeom prst="rect">
                            <a:avLst/>
                          </a:prstGeom>
                          <a:noFill/>
                          <a:ln>
                            <a:noFill/>
                          </a:ln>
                        </pic:spPr>
                      </pic:pic>
                    </a:graphicData>
                  </a:graphic>
                </wp:inline>
              </w:drawing>
            </w:r>
          </w:p>
          <w:p w14:paraId="1CEC5443">
            <w:pPr>
              <w:pStyle w:val="85"/>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式中：V</w:t>
            </w:r>
            <w:r>
              <w:rPr>
                <w:rFonts w:hint="eastAsia" w:ascii="Times New Roman" w:hAnsi="Times New Roman" w:eastAsia="宋体" w:cs="Times New Roman"/>
                <w:color w:val="auto"/>
                <w:sz w:val="24"/>
                <w:szCs w:val="24"/>
                <w:highlight w:val="none"/>
                <w:vertAlign w:val="subscript"/>
                <w:lang w:eastAsia="zh-CN"/>
              </w:rPr>
              <w:t>0</w:t>
            </w:r>
            <w:r>
              <w:rPr>
                <w:rFonts w:eastAsia="仿宋"/>
                <w:color w:val="auto"/>
                <w:sz w:val="24"/>
              </w:rPr>
              <w:t>——</w:t>
            </w:r>
            <w:r>
              <w:rPr>
                <w:rFonts w:hint="eastAsia" w:ascii="Times New Roman" w:hAnsi="Times New Roman" w:eastAsia="宋体" w:cs="Times New Roman"/>
                <w:color w:val="auto"/>
                <w:sz w:val="24"/>
                <w:szCs w:val="24"/>
                <w:highlight w:val="none"/>
                <w:lang w:eastAsia="zh-CN"/>
              </w:rPr>
              <w:t>理论空气量，m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/kg；</w:t>
            </w:r>
          </w:p>
          <w:p w14:paraId="324638DC">
            <w:pPr>
              <w:pStyle w:val="85"/>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C</w:t>
            </w:r>
            <w:r>
              <w:rPr>
                <w:rFonts w:hint="eastAsia" w:ascii="Times New Roman" w:hAnsi="Times New Roman" w:eastAsia="宋体" w:cs="Times New Roman"/>
                <w:color w:val="auto"/>
                <w:sz w:val="24"/>
                <w:szCs w:val="24"/>
                <w:highlight w:val="none"/>
                <w:vertAlign w:val="subscript"/>
                <w:lang w:eastAsia="zh-CN"/>
              </w:rPr>
              <w:t>ar</w:t>
            </w:r>
            <w:r>
              <w:rPr>
                <w:rFonts w:eastAsia="仿宋"/>
                <w:color w:val="auto"/>
                <w:sz w:val="24"/>
              </w:rPr>
              <w:t>——</w:t>
            </w:r>
            <w:r>
              <w:rPr>
                <w:rFonts w:hint="eastAsia" w:ascii="Times New Roman" w:hAnsi="Times New Roman" w:eastAsia="宋体" w:cs="Times New Roman"/>
                <w:color w:val="auto"/>
                <w:sz w:val="24"/>
                <w:szCs w:val="24"/>
                <w:highlight w:val="none"/>
                <w:lang w:eastAsia="zh-CN"/>
              </w:rPr>
              <w:t>收到基碳的质量分数，</w:t>
            </w:r>
            <w:r>
              <w:rPr>
                <w:rFonts w:hint="eastAsia" w:ascii="Times New Roman" w:hAnsi="Times New Roman" w:eastAsia="宋体" w:cs="Times New Roman"/>
                <w:color w:val="auto"/>
                <w:sz w:val="24"/>
                <w:szCs w:val="24"/>
                <w:highlight w:val="none"/>
                <w:lang w:val="en-US" w:eastAsia="zh-CN"/>
              </w:rPr>
              <w:t>30.06</w:t>
            </w:r>
            <w:r>
              <w:rPr>
                <w:rFonts w:hint="eastAsia" w:ascii="Times New Roman" w:hAnsi="Times New Roman" w:eastAsia="宋体" w:cs="Times New Roman"/>
                <w:color w:val="auto"/>
                <w:sz w:val="24"/>
                <w:szCs w:val="24"/>
                <w:highlight w:val="none"/>
                <w:lang w:eastAsia="zh-CN"/>
              </w:rPr>
              <w:t>%；</w:t>
            </w:r>
          </w:p>
          <w:p w14:paraId="0DCF592B">
            <w:pPr>
              <w:pStyle w:val="85"/>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S</w:t>
            </w:r>
            <w:r>
              <w:rPr>
                <w:rFonts w:hint="eastAsia" w:ascii="Times New Roman" w:hAnsi="Times New Roman" w:eastAsia="宋体" w:cs="Times New Roman"/>
                <w:color w:val="auto"/>
                <w:sz w:val="24"/>
                <w:szCs w:val="24"/>
                <w:highlight w:val="none"/>
                <w:vertAlign w:val="subscript"/>
                <w:lang w:eastAsia="zh-CN"/>
              </w:rPr>
              <w:t>ar</w:t>
            </w:r>
            <w:r>
              <w:rPr>
                <w:rFonts w:eastAsia="仿宋"/>
                <w:color w:val="auto"/>
                <w:sz w:val="24"/>
              </w:rPr>
              <w:t>——</w:t>
            </w:r>
            <w:r>
              <w:rPr>
                <w:rFonts w:hint="eastAsia" w:ascii="Times New Roman" w:hAnsi="Times New Roman" w:eastAsia="宋体" w:cs="Times New Roman"/>
                <w:color w:val="auto"/>
                <w:sz w:val="24"/>
                <w:szCs w:val="24"/>
                <w:highlight w:val="none"/>
                <w:lang w:eastAsia="zh-CN"/>
              </w:rPr>
              <w:t>收到基硫的质量分数，0.0</w:t>
            </w:r>
            <w:r>
              <w:rPr>
                <w:rFonts w:hint="eastAsia" w:ascii="Times New Roman" w:hAnsi="Times New Roman" w:eastAsia="宋体"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eastAsia="zh-CN"/>
              </w:rPr>
              <w:t>%；</w:t>
            </w:r>
          </w:p>
          <w:p w14:paraId="5CA67529">
            <w:pPr>
              <w:pStyle w:val="85"/>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H</w:t>
            </w:r>
            <w:r>
              <w:rPr>
                <w:rFonts w:hint="eastAsia" w:ascii="Times New Roman" w:hAnsi="Times New Roman" w:eastAsia="宋体" w:cs="Times New Roman"/>
                <w:color w:val="auto"/>
                <w:sz w:val="24"/>
                <w:szCs w:val="24"/>
                <w:highlight w:val="none"/>
                <w:vertAlign w:val="subscript"/>
                <w:lang w:eastAsia="zh-CN"/>
              </w:rPr>
              <w:t>ar</w:t>
            </w:r>
            <w:r>
              <w:rPr>
                <w:rFonts w:eastAsia="仿宋"/>
                <w:color w:val="auto"/>
                <w:sz w:val="24"/>
              </w:rPr>
              <w:t>——</w:t>
            </w:r>
            <w:r>
              <w:rPr>
                <w:rFonts w:hint="eastAsia" w:ascii="Times New Roman" w:hAnsi="Times New Roman" w:eastAsia="宋体" w:cs="Times New Roman"/>
                <w:color w:val="auto"/>
                <w:sz w:val="24"/>
                <w:szCs w:val="24"/>
                <w:highlight w:val="none"/>
                <w:lang w:eastAsia="zh-CN"/>
              </w:rPr>
              <w:t>收到基氢的质量分数，3.</w:t>
            </w:r>
            <w:r>
              <w:rPr>
                <w:rFonts w:hint="eastAsia" w:ascii="Times New Roman" w:hAnsi="Times New Roman" w:eastAsia="宋体" w:cs="Times New Roman"/>
                <w:color w:val="auto"/>
                <w:sz w:val="24"/>
                <w:szCs w:val="24"/>
                <w:highlight w:val="none"/>
                <w:lang w:val="en-US" w:eastAsia="zh-CN"/>
              </w:rPr>
              <w:t>17</w:t>
            </w:r>
            <w:r>
              <w:rPr>
                <w:rFonts w:hint="eastAsia" w:ascii="Times New Roman" w:hAnsi="Times New Roman" w:eastAsia="宋体" w:cs="Times New Roman"/>
                <w:color w:val="auto"/>
                <w:sz w:val="24"/>
                <w:szCs w:val="24"/>
                <w:highlight w:val="none"/>
                <w:lang w:eastAsia="zh-CN"/>
              </w:rPr>
              <w:t>%；</w:t>
            </w:r>
          </w:p>
          <w:p w14:paraId="3137A9CF">
            <w:pPr>
              <w:pStyle w:val="85"/>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O</w:t>
            </w:r>
            <w:r>
              <w:rPr>
                <w:rFonts w:hint="eastAsia" w:ascii="Times New Roman" w:hAnsi="Times New Roman" w:eastAsia="宋体" w:cs="Times New Roman"/>
                <w:color w:val="auto"/>
                <w:sz w:val="24"/>
                <w:szCs w:val="24"/>
                <w:highlight w:val="none"/>
                <w:vertAlign w:val="subscript"/>
                <w:lang w:eastAsia="zh-CN"/>
              </w:rPr>
              <w:t>ar</w:t>
            </w:r>
            <w:r>
              <w:rPr>
                <w:rFonts w:eastAsia="仿宋"/>
                <w:color w:val="auto"/>
                <w:sz w:val="24"/>
              </w:rPr>
              <w:t>——</w:t>
            </w:r>
            <w:r>
              <w:rPr>
                <w:rFonts w:hint="eastAsia" w:ascii="Times New Roman" w:hAnsi="Times New Roman" w:eastAsia="宋体" w:cs="Times New Roman"/>
                <w:color w:val="auto"/>
                <w:sz w:val="24"/>
                <w:szCs w:val="24"/>
                <w:highlight w:val="none"/>
                <w:lang w:eastAsia="zh-CN"/>
              </w:rPr>
              <w:t>收到基氧的质量分数，</w:t>
            </w:r>
            <w:r>
              <w:rPr>
                <w:rFonts w:hint="eastAsia" w:ascii="Times New Roman" w:hAnsi="Times New Roman" w:eastAsia="宋体" w:cs="Times New Roman"/>
                <w:color w:val="auto"/>
                <w:sz w:val="24"/>
                <w:szCs w:val="24"/>
                <w:highlight w:val="none"/>
                <w:lang w:val="en-US" w:eastAsia="zh-CN"/>
              </w:rPr>
              <w:t>26.12</w:t>
            </w:r>
            <w:r>
              <w:rPr>
                <w:rFonts w:hint="eastAsia" w:ascii="Times New Roman" w:hAnsi="Times New Roman" w:eastAsia="宋体" w:cs="Times New Roman"/>
                <w:color w:val="auto"/>
                <w:sz w:val="24"/>
                <w:szCs w:val="24"/>
                <w:highlight w:val="none"/>
                <w:lang w:eastAsia="zh-CN"/>
              </w:rPr>
              <w:t>%。</w:t>
            </w:r>
          </w:p>
          <w:p w14:paraId="3E738254">
            <w:pPr>
              <w:pStyle w:val="85"/>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经计算，本项目燃料产生的理论空气量为V</w:t>
            </w:r>
            <w:r>
              <w:rPr>
                <w:rFonts w:hint="eastAsia" w:ascii="Times New Roman" w:hAnsi="Times New Roman" w:eastAsia="宋体" w:cs="Times New Roman"/>
                <w:color w:val="auto"/>
                <w:sz w:val="24"/>
                <w:szCs w:val="24"/>
                <w:highlight w:val="none"/>
                <w:vertAlign w:val="subscript"/>
                <w:lang w:eastAsia="zh-CN"/>
              </w:rPr>
              <w:t>0</w:t>
            </w:r>
            <w:r>
              <w:rPr>
                <w:rFonts w:hint="eastAsia" w:ascii="Times New Roman" w:hAnsi="Times New Roman" w:eastAsia="宋体" w:cs="Times New Roman"/>
                <w:color w:val="auto"/>
                <w:sz w:val="24"/>
                <w:szCs w:val="24"/>
                <w:highlight w:val="none"/>
                <w:lang w:eastAsia="zh-CN"/>
              </w:rPr>
              <w:t>=2.64</w:t>
            </w:r>
            <w:r>
              <w:rPr>
                <w:rFonts w:hint="eastAsia"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eastAsia="zh-CN"/>
              </w:rPr>
              <w:t>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/kg。</w:t>
            </w:r>
          </w:p>
          <w:p w14:paraId="6781BFDF">
            <w:pPr>
              <w:pStyle w:val="85"/>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b.烟气排放量计算：</w:t>
            </w:r>
          </w:p>
          <w:p w14:paraId="76E458BB">
            <w:pPr>
              <w:pStyle w:val="85"/>
              <w:keepLines w:val="0"/>
              <w:pageBreakBefore w:val="0"/>
              <w:topLinePunct w:val="0"/>
              <w:bidi w:val="0"/>
              <w:spacing w:beforeAutospacing="0" w:afterAutospacing="0" w:line="360" w:lineRule="auto"/>
              <w:ind w:left="0" w:leftChars="0" w:right="0" w:rightChars="0" w:firstLine="480" w:firstLineChars="200"/>
              <w:jc w:val="both"/>
              <w:rPr>
                <w:rFonts w:hint="eastAsia"/>
                <w:color w:val="auto"/>
                <w:sz w:val="24"/>
                <w:szCs w:val="24"/>
                <w:highlight w:val="none"/>
                <w:lang w:eastAsia="zh-CN"/>
              </w:rPr>
            </w:pPr>
            <w:r>
              <w:rPr>
                <w:color w:val="auto"/>
              </w:rPr>
              <w:drawing>
                <wp:inline distT="0" distB="0" distL="114300" distR="114300">
                  <wp:extent cx="3743325" cy="638175"/>
                  <wp:effectExtent l="0" t="0" r="9525" b="9525"/>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15"/>
                          <a:stretch>
                            <a:fillRect/>
                          </a:stretch>
                        </pic:blipFill>
                        <pic:spPr>
                          <a:xfrm>
                            <a:off x="0" y="0"/>
                            <a:ext cx="3743325" cy="638175"/>
                          </a:xfrm>
                          <a:prstGeom prst="rect">
                            <a:avLst/>
                          </a:prstGeom>
                          <a:noFill/>
                          <a:ln>
                            <a:noFill/>
                          </a:ln>
                        </pic:spPr>
                      </pic:pic>
                    </a:graphicData>
                  </a:graphic>
                </wp:inline>
              </w:drawing>
            </w:r>
          </w:p>
          <w:p w14:paraId="75B6399C">
            <w:pPr>
              <w:pStyle w:val="85"/>
              <w:keepLines w:val="0"/>
              <w:pageBreakBefore w:val="0"/>
              <w:topLinePunct w:val="0"/>
              <w:bidi w:val="0"/>
              <w:spacing w:beforeAutospacing="0" w:afterAutospacing="0" w:line="360" w:lineRule="auto"/>
              <w:ind w:left="0" w:leftChars="0" w:right="0" w:rightChars="0" w:firstLine="480" w:firstLineChars="200"/>
              <w:jc w:val="both"/>
              <w:rPr>
                <w:rFonts w:hint="eastAsia"/>
                <w:color w:val="auto"/>
                <w:sz w:val="24"/>
                <w:szCs w:val="24"/>
                <w:highlight w:val="none"/>
                <w:lang w:eastAsia="zh-CN"/>
              </w:rPr>
            </w:pPr>
            <w:r>
              <w:rPr>
                <w:color w:val="auto"/>
              </w:rPr>
              <w:drawing>
                <wp:inline distT="0" distB="0" distL="114300" distR="114300">
                  <wp:extent cx="2515870" cy="1070610"/>
                  <wp:effectExtent l="0" t="0" r="17780" b="15240"/>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16"/>
                          <a:srcRect r="39558" b="41458"/>
                          <a:stretch>
                            <a:fillRect/>
                          </a:stretch>
                        </pic:blipFill>
                        <pic:spPr>
                          <a:xfrm>
                            <a:off x="0" y="0"/>
                            <a:ext cx="2515870" cy="1070610"/>
                          </a:xfrm>
                          <a:prstGeom prst="rect">
                            <a:avLst/>
                          </a:prstGeom>
                          <a:noFill/>
                          <a:ln>
                            <a:noFill/>
                          </a:ln>
                        </pic:spPr>
                      </pic:pic>
                    </a:graphicData>
                  </a:graphic>
                </wp:inline>
              </w:drawing>
            </w:r>
          </w:p>
          <w:p w14:paraId="7B6A1B93">
            <w:pPr>
              <w:pStyle w:val="85"/>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式中：V</w:t>
            </w:r>
            <w:r>
              <w:rPr>
                <w:rFonts w:hint="eastAsia" w:ascii="Times New Roman" w:hAnsi="Times New Roman" w:eastAsia="宋体" w:cs="Times New Roman"/>
                <w:color w:val="auto"/>
                <w:sz w:val="24"/>
                <w:szCs w:val="24"/>
                <w:highlight w:val="none"/>
                <w:vertAlign w:val="subscript"/>
                <w:lang w:eastAsia="zh-CN"/>
              </w:rPr>
              <w:t>RO2</w:t>
            </w:r>
            <w:r>
              <w:rPr>
                <w:rFonts w:eastAsia="仿宋"/>
                <w:color w:val="auto"/>
                <w:sz w:val="24"/>
              </w:rPr>
              <w:t>——</w:t>
            </w:r>
            <w:r>
              <w:rPr>
                <w:rFonts w:hint="eastAsia" w:ascii="Times New Roman" w:hAnsi="Times New Roman" w:eastAsia="宋体" w:cs="Times New Roman"/>
                <w:color w:val="auto"/>
                <w:sz w:val="24"/>
                <w:szCs w:val="24"/>
                <w:highlight w:val="none"/>
                <w:lang w:eastAsia="zh-CN"/>
              </w:rPr>
              <w:t>烟气中二氧化碳（VCO</w:t>
            </w:r>
            <w:r>
              <w:rPr>
                <w:rFonts w:hint="eastAsia" w:ascii="Times New Roman" w:hAnsi="Times New Roman" w:eastAsia="宋体" w:cs="Times New Roman"/>
                <w:color w:val="auto"/>
                <w:sz w:val="24"/>
                <w:szCs w:val="24"/>
                <w:highlight w:val="none"/>
                <w:vertAlign w:val="subscript"/>
                <w:lang w:eastAsia="zh-CN"/>
              </w:rPr>
              <w:t>2</w:t>
            </w:r>
            <w:r>
              <w:rPr>
                <w:rFonts w:hint="eastAsia" w:ascii="Times New Roman" w:hAnsi="Times New Roman" w:eastAsia="宋体" w:cs="Times New Roman"/>
                <w:color w:val="auto"/>
                <w:sz w:val="24"/>
                <w:szCs w:val="24"/>
                <w:highlight w:val="none"/>
                <w:lang w:eastAsia="zh-CN"/>
              </w:rPr>
              <w:t>）和二氧化硫（VSO</w:t>
            </w:r>
            <w:r>
              <w:rPr>
                <w:rFonts w:hint="eastAsia" w:ascii="Times New Roman" w:hAnsi="Times New Roman" w:eastAsia="宋体" w:cs="Times New Roman"/>
                <w:color w:val="auto"/>
                <w:sz w:val="24"/>
                <w:szCs w:val="24"/>
                <w:highlight w:val="none"/>
                <w:vertAlign w:val="subscript"/>
                <w:lang w:eastAsia="zh-CN"/>
              </w:rPr>
              <w:t>2</w:t>
            </w:r>
            <w:r>
              <w:rPr>
                <w:rFonts w:hint="eastAsia" w:ascii="Times New Roman" w:hAnsi="Times New Roman" w:eastAsia="宋体" w:cs="Times New Roman"/>
                <w:color w:val="auto"/>
                <w:sz w:val="24"/>
                <w:szCs w:val="24"/>
                <w:highlight w:val="none"/>
                <w:lang w:eastAsia="zh-CN"/>
              </w:rPr>
              <w:t>）容积之和，0.561m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/kg；</w:t>
            </w:r>
          </w:p>
          <w:p w14:paraId="31E748BD">
            <w:pPr>
              <w:pStyle w:val="85"/>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C</w:t>
            </w:r>
            <w:r>
              <w:rPr>
                <w:rFonts w:hint="eastAsia" w:ascii="Times New Roman" w:hAnsi="Times New Roman" w:eastAsia="宋体" w:cs="Times New Roman"/>
                <w:color w:val="auto"/>
                <w:sz w:val="24"/>
                <w:szCs w:val="24"/>
                <w:highlight w:val="none"/>
                <w:vertAlign w:val="subscript"/>
                <w:lang w:eastAsia="zh-CN"/>
              </w:rPr>
              <w:t>ar</w:t>
            </w:r>
            <w:r>
              <w:rPr>
                <w:rFonts w:eastAsia="仿宋"/>
                <w:color w:val="auto"/>
                <w:sz w:val="24"/>
              </w:rPr>
              <w:t>——</w:t>
            </w:r>
            <w:r>
              <w:rPr>
                <w:rFonts w:hint="eastAsia" w:ascii="Times New Roman" w:hAnsi="Times New Roman" w:eastAsia="宋体" w:cs="Times New Roman"/>
                <w:color w:val="auto"/>
                <w:sz w:val="24"/>
                <w:szCs w:val="24"/>
                <w:highlight w:val="none"/>
                <w:lang w:eastAsia="zh-CN"/>
              </w:rPr>
              <w:t>收到基碳的质量分数，</w:t>
            </w:r>
            <w:r>
              <w:rPr>
                <w:rFonts w:hint="eastAsia" w:ascii="Times New Roman" w:hAnsi="Times New Roman" w:eastAsia="宋体" w:cs="Times New Roman"/>
                <w:color w:val="auto"/>
                <w:sz w:val="24"/>
                <w:szCs w:val="24"/>
                <w:highlight w:val="none"/>
                <w:lang w:val="en-US" w:eastAsia="zh-CN"/>
              </w:rPr>
              <w:t>30.06</w:t>
            </w:r>
            <w:r>
              <w:rPr>
                <w:rFonts w:hint="eastAsia" w:ascii="Times New Roman" w:hAnsi="Times New Roman" w:eastAsia="宋体" w:cs="Times New Roman"/>
                <w:color w:val="auto"/>
                <w:sz w:val="24"/>
                <w:szCs w:val="24"/>
                <w:highlight w:val="none"/>
                <w:lang w:eastAsia="zh-CN"/>
              </w:rPr>
              <w:t>%；</w:t>
            </w:r>
          </w:p>
          <w:p w14:paraId="60E439FB">
            <w:pPr>
              <w:pStyle w:val="85"/>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S</w:t>
            </w:r>
            <w:r>
              <w:rPr>
                <w:rFonts w:hint="eastAsia" w:ascii="Times New Roman" w:hAnsi="Times New Roman" w:eastAsia="宋体" w:cs="Times New Roman"/>
                <w:color w:val="auto"/>
                <w:sz w:val="24"/>
                <w:szCs w:val="24"/>
                <w:highlight w:val="none"/>
                <w:vertAlign w:val="subscript"/>
                <w:lang w:eastAsia="zh-CN"/>
              </w:rPr>
              <w:t>a</w:t>
            </w:r>
            <w:r>
              <w:rPr>
                <w:rFonts w:hint="eastAsia" w:ascii="Times New Roman" w:hAnsi="Times New Roman" w:eastAsia="宋体" w:cs="Times New Roman"/>
                <w:color w:val="auto"/>
                <w:sz w:val="24"/>
                <w:szCs w:val="24"/>
                <w:highlight w:val="none"/>
                <w:vertAlign w:val="subscript"/>
                <w:lang w:val="en-US" w:eastAsia="zh-CN"/>
              </w:rPr>
              <w:t>r</w:t>
            </w:r>
            <w:r>
              <w:rPr>
                <w:rFonts w:eastAsia="仿宋"/>
                <w:color w:val="auto"/>
                <w:sz w:val="24"/>
              </w:rPr>
              <w:t>——</w:t>
            </w:r>
            <w:r>
              <w:rPr>
                <w:rFonts w:hint="eastAsia" w:ascii="Times New Roman" w:hAnsi="Times New Roman" w:eastAsia="宋体" w:cs="Times New Roman"/>
                <w:color w:val="auto"/>
                <w:sz w:val="24"/>
                <w:szCs w:val="24"/>
                <w:highlight w:val="none"/>
                <w:lang w:eastAsia="zh-CN"/>
              </w:rPr>
              <w:t>收到基硫的质量分数，0.0</w:t>
            </w:r>
            <w:r>
              <w:rPr>
                <w:rFonts w:hint="eastAsia" w:ascii="Times New Roman" w:hAnsi="Times New Roman" w:eastAsia="宋体"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eastAsia="zh-CN"/>
              </w:rPr>
              <w:t>%；</w:t>
            </w:r>
          </w:p>
          <w:p w14:paraId="1E57C611">
            <w:pPr>
              <w:pStyle w:val="85"/>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N</w:t>
            </w:r>
            <w:r>
              <w:rPr>
                <w:rFonts w:hint="eastAsia" w:ascii="Times New Roman" w:hAnsi="Times New Roman" w:eastAsia="宋体" w:cs="Times New Roman"/>
                <w:color w:val="auto"/>
                <w:sz w:val="24"/>
                <w:szCs w:val="24"/>
                <w:highlight w:val="none"/>
                <w:vertAlign w:val="subscript"/>
                <w:lang w:eastAsia="zh-CN"/>
              </w:rPr>
              <w:t>ar</w:t>
            </w:r>
            <w:r>
              <w:rPr>
                <w:rFonts w:eastAsia="仿宋"/>
                <w:color w:val="auto"/>
                <w:sz w:val="24"/>
              </w:rPr>
              <w:t>——</w:t>
            </w:r>
            <w:r>
              <w:rPr>
                <w:rFonts w:hint="eastAsia" w:ascii="Times New Roman" w:hAnsi="Times New Roman" w:eastAsia="宋体" w:cs="Times New Roman"/>
                <w:color w:val="auto"/>
                <w:sz w:val="24"/>
                <w:szCs w:val="24"/>
                <w:highlight w:val="none"/>
                <w:lang w:eastAsia="zh-CN"/>
              </w:rPr>
              <w:t>收到基氮的质量分数，0.</w:t>
            </w:r>
            <w:r>
              <w:rPr>
                <w:rFonts w:hint="eastAsia" w:ascii="Times New Roman" w:hAnsi="Times New Roman" w:eastAsia="宋体" w:cs="Times New Roman"/>
                <w:color w:val="auto"/>
                <w:sz w:val="24"/>
                <w:szCs w:val="24"/>
                <w:highlight w:val="none"/>
                <w:lang w:val="en-US" w:eastAsia="zh-CN"/>
              </w:rPr>
              <w:t>32</w:t>
            </w:r>
            <w:r>
              <w:rPr>
                <w:rFonts w:hint="eastAsia" w:ascii="Times New Roman" w:hAnsi="Times New Roman" w:eastAsia="宋体" w:cs="Times New Roman"/>
                <w:color w:val="auto"/>
                <w:sz w:val="24"/>
                <w:szCs w:val="24"/>
                <w:highlight w:val="none"/>
                <w:lang w:eastAsia="zh-CN"/>
              </w:rPr>
              <w:t>%；</w:t>
            </w:r>
          </w:p>
          <w:p w14:paraId="32E27AB1">
            <w:pPr>
              <w:pStyle w:val="85"/>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则V</w:t>
            </w:r>
            <w:r>
              <w:rPr>
                <w:rFonts w:hint="eastAsia" w:ascii="Times New Roman" w:hAnsi="Times New Roman" w:eastAsia="宋体" w:cs="Times New Roman"/>
                <w:color w:val="auto"/>
                <w:sz w:val="24"/>
                <w:szCs w:val="24"/>
                <w:highlight w:val="none"/>
                <w:vertAlign w:val="subscript"/>
                <w:lang w:eastAsia="zh-CN"/>
              </w:rPr>
              <w:t>N2</w:t>
            </w:r>
            <w:r>
              <w:rPr>
                <w:rFonts w:eastAsia="仿宋"/>
                <w:color w:val="auto"/>
                <w:sz w:val="24"/>
              </w:rPr>
              <w:t>——</w:t>
            </w:r>
            <w:r>
              <w:rPr>
                <w:rFonts w:hint="eastAsia" w:ascii="Times New Roman" w:hAnsi="Times New Roman" w:eastAsia="宋体" w:cs="Times New Roman"/>
                <w:color w:val="auto"/>
                <w:sz w:val="24"/>
                <w:szCs w:val="24"/>
                <w:highlight w:val="none"/>
                <w:lang w:eastAsia="zh-CN"/>
              </w:rPr>
              <w:t>烟气中氮气量，</w:t>
            </w:r>
            <w:r>
              <w:rPr>
                <w:rFonts w:hint="eastAsia" w:cs="Times New Roman"/>
                <w:color w:val="auto"/>
                <w:sz w:val="24"/>
                <w:szCs w:val="24"/>
                <w:highlight w:val="none"/>
                <w:lang w:val="en-US" w:eastAsia="zh-CN"/>
              </w:rPr>
              <w:t>2.091</w:t>
            </w:r>
            <w:r>
              <w:rPr>
                <w:rFonts w:hint="eastAsia" w:ascii="Times New Roman" w:hAnsi="Times New Roman" w:eastAsia="宋体" w:cs="Times New Roman"/>
                <w:color w:val="auto"/>
                <w:sz w:val="24"/>
                <w:szCs w:val="24"/>
                <w:highlight w:val="none"/>
                <w:lang w:eastAsia="zh-CN"/>
              </w:rPr>
              <w:t>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/kg；</w:t>
            </w:r>
          </w:p>
          <w:p w14:paraId="718FA4D2">
            <w:pPr>
              <w:pStyle w:val="85"/>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V</w:t>
            </w:r>
            <w:r>
              <w:rPr>
                <w:rFonts w:hint="eastAsia" w:ascii="Times New Roman" w:hAnsi="Times New Roman" w:eastAsia="宋体" w:cs="Times New Roman"/>
                <w:color w:val="auto"/>
                <w:sz w:val="24"/>
                <w:szCs w:val="24"/>
                <w:highlight w:val="none"/>
                <w:vertAlign w:val="subscript"/>
                <w:lang w:eastAsia="zh-CN"/>
              </w:rPr>
              <w:t>0</w:t>
            </w:r>
            <w:r>
              <w:rPr>
                <w:rFonts w:eastAsia="仿宋"/>
                <w:color w:val="auto"/>
                <w:sz w:val="24"/>
              </w:rPr>
              <w:t>——</w:t>
            </w:r>
            <w:r>
              <w:rPr>
                <w:rFonts w:hint="eastAsia" w:ascii="Times New Roman" w:hAnsi="Times New Roman" w:eastAsia="宋体" w:cs="Times New Roman"/>
                <w:color w:val="auto"/>
                <w:sz w:val="24"/>
                <w:szCs w:val="24"/>
                <w:highlight w:val="none"/>
                <w:lang w:eastAsia="zh-CN"/>
              </w:rPr>
              <w:t>理论空气量，2.64</w:t>
            </w:r>
            <w:r>
              <w:rPr>
                <w:rFonts w:hint="eastAsia"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eastAsia="zh-CN"/>
              </w:rPr>
              <w:t>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/kg；</w:t>
            </w:r>
          </w:p>
          <w:p w14:paraId="23AFC380">
            <w:pPr>
              <w:pStyle w:val="85"/>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Vg</w:t>
            </w:r>
            <w:r>
              <w:rPr>
                <w:rFonts w:eastAsia="仿宋"/>
                <w:color w:val="auto"/>
                <w:sz w:val="24"/>
              </w:rPr>
              <w:t>——</w:t>
            </w:r>
            <w:r>
              <w:rPr>
                <w:rFonts w:hint="eastAsia" w:ascii="Times New Roman" w:hAnsi="Times New Roman" w:eastAsia="宋体" w:cs="Times New Roman"/>
                <w:color w:val="auto"/>
                <w:sz w:val="24"/>
                <w:szCs w:val="24"/>
                <w:highlight w:val="none"/>
                <w:lang w:eastAsia="zh-CN"/>
              </w:rPr>
              <w:t>干烟气排放量，m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/kg；</w:t>
            </w:r>
          </w:p>
          <w:p w14:paraId="421DD3BA">
            <w:pPr>
              <w:pStyle w:val="85"/>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α</w:t>
            </w:r>
            <w:r>
              <w:rPr>
                <w:rFonts w:eastAsia="仿宋"/>
                <w:color w:val="auto"/>
                <w:sz w:val="24"/>
              </w:rPr>
              <w:t>——</w:t>
            </w:r>
            <w:r>
              <w:rPr>
                <w:rFonts w:hint="eastAsia" w:ascii="Times New Roman" w:hAnsi="Times New Roman" w:eastAsia="宋体" w:cs="Times New Roman"/>
                <w:color w:val="auto"/>
                <w:sz w:val="24"/>
                <w:szCs w:val="24"/>
                <w:highlight w:val="none"/>
                <w:lang w:eastAsia="zh-CN"/>
              </w:rPr>
              <w:t>过量空气系数，燃料燃烧时实际空气供给量与理论空气需要量之比值，参照《污染物源强核算技术指南 锅炉》（HJ991-2018）中生物质燃料锅炉过量空气系数，取1.75，对应基准氧含量为9%；</w:t>
            </w:r>
          </w:p>
          <w:p w14:paraId="61DA6455">
            <w:pPr>
              <w:pStyle w:val="85"/>
              <w:keepLines w:val="0"/>
              <w:pageBreakBefore w:val="0"/>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经计算，本项目干烟气量Vg为</w:t>
            </w:r>
            <w:r>
              <w:rPr>
                <w:rFonts w:hint="eastAsia" w:cs="Times New Roman"/>
                <w:color w:val="auto"/>
                <w:sz w:val="24"/>
                <w:szCs w:val="24"/>
                <w:highlight w:val="none"/>
                <w:lang w:eastAsia="zh-CN"/>
              </w:rPr>
              <w:t>4.635</w:t>
            </w:r>
            <w:r>
              <w:rPr>
                <w:rFonts w:hint="eastAsia" w:ascii="Times New Roman" w:hAnsi="Times New Roman" w:eastAsia="宋体" w:cs="Times New Roman"/>
                <w:color w:val="auto"/>
                <w:sz w:val="24"/>
                <w:szCs w:val="24"/>
                <w:highlight w:val="none"/>
                <w:lang w:eastAsia="zh-CN"/>
              </w:rPr>
              <w:t>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/kg。</w:t>
            </w:r>
          </w:p>
          <w:p w14:paraId="6A94FE19">
            <w:pPr>
              <w:pStyle w:val="85"/>
              <w:keepLines w:val="0"/>
              <w:pageBreakBefore w:val="0"/>
              <w:topLinePunct w:val="0"/>
              <w:bidi w:val="0"/>
              <w:spacing w:beforeAutospacing="0" w:afterAutospacing="0" w:line="360" w:lineRule="auto"/>
              <w:ind w:left="0" w:leftChars="0" w:right="0" w:rightChars="0" w:firstLine="480" w:firstLineChars="200"/>
              <w:jc w:val="both"/>
              <w:rPr>
                <w:rFonts w:hint="default" w:eastAsia="宋体"/>
                <w:color w:val="auto"/>
                <w:sz w:val="24"/>
                <w:szCs w:val="24"/>
                <w:highlight w:val="none"/>
                <w:lang w:val="en-US" w:eastAsia="zh-CN"/>
              </w:rPr>
            </w:pPr>
            <w:r>
              <w:rPr>
                <w:rFonts w:hint="eastAsia" w:ascii="Times New Roman" w:hAnsi="Times New Roman" w:eastAsia="宋体" w:cs="Times New Roman"/>
                <w:color w:val="auto"/>
                <w:sz w:val="24"/>
                <w:szCs w:val="24"/>
                <w:highlight w:val="none"/>
                <w:lang w:eastAsia="zh-CN"/>
              </w:rPr>
              <w:t>本项目年燃生物质量为</w:t>
            </w:r>
            <w:r>
              <w:rPr>
                <w:rFonts w:hint="eastAsia" w:ascii="Times New Roman" w:hAnsi="Times New Roman" w:eastAsia="宋体" w:cs="Times New Roman"/>
                <w:color w:val="auto"/>
                <w:sz w:val="24"/>
                <w:szCs w:val="24"/>
                <w:highlight w:val="none"/>
                <w:lang w:val="en-US" w:eastAsia="zh-CN"/>
              </w:rPr>
              <w:t>6091.2</w:t>
            </w:r>
            <w:r>
              <w:rPr>
                <w:rFonts w:hint="eastAsia" w:ascii="Times New Roman" w:hAnsi="Times New Roman" w:eastAsia="宋体" w:cs="Times New Roman"/>
                <w:color w:val="auto"/>
                <w:sz w:val="24"/>
                <w:szCs w:val="24"/>
                <w:highlight w:val="none"/>
                <w:lang w:eastAsia="zh-CN"/>
              </w:rPr>
              <w:t>t</w:t>
            </w:r>
            <w:r>
              <w:rPr>
                <w:rFonts w:hint="eastAsia" w:ascii="Times New Roman" w:hAnsi="Times New Roman" w:eastAsia="宋体" w:cs="Times New Roman"/>
                <w:color w:val="auto"/>
                <w:sz w:val="24"/>
                <w:szCs w:val="24"/>
                <w:highlight w:val="none"/>
                <w:lang w:val="en-US" w:eastAsia="zh-CN"/>
              </w:rPr>
              <w:t>/a，</w:t>
            </w:r>
            <w:r>
              <w:rPr>
                <w:rFonts w:hint="eastAsia" w:ascii="Times New Roman" w:hAnsi="Times New Roman" w:eastAsia="宋体" w:cs="Times New Roman"/>
                <w:color w:val="auto"/>
                <w:sz w:val="24"/>
                <w:szCs w:val="24"/>
                <w:highlight w:val="none"/>
                <w:lang w:eastAsia="zh-CN"/>
              </w:rPr>
              <w:t>年工作</w:t>
            </w:r>
            <w:r>
              <w:rPr>
                <w:rFonts w:hint="eastAsia" w:cs="Times New Roman"/>
                <w:color w:val="auto"/>
                <w:sz w:val="24"/>
                <w:szCs w:val="24"/>
                <w:highlight w:val="none"/>
                <w:lang w:val="en-US" w:eastAsia="zh-CN"/>
              </w:rPr>
              <w:t>7200</w:t>
            </w:r>
            <w:r>
              <w:rPr>
                <w:rFonts w:hint="eastAsia" w:ascii="Times New Roman" w:hAnsi="Times New Roman" w:eastAsia="宋体" w:cs="Times New Roman"/>
                <w:color w:val="auto"/>
                <w:sz w:val="24"/>
                <w:szCs w:val="24"/>
                <w:highlight w:val="none"/>
                <w:lang w:eastAsia="zh-CN"/>
              </w:rPr>
              <w:t>h，则烟气量为</w:t>
            </w:r>
            <w:r>
              <w:rPr>
                <w:rFonts w:hint="eastAsia" w:ascii="Times New Roman" w:hAnsi="Times New Roman" w:eastAsia="宋体" w:cs="Times New Roman"/>
                <w:color w:val="auto"/>
                <w:sz w:val="24"/>
                <w:szCs w:val="24"/>
                <w:highlight w:val="none"/>
                <w:lang w:val="en-US" w:eastAsia="zh-CN"/>
              </w:rPr>
              <w:t>28232712</w:t>
            </w:r>
            <w:r>
              <w:rPr>
                <w:rFonts w:hint="eastAsia" w:ascii="Times New Roman" w:hAnsi="Times New Roman" w:eastAsia="宋体" w:cs="Times New Roman"/>
                <w:color w:val="auto"/>
                <w:sz w:val="24"/>
                <w:szCs w:val="24"/>
                <w:highlight w:val="none"/>
                <w:lang w:eastAsia="zh-CN"/>
              </w:rPr>
              <w:t>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a</w:t>
            </w:r>
            <w:r>
              <w:rPr>
                <w:rFonts w:hint="eastAsia" w:ascii="Times New Roman" w:hAnsi="Times New Roman" w:eastAsia="宋体" w:cs="Times New Roman"/>
                <w:color w:val="auto"/>
                <w:sz w:val="24"/>
                <w:szCs w:val="24"/>
                <w:highlight w:val="none"/>
                <w:lang w:eastAsia="zh-CN"/>
              </w:rPr>
              <w:t>，</w:t>
            </w:r>
            <w:r>
              <w:rPr>
                <w:rFonts w:hint="eastAsia" w:cs="Times New Roman"/>
                <w:color w:val="auto"/>
                <w:sz w:val="24"/>
                <w:szCs w:val="24"/>
                <w:highlight w:val="none"/>
                <w:lang w:val="en-US" w:eastAsia="zh-CN"/>
              </w:rPr>
              <w:t>3921.21</w:t>
            </w:r>
            <w:r>
              <w:rPr>
                <w:rFonts w:hint="eastAsia" w:ascii="Times New Roman" w:hAnsi="Times New Roman" w:eastAsia="宋体" w:cs="Times New Roman"/>
                <w:color w:val="auto"/>
                <w:sz w:val="24"/>
                <w:szCs w:val="24"/>
                <w:highlight w:val="none"/>
                <w:lang w:eastAsia="zh-CN"/>
              </w:rPr>
              <w:t>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/h。</w:t>
            </w:r>
          </w:p>
          <w:p w14:paraId="51005E4A">
            <w:pPr>
              <w:pStyle w:val="85"/>
              <w:keepNext w:val="0"/>
              <w:keepLines w:val="0"/>
              <w:pageBreakBefore w:val="0"/>
              <w:widowControl/>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baseline"/>
              <w:rPr>
                <w:rFonts w:hint="default"/>
                <w:color w:val="auto"/>
                <w:sz w:val="24"/>
                <w:szCs w:val="24"/>
                <w:highlight w:val="none"/>
                <w:lang w:val="en-US" w:eastAsia="zh-CN"/>
              </w:rPr>
            </w:pPr>
            <w:r>
              <w:rPr>
                <w:rFonts w:hint="eastAsia"/>
                <w:color w:val="auto"/>
                <w:sz w:val="24"/>
                <w:szCs w:val="24"/>
                <w:highlight w:val="none"/>
                <w:lang w:eastAsia="zh-CN"/>
              </w:rPr>
              <w:t>③</w:t>
            </w:r>
            <w:r>
              <w:rPr>
                <w:rFonts w:hint="eastAsia"/>
                <w:color w:val="auto"/>
                <w:sz w:val="24"/>
                <w:szCs w:val="24"/>
                <w:highlight w:val="none"/>
                <w:lang w:val="en-US" w:eastAsia="zh-CN"/>
              </w:rPr>
              <w:t>污染物排放量</w:t>
            </w:r>
          </w:p>
          <w:p w14:paraId="150AE4CF">
            <w:pPr>
              <w:pStyle w:val="85"/>
              <w:keepNext w:val="0"/>
              <w:keepLines w:val="0"/>
              <w:pageBreakBefore w:val="0"/>
              <w:widowControl/>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baseline"/>
              <w:rPr>
                <w:rFonts w:hint="eastAsia" w:eastAsia="宋体"/>
                <w:color w:val="auto"/>
                <w:sz w:val="24"/>
                <w:szCs w:val="24"/>
                <w:highlight w:val="none"/>
                <w:lang w:eastAsia="zh-CN"/>
              </w:rPr>
            </w:pPr>
            <w:r>
              <w:rPr>
                <w:rFonts w:hint="eastAsia"/>
                <w:color w:val="auto"/>
                <w:sz w:val="24"/>
                <w:szCs w:val="24"/>
                <w:highlight w:val="none"/>
                <w:lang w:val="en-US" w:eastAsia="zh-CN"/>
              </w:rPr>
              <w:t>a.</w:t>
            </w:r>
            <w:r>
              <w:rPr>
                <w:rFonts w:hint="eastAsia"/>
                <w:color w:val="auto"/>
                <w:sz w:val="24"/>
                <w:szCs w:val="24"/>
                <w:highlight w:val="none"/>
                <w:lang w:eastAsia="zh-CN"/>
              </w:rPr>
              <w:t>烟尘排放量：</w:t>
            </w:r>
          </w:p>
          <w:p w14:paraId="7198B304">
            <w:pPr>
              <w:keepLines w:val="0"/>
              <w:pageBreakBefore w:val="0"/>
              <w:topLinePunct w:val="0"/>
              <w:bidi w:val="0"/>
              <w:spacing w:beforeAutospacing="0" w:afterAutospacing="0" w:line="360" w:lineRule="auto"/>
              <w:ind w:left="0" w:leftChars="0" w:right="0" w:rightChars="0" w:firstLine="480" w:firstLineChars="200"/>
              <w:jc w:val="center"/>
              <w:rPr>
                <w:rFonts w:hint="eastAsia" w:eastAsia="宋体"/>
                <w:color w:val="auto"/>
                <w:sz w:val="24"/>
                <w:szCs w:val="24"/>
                <w:highlight w:val="none"/>
                <w:lang w:eastAsia="zh-CN"/>
              </w:rPr>
            </w:pPr>
            <w:r>
              <w:rPr>
                <w:rFonts w:hint="eastAsia" w:eastAsia="宋体"/>
                <w:color w:val="auto"/>
                <w:sz w:val="24"/>
                <w:szCs w:val="24"/>
                <w:highlight w:val="none"/>
                <w:lang w:eastAsia="zh-CN"/>
              </w:rPr>
              <w:drawing>
                <wp:inline distT="0" distB="0" distL="114300" distR="114300">
                  <wp:extent cx="3762375" cy="809625"/>
                  <wp:effectExtent l="0" t="0" r="9525" b="9525"/>
                  <wp:docPr id="14" name="图片 14" descr="1678344295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678344295114"/>
                          <pic:cNvPicPr>
                            <a:picLocks noChangeAspect="1"/>
                          </pic:cNvPicPr>
                        </pic:nvPicPr>
                        <pic:blipFill>
                          <a:blip r:embed="rId17"/>
                          <a:stretch>
                            <a:fillRect/>
                          </a:stretch>
                        </pic:blipFill>
                        <pic:spPr>
                          <a:xfrm>
                            <a:off x="0" y="0"/>
                            <a:ext cx="3762375" cy="809625"/>
                          </a:xfrm>
                          <a:prstGeom prst="rect">
                            <a:avLst/>
                          </a:prstGeom>
                        </pic:spPr>
                      </pic:pic>
                    </a:graphicData>
                  </a:graphic>
                </wp:inline>
              </w:drawing>
            </w:r>
          </w:p>
          <w:p w14:paraId="7D432F0A">
            <w:pPr>
              <w:pStyle w:val="2"/>
              <w:keepLines w:val="0"/>
              <w:pageBreakBefore w:val="0"/>
              <w:topLinePunct w:val="0"/>
              <w:bidi w:val="0"/>
              <w:spacing w:before="0" w:beforeAutospacing="0" w:after="0" w:afterAutospacing="0" w:line="360" w:lineRule="auto"/>
              <w:ind w:right="0" w:rightChars="0" w:firstLine="480" w:firstLineChars="200"/>
              <w:rPr>
                <w:rFonts w:hint="default" w:eastAsia="宋体"/>
                <w:color w:val="auto"/>
                <w:sz w:val="24"/>
                <w:szCs w:val="24"/>
                <w:highlight w:val="none"/>
                <w:lang w:val="en-US" w:eastAsia="zh-CN"/>
              </w:rPr>
            </w:pPr>
            <w:r>
              <w:rPr>
                <w:rFonts w:hint="eastAsia" w:eastAsia="宋体"/>
                <w:color w:val="auto"/>
                <w:sz w:val="24"/>
                <w:szCs w:val="24"/>
                <w:highlight w:val="none"/>
              </w:rPr>
              <w:t>式中</w:t>
            </w:r>
            <w:r>
              <w:rPr>
                <w:rFonts w:hint="eastAsia"/>
                <w:color w:val="auto"/>
                <w:sz w:val="24"/>
                <w:szCs w:val="24"/>
                <w:highlight w:val="none"/>
                <w:lang w:eastAsia="zh-CN"/>
              </w:rPr>
              <w:t>：</w:t>
            </w:r>
            <w:r>
              <w:rPr>
                <w:rFonts w:hint="eastAsia" w:eastAsia="宋体"/>
                <w:color w:val="auto"/>
                <w:sz w:val="24"/>
                <w:szCs w:val="24"/>
                <w:highlight w:val="none"/>
              </w:rPr>
              <w:t>E</w:t>
            </w:r>
            <w:r>
              <w:rPr>
                <w:rFonts w:hint="eastAsia"/>
                <w:color w:val="auto"/>
                <w:sz w:val="24"/>
                <w:szCs w:val="24"/>
                <w:highlight w:val="none"/>
                <w:vertAlign w:val="subscript"/>
                <w:lang w:val="en-US" w:eastAsia="zh-CN"/>
              </w:rPr>
              <w:t>A</w:t>
            </w:r>
            <w:r>
              <w:rPr>
                <w:rFonts w:eastAsia="仿宋"/>
                <w:color w:val="auto"/>
                <w:sz w:val="24"/>
              </w:rPr>
              <w:t>——</w:t>
            </w:r>
            <w:r>
              <w:rPr>
                <w:rFonts w:hint="eastAsia" w:eastAsia="宋体"/>
                <w:color w:val="auto"/>
                <w:sz w:val="24"/>
                <w:szCs w:val="24"/>
                <w:highlight w:val="none"/>
              </w:rPr>
              <w:t>核算时段内颗粒物</w:t>
            </w:r>
            <w:r>
              <w:rPr>
                <w:rFonts w:hint="eastAsia"/>
                <w:color w:val="auto"/>
                <w:sz w:val="24"/>
                <w:szCs w:val="24"/>
                <w:highlight w:val="none"/>
                <w:lang w:eastAsia="zh-CN"/>
              </w:rPr>
              <w:t>（</w:t>
            </w:r>
            <w:r>
              <w:rPr>
                <w:rFonts w:hint="eastAsia" w:eastAsia="宋体"/>
                <w:color w:val="auto"/>
                <w:sz w:val="24"/>
                <w:szCs w:val="24"/>
                <w:highlight w:val="none"/>
              </w:rPr>
              <w:t>烟尘</w:t>
            </w:r>
            <w:r>
              <w:rPr>
                <w:rFonts w:hint="eastAsia"/>
                <w:color w:val="auto"/>
                <w:sz w:val="24"/>
                <w:szCs w:val="24"/>
                <w:highlight w:val="none"/>
                <w:lang w:eastAsia="zh-CN"/>
              </w:rPr>
              <w:t>）</w:t>
            </w:r>
            <w:r>
              <w:rPr>
                <w:rFonts w:hint="eastAsia" w:eastAsia="宋体"/>
                <w:color w:val="auto"/>
                <w:sz w:val="24"/>
                <w:szCs w:val="24"/>
                <w:highlight w:val="none"/>
              </w:rPr>
              <w:t>排放量</w:t>
            </w:r>
            <w:r>
              <w:rPr>
                <w:rFonts w:hint="eastAsia"/>
                <w:color w:val="auto"/>
                <w:sz w:val="24"/>
                <w:szCs w:val="24"/>
                <w:highlight w:val="none"/>
                <w:lang w:eastAsia="zh-CN"/>
              </w:rPr>
              <w:t>，</w:t>
            </w:r>
            <w:r>
              <w:rPr>
                <w:rFonts w:hint="eastAsia"/>
                <w:color w:val="auto"/>
                <w:sz w:val="24"/>
                <w:szCs w:val="24"/>
                <w:highlight w:val="none"/>
                <w:lang w:val="en-US" w:eastAsia="zh-CN"/>
              </w:rPr>
              <w:t>t；</w:t>
            </w:r>
          </w:p>
          <w:p w14:paraId="5D40C462">
            <w:pPr>
              <w:keepLines w:val="0"/>
              <w:pageBreakBefore w:val="0"/>
              <w:topLinePunct w:val="0"/>
              <w:bidi w:val="0"/>
              <w:spacing w:beforeAutospacing="0" w:afterAutospacing="0" w:line="360" w:lineRule="auto"/>
              <w:ind w:left="0" w:leftChars="0" w:right="0" w:rightChars="0" w:firstLine="480" w:firstLineChars="200"/>
              <w:rPr>
                <w:rFonts w:hint="eastAsia" w:eastAsia="宋体"/>
                <w:color w:val="auto"/>
                <w:sz w:val="24"/>
                <w:szCs w:val="24"/>
                <w:highlight w:val="none"/>
                <w:lang w:eastAsia="zh-CN"/>
              </w:rPr>
            </w:pPr>
            <w:r>
              <w:rPr>
                <w:rFonts w:hint="eastAsia" w:eastAsia="宋体"/>
                <w:color w:val="auto"/>
                <w:sz w:val="24"/>
                <w:szCs w:val="24"/>
                <w:highlight w:val="none"/>
              </w:rPr>
              <w:t>R</w:t>
            </w:r>
            <w:r>
              <w:rPr>
                <w:rFonts w:eastAsia="仿宋"/>
                <w:color w:val="auto"/>
                <w:sz w:val="24"/>
              </w:rPr>
              <w:t>——</w:t>
            </w:r>
            <w:r>
              <w:rPr>
                <w:rFonts w:hint="eastAsia" w:eastAsia="宋体"/>
                <w:color w:val="auto"/>
                <w:sz w:val="24"/>
                <w:szCs w:val="24"/>
                <w:highlight w:val="none"/>
              </w:rPr>
              <w:t>核算时段内锅炉燃料耗量</w:t>
            </w:r>
            <w:r>
              <w:rPr>
                <w:rFonts w:hint="eastAsia"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sz w:val="24"/>
                <w:szCs w:val="24"/>
                <w:highlight w:val="none"/>
                <w:lang w:val="en-US" w:eastAsia="zh-CN"/>
              </w:rPr>
              <w:t>6091.2</w:t>
            </w:r>
            <w:r>
              <w:rPr>
                <w:rFonts w:hint="eastAsia" w:ascii="Times New Roman" w:hAnsi="Times New Roman" w:eastAsia="宋体" w:cs="Times New Roman"/>
                <w:color w:val="auto"/>
                <w:kern w:val="0"/>
                <w:sz w:val="24"/>
                <w:szCs w:val="24"/>
                <w:highlight w:val="none"/>
                <w:lang w:val="en-US" w:eastAsia="zh-CN" w:bidi="ar-SA"/>
              </w:rPr>
              <w:t>t；</w:t>
            </w:r>
          </w:p>
          <w:p w14:paraId="6A4CA2CB">
            <w:pPr>
              <w:pStyle w:val="2"/>
              <w:keepLines w:val="0"/>
              <w:pageBreakBefore w:val="0"/>
              <w:topLinePunct w:val="0"/>
              <w:bidi w:val="0"/>
              <w:spacing w:before="0" w:beforeAutospacing="0" w:after="0" w:afterAutospacing="0" w:line="360" w:lineRule="auto"/>
              <w:ind w:left="0" w:leftChars="0" w:right="0" w:rightChars="0" w:firstLine="480" w:firstLineChars="200"/>
              <w:rPr>
                <w:rFonts w:hint="eastAsia" w:eastAsia="宋体"/>
                <w:color w:val="auto"/>
                <w:sz w:val="24"/>
                <w:szCs w:val="24"/>
                <w:highlight w:val="none"/>
                <w:lang w:eastAsia="zh-CN"/>
              </w:rPr>
            </w:pPr>
            <w:r>
              <w:rPr>
                <w:rFonts w:hint="eastAsia" w:eastAsia="宋体"/>
                <w:color w:val="auto"/>
                <w:sz w:val="24"/>
                <w:szCs w:val="24"/>
                <w:highlight w:val="none"/>
              </w:rPr>
              <w:t>A</w:t>
            </w:r>
            <w:r>
              <w:rPr>
                <w:rFonts w:hint="eastAsia"/>
                <w:color w:val="auto"/>
                <w:sz w:val="24"/>
                <w:szCs w:val="24"/>
                <w:highlight w:val="none"/>
                <w:vertAlign w:val="subscript"/>
                <w:lang w:val="en-US" w:eastAsia="zh-CN"/>
              </w:rPr>
              <w:t>ar</w:t>
            </w:r>
            <w:r>
              <w:rPr>
                <w:rFonts w:eastAsia="仿宋"/>
                <w:color w:val="auto"/>
                <w:sz w:val="24"/>
              </w:rPr>
              <w:t>——</w:t>
            </w:r>
            <w:r>
              <w:rPr>
                <w:rFonts w:hint="eastAsia" w:eastAsia="宋体"/>
                <w:color w:val="auto"/>
                <w:sz w:val="24"/>
                <w:szCs w:val="24"/>
                <w:highlight w:val="none"/>
              </w:rPr>
              <w:t>收到基灰分的质量分数，</w:t>
            </w:r>
            <w:r>
              <w:rPr>
                <w:rFonts w:hint="eastAsia"/>
                <w:color w:val="auto"/>
                <w:sz w:val="24"/>
                <w:szCs w:val="24"/>
                <w:highlight w:val="none"/>
                <w:lang w:val="en-US" w:eastAsia="zh-CN"/>
              </w:rPr>
              <w:t>3.06</w:t>
            </w:r>
            <w:r>
              <w:rPr>
                <w:rFonts w:hint="eastAsia" w:eastAsia="宋体"/>
                <w:color w:val="auto"/>
                <w:sz w:val="24"/>
                <w:szCs w:val="24"/>
                <w:highlight w:val="none"/>
              </w:rPr>
              <w:t>%</w:t>
            </w:r>
            <w:r>
              <w:rPr>
                <w:rFonts w:hint="eastAsia"/>
                <w:color w:val="auto"/>
                <w:sz w:val="24"/>
                <w:szCs w:val="24"/>
                <w:highlight w:val="none"/>
                <w:lang w:eastAsia="zh-CN"/>
              </w:rPr>
              <w:t>；</w:t>
            </w:r>
          </w:p>
          <w:p w14:paraId="64CD9FF9">
            <w:pPr>
              <w:keepLines w:val="0"/>
              <w:pageBreakBefore w:val="0"/>
              <w:topLinePunct w:val="0"/>
              <w:bidi w:val="0"/>
              <w:spacing w:beforeAutospacing="0" w:afterAutospacing="0" w:line="360" w:lineRule="auto"/>
              <w:ind w:left="0" w:leftChars="0" w:right="0" w:rightChars="0" w:firstLine="480" w:firstLineChars="200"/>
              <w:rPr>
                <w:rFonts w:hint="eastAsia" w:eastAsia="宋体"/>
                <w:color w:val="auto"/>
                <w:sz w:val="24"/>
                <w:szCs w:val="24"/>
                <w:highlight w:val="none"/>
                <w:lang w:eastAsia="zh-CN"/>
              </w:rPr>
            </w:pPr>
            <w:r>
              <w:rPr>
                <w:rFonts w:hint="eastAsia" w:eastAsia="宋体"/>
                <w:color w:val="auto"/>
                <w:sz w:val="24"/>
                <w:szCs w:val="24"/>
                <w:highlight w:val="none"/>
              </w:rPr>
              <w:t>d</w:t>
            </w:r>
            <w:r>
              <w:rPr>
                <w:rFonts w:hint="eastAsia"/>
                <w:color w:val="auto"/>
                <w:sz w:val="24"/>
                <w:szCs w:val="24"/>
                <w:highlight w:val="none"/>
                <w:vertAlign w:val="subscript"/>
                <w:lang w:val="en-US" w:eastAsia="zh-CN"/>
              </w:rPr>
              <w:t>fh</w:t>
            </w:r>
            <w:r>
              <w:rPr>
                <w:rFonts w:eastAsia="仿宋"/>
                <w:color w:val="auto"/>
                <w:sz w:val="24"/>
              </w:rPr>
              <w:t>——</w:t>
            </w:r>
            <w:r>
              <w:rPr>
                <w:rFonts w:hint="eastAsia" w:eastAsia="宋体"/>
                <w:color w:val="auto"/>
                <w:sz w:val="24"/>
                <w:szCs w:val="24"/>
                <w:highlight w:val="none"/>
              </w:rPr>
              <w:t>锅炉烟气带出的飞灰份额，</w:t>
            </w:r>
            <w:r>
              <w:rPr>
                <w:rFonts w:hint="eastAsia" w:cs="Times New Roman"/>
                <w:color w:val="auto"/>
                <w:kern w:val="0"/>
                <w:sz w:val="24"/>
                <w:szCs w:val="24"/>
                <w:highlight w:val="none"/>
                <w:lang w:val="en-US" w:eastAsia="zh-CN" w:bidi="ar-SA"/>
              </w:rPr>
              <w:t>本项目锅炉为链条炉，根据</w:t>
            </w:r>
            <w:r>
              <w:rPr>
                <w:rFonts w:hint="eastAsia"/>
                <w:color w:val="auto"/>
                <w:sz w:val="24"/>
                <w:szCs w:val="24"/>
                <w:highlight w:val="none"/>
                <w:lang w:eastAsia="zh-CN"/>
              </w:rPr>
              <w:t>《污染源源强核算技术指南 锅炉》</w:t>
            </w:r>
            <w:r>
              <w:rPr>
                <w:rFonts w:hint="eastAsia"/>
                <w:color w:val="auto"/>
                <w:sz w:val="24"/>
                <w:szCs w:val="24"/>
                <w:highlight w:val="none"/>
                <w:lang w:val="en-US" w:eastAsia="zh-CN"/>
              </w:rPr>
              <w:t>表B.2，生物质链条炉</w:t>
            </w:r>
            <w:r>
              <w:rPr>
                <w:rFonts w:hint="eastAsia" w:eastAsia="宋体"/>
                <w:color w:val="auto"/>
                <w:sz w:val="24"/>
                <w:szCs w:val="24"/>
                <w:highlight w:val="none"/>
              </w:rPr>
              <w:t>d</w:t>
            </w:r>
            <w:r>
              <w:rPr>
                <w:rFonts w:hint="eastAsia"/>
                <w:color w:val="auto"/>
                <w:sz w:val="24"/>
                <w:szCs w:val="24"/>
                <w:highlight w:val="none"/>
                <w:vertAlign w:val="subscript"/>
                <w:lang w:val="en-US" w:eastAsia="zh-CN"/>
              </w:rPr>
              <w:t>fh</w:t>
            </w:r>
            <w:r>
              <w:rPr>
                <w:rFonts w:hint="eastAsia"/>
                <w:color w:val="auto"/>
                <w:sz w:val="24"/>
                <w:szCs w:val="24"/>
                <w:highlight w:val="none"/>
                <w:lang w:val="en-US" w:eastAsia="zh-CN"/>
              </w:rPr>
              <w:t>取值40%~50%，本项目取</w:t>
            </w:r>
            <w:r>
              <w:rPr>
                <w:rFonts w:hint="eastAsia" w:cs="Times New Roman"/>
                <w:color w:val="auto"/>
                <w:kern w:val="0"/>
                <w:sz w:val="24"/>
                <w:szCs w:val="24"/>
                <w:highlight w:val="none"/>
                <w:lang w:val="en-US" w:eastAsia="zh-CN" w:bidi="ar-SA"/>
              </w:rPr>
              <w:t>50</w:t>
            </w:r>
            <w:r>
              <w:rPr>
                <w:rFonts w:hint="eastAsia" w:eastAsia="宋体"/>
                <w:color w:val="auto"/>
                <w:sz w:val="24"/>
                <w:szCs w:val="24"/>
                <w:highlight w:val="none"/>
              </w:rPr>
              <w:t>%</w:t>
            </w:r>
            <w:r>
              <w:rPr>
                <w:rFonts w:hint="eastAsia"/>
                <w:color w:val="auto"/>
                <w:sz w:val="24"/>
                <w:szCs w:val="24"/>
                <w:highlight w:val="none"/>
                <w:lang w:eastAsia="zh-CN"/>
              </w:rPr>
              <w:t>；</w:t>
            </w:r>
          </w:p>
          <w:p w14:paraId="727A067E">
            <w:pPr>
              <w:pStyle w:val="2"/>
              <w:keepLines w:val="0"/>
              <w:pageBreakBefore w:val="0"/>
              <w:topLinePunct w:val="0"/>
              <w:bidi w:val="0"/>
              <w:spacing w:before="0" w:beforeAutospacing="0" w:after="0" w:afterAutospacing="0" w:line="360" w:lineRule="auto"/>
              <w:ind w:left="0" w:leftChars="0" w:right="0" w:rightChars="0" w:firstLine="480" w:firstLineChars="200"/>
              <w:rPr>
                <w:rFonts w:hint="eastAsia" w:ascii="Times New Roman" w:hAnsi="Times New Roman" w:eastAsia="仿宋"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η</w:t>
            </w:r>
            <w:r>
              <w:rPr>
                <w:rFonts w:hint="default" w:ascii="Times New Roman" w:hAnsi="Times New Roman" w:cs="Times New Roman"/>
                <w:color w:val="auto"/>
                <w:sz w:val="24"/>
                <w:szCs w:val="24"/>
                <w:highlight w:val="none"/>
                <w:vertAlign w:val="subscript"/>
                <w:lang w:val="en-US" w:eastAsia="zh-CN"/>
              </w:rPr>
              <w:t>c</w:t>
            </w:r>
            <w:r>
              <w:rPr>
                <w:rFonts w:eastAsia="仿宋"/>
                <w:color w:val="auto"/>
                <w:sz w:val="24"/>
              </w:rPr>
              <w:t>——</w:t>
            </w:r>
            <w:r>
              <w:rPr>
                <w:rFonts w:hint="eastAsia" w:ascii="Times New Roman" w:hAnsi="Times New Roman" w:eastAsia="宋体" w:cs="Times New Roman"/>
                <w:color w:val="auto"/>
                <w:kern w:val="2"/>
                <w:sz w:val="24"/>
                <w:szCs w:val="24"/>
                <w:highlight w:val="none"/>
                <w:lang w:val="en-US" w:eastAsia="zh-CN" w:bidi="ar-SA"/>
              </w:rPr>
              <w:t>综合除尘效率，</w:t>
            </w:r>
            <w:r>
              <w:rPr>
                <w:rFonts w:hint="eastAsia" w:eastAsia="宋体" w:cs="Times New Roman"/>
                <w:color w:val="auto"/>
                <w:kern w:val="2"/>
                <w:sz w:val="24"/>
                <w:szCs w:val="24"/>
                <w:highlight w:val="none"/>
                <w:lang w:val="en-US" w:eastAsia="zh-CN" w:bidi="ar-SA"/>
              </w:rPr>
              <w:t>99%</w:t>
            </w:r>
            <w:r>
              <w:rPr>
                <w:rFonts w:hint="eastAsia" w:eastAsia="仿宋"/>
                <w:color w:val="auto"/>
                <w:sz w:val="24"/>
                <w:lang w:eastAsia="zh-CN"/>
              </w:rPr>
              <w:t>；</w:t>
            </w:r>
          </w:p>
          <w:p w14:paraId="70BFA9D1">
            <w:pPr>
              <w:keepLines w:val="0"/>
              <w:pageBreakBefore w:val="0"/>
              <w:topLinePunct w:val="0"/>
              <w:bidi w:val="0"/>
              <w:spacing w:beforeAutospacing="0" w:afterAutospacing="0" w:line="360" w:lineRule="auto"/>
              <w:ind w:left="0" w:leftChars="0" w:right="0" w:rightChars="0" w:firstLine="480" w:firstLineChars="200"/>
              <w:rPr>
                <w:rFonts w:hint="default" w:eastAsia="宋体"/>
                <w:color w:val="auto"/>
                <w:sz w:val="24"/>
                <w:szCs w:val="24"/>
                <w:highlight w:val="none"/>
                <w:lang w:val="en-US" w:eastAsia="zh-CN"/>
              </w:rPr>
            </w:pPr>
            <w:r>
              <w:rPr>
                <w:rFonts w:hint="eastAsia"/>
                <w:color w:val="auto"/>
                <w:sz w:val="24"/>
                <w:szCs w:val="24"/>
                <w:highlight w:val="none"/>
                <w:lang w:val="en-US" w:eastAsia="zh-CN"/>
              </w:rPr>
              <w:t>C</w:t>
            </w:r>
            <w:r>
              <w:rPr>
                <w:rFonts w:hint="eastAsia"/>
                <w:color w:val="auto"/>
                <w:sz w:val="24"/>
                <w:szCs w:val="24"/>
                <w:highlight w:val="none"/>
                <w:vertAlign w:val="subscript"/>
                <w:lang w:val="en-US" w:eastAsia="zh-CN"/>
              </w:rPr>
              <w:t>fh</w:t>
            </w:r>
            <w:r>
              <w:rPr>
                <w:rFonts w:eastAsia="仿宋"/>
                <w:color w:val="auto"/>
                <w:sz w:val="24"/>
              </w:rPr>
              <w:t>——</w:t>
            </w:r>
            <w:r>
              <w:rPr>
                <w:rFonts w:hint="eastAsia" w:ascii="Times New Roman" w:hAnsi="Times New Roman" w:eastAsia="宋体" w:cs="Times New Roman"/>
                <w:color w:val="auto"/>
                <w:kern w:val="2"/>
                <w:sz w:val="24"/>
                <w:szCs w:val="24"/>
                <w:highlight w:val="none"/>
                <w:lang w:val="en-US" w:eastAsia="zh-CN" w:bidi="ar-SA"/>
              </w:rPr>
              <w:t>飞灰中的可燃物含量，</w:t>
            </w:r>
            <w:r>
              <w:rPr>
                <w:rFonts w:hint="eastAsia" w:cs="Times New Roman"/>
                <w:color w:val="auto"/>
                <w:kern w:val="2"/>
                <w:sz w:val="24"/>
                <w:szCs w:val="24"/>
                <w:highlight w:val="none"/>
                <w:lang w:val="en-US" w:eastAsia="zh-CN" w:bidi="ar-SA"/>
              </w:rPr>
              <w:t>本</w:t>
            </w:r>
            <w:r>
              <w:rPr>
                <w:rFonts w:hint="eastAsia" w:ascii="Times New Roman" w:hAnsi="Times New Roman" w:eastAsia="宋体" w:cs="Times New Roman"/>
                <w:color w:val="auto"/>
                <w:kern w:val="0"/>
                <w:sz w:val="24"/>
                <w:szCs w:val="24"/>
                <w:highlight w:val="none"/>
                <w:lang w:val="en-US" w:eastAsia="zh-CN" w:bidi="ar-SA"/>
              </w:rPr>
              <w:t>项目锅炉为链条炉，使用生物质成型燃料，飞灰中可燃物含量类比烟煤Ⅱ类，根据《工业锅炉经济运行》（GB/T17954-2007），</w:t>
            </w:r>
            <w:r>
              <w:rPr>
                <w:rFonts w:hint="eastAsia" w:cs="Times New Roman"/>
                <w:color w:val="auto"/>
                <w:kern w:val="0"/>
                <w:sz w:val="24"/>
                <w:szCs w:val="24"/>
                <w:highlight w:val="none"/>
                <w:lang w:val="en-US" w:eastAsia="zh-CN" w:bidi="ar-SA"/>
              </w:rPr>
              <w:t>本项目</w:t>
            </w:r>
            <w:r>
              <w:rPr>
                <w:rFonts w:hint="eastAsia" w:ascii="Times New Roman" w:hAnsi="Times New Roman" w:eastAsia="宋体" w:cs="Times New Roman"/>
                <w:color w:val="auto"/>
                <w:kern w:val="0"/>
                <w:sz w:val="24"/>
                <w:szCs w:val="24"/>
                <w:highlight w:val="none"/>
                <w:lang w:val="en-US" w:eastAsia="zh-CN" w:bidi="ar-SA"/>
              </w:rPr>
              <w:t>取16%。</w:t>
            </w:r>
          </w:p>
          <w:p w14:paraId="4D8BE6E7">
            <w:pPr>
              <w:pStyle w:val="2"/>
              <w:keepLines w:val="0"/>
              <w:pageBreakBefore w:val="0"/>
              <w:topLinePunct w:val="0"/>
              <w:bidi w:val="0"/>
              <w:spacing w:before="0" w:beforeAutospacing="0" w:after="0" w:afterAutospacing="0" w:line="360" w:lineRule="auto"/>
              <w:ind w:right="0" w:rightChars="0" w:firstLine="480" w:firstLineChars="200"/>
              <w:rPr>
                <w:rFonts w:hint="default"/>
                <w:color w:val="auto"/>
                <w:lang w:val="en-US"/>
              </w:rPr>
            </w:pPr>
            <w:r>
              <w:rPr>
                <w:rFonts w:hint="eastAsia" w:eastAsia="宋体"/>
                <w:color w:val="auto"/>
                <w:sz w:val="24"/>
                <w:szCs w:val="24"/>
                <w:highlight w:val="none"/>
              </w:rPr>
              <w:t>E</w:t>
            </w:r>
            <w:r>
              <w:rPr>
                <w:rFonts w:hint="eastAsia"/>
                <w:color w:val="auto"/>
                <w:sz w:val="24"/>
                <w:szCs w:val="24"/>
                <w:highlight w:val="none"/>
                <w:vertAlign w:val="subscript"/>
                <w:lang w:val="en-US" w:eastAsia="zh-CN"/>
              </w:rPr>
              <w:t>A</w:t>
            </w:r>
            <w:r>
              <w:rPr>
                <w:rFonts w:hint="eastAsia"/>
                <w:color w:val="auto"/>
                <w:sz w:val="24"/>
                <w:szCs w:val="24"/>
                <w:highlight w:val="none"/>
                <w:vertAlign w:val="baseline"/>
                <w:lang w:val="en-US" w:eastAsia="zh-CN"/>
              </w:rPr>
              <w:t>=（</w:t>
            </w:r>
            <w:r>
              <w:rPr>
                <w:rFonts w:hint="eastAsia" w:ascii="Times New Roman" w:hAnsi="Times New Roman" w:eastAsia="宋体" w:cs="Times New Roman"/>
                <w:color w:val="auto"/>
                <w:sz w:val="24"/>
                <w:szCs w:val="24"/>
                <w:highlight w:val="none"/>
                <w:lang w:val="en-US" w:eastAsia="zh-CN"/>
              </w:rPr>
              <w:t>6091.2</w:t>
            </w:r>
            <w:r>
              <w:rPr>
                <w:rFonts w:hint="eastAsia"/>
                <w:color w:val="auto"/>
                <w:sz w:val="24"/>
                <w:szCs w:val="24"/>
                <w:highlight w:val="none"/>
                <w:vertAlign w:val="baseline"/>
                <w:lang w:val="en-US" w:eastAsia="zh-CN"/>
              </w:rPr>
              <w:t>×0.0306×0.5×0.01）÷0.84=1.109t/a</w:t>
            </w:r>
          </w:p>
          <w:p w14:paraId="7FCE4A6D">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auto"/>
              <w:rPr>
                <w:rFonts w:hint="default"/>
                <w:color w:val="auto"/>
                <w:sz w:val="24"/>
                <w:szCs w:val="32"/>
                <w:lang w:val="en-US" w:eastAsia="zh-CN"/>
              </w:rPr>
            </w:pPr>
            <w:r>
              <w:rPr>
                <w:rFonts w:hint="eastAsia"/>
                <w:color w:val="auto"/>
                <w:sz w:val="24"/>
                <w:szCs w:val="32"/>
                <w:lang w:val="en-US" w:eastAsia="zh-CN"/>
              </w:rPr>
              <w:t>b.二氧化硫排放量</w:t>
            </w:r>
          </w:p>
          <w:p w14:paraId="5DAB8E59">
            <w:pPr>
              <w:pStyle w:val="2"/>
              <w:keepLines w:val="0"/>
              <w:pageBreakBefore w:val="0"/>
              <w:topLinePunct w:val="0"/>
              <w:bidi w:val="0"/>
              <w:spacing w:before="0" w:beforeAutospacing="0" w:after="0" w:afterAutospacing="0" w:line="360" w:lineRule="auto"/>
              <w:ind w:left="0" w:leftChars="0" w:right="0" w:rightChars="0" w:firstLine="560" w:firstLineChars="200"/>
              <w:jc w:val="center"/>
              <w:rPr>
                <w:rFonts w:hint="eastAsia" w:eastAsia="宋体"/>
                <w:color w:val="auto"/>
                <w:lang w:eastAsia="zh-CN"/>
              </w:rPr>
            </w:pPr>
            <w:r>
              <w:rPr>
                <w:rFonts w:hint="eastAsia" w:eastAsia="宋体"/>
                <w:color w:val="auto"/>
                <w:lang w:eastAsia="zh-CN"/>
              </w:rPr>
              <w:drawing>
                <wp:inline distT="0" distB="0" distL="114300" distR="114300">
                  <wp:extent cx="3078480" cy="533400"/>
                  <wp:effectExtent l="0" t="0" r="7620" b="0"/>
                  <wp:docPr id="23" name="图片 23" descr="16785940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678594096(1)"/>
                          <pic:cNvPicPr>
                            <a:picLocks noChangeAspect="1"/>
                          </pic:cNvPicPr>
                        </pic:nvPicPr>
                        <pic:blipFill>
                          <a:blip r:embed="rId18"/>
                          <a:stretch>
                            <a:fillRect/>
                          </a:stretch>
                        </pic:blipFill>
                        <pic:spPr>
                          <a:xfrm>
                            <a:off x="0" y="0"/>
                            <a:ext cx="3078480" cy="533400"/>
                          </a:xfrm>
                          <a:prstGeom prst="rect">
                            <a:avLst/>
                          </a:prstGeom>
                        </pic:spPr>
                      </pic:pic>
                    </a:graphicData>
                  </a:graphic>
                </wp:inline>
              </w:drawing>
            </w:r>
          </w:p>
          <w:p w14:paraId="15B00544">
            <w:pPr>
              <w:pStyle w:val="2"/>
              <w:keepNext w:val="0"/>
              <w:keepLines w:val="0"/>
              <w:pageBreakBefore w:val="0"/>
              <w:kinsoku/>
              <w:wordWrap/>
              <w:overflowPunct/>
              <w:topLinePunct w:val="0"/>
              <w:autoSpaceDE/>
              <w:autoSpaceDN/>
              <w:bidi w:val="0"/>
              <w:adjustRightInd/>
              <w:spacing w:before="0" w:beforeAutospacing="0" w:after="0" w:afterAutospacing="0" w:line="360" w:lineRule="auto"/>
              <w:ind w:right="0" w:rightChars="0" w:firstLine="480" w:firstLineChars="200"/>
              <w:textAlignment w:val="auto"/>
              <w:rPr>
                <w:rFonts w:hint="default" w:eastAsia="宋体"/>
                <w:color w:val="auto"/>
                <w:sz w:val="24"/>
                <w:szCs w:val="24"/>
                <w:highlight w:val="none"/>
                <w:lang w:val="en-US" w:eastAsia="zh-CN"/>
              </w:rPr>
            </w:pPr>
            <w:r>
              <w:rPr>
                <w:rFonts w:hint="eastAsia" w:eastAsia="宋体"/>
                <w:color w:val="auto"/>
                <w:sz w:val="24"/>
                <w:szCs w:val="24"/>
                <w:highlight w:val="none"/>
              </w:rPr>
              <w:t>式中</w:t>
            </w:r>
            <w:r>
              <w:rPr>
                <w:rFonts w:hint="eastAsia"/>
                <w:color w:val="auto"/>
                <w:sz w:val="24"/>
                <w:szCs w:val="24"/>
                <w:highlight w:val="none"/>
                <w:lang w:eastAsia="zh-CN"/>
              </w:rPr>
              <w:t>：</w:t>
            </w:r>
            <w:r>
              <w:rPr>
                <w:rFonts w:hint="eastAsia" w:eastAsia="宋体"/>
                <w:color w:val="auto"/>
                <w:sz w:val="24"/>
                <w:szCs w:val="24"/>
                <w:highlight w:val="none"/>
              </w:rPr>
              <w:t>E</w:t>
            </w:r>
            <w:r>
              <w:rPr>
                <w:rFonts w:hint="eastAsia"/>
                <w:color w:val="auto"/>
                <w:sz w:val="24"/>
                <w:szCs w:val="24"/>
                <w:highlight w:val="none"/>
                <w:vertAlign w:val="subscript"/>
                <w:lang w:val="en-US" w:eastAsia="zh-CN"/>
              </w:rPr>
              <w:t>SO2</w:t>
            </w:r>
            <w:r>
              <w:rPr>
                <w:rFonts w:eastAsia="仿宋"/>
                <w:color w:val="auto"/>
                <w:sz w:val="24"/>
              </w:rPr>
              <w:t>——</w:t>
            </w:r>
            <w:r>
              <w:rPr>
                <w:rFonts w:hint="eastAsia" w:eastAsia="宋体"/>
                <w:color w:val="auto"/>
                <w:sz w:val="24"/>
                <w:szCs w:val="24"/>
                <w:highlight w:val="none"/>
              </w:rPr>
              <w:t>核</w:t>
            </w:r>
            <w:r>
              <w:rPr>
                <w:rFonts w:hint="eastAsia" w:ascii="Times New Roman" w:hAnsi="Times New Roman" w:eastAsia="宋体" w:cs="Times New Roman"/>
                <w:color w:val="auto"/>
                <w:kern w:val="2"/>
                <w:sz w:val="24"/>
                <w:szCs w:val="24"/>
                <w:highlight w:val="none"/>
                <w:lang w:val="en-US" w:eastAsia="zh-CN" w:bidi="ar-SA"/>
              </w:rPr>
              <w:t>算时段内二氧化硫排放量，t；</w:t>
            </w:r>
          </w:p>
          <w:p w14:paraId="7762C05D">
            <w:pPr>
              <w:keepNext w:val="0"/>
              <w:keepLines w:val="0"/>
              <w:pageBreakBefore w:val="0"/>
              <w:kinsoku/>
              <w:wordWrap/>
              <w:overflowPunct/>
              <w:topLinePunct w:val="0"/>
              <w:autoSpaceDE/>
              <w:autoSpaceDN/>
              <w:bidi w:val="0"/>
              <w:adjustRightInd/>
              <w:spacing w:beforeAutospacing="0" w:afterAutospacing="0" w:line="360" w:lineRule="auto"/>
              <w:ind w:left="0" w:leftChars="0" w:right="0" w:rightChars="0" w:firstLine="480" w:firstLineChars="200"/>
              <w:textAlignment w:val="auto"/>
              <w:rPr>
                <w:rFonts w:hint="default" w:eastAsia="宋体"/>
                <w:color w:val="auto"/>
                <w:sz w:val="24"/>
                <w:szCs w:val="24"/>
                <w:highlight w:val="none"/>
                <w:lang w:val="en-US" w:eastAsia="zh-CN"/>
              </w:rPr>
            </w:pPr>
            <w:r>
              <w:rPr>
                <w:rFonts w:hint="eastAsia" w:eastAsia="宋体"/>
                <w:color w:val="auto"/>
                <w:sz w:val="24"/>
                <w:szCs w:val="24"/>
                <w:highlight w:val="none"/>
              </w:rPr>
              <w:t>R</w:t>
            </w:r>
            <w:r>
              <w:rPr>
                <w:rFonts w:eastAsia="仿宋"/>
                <w:color w:val="auto"/>
                <w:sz w:val="24"/>
              </w:rPr>
              <w:t>——</w:t>
            </w:r>
            <w:r>
              <w:rPr>
                <w:rFonts w:hint="eastAsia" w:eastAsia="宋体"/>
                <w:color w:val="auto"/>
                <w:sz w:val="24"/>
                <w:szCs w:val="24"/>
                <w:highlight w:val="none"/>
              </w:rPr>
              <w:t>核算时段内锅炉燃料耗量，</w:t>
            </w:r>
            <w:r>
              <w:rPr>
                <w:rFonts w:hint="eastAsia" w:ascii="Times New Roman" w:hAnsi="Times New Roman" w:eastAsia="宋体" w:cs="Times New Roman"/>
                <w:color w:val="auto"/>
                <w:sz w:val="24"/>
                <w:szCs w:val="24"/>
                <w:highlight w:val="none"/>
                <w:lang w:val="en-US" w:eastAsia="zh-CN"/>
              </w:rPr>
              <w:t>6091.2</w:t>
            </w:r>
            <w:r>
              <w:rPr>
                <w:rFonts w:hint="eastAsia" w:ascii="Times New Roman" w:hAnsi="Times New Roman" w:eastAsia="宋体" w:cs="Times New Roman"/>
                <w:color w:val="auto"/>
                <w:kern w:val="0"/>
                <w:sz w:val="24"/>
                <w:szCs w:val="24"/>
                <w:highlight w:val="none"/>
                <w:lang w:val="en-US" w:eastAsia="zh-CN" w:bidi="ar-SA"/>
              </w:rPr>
              <w:t>t</w:t>
            </w:r>
            <w:r>
              <w:rPr>
                <w:rFonts w:hint="eastAsia"/>
                <w:color w:val="auto"/>
                <w:sz w:val="24"/>
                <w:szCs w:val="24"/>
                <w:highlight w:val="none"/>
                <w:lang w:eastAsia="zh-CN"/>
              </w:rPr>
              <w:t>；</w:t>
            </w:r>
          </w:p>
          <w:p w14:paraId="12124863">
            <w:pPr>
              <w:pStyle w:val="2"/>
              <w:keepNext w:val="0"/>
              <w:keepLines w:val="0"/>
              <w:pageBreakBefore w:val="0"/>
              <w:kinsoku/>
              <w:wordWrap/>
              <w:overflowPunct/>
              <w:topLinePunct w:val="0"/>
              <w:autoSpaceDE/>
              <w:autoSpaceDN/>
              <w:bidi w:val="0"/>
              <w:adjustRightInd/>
              <w:spacing w:before="0" w:beforeAutospacing="0" w:after="0" w:afterAutospacing="0" w:line="360" w:lineRule="auto"/>
              <w:ind w:left="0" w:leftChars="0" w:right="0" w:rightChars="0" w:firstLine="480" w:firstLineChars="200"/>
              <w:textAlignment w:val="auto"/>
              <w:rPr>
                <w:rFonts w:hint="eastAsia" w:eastAsia="宋体"/>
                <w:color w:val="auto"/>
                <w:sz w:val="24"/>
                <w:szCs w:val="24"/>
                <w:highlight w:val="none"/>
                <w:lang w:eastAsia="zh-CN"/>
              </w:rPr>
            </w:pPr>
            <w:r>
              <w:rPr>
                <w:rFonts w:hint="eastAsia"/>
                <w:color w:val="auto"/>
                <w:sz w:val="24"/>
                <w:szCs w:val="24"/>
                <w:highlight w:val="none"/>
                <w:lang w:val="en-US" w:eastAsia="zh-CN"/>
              </w:rPr>
              <w:t>S</w:t>
            </w:r>
            <w:r>
              <w:rPr>
                <w:rFonts w:hint="eastAsia"/>
                <w:color w:val="auto"/>
                <w:sz w:val="24"/>
                <w:szCs w:val="24"/>
                <w:highlight w:val="none"/>
                <w:vertAlign w:val="subscript"/>
                <w:lang w:val="en-US" w:eastAsia="zh-CN"/>
              </w:rPr>
              <w:t>ar</w:t>
            </w:r>
            <w:r>
              <w:rPr>
                <w:rFonts w:eastAsia="仿宋"/>
                <w:color w:val="auto"/>
                <w:sz w:val="24"/>
              </w:rPr>
              <w:t>——</w:t>
            </w:r>
            <w:r>
              <w:rPr>
                <w:rFonts w:hint="eastAsia" w:ascii="Times New Roman" w:hAnsi="Times New Roman" w:eastAsia="宋体" w:cs="Times New Roman"/>
                <w:color w:val="auto"/>
                <w:kern w:val="2"/>
                <w:sz w:val="24"/>
                <w:szCs w:val="24"/>
                <w:highlight w:val="none"/>
                <w:lang w:val="en-US" w:eastAsia="zh-CN" w:bidi="ar-SA"/>
              </w:rPr>
              <w:t>收到基硫的质量分数，</w:t>
            </w:r>
            <w:r>
              <w:rPr>
                <w:rFonts w:hint="eastAsia"/>
                <w:color w:val="auto"/>
                <w:sz w:val="24"/>
                <w:szCs w:val="24"/>
                <w:highlight w:val="none"/>
                <w:lang w:val="en-US" w:eastAsia="zh-CN"/>
              </w:rPr>
              <w:t>0.04</w:t>
            </w:r>
            <w:r>
              <w:rPr>
                <w:rFonts w:hint="eastAsia" w:eastAsia="宋体"/>
                <w:color w:val="auto"/>
                <w:sz w:val="24"/>
                <w:szCs w:val="24"/>
                <w:highlight w:val="none"/>
              </w:rPr>
              <w:t>%</w:t>
            </w:r>
            <w:r>
              <w:rPr>
                <w:rFonts w:hint="eastAsia"/>
                <w:color w:val="auto"/>
                <w:sz w:val="24"/>
                <w:szCs w:val="24"/>
                <w:highlight w:val="none"/>
                <w:lang w:eastAsia="zh-CN"/>
              </w:rPr>
              <w:t>；</w:t>
            </w:r>
          </w:p>
          <w:p w14:paraId="4D7922A6">
            <w:pPr>
              <w:keepNext w:val="0"/>
              <w:keepLines w:val="0"/>
              <w:pageBreakBefore w:val="0"/>
              <w:kinsoku/>
              <w:wordWrap/>
              <w:overflowPunct/>
              <w:topLinePunct w:val="0"/>
              <w:autoSpaceDE/>
              <w:autoSpaceDN/>
              <w:bidi w:val="0"/>
              <w:adjustRightInd/>
              <w:spacing w:beforeAutospacing="0" w:afterAutospacing="0" w:line="360" w:lineRule="auto"/>
              <w:ind w:left="0" w:leftChars="0" w:right="0" w:rightChars="0" w:firstLine="480" w:firstLineChars="200"/>
              <w:textAlignment w:val="auto"/>
              <w:rPr>
                <w:rFonts w:hint="eastAsia" w:eastAsia="宋体"/>
                <w:color w:val="auto"/>
                <w:sz w:val="24"/>
                <w:szCs w:val="24"/>
                <w:highlight w:val="none"/>
                <w:lang w:eastAsia="zh-CN"/>
              </w:rPr>
            </w:pPr>
            <w:r>
              <w:rPr>
                <w:rFonts w:hint="eastAsia" w:eastAsia="仿宋"/>
                <w:color w:val="auto"/>
                <w:sz w:val="24"/>
                <w:lang w:val="en-US" w:eastAsia="zh-CN"/>
              </w:rPr>
              <w:t>q</w:t>
            </w:r>
            <w:r>
              <w:rPr>
                <w:rFonts w:hint="eastAsia" w:eastAsia="仿宋"/>
                <w:color w:val="auto"/>
                <w:sz w:val="24"/>
                <w:vertAlign w:val="subscript"/>
                <w:lang w:val="en-US" w:eastAsia="zh-CN"/>
              </w:rPr>
              <w:t>4</w:t>
            </w:r>
            <w:r>
              <w:rPr>
                <w:rFonts w:eastAsia="仿宋"/>
                <w:color w:val="auto"/>
                <w:sz w:val="24"/>
              </w:rPr>
              <w:t>——</w:t>
            </w:r>
            <w:r>
              <w:rPr>
                <w:rFonts w:hint="eastAsia" w:ascii="Times New Roman" w:hAnsi="Times New Roman" w:eastAsia="宋体" w:cs="Times New Roman"/>
                <w:color w:val="auto"/>
                <w:kern w:val="0"/>
                <w:sz w:val="24"/>
                <w:szCs w:val="24"/>
                <w:highlight w:val="none"/>
                <w:lang w:val="en-US" w:eastAsia="zh-CN" w:bidi="ar-SA"/>
              </w:rPr>
              <w:t>锅炉机械不完全燃烧热损失，</w:t>
            </w:r>
            <w:r>
              <w:rPr>
                <w:rFonts w:hint="eastAsia" w:cs="Times New Roman"/>
                <w:color w:val="auto"/>
                <w:kern w:val="0"/>
                <w:sz w:val="24"/>
                <w:szCs w:val="24"/>
                <w:highlight w:val="none"/>
                <w:lang w:val="en-US" w:eastAsia="zh-CN" w:bidi="ar-SA"/>
              </w:rPr>
              <w:t>本项目锅炉为链条炉，根据</w:t>
            </w:r>
            <w:r>
              <w:rPr>
                <w:rFonts w:hint="eastAsia"/>
                <w:color w:val="auto"/>
                <w:sz w:val="24"/>
                <w:szCs w:val="24"/>
                <w:highlight w:val="none"/>
                <w:lang w:eastAsia="zh-CN"/>
              </w:rPr>
              <w:t>《污染源源强核算技术指南 锅炉》</w:t>
            </w:r>
            <w:r>
              <w:rPr>
                <w:rFonts w:hint="eastAsia"/>
                <w:color w:val="auto"/>
                <w:sz w:val="24"/>
                <w:szCs w:val="24"/>
                <w:highlight w:val="none"/>
                <w:lang w:val="en-US" w:eastAsia="zh-CN"/>
              </w:rPr>
              <w:t>表B.1，链条炉q4取值5%~15%，本项目取</w:t>
            </w:r>
            <w:r>
              <w:rPr>
                <w:rFonts w:hint="eastAsia" w:cs="Times New Roman"/>
                <w:color w:val="auto"/>
                <w:kern w:val="0"/>
                <w:sz w:val="24"/>
                <w:szCs w:val="24"/>
                <w:highlight w:val="none"/>
                <w:lang w:val="en-US" w:eastAsia="zh-CN" w:bidi="ar-SA"/>
              </w:rPr>
              <w:t>15</w:t>
            </w:r>
            <w:r>
              <w:rPr>
                <w:rFonts w:hint="eastAsia" w:eastAsia="宋体"/>
                <w:color w:val="auto"/>
                <w:sz w:val="24"/>
                <w:szCs w:val="24"/>
                <w:highlight w:val="none"/>
              </w:rPr>
              <w:t>%</w:t>
            </w:r>
            <w:r>
              <w:rPr>
                <w:rFonts w:hint="eastAsia"/>
                <w:color w:val="auto"/>
                <w:sz w:val="24"/>
                <w:szCs w:val="24"/>
                <w:highlight w:val="none"/>
                <w:lang w:eastAsia="zh-CN"/>
              </w:rPr>
              <w:t>；</w:t>
            </w:r>
          </w:p>
          <w:p w14:paraId="201EEB4D">
            <w:pPr>
              <w:pStyle w:val="2"/>
              <w:keepNext w:val="0"/>
              <w:keepLines w:val="0"/>
              <w:pageBreakBefore w:val="0"/>
              <w:kinsoku/>
              <w:wordWrap/>
              <w:overflowPunct/>
              <w:topLinePunct w:val="0"/>
              <w:autoSpaceDE/>
              <w:autoSpaceDN/>
              <w:bidi w:val="0"/>
              <w:adjustRightInd/>
              <w:spacing w:before="0" w:beforeAutospacing="0" w:after="0" w:afterAutospacing="0" w:line="360" w:lineRule="auto"/>
              <w:ind w:left="0" w:leftChars="0" w:right="0" w:rightChars="0" w:firstLine="480" w:firstLineChars="200"/>
              <w:textAlignment w:val="auto"/>
              <w:rPr>
                <w:rFonts w:hint="eastAsia" w:ascii="Times New Roman" w:hAnsi="Times New Roman" w:eastAsia="仿宋"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η</w:t>
            </w:r>
            <w:r>
              <w:rPr>
                <w:rFonts w:hint="eastAsia" w:cs="Times New Roman"/>
                <w:color w:val="auto"/>
                <w:sz w:val="24"/>
                <w:szCs w:val="24"/>
                <w:highlight w:val="none"/>
                <w:vertAlign w:val="subscript"/>
                <w:lang w:val="en-US" w:eastAsia="zh-CN"/>
              </w:rPr>
              <w:t>s</w:t>
            </w:r>
            <w:r>
              <w:rPr>
                <w:rFonts w:eastAsia="仿宋"/>
                <w:color w:val="auto"/>
                <w:sz w:val="24"/>
              </w:rPr>
              <w:t>——</w:t>
            </w:r>
            <w:r>
              <w:rPr>
                <w:rFonts w:hint="eastAsia" w:ascii="Times New Roman" w:hAnsi="Times New Roman" w:eastAsia="宋体" w:cs="Times New Roman"/>
                <w:color w:val="auto"/>
                <w:kern w:val="0"/>
                <w:sz w:val="24"/>
                <w:szCs w:val="24"/>
                <w:highlight w:val="none"/>
                <w:lang w:val="en-US" w:eastAsia="zh-CN" w:bidi="ar-SA"/>
              </w:rPr>
              <w:t>脱</w:t>
            </w:r>
            <w:r>
              <w:rPr>
                <w:rFonts w:hint="eastAsia" w:ascii="Times New Roman" w:hAnsi="Times New Roman" w:eastAsia="宋体" w:cs="Times New Roman"/>
                <w:color w:val="auto"/>
                <w:kern w:val="2"/>
                <w:sz w:val="24"/>
                <w:szCs w:val="24"/>
                <w:highlight w:val="none"/>
                <w:lang w:val="en-US" w:eastAsia="zh-CN" w:bidi="ar-SA"/>
              </w:rPr>
              <w:t>硫效</w:t>
            </w:r>
            <w:r>
              <w:rPr>
                <w:rFonts w:hint="eastAsia" w:ascii="Times New Roman" w:hAnsi="Times New Roman" w:eastAsia="宋体" w:cs="Times New Roman"/>
                <w:color w:val="auto"/>
                <w:kern w:val="0"/>
                <w:sz w:val="24"/>
                <w:szCs w:val="24"/>
                <w:highlight w:val="none"/>
                <w:lang w:val="en-US" w:eastAsia="zh-CN" w:bidi="ar-SA"/>
              </w:rPr>
              <w:t>率，</w:t>
            </w:r>
            <w:r>
              <w:rPr>
                <w:rFonts w:hint="eastAsia" w:cs="Times New Roman"/>
                <w:color w:val="auto"/>
                <w:kern w:val="2"/>
                <w:sz w:val="24"/>
                <w:szCs w:val="24"/>
                <w:highlight w:val="none"/>
                <w:lang w:val="en-US" w:eastAsia="zh-CN" w:bidi="ar-SA"/>
              </w:rPr>
              <w:t>0</w:t>
            </w:r>
            <w:r>
              <w:rPr>
                <w:rFonts w:hint="eastAsia" w:ascii="Times New Roman" w:hAnsi="Times New Roman" w:eastAsia="宋体" w:cs="Times New Roman"/>
                <w:color w:val="auto"/>
                <w:kern w:val="2"/>
                <w:sz w:val="24"/>
                <w:szCs w:val="24"/>
                <w:highlight w:val="none"/>
                <w:lang w:val="en-US" w:eastAsia="zh-CN" w:bidi="ar-SA"/>
              </w:rPr>
              <w:t>%</w:t>
            </w:r>
            <w:r>
              <w:rPr>
                <w:rFonts w:hint="eastAsia" w:eastAsia="仿宋"/>
                <w:color w:val="auto"/>
                <w:sz w:val="24"/>
                <w:lang w:eastAsia="zh-CN"/>
              </w:rPr>
              <w:t>；</w:t>
            </w:r>
          </w:p>
          <w:p w14:paraId="062ADED4">
            <w:pPr>
              <w:keepNext w:val="0"/>
              <w:keepLines w:val="0"/>
              <w:pageBreakBefore w:val="0"/>
              <w:kinsoku/>
              <w:wordWrap/>
              <w:overflowPunct/>
              <w:topLinePunct w:val="0"/>
              <w:autoSpaceDE/>
              <w:autoSpaceDN/>
              <w:bidi w:val="0"/>
              <w:adjustRightInd/>
              <w:spacing w:beforeAutospacing="0" w:afterAutospacing="0" w:line="360" w:lineRule="auto"/>
              <w:ind w:left="0" w:leftChars="0" w:right="0" w:rightChars="0" w:firstLine="480" w:firstLineChars="200"/>
              <w:textAlignment w:val="auto"/>
              <w:rPr>
                <w:rFonts w:hint="eastAsia" w:cs="Times New Roman"/>
                <w:color w:val="auto"/>
                <w:kern w:val="2"/>
                <w:sz w:val="24"/>
                <w:szCs w:val="24"/>
                <w:highlight w:val="none"/>
                <w:lang w:val="en-US" w:eastAsia="zh-CN" w:bidi="ar-SA"/>
              </w:rPr>
            </w:pPr>
            <w:r>
              <w:rPr>
                <w:rFonts w:hint="eastAsia"/>
                <w:color w:val="auto"/>
                <w:sz w:val="24"/>
                <w:szCs w:val="24"/>
                <w:highlight w:val="none"/>
                <w:lang w:val="en-US" w:eastAsia="zh-CN"/>
              </w:rPr>
              <w:t>K</w:t>
            </w:r>
            <w:r>
              <w:rPr>
                <w:rFonts w:eastAsia="仿宋"/>
                <w:color w:val="auto"/>
                <w:sz w:val="24"/>
              </w:rPr>
              <w:t>——</w:t>
            </w:r>
            <w:r>
              <w:rPr>
                <w:rFonts w:hint="eastAsia" w:cs="Times New Roman"/>
                <w:color w:val="auto"/>
                <w:kern w:val="2"/>
                <w:sz w:val="24"/>
                <w:szCs w:val="24"/>
                <w:highlight w:val="none"/>
                <w:lang w:val="en-US" w:eastAsia="zh-CN" w:bidi="ar-SA"/>
              </w:rPr>
              <w:t>燃料中的硫燃烧后二氧化硫的份额</w:t>
            </w:r>
            <w:r>
              <w:rPr>
                <w:rFonts w:hint="eastAsia"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0.4。</w:t>
            </w:r>
          </w:p>
          <w:p w14:paraId="0E8ED197">
            <w:pPr>
              <w:pStyle w:val="2"/>
              <w:keepLines w:val="0"/>
              <w:pageBreakBefore w:val="0"/>
              <w:topLinePunct w:val="0"/>
              <w:bidi w:val="0"/>
              <w:spacing w:before="0" w:beforeAutospacing="0" w:after="0" w:afterAutospacing="0" w:line="360" w:lineRule="auto"/>
              <w:ind w:right="0" w:rightChars="0" w:firstLine="480" w:firstLineChars="200"/>
              <w:rPr>
                <w:rFonts w:hint="default"/>
                <w:color w:val="auto"/>
                <w:lang w:val="en-US" w:eastAsia="zh-CN"/>
              </w:rPr>
            </w:pPr>
            <w:r>
              <w:rPr>
                <w:rFonts w:hint="eastAsia" w:eastAsia="宋体"/>
                <w:color w:val="auto"/>
                <w:sz w:val="24"/>
                <w:szCs w:val="24"/>
                <w:highlight w:val="none"/>
              </w:rPr>
              <w:t>E</w:t>
            </w:r>
            <w:r>
              <w:rPr>
                <w:rFonts w:hint="eastAsia"/>
                <w:color w:val="auto"/>
                <w:sz w:val="24"/>
                <w:szCs w:val="24"/>
                <w:highlight w:val="none"/>
                <w:vertAlign w:val="subscript"/>
                <w:lang w:val="en-US" w:eastAsia="zh-CN"/>
              </w:rPr>
              <w:t>SO2</w:t>
            </w:r>
            <w:r>
              <w:rPr>
                <w:rFonts w:hint="eastAsia"/>
                <w:color w:val="auto"/>
                <w:sz w:val="24"/>
                <w:szCs w:val="24"/>
                <w:highlight w:val="none"/>
                <w:vertAlign w:val="baseline"/>
                <w:lang w:val="en-US" w:eastAsia="zh-CN"/>
              </w:rPr>
              <w:t>=2×</w:t>
            </w:r>
            <w:r>
              <w:rPr>
                <w:rFonts w:hint="eastAsia" w:ascii="Times New Roman" w:hAnsi="Times New Roman" w:eastAsia="宋体" w:cs="Times New Roman"/>
                <w:color w:val="auto"/>
                <w:sz w:val="24"/>
                <w:szCs w:val="24"/>
                <w:highlight w:val="none"/>
                <w:lang w:val="en-US" w:eastAsia="zh-CN"/>
              </w:rPr>
              <w:t>6091.2</w:t>
            </w:r>
            <w:r>
              <w:rPr>
                <w:rFonts w:hint="eastAsia"/>
                <w:color w:val="auto"/>
                <w:sz w:val="24"/>
                <w:szCs w:val="24"/>
                <w:highlight w:val="none"/>
                <w:vertAlign w:val="baseline"/>
                <w:lang w:val="en-US" w:eastAsia="zh-CN"/>
              </w:rPr>
              <w:t>×0.0004×0.85×0.4=1.657t/a</w:t>
            </w:r>
          </w:p>
          <w:p w14:paraId="74E2EF8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c.氮氧化物排放量</w:t>
            </w:r>
          </w:p>
          <w:p w14:paraId="7501182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center"/>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drawing>
                <wp:inline distT="0" distB="0" distL="114300" distR="114300">
                  <wp:extent cx="2766060" cy="784860"/>
                  <wp:effectExtent l="0" t="0" r="15240" b="15240"/>
                  <wp:docPr id="81" name="图片 81"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图片3"/>
                          <pic:cNvPicPr>
                            <a:picLocks noChangeAspect="1"/>
                          </pic:cNvPicPr>
                        </pic:nvPicPr>
                        <pic:blipFill>
                          <a:blip r:embed="rId19"/>
                          <a:stretch>
                            <a:fillRect/>
                          </a:stretch>
                        </pic:blipFill>
                        <pic:spPr>
                          <a:xfrm>
                            <a:off x="0" y="0"/>
                            <a:ext cx="2766060" cy="784860"/>
                          </a:xfrm>
                          <a:prstGeom prst="rect">
                            <a:avLst/>
                          </a:prstGeom>
                        </pic:spPr>
                      </pic:pic>
                    </a:graphicData>
                  </a:graphic>
                </wp:inline>
              </w:drawing>
            </w:r>
          </w:p>
          <w:p w14:paraId="1D54FE5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式中：E</w:t>
            </w:r>
            <w:r>
              <w:rPr>
                <w:rFonts w:hint="eastAsia" w:ascii="Times New Roman" w:hAnsi="Times New Roman" w:eastAsia="宋体" w:cs="Times New Roman"/>
                <w:color w:val="auto"/>
                <w:kern w:val="0"/>
                <w:sz w:val="24"/>
                <w:szCs w:val="24"/>
                <w:highlight w:val="none"/>
                <w:vertAlign w:val="subscript"/>
                <w:lang w:val="en-US" w:eastAsia="zh-CN" w:bidi="ar-SA"/>
              </w:rPr>
              <w:t>NOx</w:t>
            </w:r>
            <w:r>
              <w:rPr>
                <w:rFonts w:hint="eastAsia" w:ascii="Times New Roman" w:hAnsi="Times New Roman" w:eastAsia="宋体" w:cs="Times New Roman"/>
                <w:color w:val="auto"/>
                <w:kern w:val="0"/>
                <w:sz w:val="24"/>
                <w:szCs w:val="24"/>
                <w:highlight w:val="none"/>
                <w:lang w:val="en-US" w:eastAsia="zh-CN" w:bidi="ar-SA"/>
              </w:rPr>
              <w:t>——核算时段内氮氧化物排放量，t；</w:t>
            </w:r>
          </w:p>
          <w:p w14:paraId="2A57254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ρ</w:t>
            </w:r>
            <w:r>
              <w:rPr>
                <w:rFonts w:hint="default" w:ascii="Times New Roman" w:hAnsi="Times New Roman" w:eastAsia="宋体" w:cs="Times New Roman"/>
                <w:color w:val="auto"/>
                <w:kern w:val="0"/>
                <w:sz w:val="24"/>
                <w:szCs w:val="24"/>
                <w:highlight w:val="none"/>
                <w:vertAlign w:val="subscript"/>
                <w:lang w:val="en-US" w:eastAsia="zh-CN" w:bidi="ar-SA"/>
              </w:rPr>
              <w:t>NOx</w:t>
            </w:r>
            <w:r>
              <w:rPr>
                <w:rFonts w:hint="eastAsia" w:ascii="Times New Roman" w:hAnsi="Times New Roman" w:eastAsia="宋体" w:cs="Times New Roman"/>
                <w:color w:val="auto"/>
                <w:kern w:val="0"/>
                <w:sz w:val="24"/>
                <w:szCs w:val="24"/>
                <w:highlight w:val="none"/>
                <w:lang w:val="en-US" w:eastAsia="zh-CN" w:bidi="ar-SA"/>
              </w:rPr>
              <w:t>——锅炉炉膛出口氮氧化物质量浓</w:t>
            </w:r>
            <w:r>
              <w:rPr>
                <w:rFonts w:hint="eastAsia" w:ascii="Times New Roman" w:hAnsi="Times New Roman" w:eastAsia="宋体" w:cs="Times New Roman"/>
                <w:color w:val="auto"/>
                <w:sz w:val="24"/>
                <w:szCs w:val="24"/>
                <w:highlight w:val="none"/>
                <w:lang w:val="en-US" w:eastAsia="zh-CN"/>
              </w:rPr>
              <w:t>度，</w:t>
            </w:r>
            <w:r>
              <w:rPr>
                <w:color w:val="auto"/>
                <w:sz w:val="24"/>
                <w:szCs w:val="24"/>
                <w:highlight w:val="none"/>
              </w:rPr>
              <w:t>根据《污染源源强核算技术指南 锅炉》（HJ991-2018）表B.4，</w:t>
            </w:r>
            <w:r>
              <w:rPr>
                <w:rFonts w:hint="eastAsia"/>
                <w:color w:val="auto"/>
                <w:sz w:val="24"/>
                <w:szCs w:val="24"/>
                <w:highlight w:val="none"/>
                <w:lang w:val="en-US" w:eastAsia="zh-CN"/>
              </w:rPr>
              <w:t>并类别《</w:t>
            </w:r>
            <w:r>
              <w:rPr>
                <w:rFonts w:hint="eastAsia" w:ascii="宋体" w:hAnsi="宋体" w:eastAsia="宋体" w:cs="宋体"/>
                <w:color w:val="auto"/>
                <w:kern w:val="0"/>
                <w:sz w:val="24"/>
                <w:szCs w:val="24"/>
                <w:highlight w:val="none"/>
                <w:lang w:val="en-US" w:eastAsia="zh-CN" w:bidi="ar"/>
              </w:rPr>
              <w:t>泰安市和谐木业有限公司生物质导热油炉项目竣工环境保护验收监测报告表</w:t>
            </w:r>
            <w:r>
              <w:rPr>
                <w:rFonts w:hint="eastAsia"/>
                <w:color w:val="auto"/>
                <w:highlight w:val="none"/>
                <w:lang w:val="en-US" w:eastAsia="zh-CN"/>
              </w:rPr>
              <w:t>》</w:t>
            </w:r>
            <w:r>
              <w:rPr>
                <w:rFonts w:hint="eastAsia"/>
                <w:color w:val="auto"/>
                <w:sz w:val="24"/>
                <w:szCs w:val="24"/>
                <w:highlight w:val="none"/>
                <w:lang w:val="en-US" w:eastAsia="zh-CN"/>
              </w:rPr>
              <w:t>监测报告中氮氧化物浓度为89~93</w:t>
            </w:r>
            <w:r>
              <w:rPr>
                <w:color w:val="auto"/>
                <w:sz w:val="24"/>
                <w:szCs w:val="24"/>
                <w:highlight w:val="none"/>
              </w:rPr>
              <w:t>mg/m</w:t>
            </w:r>
            <w:r>
              <w:rPr>
                <w:color w:val="auto"/>
                <w:sz w:val="24"/>
                <w:szCs w:val="24"/>
                <w:highlight w:val="none"/>
                <w:vertAlign w:val="superscript"/>
              </w:rPr>
              <w:t>3</w:t>
            </w:r>
            <w:r>
              <w:rPr>
                <w:rFonts w:hint="eastAsia"/>
                <w:color w:val="auto"/>
                <w:sz w:val="24"/>
                <w:szCs w:val="24"/>
                <w:highlight w:val="none"/>
                <w:lang w:val="en-US" w:eastAsia="zh-CN"/>
              </w:rPr>
              <w:t>，类比项目原料及生产工艺基本一致，均为生物质导热油炉，类比项目生物质导热油炉为2.0MW导热油炉，</w:t>
            </w:r>
            <w:r>
              <w:rPr>
                <w:rFonts w:hint="eastAsia" w:ascii="Times New Roman" w:hAnsi="Times New Roman" w:eastAsia="宋体"/>
                <w:bCs/>
                <w:color w:val="auto"/>
                <w:sz w:val="24"/>
                <w:szCs w:val="24"/>
                <w:highlight w:val="none"/>
                <w:lang w:eastAsia="zh-CN"/>
              </w:rPr>
              <w:t>因此本项目</w:t>
            </w:r>
            <w:r>
              <w:rPr>
                <w:rFonts w:hint="eastAsia" w:ascii="Times New Roman" w:hAnsi="Times New Roman" w:eastAsia="宋体"/>
                <w:bCs/>
                <w:color w:val="auto"/>
                <w:sz w:val="24"/>
                <w:szCs w:val="24"/>
                <w:highlight w:val="none"/>
                <w:lang w:val="en-US" w:eastAsia="zh-CN"/>
              </w:rPr>
              <w:t>锅炉氮氧化合物浓度</w:t>
            </w:r>
            <w:r>
              <w:rPr>
                <w:rFonts w:hint="eastAsia" w:ascii="Times New Roman" w:hAnsi="Times New Roman" w:eastAsia="宋体"/>
                <w:bCs/>
                <w:color w:val="auto"/>
                <w:sz w:val="24"/>
                <w:szCs w:val="24"/>
                <w:highlight w:val="none"/>
              </w:rPr>
              <w:t>类比数据可行</w:t>
            </w:r>
            <w:r>
              <w:rPr>
                <w:rFonts w:hint="eastAsia" w:ascii="Times New Roman" w:hAnsi="Times New Roman" w:eastAsia="宋体"/>
                <w:bCs/>
                <w:color w:val="auto"/>
                <w:sz w:val="24"/>
                <w:szCs w:val="24"/>
                <w:highlight w:val="none"/>
                <w:lang w:eastAsia="zh-CN"/>
              </w:rPr>
              <w:t>，</w:t>
            </w:r>
            <w:r>
              <w:rPr>
                <w:color w:val="auto"/>
                <w:sz w:val="24"/>
                <w:szCs w:val="24"/>
                <w:highlight w:val="none"/>
              </w:rPr>
              <w:t>本次评价取</w:t>
            </w:r>
            <w:r>
              <w:rPr>
                <w:rFonts w:hint="eastAsia"/>
                <w:color w:val="auto"/>
                <w:sz w:val="24"/>
                <w:szCs w:val="24"/>
                <w:highlight w:val="none"/>
                <w:lang w:val="en-US" w:eastAsia="zh-CN"/>
              </w:rPr>
              <w:t>93mg/m</w:t>
            </w:r>
            <w:r>
              <w:rPr>
                <w:rFonts w:hint="eastAsia"/>
                <w:color w:val="auto"/>
                <w:sz w:val="24"/>
                <w:szCs w:val="24"/>
                <w:highlight w:val="none"/>
                <w:vertAlign w:val="superscript"/>
                <w:lang w:val="en-US" w:eastAsia="zh-CN"/>
              </w:rPr>
              <w:t>3</w:t>
            </w:r>
            <w:r>
              <w:rPr>
                <w:rFonts w:hint="eastAsia" w:ascii="Times New Roman" w:hAnsi="Times New Roman" w:eastAsia="宋体" w:cs="Times New Roman"/>
                <w:color w:val="auto"/>
                <w:kern w:val="0"/>
                <w:sz w:val="24"/>
                <w:szCs w:val="24"/>
                <w:highlight w:val="none"/>
                <w:lang w:val="en-US" w:eastAsia="zh-CN" w:bidi="ar-SA"/>
              </w:rPr>
              <w:t>；</w:t>
            </w:r>
          </w:p>
          <w:p w14:paraId="6DEC02E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Q——核算时段内标态干烟气排放量，</w:t>
            </w:r>
            <w:r>
              <w:rPr>
                <w:rFonts w:hint="eastAsia" w:ascii="Times New Roman" w:hAnsi="Times New Roman" w:eastAsia="宋体" w:cs="Times New Roman"/>
                <w:color w:val="auto"/>
                <w:sz w:val="24"/>
                <w:szCs w:val="24"/>
                <w:highlight w:val="none"/>
                <w:lang w:val="en-US" w:eastAsia="zh-CN"/>
              </w:rPr>
              <w:t>28232712</w:t>
            </w:r>
            <w:r>
              <w:rPr>
                <w:rFonts w:hint="eastAsia" w:ascii="Times New Roman" w:hAnsi="Times New Roman" w:eastAsia="宋体" w:cs="Times New Roman"/>
                <w:color w:val="auto"/>
                <w:kern w:val="0"/>
                <w:sz w:val="24"/>
                <w:szCs w:val="24"/>
                <w:highlight w:val="none"/>
                <w:lang w:val="en-US" w:eastAsia="zh-CN" w:bidi="ar-SA"/>
              </w:rPr>
              <w:t>m</w:t>
            </w:r>
            <w:r>
              <w:rPr>
                <w:rFonts w:hint="eastAsia" w:ascii="Times New Roman" w:hAnsi="Times New Roman" w:eastAsia="宋体" w:cs="Times New Roman"/>
                <w:color w:val="auto"/>
                <w:kern w:val="0"/>
                <w:sz w:val="24"/>
                <w:szCs w:val="24"/>
                <w:highlight w:val="none"/>
                <w:vertAlign w:val="superscript"/>
                <w:lang w:val="en-US" w:eastAsia="zh-CN" w:bidi="ar-SA"/>
              </w:rPr>
              <w:t>3</w:t>
            </w:r>
            <w:r>
              <w:rPr>
                <w:rFonts w:hint="eastAsia" w:ascii="Times New Roman" w:hAnsi="Times New Roman" w:eastAsia="宋体" w:cs="Times New Roman"/>
                <w:color w:val="auto"/>
                <w:kern w:val="0"/>
                <w:sz w:val="24"/>
                <w:szCs w:val="24"/>
                <w:highlight w:val="none"/>
                <w:lang w:val="en-US" w:eastAsia="zh-CN" w:bidi="ar-SA"/>
              </w:rPr>
              <w:t>；</w:t>
            </w:r>
          </w:p>
          <w:p w14:paraId="4BA8A53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η</w:t>
            </w:r>
            <w:r>
              <w:rPr>
                <w:rFonts w:hint="eastAsia" w:ascii="Times New Roman" w:hAnsi="Times New Roman" w:eastAsia="宋体" w:cs="Times New Roman"/>
                <w:color w:val="auto"/>
                <w:kern w:val="0"/>
                <w:sz w:val="24"/>
                <w:szCs w:val="24"/>
                <w:highlight w:val="none"/>
                <w:vertAlign w:val="subscript"/>
                <w:lang w:val="en-US" w:eastAsia="zh-CN" w:bidi="ar-SA"/>
              </w:rPr>
              <w:t>NOx</w:t>
            </w:r>
            <w:r>
              <w:rPr>
                <w:rFonts w:hint="eastAsia" w:ascii="Times New Roman" w:hAnsi="Times New Roman" w:eastAsia="宋体" w:cs="Times New Roman"/>
                <w:color w:val="auto"/>
                <w:kern w:val="0"/>
                <w:sz w:val="24"/>
                <w:szCs w:val="24"/>
                <w:highlight w:val="none"/>
                <w:lang w:val="en-US" w:eastAsia="zh-CN" w:bidi="ar-SA"/>
              </w:rPr>
              <w:t>——脱硝效率，0%。</w:t>
            </w:r>
          </w:p>
          <w:p w14:paraId="49FF5A4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E</w:t>
            </w:r>
            <w:r>
              <w:rPr>
                <w:rFonts w:hint="eastAsia" w:ascii="Times New Roman" w:hAnsi="Times New Roman" w:eastAsia="宋体" w:cs="Times New Roman"/>
                <w:color w:val="auto"/>
                <w:kern w:val="0"/>
                <w:sz w:val="24"/>
                <w:szCs w:val="24"/>
                <w:highlight w:val="none"/>
                <w:vertAlign w:val="subscript"/>
                <w:lang w:val="en-US" w:eastAsia="zh-CN" w:bidi="ar-SA"/>
              </w:rPr>
              <w:t>NOx</w:t>
            </w:r>
            <w:r>
              <w:rPr>
                <w:rFonts w:hint="eastAsia" w:ascii="Times New Roman" w:hAnsi="Times New Roman" w:eastAsia="宋体" w:cs="Times New Roman"/>
                <w:color w:val="auto"/>
                <w:kern w:val="0"/>
                <w:sz w:val="24"/>
                <w:szCs w:val="24"/>
                <w:highlight w:val="none"/>
                <w:lang w:val="en-US" w:eastAsia="zh-CN" w:bidi="ar-SA"/>
              </w:rPr>
              <w:t>=</w:t>
            </w:r>
            <w:r>
              <w:rPr>
                <w:rFonts w:hint="eastAsia"/>
                <w:color w:val="auto"/>
                <w:sz w:val="24"/>
                <w:szCs w:val="24"/>
                <w:highlight w:val="none"/>
                <w:lang w:val="en-US" w:eastAsia="zh-CN"/>
              </w:rPr>
              <w:t>93</w:t>
            </w:r>
            <w:r>
              <w:rPr>
                <w:rFonts w:hint="eastAsia"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sz w:val="24"/>
                <w:szCs w:val="24"/>
                <w:highlight w:val="none"/>
                <w:lang w:val="en-US" w:eastAsia="zh-CN"/>
              </w:rPr>
              <w:t>28232712</w:t>
            </w:r>
            <w:r>
              <w:rPr>
                <w:rFonts w:hint="eastAsia" w:ascii="Times New Roman" w:hAnsi="Times New Roman" w:eastAsia="宋体" w:cs="Times New Roman"/>
                <w:color w:val="auto"/>
                <w:kern w:val="0"/>
                <w:sz w:val="24"/>
                <w:szCs w:val="24"/>
                <w:highlight w:val="none"/>
                <w:lang w:val="en-US" w:eastAsia="zh-CN" w:bidi="ar-SA"/>
              </w:rPr>
              <w:t>×10</w:t>
            </w:r>
            <w:r>
              <w:rPr>
                <w:rFonts w:hint="eastAsia" w:ascii="Times New Roman" w:hAnsi="Times New Roman" w:eastAsia="宋体" w:cs="Times New Roman"/>
                <w:color w:val="auto"/>
                <w:kern w:val="0"/>
                <w:sz w:val="24"/>
                <w:szCs w:val="24"/>
                <w:highlight w:val="none"/>
                <w:vertAlign w:val="superscript"/>
                <w:lang w:val="en-US" w:eastAsia="zh-CN" w:bidi="ar-SA"/>
              </w:rPr>
              <w:t>-9</w:t>
            </w:r>
            <w:r>
              <w:rPr>
                <w:rFonts w:hint="eastAsia" w:ascii="Times New Roman" w:hAnsi="Times New Roman" w:eastAsia="宋体" w:cs="Times New Roman"/>
                <w:color w:val="auto"/>
                <w:kern w:val="0"/>
                <w:sz w:val="24"/>
                <w:szCs w:val="24"/>
                <w:highlight w:val="none"/>
                <w:lang w:val="en-US" w:eastAsia="zh-CN" w:bidi="ar-SA"/>
              </w:rPr>
              <w:t>=</w:t>
            </w:r>
            <w:r>
              <w:rPr>
                <w:rFonts w:hint="eastAsia" w:cs="Times New Roman"/>
                <w:color w:val="auto"/>
                <w:kern w:val="0"/>
                <w:sz w:val="24"/>
                <w:szCs w:val="24"/>
                <w:highlight w:val="none"/>
                <w:lang w:val="en-US" w:eastAsia="zh-CN" w:bidi="ar-SA"/>
              </w:rPr>
              <w:t>2.626</w:t>
            </w:r>
            <w:r>
              <w:rPr>
                <w:rFonts w:hint="eastAsia" w:ascii="Times New Roman" w:hAnsi="Times New Roman" w:eastAsia="宋体" w:cs="Times New Roman"/>
                <w:color w:val="auto"/>
                <w:kern w:val="0"/>
                <w:sz w:val="24"/>
                <w:szCs w:val="24"/>
                <w:highlight w:val="none"/>
                <w:lang w:val="en-US" w:eastAsia="zh-CN" w:bidi="ar-SA"/>
              </w:rPr>
              <w:t>t/a</w:t>
            </w:r>
          </w:p>
          <w:p w14:paraId="09C06E9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d.汞及其化合物</w:t>
            </w:r>
          </w:p>
          <w:p w14:paraId="2A58B1D1">
            <w:pPr>
              <w:pStyle w:val="85"/>
              <w:keepNext w:val="0"/>
              <w:keepLines w:val="0"/>
              <w:pageBreakBefore w:val="0"/>
              <w:kinsoku/>
              <w:wordWrap/>
              <w:overflowPunct/>
              <w:topLinePunct w:val="0"/>
              <w:autoSpaceDE/>
              <w:autoSpaceDN/>
              <w:bidi w:val="0"/>
              <w:adjustRightInd/>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生物质分析报告中未体现汞含量，根据《直接法测定固体生物质燃料中汞的试验研究》（煤质技术，2020年）可知，生物质汞含量为15.47ng/g。由于生物质汞含量极低的特点，本项目暂不考虑汞的排放。</w:t>
            </w:r>
          </w:p>
          <w:p w14:paraId="42B0E2EE">
            <w:pPr>
              <w:keepLines w:val="0"/>
              <w:pageBreakBefore w:val="0"/>
              <w:tabs>
                <w:tab w:val="left" w:pos="1291"/>
              </w:tabs>
              <w:topLinePunct w:val="0"/>
              <w:bidi w:val="0"/>
              <w:spacing w:beforeAutospacing="0" w:afterAutospacing="0" w:line="360" w:lineRule="auto"/>
              <w:ind w:left="0" w:leftChars="0" w:right="0" w:rightChars="0" w:firstLine="480" w:firstLineChars="200"/>
              <w:jc w:val="both"/>
              <w:rPr>
                <w:rFonts w:hint="default" w:cs="Times New Roman"/>
                <w:color w:val="auto"/>
                <w:sz w:val="24"/>
                <w:szCs w:val="24"/>
                <w:lang w:val="en-US" w:eastAsia="zh-CN"/>
              </w:rPr>
            </w:pPr>
            <w:r>
              <w:rPr>
                <w:rFonts w:hint="eastAsia" w:cs="Times New Roman"/>
                <w:color w:val="auto"/>
                <w:sz w:val="24"/>
                <w:szCs w:val="24"/>
                <w:lang w:val="en-US" w:eastAsia="zh-CN"/>
              </w:rPr>
              <w:t>（2）锅炉燃料堆存扬尘</w:t>
            </w:r>
          </w:p>
          <w:p w14:paraId="4AF52294">
            <w:pPr>
              <w:keepLines w:val="0"/>
              <w:pageBreakBefore w:val="0"/>
              <w:tabs>
                <w:tab w:val="left" w:pos="1291"/>
              </w:tabs>
              <w:topLinePunct w:val="0"/>
              <w:bidi w:val="0"/>
              <w:spacing w:beforeAutospacing="0" w:afterAutospacing="0" w:line="360" w:lineRule="auto"/>
              <w:ind w:left="0" w:leftChars="0" w:right="0" w:rightChars="0" w:firstLine="480" w:firstLineChars="200"/>
              <w:jc w:val="both"/>
              <w:rPr>
                <w:rFonts w:hint="eastAsia" w:ascii="Times New Roman" w:hAnsi="Times New Roman" w:cs="Times New Roman" w:eastAsiaTheme="minorEastAsia"/>
                <w:color w:val="auto"/>
                <w:sz w:val="24"/>
                <w:lang w:val="en-US" w:eastAsia="zh-CN"/>
              </w:rPr>
            </w:pPr>
            <w:r>
              <w:rPr>
                <w:rFonts w:hint="eastAsia" w:ascii="Times New Roman" w:hAnsi="Times New Roman" w:cs="Times New Roman" w:eastAsiaTheme="minorEastAsia"/>
                <w:color w:val="auto"/>
                <w:sz w:val="24"/>
                <w:lang w:val="en-US" w:eastAsia="zh-CN"/>
              </w:rPr>
              <w:t>本项目</w:t>
            </w:r>
            <w:r>
              <w:rPr>
                <w:rFonts w:hint="eastAsia" w:cs="Times New Roman"/>
                <w:color w:val="auto"/>
                <w:sz w:val="24"/>
                <w:szCs w:val="24"/>
                <w:lang w:val="en-US" w:eastAsia="zh-CN"/>
              </w:rPr>
              <w:t>锅炉</w:t>
            </w:r>
            <w:r>
              <w:rPr>
                <w:rFonts w:hint="eastAsia" w:ascii="Times New Roman" w:hAnsi="Times New Roman" w:cs="Times New Roman" w:eastAsiaTheme="minorEastAsia"/>
                <w:color w:val="auto"/>
                <w:sz w:val="24"/>
                <w:lang w:val="en-US" w:eastAsia="zh-CN"/>
              </w:rPr>
              <w:t>燃料因其粒径较大、且生物质成型燃料经袋装、苫布遮盖，生物质颗粒堆存过程产生的扬尘量较少，本次不对其进行定量分析。</w:t>
            </w:r>
          </w:p>
          <w:p w14:paraId="53ED872B">
            <w:pPr>
              <w:keepLines w:val="0"/>
              <w:pageBreakBefore w:val="0"/>
              <w:tabs>
                <w:tab w:val="left" w:pos="1291"/>
              </w:tabs>
              <w:topLinePunct w:val="0"/>
              <w:bidi w:val="0"/>
              <w:spacing w:beforeAutospacing="0" w:afterAutospacing="0" w:line="360" w:lineRule="auto"/>
              <w:ind w:left="0" w:leftChars="0" w:right="0" w:rightChars="0" w:firstLine="480" w:firstLineChars="200"/>
              <w:jc w:val="both"/>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本项目废气污染源源强核算结果及相关参数见表4-1，污染物排放量核算表见表4-2、4-3。</w:t>
            </w:r>
          </w:p>
          <w:p w14:paraId="0768FC22">
            <w:pPr>
              <w:pStyle w:val="2"/>
              <w:spacing w:line="240" w:lineRule="auto"/>
              <w:jc w:val="center"/>
              <w:rPr>
                <w:rFonts w:eastAsiaTheme="minorEastAsia"/>
                <w:b/>
                <w:bCs/>
                <w:color w:val="auto"/>
                <w:sz w:val="21"/>
              </w:rPr>
            </w:pPr>
            <w:r>
              <w:rPr>
                <w:rFonts w:hint="eastAsia" w:eastAsiaTheme="minorEastAsia"/>
                <w:b/>
                <w:bCs/>
                <w:color w:val="auto"/>
                <w:sz w:val="21"/>
              </w:rPr>
              <w:t>表4-</w:t>
            </w:r>
            <w:r>
              <w:rPr>
                <w:rFonts w:hint="eastAsia" w:eastAsiaTheme="minorEastAsia"/>
                <w:b/>
                <w:bCs/>
                <w:color w:val="auto"/>
                <w:sz w:val="21"/>
                <w:lang w:val="en-US" w:eastAsia="zh-CN"/>
              </w:rPr>
              <w:t>1</w:t>
            </w:r>
            <w:r>
              <w:rPr>
                <w:rFonts w:hint="eastAsia" w:eastAsiaTheme="minorEastAsia"/>
                <w:b/>
                <w:bCs/>
                <w:color w:val="auto"/>
                <w:sz w:val="21"/>
              </w:rPr>
              <w:t xml:space="preserve">  废气污染源源强核算结果及相关参数一览表</w:t>
            </w:r>
          </w:p>
          <w:tbl>
            <w:tblPr>
              <w:tblStyle w:val="3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6"/>
              <w:gridCol w:w="600"/>
              <w:gridCol w:w="544"/>
              <w:gridCol w:w="542"/>
              <w:gridCol w:w="421"/>
              <w:gridCol w:w="629"/>
              <w:gridCol w:w="670"/>
              <w:gridCol w:w="688"/>
              <w:gridCol w:w="576"/>
              <w:gridCol w:w="647"/>
              <w:gridCol w:w="581"/>
              <w:gridCol w:w="660"/>
              <w:gridCol w:w="699"/>
              <w:gridCol w:w="545"/>
            </w:tblGrid>
            <w:tr w14:paraId="09DB1F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0" w:type="pct"/>
                  <w:vMerge w:val="restart"/>
                  <w:vAlign w:val="center"/>
                </w:tcPr>
                <w:p w14:paraId="44E53E1F">
                  <w:pPr>
                    <w:spacing w:line="360" w:lineRule="auto"/>
                    <w:jc w:val="center"/>
                    <w:rPr>
                      <w:color w:val="auto"/>
                      <w:spacing w:val="-10"/>
                      <w:sz w:val="18"/>
                      <w:szCs w:val="18"/>
                    </w:rPr>
                  </w:pPr>
                  <w:r>
                    <w:rPr>
                      <w:color w:val="auto"/>
                      <w:spacing w:val="-10"/>
                      <w:kern w:val="0"/>
                      <w:sz w:val="18"/>
                      <w:szCs w:val="18"/>
                    </w:rPr>
                    <w:t>工序</w:t>
                  </w:r>
                </w:p>
              </w:tc>
              <w:tc>
                <w:tcPr>
                  <w:tcW w:w="367" w:type="pct"/>
                  <w:vMerge w:val="restart"/>
                  <w:vAlign w:val="center"/>
                </w:tcPr>
                <w:p w14:paraId="6B759888">
                  <w:pPr>
                    <w:spacing w:line="360" w:lineRule="auto"/>
                    <w:jc w:val="center"/>
                    <w:rPr>
                      <w:color w:val="auto"/>
                      <w:spacing w:val="-10"/>
                      <w:sz w:val="18"/>
                      <w:szCs w:val="18"/>
                    </w:rPr>
                  </w:pPr>
                  <w:r>
                    <w:rPr>
                      <w:color w:val="auto"/>
                      <w:spacing w:val="-10"/>
                      <w:sz w:val="18"/>
                      <w:szCs w:val="18"/>
                    </w:rPr>
                    <w:t>装置</w:t>
                  </w:r>
                </w:p>
              </w:tc>
              <w:tc>
                <w:tcPr>
                  <w:tcW w:w="333" w:type="pct"/>
                  <w:vMerge w:val="restart"/>
                  <w:vAlign w:val="center"/>
                </w:tcPr>
                <w:p w14:paraId="46C483B2">
                  <w:pPr>
                    <w:spacing w:line="360" w:lineRule="auto"/>
                    <w:jc w:val="center"/>
                    <w:rPr>
                      <w:color w:val="auto"/>
                      <w:spacing w:val="-10"/>
                      <w:sz w:val="18"/>
                      <w:szCs w:val="18"/>
                    </w:rPr>
                  </w:pPr>
                  <w:r>
                    <w:rPr>
                      <w:color w:val="auto"/>
                      <w:spacing w:val="-10"/>
                      <w:sz w:val="18"/>
                      <w:szCs w:val="18"/>
                    </w:rPr>
                    <w:t>污染源</w:t>
                  </w:r>
                </w:p>
              </w:tc>
              <w:tc>
                <w:tcPr>
                  <w:tcW w:w="331" w:type="pct"/>
                  <w:vMerge w:val="restart"/>
                  <w:vAlign w:val="center"/>
                </w:tcPr>
                <w:p w14:paraId="241A46B0">
                  <w:pPr>
                    <w:spacing w:line="360" w:lineRule="auto"/>
                    <w:jc w:val="center"/>
                    <w:rPr>
                      <w:color w:val="auto"/>
                      <w:spacing w:val="-10"/>
                      <w:sz w:val="18"/>
                      <w:szCs w:val="18"/>
                    </w:rPr>
                  </w:pPr>
                  <w:r>
                    <w:rPr>
                      <w:color w:val="auto"/>
                      <w:spacing w:val="-10"/>
                      <w:kern w:val="0"/>
                      <w:sz w:val="18"/>
                      <w:szCs w:val="18"/>
                    </w:rPr>
                    <w:t>污染物</w:t>
                  </w:r>
                </w:p>
              </w:tc>
              <w:tc>
                <w:tcPr>
                  <w:tcW w:w="1470" w:type="pct"/>
                  <w:gridSpan w:val="4"/>
                  <w:vAlign w:val="center"/>
                </w:tcPr>
                <w:p w14:paraId="758A4625">
                  <w:pPr>
                    <w:spacing w:line="360" w:lineRule="auto"/>
                    <w:jc w:val="center"/>
                    <w:rPr>
                      <w:color w:val="auto"/>
                      <w:spacing w:val="-10"/>
                      <w:sz w:val="18"/>
                      <w:szCs w:val="18"/>
                    </w:rPr>
                  </w:pPr>
                  <w:r>
                    <w:rPr>
                      <w:color w:val="auto"/>
                      <w:spacing w:val="-10"/>
                      <w:kern w:val="0"/>
                      <w:sz w:val="18"/>
                      <w:szCs w:val="18"/>
                    </w:rPr>
                    <w:t>污染物产生</w:t>
                  </w:r>
                </w:p>
              </w:tc>
              <w:tc>
                <w:tcPr>
                  <w:tcW w:w="747" w:type="pct"/>
                  <w:gridSpan w:val="2"/>
                  <w:vAlign w:val="center"/>
                </w:tcPr>
                <w:p w14:paraId="511E113B">
                  <w:pPr>
                    <w:spacing w:line="360" w:lineRule="auto"/>
                    <w:jc w:val="center"/>
                    <w:rPr>
                      <w:color w:val="auto"/>
                      <w:spacing w:val="-10"/>
                      <w:sz w:val="18"/>
                      <w:szCs w:val="18"/>
                    </w:rPr>
                  </w:pPr>
                  <w:r>
                    <w:rPr>
                      <w:color w:val="auto"/>
                      <w:spacing w:val="-10"/>
                      <w:kern w:val="0"/>
                      <w:sz w:val="18"/>
                      <w:szCs w:val="18"/>
                    </w:rPr>
                    <w:t>治理措施</w:t>
                  </w:r>
                </w:p>
              </w:tc>
              <w:tc>
                <w:tcPr>
                  <w:tcW w:w="1185" w:type="pct"/>
                  <w:gridSpan w:val="3"/>
                  <w:vAlign w:val="center"/>
                </w:tcPr>
                <w:p w14:paraId="06C6FA4E">
                  <w:pPr>
                    <w:spacing w:line="360" w:lineRule="auto"/>
                    <w:jc w:val="center"/>
                    <w:rPr>
                      <w:color w:val="auto"/>
                      <w:spacing w:val="-10"/>
                      <w:sz w:val="18"/>
                      <w:szCs w:val="18"/>
                    </w:rPr>
                  </w:pPr>
                  <w:r>
                    <w:rPr>
                      <w:color w:val="auto"/>
                      <w:spacing w:val="-10"/>
                      <w:kern w:val="0"/>
                      <w:sz w:val="18"/>
                      <w:szCs w:val="18"/>
                    </w:rPr>
                    <w:t>污染物排放</w:t>
                  </w:r>
                </w:p>
              </w:tc>
              <w:tc>
                <w:tcPr>
                  <w:tcW w:w="333" w:type="pct"/>
                  <w:vMerge w:val="restart"/>
                  <w:vAlign w:val="center"/>
                </w:tcPr>
                <w:p w14:paraId="51B09D17">
                  <w:pPr>
                    <w:spacing w:line="360" w:lineRule="auto"/>
                    <w:jc w:val="center"/>
                    <w:rPr>
                      <w:color w:val="auto"/>
                      <w:spacing w:val="-10"/>
                      <w:kern w:val="0"/>
                      <w:sz w:val="18"/>
                      <w:szCs w:val="18"/>
                    </w:rPr>
                  </w:pPr>
                  <w:r>
                    <w:rPr>
                      <w:color w:val="auto"/>
                      <w:spacing w:val="-10"/>
                      <w:kern w:val="0"/>
                      <w:sz w:val="18"/>
                      <w:szCs w:val="18"/>
                    </w:rPr>
                    <w:t>排放时间/h</w:t>
                  </w:r>
                </w:p>
              </w:tc>
            </w:tr>
            <w:tr w14:paraId="68D22D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0" w:type="pct"/>
                  <w:vMerge w:val="continue"/>
                  <w:vAlign w:val="center"/>
                </w:tcPr>
                <w:p w14:paraId="61E717F1">
                  <w:pPr>
                    <w:spacing w:line="360" w:lineRule="auto"/>
                    <w:jc w:val="center"/>
                    <w:rPr>
                      <w:color w:val="auto"/>
                      <w:spacing w:val="-10"/>
                      <w:sz w:val="18"/>
                      <w:szCs w:val="18"/>
                    </w:rPr>
                  </w:pPr>
                </w:p>
              </w:tc>
              <w:tc>
                <w:tcPr>
                  <w:tcW w:w="367" w:type="pct"/>
                  <w:vMerge w:val="continue"/>
                  <w:vAlign w:val="center"/>
                </w:tcPr>
                <w:p w14:paraId="05A28BA4">
                  <w:pPr>
                    <w:spacing w:line="360" w:lineRule="auto"/>
                    <w:jc w:val="center"/>
                    <w:rPr>
                      <w:color w:val="auto"/>
                      <w:spacing w:val="-10"/>
                      <w:sz w:val="18"/>
                      <w:szCs w:val="18"/>
                    </w:rPr>
                  </w:pPr>
                </w:p>
              </w:tc>
              <w:tc>
                <w:tcPr>
                  <w:tcW w:w="333" w:type="pct"/>
                  <w:vMerge w:val="continue"/>
                  <w:vAlign w:val="center"/>
                </w:tcPr>
                <w:p w14:paraId="0074A758">
                  <w:pPr>
                    <w:spacing w:line="360" w:lineRule="auto"/>
                    <w:jc w:val="center"/>
                    <w:rPr>
                      <w:color w:val="auto"/>
                      <w:spacing w:val="-10"/>
                      <w:sz w:val="18"/>
                      <w:szCs w:val="18"/>
                    </w:rPr>
                  </w:pPr>
                </w:p>
              </w:tc>
              <w:tc>
                <w:tcPr>
                  <w:tcW w:w="331" w:type="pct"/>
                  <w:vMerge w:val="continue"/>
                  <w:vAlign w:val="center"/>
                </w:tcPr>
                <w:p w14:paraId="056C7E18">
                  <w:pPr>
                    <w:spacing w:line="360" w:lineRule="auto"/>
                    <w:jc w:val="center"/>
                    <w:rPr>
                      <w:color w:val="auto"/>
                      <w:spacing w:val="-10"/>
                      <w:sz w:val="18"/>
                      <w:szCs w:val="18"/>
                    </w:rPr>
                  </w:pPr>
                </w:p>
              </w:tc>
              <w:tc>
                <w:tcPr>
                  <w:tcW w:w="257" w:type="pct"/>
                  <w:vAlign w:val="center"/>
                </w:tcPr>
                <w:p w14:paraId="2A4CF627">
                  <w:pPr>
                    <w:spacing w:line="360" w:lineRule="auto"/>
                    <w:jc w:val="center"/>
                    <w:rPr>
                      <w:color w:val="auto"/>
                      <w:spacing w:val="-10"/>
                      <w:kern w:val="0"/>
                      <w:sz w:val="18"/>
                      <w:szCs w:val="18"/>
                    </w:rPr>
                  </w:pPr>
                  <w:r>
                    <w:rPr>
                      <w:color w:val="auto"/>
                      <w:spacing w:val="-10"/>
                      <w:kern w:val="0"/>
                      <w:sz w:val="18"/>
                      <w:szCs w:val="18"/>
                    </w:rPr>
                    <w:t>核算</w:t>
                  </w:r>
                </w:p>
                <w:p w14:paraId="07B6254A">
                  <w:pPr>
                    <w:spacing w:line="360" w:lineRule="auto"/>
                    <w:jc w:val="center"/>
                    <w:rPr>
                      <w:color w:val="auto"/>
                      <w:spacing w:val="-10"/>
                      <w:sz w:val="18"/>
                      <w:szCs w:val="18"/>
                    </w:rPr>
                  </w:pPr>
                  <w:r>
                    <w:rPr>
                      <w:color w:val="auto"/>
                      <w:spacing w:val="-10"/>
                      <w:kern w:val="0"/>
                      <w:sz w:val="18"/>
                      <w:szCs w:val="18"/>
                    </w:rPr>
                    <w:t>方法</w:t>
                  </w:r>
                </w:p>
              </w:tc>
              <w:tc>
                <w:tcPr>
                  <w:tcW w:w="384" w:type="pct"/>
                  <w:vAlign w:val="center"/>
                </w:tcPr>
                <w:p w14:paraId="6741AD5D">
                  <w:pPr>
                    <w:spacing w:line="360" w:lineRule="auto"/>
                    <w:jc w:val="center"/>
                    <w:rPr>
                      <w:color w:val="auto"/>
                      <w:spacing w:val="-10"/>
                      <w:sz w:val="18"/>
                      <w:szCs w:val="18"/>
                    </w:rPr>
                  </w:pPr>
                  <w:r>
                    <w:rPr>
                      <w:color w:val="auto"/>
                      <w:spacing w:val="-10"/>
                      <w:kern w:val="0"/>
                      <w:sz w:val="18"/>
                      <w:szCs w:val="18"/>
                    </w:rPr>
                    <w:t>产生废气量m</w:t>
                  </w:r>
                  <w:r>
                    <w:rPr>
                      <w:color w:val="auto"/>
                      <w:spacing w:val="-10"/>
                      <w:kern w:val="0"/>
                      <w:sz w:val="18"/>
                      <w:szCs w:val="18"/>
                      <w:vertAlign w:val="superscript"/>
                    </w:rPr>
                    <w:t>3</w:t>
                  </w:r>
                  <w:r>
                    <w:rPr>
                      <w:color w:val="auto"/>
                      <w:spacing w:val="-10"/>
                      <w:kern w:val="0"/>
                      <w:sz w:val="18"/>
                      <w:szCs w:val="18"/>
                    </w:rPr>
                    <w:t>/h</w:t>
                  </w:r>
                </w:p>
              </w:tc>
              <w:tc>
                <w:tcPr>
                  <w:tcW w:w="409" w:type="pct"/>
                  <w:vAlign w:val="center"/>
                </w:tcPr>
                <w:p w14:paraId="6B8C7B3A">
                  <w:pPr>
                    <w:spacing w:line="360" w:lineRule="auto"/>
                    <w:jc w:val="center"/>
                    <w:rPr>
                      <w:color w:val="auto"/>
                      <w:spacing w:val="-10"/>
                      <w:sz w:val="18"/>
                      <w:szCs w:val="18"/>
                    </w:rPr>
                  </w:pPr>
                  <w:r>
                    <w:rPr>
                      <w:color w:val="auto"/>
                      <w:spacing w:val="-10"/>
                      <w:kern w:val="0"/>
                      <w:sz w:val="18"/>
                      <w:szCs w:val="18"/>
                    </w:rPr>
                    <w:t>产生浓度mg/m</w:t>
                  </w:r>
                  <w:r>
                    <w:rPr>
                      <w:color w:val="auto"/>
                      <w:spacing w:val="-10"/>
                      <w:kern w:val="0"/>
                      <w:sz w:val="18"/>
                      <w:szCs w:val="18"/>
                      <w:vertAlign w:val="superscript"/>
                    </w:rPr>
                    <w:t>3</w:t>
                  </w:r>
                </w:p>
              </w:tc>
              <w:tc>
                <w:tcPr>
                  <w:tcW w:w="420" w:type="pct"/>
                  <w:vAlign w:val="center"/>
                </w:tcPr>
                <w:p w14:paraId="0B5A7739">
                  <w:pPr>
                    <w:spacing w:line="360" w:lineRule="auto"/>
                    <w:jc w:val="center"/>
                    <w:rPr>
                      <w:color w:val="auto"/>
                      <w:spacing w:val="-10"/>
                      <w:sz w:val="18"/>
                      <w:szCs w:val="18"/>
                    </w:rPr>
                  </w:pPr>
                  <w:r>
                    <w:rPr>
                      <w:color w:val="auto"/>
                      <w:spacing w:val="-10"/>
                      <w:kern w:val="0"/>
                      <w:sz w:val="18"/>
                      <w:szCs w:val="18"/>
                    </w:rPr>
                    <w:t>产生量kg/h</w:t>
                  </w:r>
                </w:p>
              </w:tc>
              <w:tc>
                <w:tcPr>
                  <w:tcW w:w="352" w:type="pct"/>
                  <w:vAlign w:val="center"/>
                </w:tcPr>
                <w:p w14:paraId="2B84B647">
                  <w:pPr>
                    <w:spacing w:line="360" w:lineRule="auto"/>
                    <w:jc w:val="center"/>
                    <w:rPr>
                      <w:color w:val="auto"/>
                      <w:spacing w:val="-10"/>
                      <w:sz w:val="18"/>
                      <w:szCs w:val="18"/>
                    </w:rPr>
                  </w:pPr>
                  <w:r>
                    <w:rPr>
                      <w:color w:val="auto"/>
                      <w:spacing w:val="-10"/>
                      <w:kern w:val="0"/>
                      <w:sz w:val="18"/>
                      <w:szCs w:val="18"/>
                    </w:rPr>
                    <w:t>工艺</w:t>
                  </w:r>
                </w:p>
              </w:tc>
              <w:tc>
                <w:tcPr>
                  <w:tcW w:w="395" w:type="pct"/>
                  <w:vAlign w:val="center"/>
                </w:tcPr>
                <w:p w14:paraId="2198154C">
                  <w:pPr>
                    <w:spacing w:line="360" w:lineRule="auto"/>
                    <w:jc w:val="center"/>
                    <w:rPr>
                      <w:color w:val="auto"/>
                      <w:spacing w:val="-10"/>
                      <w:sz w:val="18"/>
                      <w:szCs w:val="18"/>
                    </w:rPr>
                  </w:pPr>
                  <w:r>
                    <w:rPr>
                      <w:color w:val="auto"/>
                      <w:spacing w:val="-10"/>
                      <w:kern w:val="0"/>
                      <w:sz w:val="18"/>
                      <w:szCs w:val="18"/>
                    </w:rPr>
                    <w:t>效率（%）</w:t>
                  </w:r>
                </w:p>
              </w:tc>
              <w:tc>
                <w:tcPr>
                  <w:tcW w:w="355" w:type="pct"/>
                  <w:vAlign w:val="center"/>
                </w:tcPr>
                <w:p w14:paraId="33C18F2B">
                  <w:pPr>
                    <w:spacing w:line="360" w:lineRule="auto"/>
                    <w:jc w:val="center"/>
                    <w:rPr>
                      <w:color w:val="auto"/>
                      <w:spacing w:val="-10"/>
                      <w:sz w:val="18"/>
                      <w:szCs w:val="18"/>
                    </w:rPr>
                  </w:pPr>
                  <w:r>
                    <w:rPr>
                      <w:color w:val="auto"/>
                      <w:spacing w:val="-10"/>
                      <w:kern w:val="0"/>
                      <w:sz w:val="18"/>
                      <w:szCs w:val="18"/>
                    </w:rPr>
                    <w:t>排放废气量m</w:t>
                  </w:r>
                  <w:r>
                    <w:rPr>
                      <w:color w:val="auto"/>
                      <w:spacing w:val="-10"/>
                      <w:kern w:val="0"/>
                      <w:sz w:val="18"/>
                      <w:szCs w:val="18"/>
                      <w:vertAlign w:val="superscript"/>
                    </w:rPr>
                    <w:t>3</w:t>
                  </w:r>
                  <w:r>
                    <w:rPr>
                      <w:color w:val="auto"/>
                      <w:spacing w:val="-10"/>
                      <w:kern w:val="0"/>
                      <w:sz w:val="18"/>
                      <w:szCs w:val="18"/>
                    </w:rPr>
                    <w:t>/h</w:t>
                  </w:r>
                </w:p>
              </w:tc>
              <w:tc>
                <w:tcPr>
                  <w:tcW w:w="403" w:type="pct"/>
                  <w:vAlign w:val="center"/>
                </w:tcPr>
                <w:p w14:paraId="2EDC8B0C">
                  <w:pPr>
                    <w:spacing w:line="360" w:lineRule="auto"/>
                    <w:jc w:val="center"/>
                    <w:rPr>
                      <w:color w:val="auto"/>
                      <w:spacing w:val="-10"/>
                      <w:sz w:val="18"/>
                      <w:szCs w:val="18"/>
                    </w:rPr>
                  </w:pPr>
                  <w:r>
                    <w:rPr>
                      <w:color w:val="auto"/>
                      <w:spacing w:val="-10"/>
                      <w:kern w:val="0"/>
                      <w:sz w:val="18"/>
                      <w:szCs w:val="18"/>
                    </w:rPr>
                    <w:t>排放浓度mg/m</w:t>
                  </w:r>
                  <w:r>
                    <w:rPr>
                      <w:color w:val="auto"/>
                      <w:spacing w:val="-10"/>
                      <w:kern w:val="0"/>
                      <w:sz w:val="18"/>
                      <w:szCs w:val="18"/>
                      <w:vertAlign w:val="superscript"/>
                    </w:rPr>
                    <w:t>3</w:t>
                  </w:r>
                </w:p>
              </w:tc>
              <w:tc>
                <w:tcPr>
                  <w:tcW w:w="426" w:type="pct"/>
                  <w:vAlign w:val="center"/>
                </w:tcPr>
                <w:p w14:paraId="5AD6A02D">
                  <w:pPr>
                    <w:spacing w:line="360" w:lineRule="auto"/>
                    <w:jc w:val="center"/>
                    <w:rPr>
                      <w:color w:val="auto"/>
                      <w:spacing w:val="-10"/>
                      <w:sz w:val="18"/>
                      <w:szCs w:val="18"/>
                    </w:rPr>
                  </w:pPr>
                  <w:r>
                    <w:rPr>
                      <w:color w:val="auto"/>
                      <w:spacing w:val="-10"/>
                      <w:kern w:val="0"/>
                      <w:sz w:val="18"/>
                      <w:szCs w:val="18"/>
                    </w:rPr>
                    <w:t>排放量kg/h</w:t>
                  </w:r>
                </w:p>
              </w:tc>
              <w:tc>
                <w:tcPr>
                  <w:tcW w:w="333" w:type="pct"/>
                  <w:vMerge w:val="continue"/>
                  <w:vAlign w:val="center"/>
                </w:tcPr>
                <w:p w14:paraId="3073D876">
                  <w:pPr>
                    <w:spacing w:line="360" w:lineRule="auto"/>
                    <w:jc w:val="center"/>
                    <w:rPr>
                      <w:color w:val="auto"/>
                      <w:spacing w:val="-10"/>
                      <w:kern w:val="0"/>
                      <w:sz w:val="18"/>
                      <w:szCs w:val="18"/>
                    </w:rPr>
                  </w:pPr>
                </w:p>
              </w:tc>
            </w:tr>
            <w:tr w14:paraId="4E3D08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230" w:type="pct"/>
                  <w:vMerge w:val="restart"/>
                  <w:vAlign w:val="center"/>
                </w:tcPr>
                <w:p w14:paraId="320B0CF4">
                  <w:pPr>
                    <w:pStyle w:val="73"/>
                    <w:spacing w:line="360" w:lineRule="auto"/>
                    <w:rPr>
                      <w:rFonts w:hint="eastAsia" w:eastAsia="宋体"/>
                      <w:color w:val="auto"/>
                      <w:sz w:val="18"/>
                      <w:szCs w:val="18"/>
                      <w:lang w:eastAsia="zh-CN"/>
                    </w:rPr>
                  </w:pPr>
                  <w:r>
                    <w:rPr>
                      <w:rFonts w:hint="eastAsia"/>
                      <w:color w:val="auto"/>
                      <w:sz w:val="18"/>
                      <w:szCs w:val="18"/>
                      <w:lang w:val="en-US" w:eastAsia="zh-CN"/>
                    </w:rPr>
                    <w:t>供热</w:t>
                  </w:r>
                </w:p>
              </w:tc>
              <w:tc>
                <w:tcPr>
                  <w:tcW w:w="367" w:type="pct"/>
                  <w:vMerge w:val="restart"/>
                  <w:vAlign w:val="center"/>
                </w:tcPr>
                <w:p w14:paraId="5077AD65">
                  <w:pPr>
                    <w:pStyle w:val="73"/>
                    <w:spacing w:line="360" w:lineRule="auto"/>
                    <w:rPr>
                      <w:rFonts w:hint="default" w:eastAsia="宋体"/>
                      <w:color w:val="auto"/>
                      <w:sz w:val="18"/>
                      <w:szCs w:val="18"/>
                      <w:lang w:val="en-US" w:eastAsia="zh-CN"/>
                    </w:rPr>
                  </w:pPr>
                  <w:r>
                    <w:rPr>
                      <w:rFonts w:hint="eastAsia"/>
                      <w:color w:val="auto"/>
                      <w:sz w:val="18"/>
                      <w:szCs w:val="18"/>
                      <w:lang w:val="en-US" w:eastAsia="zh-CN"/>
                    </w:rPr>
                    <w:t>1800KW燃生物质导热油炉</w:t>
                  </w:r>
                </w:p>
              </w:tc>
              <w:tc>
                <w:tcPr>
                  <w:tcW w:w="333" w:type="pct"/>
                  <w:vMerge w:val="restart"/>
                  <w:vAlign w:val="center"/>
                </w:tcPr>
                <w:p w14:paraId="1D9B5E27">
                  <w:pPr>
                    <w:pStyle w:val="73"/>
                    <w:spacing w:line="360" w:lineRule="auto"/>
                    <w:rPr>
                      <w:color w:val="auto"/>
                      <w:sz w:val="18"/>
                      <w:szCs w:val="18"/>
                    </w:rPr>
                  </w:pPr>
                  <w:r>
                    <w:rPr>
                      <w:color w:val="auto"/>
                      <w:sz w:val="18"/>
                      <w:szCs w:val="18"/>
                    </w:rPr>
                    <w:t>DA00</w:t>
                  </w:r>
                  <w:r>
                    <w:rPr>
                      <w:rFonts w:hint="eastAsia"/>
                      <w:color w:val="auto"/>
                      <w:sz w:val="18"/>
                      <w:szCs w:val="18"/>
                    </w:rPr>
                    <w:t>1</w:t>
                  </w:r>
                </w:p>
              </w:tc>
              <w:tc>
                <w:tcPr>
                  <w:tcW w:w="331" w:type="pct"/>
                  <w:vAlign w:val="center"/>
                </w:tcPr>
                <w:p w14:paraId="4CD6021C">
                  <w:pPr>
                    <w:widowControl/>
                    <w:spacing w:line="360" w:lineRule="auto"/>
                    <w:jc w:val="center"/>
                    <w:textAlignment w:val="center"/>
                    <w:rPr>
                      <w:color w:val="auto"/>
                      <w:kern w:val="0"/>
                      <w:sz w:val="18"/>
                      <w:szCs w:val="18"/>
                    </w:rPr>
                  </w:pPr>
                  <w:r>
                    <w:rPr>
                      <w:rFonts w:hint="eastAsia"/>
                      <w:color w:val="auto"/>
                      <w:kern w:val="0"/>
                      <w:sz w:val="18"/>
                      <w:szCs w:val="18"/>
                    </w:rPr>
                    <w:t>颗粒物</w:t>
                  </w:r>
                </w:p>
              </w:tc>
              <w:tc>
                <w:tcPr>
                  <w:tcW w:w="257" w:type="pct"/>
                  <w:vMerge w:val="restart"/>
                  <w:vAlign w:val="center"/>
                </w:tcPr>
                <w:p w14:paraId="3674E4C1">
                  <w:pPr>
                    <w:pStyle w:val="73"/>
                    <w:spacing w:line="360" w:lineRule="auto"/>
                    <w:rPr>
                      <w:rFonts w:hint="default" w:eastAsia="宋体"/>
                      <w:color w:val="auto"/>
                      <w:sz w:val="18"/>
                      <w:szCs w:val="18"/>
                      <w:lang w:val="en-US" w:eastAsia="zh-CN"/>
                    </w:rPr>
                  </w:pPr>
                  <w:r>
                    <w:rPr>
                      <w:rFonts w:hint="eastAsia"/>
                      <w:color w:val="auto"/>
                      <w:sz w:val="18"/>
                      <w:szCs w:val="18"/>
                      <w:lang w:val="en-US" w:eastAsia="zh-CN"/>
                    </w:rPr>
                    <w:t>物料衡算法</w:t>
                  </w:r>
                </w:p>
              </w:tc>
              <w:tc>
                <w:tcPr>
                  <w:tcW w:w="384" w:type="pct"/>
                  <w:vMerge w:val="restart"/>
                  <w:vAlign w:val="center"/>
                </w:tcPr>
                <w:p w14:paraId="6ED04C9D">
                  <w:pPr>
                    <w:pStyle w:val="73"/>
                    <w:spacing w:line="360" w:lineRule="auto"/>
                    <w:rPr>
                      <w:rFonts w:hint="default" w:eastAsia="宋体"/>
                      <w:color w:val="auto"/>
                      <w:sz w:val="18"/>
                      <w:szCs w:val="18"/>
                      <w:lang w:val="en-US" w:eastAsia="zh-CN"/>
                    </w:rPr>
                  </w:pPr>
                  <w:r>
                    <w:rPr>
                      <w:rFonts w:hint="default" w:eastAsia="宋体"/>
                      <w:color w:val="auto"/>
                      <w:sz w:val="18"/>
                      <w:szCs w:val="18"/>
                      <w:lang w:val="en-US" w:eastAsia="zh-CN"/>
                    </w:rPr>
                    <w:t>3921.21</w:t>
                  </w:r>
                </w:p>
              </w:tc>
              <w:tc>
                <w:tcPr>
                  <w:tcW w:w="409" w:type="pct"/>
                  <w:vAlign w:val="center"/>
                </w:tcPr>
                <w:p w14:paraId="559E9027">
                  <w:pPr>
                    <w:widowControl/>
                    <w:spacing w:line="360" w:lineRule="auto"/>
                    <w:jc w:val="center"/>
                    <w:textAlignment w:val="center"/>
                    <w:rPr>
                      <w:rFonts w:hint="default" w:eastAsia="宋体"/>
                      <w:color w:val="auto"/>
                      <w:kern w:val="0"/>
                      <w:sz w:val="18"/>
                      <w:szCs w:val="18"/>
                      <w:lang w:val="en-US" w:eastAsia="zh-CN"/>
                    </w:rPr>
                  </w:pPr>
                  <w:r>
                    <w:rPr>
                      <w:rFonts w:hint="eastAsia"/>
                      <w:color w:val="auto"/>
                      <w:kern w:val="0"/>
                      <w:sz w:val="18"/>
                      <w:szCs w:val="18"/>
                      <w:lang w:val="en-US" w:eastAsia="zh-CN"/>
                    </w:rPr>
                    <w:t>3930</w:t>
                  </w:r>
                </w:p>
              </w:tc>
              <w:tc>
                <w:tcPr>
                  <w:tcW w:w="420" w:type="pct"/>
                  <w:vAlign w:val="center"/>
                </w:tcPr>
                <w:p w14:paraId="3E0F1658">
                  <w:pPr>
                    <w:pStyle w:val="73"/>
                    <w:spacing w:line="360" w:lineRule="auto"/>
                    <w:rPr>
                      <w:rFonts w:hint="default" w:eastAsia="宋体"/>
                      <w:color w:val="auto"/>
                      <w:sz w:val="18"/>
                      <w:szCs w:val="18"/>
                      <w:lang w:val="en-US" w:eastAsia="zh-CN"/>
                    </w:rPr>
                  </w:pPr>
                  <w:r>
                    <w:rPr>
                      <w:rFonts w:hint="eastAsia"/>
                      <w:color w:val="auto"/>
                      <w:sz w:val="18"/>
                      <w:szCs w:val="18"/>
                      <w:lang w:val="en-US" w:eastAsia="zh-CN"/>
                    </w:rPr>
                    <w:t>15.409</w:t>
                  </w:r>
                </w:p>
              </w:tc>
              <w:tc>
                <w:tcPr>
                  <w:tcW w:w="352" w:type="pct"/>
                  <w:vAlign w:val="center"/>
                </w:tcPr>
                <w:p w14:paraId="3B7CBECA">
                  <w:pPr>
                    <w:pStyle w:val="73"/>
                    <w:spacing w:line="360" w:lineRule="auto"/>
                    <w:rPr>
                      <w:rFonts w:hint="default" w:eastAsia="宋体"/>
                      <w:color w:val="auto"/>
                      <w:sz w:val="18"/>
                      <w:szCs w:val="18"/>
                      <w:lang w:val="en-US" w:eastAsia="zh-CN"/>
                    </w:rPr>
                  </w:pPr>
                  <w:r>
                    <w:rPr>
                      <w:rFonts w:hint="eastAsia"/>
                      <w:color w:val="auto"/>
                      <w:sz w:val="18"/>
                      <w:szCs w:val="18"/>
                      <w:lang w:val="en-US" w:eastAsia="zh-CN"/>
                    </w:rPr>
                    <w:t>旋风除尘+布袋除尘器</w:t>
                  </w:r>
                </w:p>
              </w:tc>
              <w:tc>
                <w:tcPr>
                  <w:tcW w:w="395" w:type="pct"/>
                  <w:vAlign w:val="center"/>
                </w:tcPr>
                <w:p w14:paraId="1620EEFB">
                  <w:pPr>
                    <w:pStyle w:val="73"/>
                    <w:spacing w:line="360" w:lineRule="auto"/>
                    <w:rPr>
                      <w:rFonts w:hint="default" w:eastAsia="宋体"/>
                      <w:color w:val="auto"/>
                      <w:sz w:val="18"/>
                      <w:szCs w:val="18"/>
                      <w:lang w:val="en-US" w:eastAsia="zh-CN"/>
                    </w:rPr>
                  </w:pPr>
                  <w:r>
                    <w:rPr>
                      <w:rFonts w:hint="eastAsia"/>
                      <w:color w:val="auto"/>
                      <w:sz w:val="18"/>
                      <w:szCs w:val="18"/>
                      <w:lang w:val="en-US" w:eastAsia="zh-CN"/>
                    </w:rPr>
                    <w:t>99</w:t>
                  </w:r>
                </w:p>
              </w:tc>
              <w:tc>
                <w:tcPr>
                  <w:tcW w:w="355" w:type="pct"/>
                  <w:vMerge w:val="restart"/>
                  <w:vAlign w:val="center"/>
                </w:tcPr>
                <w:p w14:paraId="1633BAA6">
                  <w:pPr>
                    <w:pStyle w:val="73"/>
                    <w:spacing w:line="360" w:lineRule="auto"/>
                    <w:rPr>
                      <w:rFonts w:hint="default" w:eastAsia="宋体"/>
                      <w:color w:val="auto"/>
                      <w:sz w:val="18"/>
                      <w:szCs w:val="18"/>
                      <w:lang w:val="en-US" w:eastAsia="zh-CN"/>
                    </w:rPr>
                  </w:pPr>
                  <w:r>
                    <w:rPr>
                      <w:rFonts w:hint="default" w:eastAsia="宋体"/>
                      <w:color w:val="auto"/>
                      <w:sz w:val="18"/>
                      <w:szCs w:val="18"/>
                      <w:lang w:val="en-US" w:eastAsia="zh-CN"/>
                    </w:rPr>
                    <w:t>3921.21</w:t>
                  </w:r>
                </w:p>
              </w:tc>
              <w:tc>
                <w:tcPr>
                  <w:tcW w:w="403" w:type="pct"/>
                  <w:shd w:val="clear" w:color="auto" w:fill="auto"/>
                  <w:vAlign w:val="center"/>
                </w:tcPr>
                <w:p w14:paraId="1C60FD44">
                  <w:pPr>
                    <w:widowControl/>
                    <w:spacing w:line="360" w:lineRule="auto"/>
                    <w:jc w:val="center"/>
                    <w:textAlignment w:val="center"/>
                    <w:rPr>
                      <w:rFonts w:hint="default"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bidi="ar-SA"/>
                    </w:rPr>
                    <w:t>39</w:t>
                  </w:r>
                </w:p>
              </w:tc>
              <w:tc>
                <w:tcPr>
                  <w:tcW w:w="426" w:type="pct"/>
                  <w:shd w:val="clear" w:color="auto" w:fill="auto"/>
                  <w:vAlign w:val="center"/>
                </w:tcPr>
                <w:p w14:paraId="060E8429">
                  <w:pPr>
                    <w:pStyle w:val="73"/>
                    <w:spacing w:line="360" w:lineRule="auto"/>
                    <w:rPr>
                      <w:rFonts w:hint="default"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bidi="ar-SA"/>
                    </w:rPr>
                    <w:t>0.154</w:t>
                  </w:r>
                </w:p>
              </w:tc>
              <w:tc>
                <w:tcPr>
                  <w:tcW w:w="333" w:type="pct"/>
                  <w:vMerge w:val="restart"/>
                  <w:vAlign w:val="center"/>
                </w:tcPr>
                <w:p w14:paraId="6DDC5770">
                  <w:pPr>
                    <w:spacing w:line="360" w:lineRule="auto"/>
                    <w:jc w:val="center"/>
                    <w:textAlignment w:val="center"/>
                    <w:rPr>
                      <w:rFonts w:hint="default" w:eastAsia="宋体"/>
                      <w:color w:val="auto"/>
                      <w:spacing w:val="-10"/>
                      <w:sz w:val="18"/>
                      <w:szCs w:val="18"/>
                      <w:lang w:val="en-US" w:eastAsia="zh-CN"/>
                    </w:rPr>
                  </w:pPr>
                  <w:r>
                    <w:rPr>
                      <w:rFonts w:hint="eastAsia"/>
                      <w:color w:val="auto"/>
                      <w:spacing w:val="-10"/>
                      <w:sz w:val="18"/>
                      <w:szCs w:val="18"/>
                      <w:lang w:val="en-US" w:eastAsia="zh-CN"/>
                    </w:rPr>
                    <w:t>7200</w:t>
                  </w:r>
                </w:p>
              </w:tc>
            </w:tr>
            <w:tr w14:paraId="659985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0" w:type="pct"/>
                  <w:vMerge w:val="continue"/>
                  <w:vAlign w:val="center"/>
                </w:tcPr>
                <w:p w14:paraId="04F7436E">
                  <w:pPr>
                    <w:pStyle w:val="73"/>
                    <w:spacing w:line="360" w:lineRule="auto"/>
                    <w:rPr>
                      <w:rFonts w:hint="eastAsia"/>
                      <w:color w:val="auto"/>
                      <w:sz w:val="18"/>
                      <w:szCs w:val="18"/>
                      <w:lang w:val="en-US" w:eastAsia="zh-CN"/>
                    </w:rPr>
                  </w:pPr>
                </w:p>
              </w:tc>
              <w:tc>
                <w:tcPr>
                  <w:tcW w:w="367" w:type="pct"/>
                  <w:vMerge w:val="continue"/>
                  <w:vAlign w:val="center"/>
                </w:tcPr>
                <w:p w14:paraId="651EE240">
                  <w:pPr>
                    <w:pStyle w:val="73"/>
                    <w:spacing w:line="360" w:lineRule="auto"/>
                    <w:rPr>
                      <w:rFonts w:hint="eastAsia"/>
                      <w:color w:val="auto"/>
                      <w:sz w:val="18"/>
                      <w:szCs w:val="18"/>
                      <w:lang w:val="en-US" w:eastAsia="zh-CN"/>
                    </w:rPr>
                  </w:pPr>
                </w:p>
              </w:tc>
              <w:tc>
                <w:tcPr>
                  <w:tcW w:w="333" w:type="pct"/>
                  <w:vMerge w:val="continue"/>
                  <w:vAlign w:val="center"/>
                </w:tcPr>
                <w:p w14:paraId="0A6A32FC">
                  <w:pPr>
                    <w:pStyle w:val="73"/>
                    <w:spacing w:line="360" w:lineRule="auto"/>
                    <w:rPr>
                      <w:color w:val="auto"/>
                      <w:sz w:val="18"/>
                      <w:szCs w:val="18"/>
                    </w:rPr>
                  </w:pPr>
                </w:p>
              </w:tc>
              <w:tc>
                <w:tcPr>
                  <w:tcW w:w="331" w:type="pct"/>
                  <w:vAlign w:val="center"/>
                </w:tcPr>
                <w:p w14:paraId="6295C851">
                  <w:pPr>
                    <w:widowControl/>
                    <w:spacing w:line="360" w:lineRule="auto"/>
                    <w:jc w:val="center"/>
                    <w:textAlignment w:val="center"/>
                    <w:rPr>
                      <w:rFonts w:hint="default" w:eastAsia="宋体"/>
                      <w:color w:val="auto"/>
                      <w:kern w:val="0"/>
                      <w:sz w:val="18"/>
                      <w:szCs w:val="18"/>
                      <w:lang w:val="en-US" w:eastAsia="zh-CN"/>
                    </w:rPr>
                  </w:pPr>
                  <w:r>
                    <w:rPr>
                      <w:rFonts w:hint="eastAsia"/>
                      <w:color w:val="auto"/>
                      <w:kern w:val="0"/>
                      <w:sz w:val="18"/>
                      <w:szCs w:val="18"/>
                      <w:lang w:val="en-US" w:eastAsia="zh-CN"/>
                    </w:rPr>
                    <w:t>SO</w:t>
                  </w:r>
                  <w:r>
                    <w:rPr>
                      <w:rFonts w:hint="eastAsia"/>
                      <w:color w:val="auto"/>
                      <w:kern w:val="0"/>
                      <w:sz w:val="18"/>
                      <w:szCs w:val="18"/>
                      <w:vertAlign w:val="subscript"/>
                      <w:lang w:val="en-US" w:eastAsia="zh-CN"/>
                    </w:rPr>
                    <w:t>2</w:t>
                  </w:r>
                </w:p>
              </w:tc>
              <w:tc>
                <w:tcPr>
                  <w:tcW w:w="257" w:type="pct"/>
                  <w:vMerge w:val="continue"/>
                  <w:vAlign w:val="center"/>
                </w:tcPr>
                <w:p w14:paraId="7B3E2BC3">
                  <w:pPr>
                    <w:pStyle w:val="73"/>
                    <w:spacing w:line="360" w:lineRule="auto"/>
                    <w:rPr>
                      <w:rFonts w:hint="eastAsia"/>
                      <w:color w:val="auto"/>
                      <w:sz w:val="18"/>
                      <w:szCs w:val="18"/>
                    </w:rPr>
                  </w:pPr>
                </w:p>
              </w:tc>
              <w:tc>
                <w:tcPr>
                  <w:tcW w:w="384" w:type="pct"/>
                  <w:vMerge w:val="continue"/>
                  <w:vAlign w:val="center"/>
                </w:tcPr>
                <w:p w14:paraId="72F18503">
                  <w:pPr>
                    <w:pStyle w:val="73"/>
                    <w:spacing w:line="360" w:lineRule="auto"/>
                    <w:rPr>
                      <w:rFonts w:hint="eastAsia"/>
                      <w:color w:val="auto"/>
                      <w:sz w:val="18"/>
                      <w:szCs w:val="18"/>
                    </w:rPr>
                  </w:pPr>
                </w:p>
              </w:tc>
              <w:tc>
                <w:tcPr>
                  <w:tcW w:w="409" w:type="pct"/>
                  <w:vAlign w:val="center"/>
                </w:tcPr>
                <w:p w14:paraId="0FB34914">
                  <w:pPr>
                    <w:widowControl/>
                    <w:spacing w:line="360" w:lineRule="auto"/>
                    <w:jc w:val="center"/>
                    <w:textAlignment w:val="center"/>
                    <w:rPr>
                      <w:rFonts w:hint="default" w:eastAsia="宋体"/>
                      <w:color w:val="auto"/>
                      <w:kern w:val="0"/>
                      <w:sz w:val="18"/>
                      <w:szCs w:val="18"/>
                      <w:lang w:val="en-US" w:eastAsia="zh-CN"/>
                    </w:rPr>
                  </w:pPr>
                  <w:r>
                    <w:rPr>
                      <w:rFonts w:hint="eastAsia"/>
                      <w:color w:val="auto"/>
                      <w:kern w:val="0"/>
                      <w:sz w:val="18"/>
                      <w:szCs w:val="18"/>
                      <w:lang w:val="en-US" w:eastAsia="zh-CN"/>
                    </w:rPr>
                    <w:t>59</w:t>
                  </w:r>
                </w:p>
              </w:tc>
              <w:tc>
                <w:tcPr>
                  <w:tcW w:w="420" w:type="pct"/>
                  <w:vAlign w:val="center"/>
                </w:tcPr>
                <w:p w14:paraId="4B09552E">
                  <w:pPr>
                    <w:pStyle w:val="73"/>
                    <w:spacing w:line="360" w:lineRule="auto"/>
                    <w:rPr>
                      <w:rFonts w:hint="default" w:eastAsia="宋体"/>
                      <w:color w:val="auto"/>
                      <w:sz w:val="18"/>
                      <w:szCs w:val="18"/>
                      <w:lang w:val="en-US" w:eastAsia="zh-CN"/>
                    </w:rPr>
                  </w:pPr>
                  <w:r>
                    <w:rPr>
                      <w:rFonts w:hint="eastAsia"/>
                      <w:color w:val="auto"/>
                      <w:sz w:val="18"/>
                      <w:szCs w:val="18"/>
                      <w:lang w:val="en-US" w:eastAsia="zh-CN"/>
                    </w:rPr>
                    <w:t>0.23</w:t>
                  </w:r>
                </w:p>
              </w:tc>
              <w:tc>
                <w:tcPr>
                  <w:tcW w:w="352" w:type="pct"/>
                  <w:vAlign w:val="center"/>
                </w:tcPr>
                <w:p w14:paraId="10F8ED31">
                  <w:pPr>
                    <w:pStyle w:val="73"/>
                    <w:spacing w:line="360" w:lineRule="auto"/>
                    <w:rPr>
                      <w:rFonts w:hint="eastAsia" w:eastAsia="宋体"/>
                      <w:color w:val="auto"/>
                      <w:sz w:val="18"/>
                      <w:szCs w:val="18"/>
                      <w:lang w:val="en-US" w:eastAsia="zh-CN"/>
                    </w:rPr>
                  </w:pPr>
                  <w:r>
                    <w:rPr>
                      <w:rFonts w:hint="eastAsia"/>
                      <w:color w:val="auto"/>
                      <w:sz w:val="18"/>
                      <w:szCs w:val="18"/>
                      <w:lang w:val="en-US" w:eastAsia="zh-CN"/>
                    </w:rPr>
                    <w:t>/</w:t>
                  </w:r>
                </w:p>
              </w:tc>
              <w:tc>
                <w:tcPr>
                  <w:tcW w:w="395" w:type="pct"/>
                  <w:vAlign w:val="center"/>
                </w:tcPr>
                <w:p w14:paraId="53DA4E36">
                  <w:pPr>
                    <w:pStyle w:val="73"/>
                    <w:spacing w:line="360" w:lineRule="auto"/>
                    <w:rPr>
                      <w:rFonts w:hint="eastAsia" w:eastAsia="宋体"/>
                      <w:color w:val="auto"/>
                      <w:sz w:val="18"/>
                      <w:szCs w:val="18"/>
                      <w:lang w:val="en-US" w:eastAsia="zh-CN"/>
                    </w:rPr>
                  </w:pPr>
                  <w:r>
                    <w:rPr>
                      <w:rFonts w:hint="eastAsia"/>
                      <w:color w:val="auto"/>
                      <w:sz w:val="18"/>
                      <w:szCs w:val="18"/>
                      <w:lang w:val="en-US" w:eastAsia="zh-CN"/>
                    </w:rPr>
                    <w:t>/</w:t>
                  </w:r>
                </w:p>
              </w:tc>
              <w:tc>
                <w:tcPr>
                  <w:tcW w:w="355" w:type="pct"/>
                  <w:vMerge w:val="continue"/>
                  <w:vAlign w:val="center"/>
                </w:tcPr>
                <w:p w14:paraId="68CAB73D">
                  <w:pPr>
                    <w:pStyle w:val="73"/>
                    <w:spacing w:line="360" w:lineRule="auto"/>
                    <w:rPr>
                      <w:rFonts w:hint="eastAsia"/>
                      <w:color w:val="auto"/>
                      <w:sz w:val="18"/>
                      <w:szCs w:val="18"/>
                    </w:rPr>
                  </w:pPr>
                </w:p>
              </w:tc>
              <w:tc>
                <w:tcPr>
                  <w:tcW w:w="660" w:type="dxa"/>
                  <w:vAlign w:val="center"/>
                </w:tcPr>
                <w:p w14:paraId="508D7718">
                  <w:pPr>
                    <w:widowControl/>
                    <w:spacing w:line="360" w:lineRule="auto"/>
                    <w:jc w:val="center"/>
                    <w:textAlignment w:val="center"/>
                    <w:rPr>
                      <w:rFonts w:hint="eastAsia"/>
                      <w:color w:val="auto"/>
                      <w:kern w:val="0"/>
                      <w:sz w:val="18"/>
                      <w:szCs w:val="18"/>
                    </w:rPr>
                  </w:pPr>
                  <w:r>
                    <w:rPr>
                      <w:rFonts w:hint="eastAsia"/>
                      <w:color w:val="auto"/>
                      <w:kern w:val="0"/>
                      <w:sz w:val="18"/>
                      <w:szCs w:val="18"/>
                      <w:lang w:val="en-US" w:eastAsia="zh-CN"/>
                    </w:rPr>
                    <w:t>59</w:t>
                  </w:r>
                </w:p>
              </w:tc>
              <w:tc>
                <w:tcPr>
                  <w:tcW w:w="699" w:type="dxa"/>
                  <w:vAlign w:val="center"/>
                </w:tcPr>
                <w:p w14:paraId="6866AE83">
                  <w:pPr>
                    <w:pStyle w:val="73"/>
                    <w:spacing w:line="360" w:lineRule="auto"/>
                    <w:rPr>
                      <w:rFonts w:hint="eastAsia"/>
                      <w:color w:val="auto"/>
                      <w:sz w:val="18"/>
                      <w:szCs w:val="18"/>
                    </w:rPr>
                  </w:pPr>
                  <w:r>
                    <w:rPr>
                      <w:rFonts w:hint="eastAsia"/>
                      <w:color w:val="auto"/>
                      <w:sz w:val="18"/>
                      <w:szCs w:val="18"/>
                      <w:lang w:val="en-US" w:eastAsia="zh-CN"/>
                    </w:rPr>
                    <w:t>0.23</w:t>
                  </w:r>
                </w:p>
              </w:tc>
              <w:tc>
                <w:tcPr>
                  <w:tcW w:w="333" w:type="pct"/>
                  <w:vMerge w:val="continue"/>
                  <w:vAlign w:val="center"/>
                </w:tcPr>
                <w:p w14:paraId="41C04FC8">
                  <w:pPr>
                    <w:spacing w:line="360" w:lineRule="auto"/>
                    <w:jc w:val="center"/>
                    <w:textAlignment w:val="center"/>
                    <w:rPr>
                      <w:rFonts w:hint="eastAsia"/>
                      <w:color w:val="auto"/>
                      <w:spacing w:val="-10"/>
                      <w:sz w:val="18"/>
                      <w:szCs w:val="18"/>
                    </w:rPr>
                  </w:pPr>
                </w:p>
              </w:tc>
            </w:tr>
            <w:tr w14:paraId="10D549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0" w:type="pct"/>
                  <w:vMerge w:val="continue"/>
                  <w:vAlign w:val="center"/>
                </w:tcPr>
                <w:p w14:paraId="3EB4F4E8">
                  <w:pPr>
                    <w:pStyle w:val="73"/>
                    <w:spacing w:line="360" w:lineRule="auto"/>
                    <w:rPr>
                      <w:rFonts w:hint="eastAsia"/>
                      <w:color w:val="auto"/>
                      <w:sz w:val="18"/>
                      <w:szCs w:val="18"/>
                      <w:lang w:val="en-US" w:eastAsia="zh-CN"/>
                    </w:rPr>
                  </w:pPr>
                </w:p>
              </w:tc>
              <w:tc>
                <w:tcPr>
                  <w:tcW w:w="367" w:type="pct"/>
                  <w:vMerge w:val="continue"/>
                  <w:vAlign w:val="center"/>
                </w:tcPr>
                <w:p w14:paraId="52A1AB12">
                  <w:pPr>
                    <w:pStyle w:val="73"/>
                    <w:spacing w:line="360" w:lineRule="auto"/>
                    <w:rPr>
                      <w:rFonts w:hint="eastAsia"/>
                      <w:color w:val="auto"/>
                      <w:sz w:val="18"/>
                      <w:szCs w:val="18"/>
                      <w:lang w:val="en-US" w:eastAsia="zh-CN"/>
                    </w:rPr>
                  </w:pPr>
                </w:p>
              </w:tc>
              <w:tc>
                <w:tcPr>
                  <w:tcW w:w="333" w:type="pct"/>
                  <w:vMerge w:val="continue"/>
                  <w:vAlign w:val="center"/>
                </w:tcPr>
                <w:p w14:paraId="5F55B77F">
                  <w:pPr>
                    <w:pStyle w:val="73"/>
                    <w:spacing w:line="360" w:lineRule="auto"/>
                    <w:rPr>
                      <w:color w:val="auto"/>
                      <w:sz w:val="18"/>
                      <w:szCs w:val="18"/>
                    </w:rPr>
                  </w:pPr>
                </w:p>
              </w:tc>
              <w:tc>
                <w:tcPr>
                  <w:tcW w:w="331" w:type="pct"/>
                  <w:vAlign w:val="center"/>
                </w:tcPr>
                <w:p w14:paraId="1399B753">
                  <w:pPr>
                    <w:widowControl/>
                    <w:spacing w:line="360" w:lineRule="auto"/>
                    <w:jc w:val="center"/>
                    <w:textAlignment w:val="center"/>
                    <w:rPr>
                      <w:rFonts w:hint="default" w:eastAsia="宋体"/>
                      <w:color w:val="auto"/>
                      <w:kern w:val="0"/>
                      <w:sz w:val="18"/>
                      <w:szCs w:val="18"/>
                      <w:lang w:val="en-US" w:eastAsia="zh-CN"/>
                    </w:rPr>
                  </w:pPr>
                  <w:r>
                    <w:rPr>
                      <w:rFonts w:hint="eastAsia"/>
                      <w:color w:val="auto"/>
                      <w:kern w:val="0"/>
                      <w:sz w:val="18"/>
                      <w:szCs w:val="18"/>
                      <w:lang w:val="en-US" w:eastAsia="zh-CN"/>
                    </w:rPr>
                    <w:t>NO</w:t>
                  </w:r>
                  <w:r>
                    <w:rPr>
                      <w:rFonts w:hint="eastAsia"/>
                      <w:color w:val="auto"/>
                      <w:kern w:val="0"/>
                      <w:sz w:val="18"/>
                      <w:szCs w:val="18"/>
                      <w:vertAlign w:val="subscript"/>
                      <w:lang w:val="en-US" w:eastAsia="zh-CN"/>
                    </w:rPr>
                    <w:t>x</w:t>
                  </w:r>
                </w:p>
              </w:tc>
              <w:tc>
                <w:tcPr>
                  <w:tcW w:w="257" w:type="pct"/>
                  <w:vAlign w:val="center"/>
                </w:tcPr>
                <w:p w14:paraId="26E9A0B5">
                  <w:pPr>
                    <w:pStyle w:val="73"/>
                    <w:spacing w:line="360" w:lineRule="auto"/>
                    <w:rPr>
                      <w:rFonts w:hint="eastAsia" w:eastAsia="宋体"/>
                      <w:color w:val="auto"/>
                      <w:sz w:val="18"/>
                      <w:szCs w:val="18"/>
                      <w:lang w:eastAsia="zh-CN"/>
                    </w:rPr>
                  </w:pPr>
                  <w:r>
                    <w:rPr>
                      <w:rFonts w:hint="eastAsia"/>
                      <w:color w:val="auto"/>
                      <w:sz w:val="18"/>
                      <w:szCs w:val="18"/>
                      <w:lang w:val="en-US" w:eastAsia="zh-CN"/>
                    </w:rPr>
                    <w:t>类比法</w:t>
                  </w:r>
                </w:p>
              </w:tc>
              <w:tc>
                <w:tcPr>
                  <w:tcW w:w="384" w:type="pct"/>
                  <w:vMerge w:val="continue"/>
                  <w:vAlign w:val="center"/>
                </w:tcPr>
                <w:p w14:paraId="11CB4FE7">
                  <w:pPr>
                    <w:pStyle w:val="73"/>
                    <w:spacing w:line="360" w:lineRule="auto"/>
                    <w:rPr>
                      <w:rFonts w:hint="eastAsia"/>
                      <w:color w:val="auto"/>
                      <w:sz w:val="18"/>
                      <w:szCs w:val="18"/>
                    </w:rPr>
                  </w:pPr>
                </w:p>
              </w:tc>
              <w:tc>
                <w:tcPr>
                  <w:tcW w:w="409" w:type="pct"/>
                  <w:vAlign w:val="center"/>
                </w:tcPr>
                <w:p w14:paraId="45AE0C30">
                  <w:pPr>
                    <w:widowControl/>
                    <w:spacing w:line="360" w:lineRule="auto"/>
                    <w:jc w:val="center"/>
                    <w:textAlignment w:val="center"/>
                    <w:rPr>
                      <w:rFonts w:hint="default" w:eastAsia="宋体"/>
                      <w:color w:val="auto"/>
                      <w:kern w:val="0"/>
                      <w:sz w:val="18"/>
                      <w:szCs w:val="18"/>
                      <w:lang w:val="en-US" w:eastAsia="zh-CN"/>
                    </w:rPr>
                  </w:pPr>
                  <w:r>
                    <w:rPr>
                      <w:rFonts w:hint="eastAsia"/>
                      <w:color w:val="auto"/>
                      <w:kern w:val="0"/>
                      <w:sz w:val="18"/>
                      <w:szCs w:val="18"/>
                      <w:lang w:val="en-US" w:eastAsia="zh-CN"/>
                    </w:rPr>
                    <w:t>93</w:t>
                  </w:r>
                </w:p>
              </w:tc>
              <w:tc>
                <w:tcPr>
                  <w:tcW w:w="420" w:type="pct"/>
                  <w:vAlign w:val="center"/>
                </w:tcPr>
                <w:p w14:paraId="2CD91F23">
                  <w:pPr>
                    <w:pStyle w:val="73"/>
                    <w:spacing w:line="360" w:lineRule="auto"/>
                    <w:rPr>
                      <w:rFonts w:hint="default" w:eastAsia="宋体"/>
                      <w:color w:val="auto"/>
                      <w:sz w:val="18"/>
                      <w:szCs w:val="18"/>
                      <w:lang w:val="en-US" w:eastAsia="zh-CN"/>
                    </w:rPr>
                  </w:pPr>
                  <w:r>
                    <w:rPr>
                      <w:rFonts w:hint="eastAsia"/>
                      <w:color w:val="auto"/>
                      <w:sz w:val="18"/>
                      <w:szCs w:val="18"/>
                      <w:lang w:val="en-US" w:eastAsia="zh-CN"/>
                    </w:rPr>
                    <w:t>0.365</w:t>
                  </w:r>
                </w:p>
              </w:tc>
              <w:tc>
                <w:tcPr>
                  <w:tcW w:w="352" w:type="pct"/>
                  <w:vAlign w:val="center"/>
                </w:tcPr>
                <w:p w14:paraId="7FF8A67A">
                  <w:pPr>
                    <w:pStyle w:val="73"/>
                    <w:spacing w:line="360" w:lineRule="auto"/>
                    <w:rPr>
                      <w:rFonts w:hint="eastAsia" w:eastAsia="宋体"/>
                      <w:color w:val="auto"/>
                      <w:sz w:val="18"/>
                      <w:szCs w:val="18"/>
                      <w:lang w:val="en-US" w:eastAsia="zh-CN"/>
                    </w:rPr>
                  </w:pPr>
                  <w:r>
                    <w:rPr>
                      <w:rFonts w:hint="eastAsia"/>
                      <w:color w:val="auto"/>
                      <w:sz w:val="18"/>
                      <w:szCs w:val="18"/>
                      <w:lang w:val="en-US" w:eastAsia="zh-CN"/>
                    </w:rPr>
                    <w:t>/</w:t>
                  </w:r>
                </w:p>
              </w:tc>
              <w:tc>
                <w:tcPr>
                  <w:tcW w:w="395" w:type="pct"/>
                  <w:vAlign w:val="center"/>
                </w:tcPr>
                <w:p w14:paraId="2D16E4D3">
                  <w:pPr>
                    <w:pStyle w:val="73"/>
                    <w:spacing w:line="360" w:lineRule="auto"/>
                    <w:rPr>
                      <w:rFonts w:hint="eastAsia" w:eastAsia="宋体"/>
                      <w:color w:val="auto"/>
                      <w:sz w:val="18"/>
                      <w:szCs w:val="18"/>
                      <w:lang w:val="en-US" w:eastAsia="zh-CN"/>
                    </w:rPr>
                  </w:pPr>
                  <w:r>
                    <w:rPr>
                      <w:rFonts w:hint="eastAsia"/>
                      <w:color w:val="auto"/>
                      <w:sz w:val="18"/>
                      <w:szCs w:val="18"/>
                      <w:lang w:val="en-US" w:eastAsia="zh-CN"/>
                    </w:rPr>
                    <w:t>/</w:t>
                  </w:r>
                </w:p>
              </w:tc>
              <w:tc>
                <w:tcPr>
                  <w:tcW w:w="355" w:type="pct"/>
                  <w:vMerge w:val="continue"/>
                  <w:vAlign w:val="center"/>
                </w:tcPr>
                <w:p w14:paraId="4907F2C3">
                  <w:pPr>
                    <w:pStyle w:val="73"/>
                    <w:spacing w:line="360" w:lineRule="auto"/>
                    <w:rPr>
                      <w:rFonts w:hint="eastAsia"/>
                      <w:color w:val="auto"/>
                      <w:sz w:val="18"/>
                      <w:szCs w:val="18"/>
                    </w:rPr>
                  </w:pPr>
                </w:p>
              </w:tc>
              <w:tc>
                <w:tcPr>
                  <w:tcW w:w="660" w:type="dxa"/>
                  <w:vAlign w:val="center"/>
                </w:tcPr>
                <w:p w14:paraId="231E9829">
                  <w:pPr>
                    <w:widowControl/>
                    <w:spacing w:line="360" w:lineRule="auto"/>
                    <w:jc w:val="center"/>
                    <w:textAlignment w:val="center"/>
                    <w:rPr>
                      <w:rFonts w:hint="eastAsia"/>
                      <w:color w:val="auto"/>
                      <w:kern w:val="0"/>
                      <w:sz w:val="18"/>
                      <w:szCs w:val="18"/>
                    </w:rPr>
                  </w:pPr>
                  <w:r>
                    <w:rPr>
                      <w:rFonts w:hint="eastAsia"/>
                      <w:color w:val="auto"/>
                      <w:kern w:val="0"/>
                      <w:sz w:val="18"/>
                      <w:szCs w:val="18"/>
                      <w:lang w:val="en-US" w:eastAsia="zh-CN"/>
                    </w:rPr>
                    <w:t>93</w:t>
                  </w:r>
                </w:p>
              </w:tc>
              <w:tc>
                <w:tcPr>
                  <w:tcW w:w="699" w:type="dxa"/>
                  <w:vAlign w:val="center"/>
                </w:tcPr>
                <w:p w14:paraId="0FCA16A8">
                  <w:pPr>
                    <w:pStyle w:val="73"/>
                    <w:spacing w:line="360" w:lineRule="auto"/>
                    <w:rPr>
                      <w:rFonts w:hint="eastAsia"/>
                      <w:color w:val="auto"/>
                      <w:sz w:val="18"/>
                      <w:szCs w:val="18"/>
                    </w:rPr>
                  </w:pPr>
                  <w:r>
                    <w:rPr>
                      <w:rFonts w:hint="eastAsia"/>
                      <w:color w:val="auto"/>
                      <w:sz w:val="18"/>
                      <w:szCs w:val="18"/>
                      <w:lang w:val="en-US" w:eastAsia="zh-CN"/>
                    </w:rPr>
                    <w:t>0.365</w:t>
                  </w:r>
                </w:p>
              </w:tc>
              <w:tc>
                <w:tcPr>
                  <w:tcW w:w="333" w:type="pct"/>
                  <w:vMerge w:val="continue"/>
                  <w:vAlign w:val="center"/>
                </w:tcPr>
                <w:p w14:paraId="24E075DB">
                  <w:pPr>
                    <w:spacing w:line="360" w:lineRule="auto"/>
                    <w:jc w:val="center"/>
                    <w:textAlignment w:val="center"/>
                    <w:rPr>
                      <w:rFonts w:hint="eastAsia"/>
                      <w:color w:val="auto"/>
                      <w:spacing w:val="-10"/>
                      <w:sz w:val="18"/>
                      <w:szCs w:val="18"/>
                    </w:rPr>
                  </w:pPr>
                </w:p>
              </w:tc>
            </w:tr>
            <w:tr w14:paraId="7B7F0B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0" w:type="pct"/>
                  <w:vMerge w:val="continue"/>
                  <w:vAlign w:val="center"/>
                </w:tcPr>
                <w:p w14:paraId="70191C75">
                  <w:pPr>
                    <w:pStyle w:val="73"/>
                    <w:spacing w:line="360" w:lineRule="auto"/>
                    <w:rPr>
                      <w:rFonts w:hint="eastAsia"/>
                      <w:color w:val="auto"/>
                      <w:sz w:val="18"/>
                      <w:szCs w:val="18"/>
                      <w:lang w:val="en-US" w:eastAsia="zh-CN"/>
                    </w:rPr>
                  </w:pPr>
                </w:p>
              </w:tc>
              <w:tc>
                <w:tcPr>
                  <w:tcW w:w="367" w:type="pct"/>
                  <w:vMerge w:val="continue"/>
                  <w:vAlign w:val="center"/>
                </w:tcPr>
                <w:p w14:paraId="3809787E">
                  <w:pPr>
                    <w:pStyle w:val="73"/>
                    <w:spacing w:line="360" w:lineRule="auto"/>
                    <w:rPr>
                      <w:rFonts w:hint="eastAsia"/>
                      <w:color w:val="auto"/>
                      <w:sz w:val="18"/>
                      <w:szCs w:val="18"/>
                      <w:lang w:val="en-US" w:eastAsia="zh-CN"/>
                    </w:rPr>
                  </w:pPr>
                </w:p>
              </w:tc>
              <w:tc>
                <w:tcPr>
                  <w:tcW w:w="333" w:type="pct"/>
                  <w:vMerge w:val="continue"/>
                  <w:vAlign w:val="center"/>
                </w:tcPr>
                <w:p w14:paraId="51319276">
                  <w:pPr>
                    <w:pStyle w:val="73"/>
                    <w:spacing w:line="360" w:lineRule="auto"/>
                    <w:rPr>
                      <w:color w:val="auto"/>
                      <w:sz w:val="18"/>
                      <w:szCs w:val="18"/>
                    </w:rPr>
                  </w:pPr>
                </w:p>
              </w:tc>
              <w:tc>
                <w:tcPr>
                  <w:tcW w:w="331" w:type="pct"/>
                  <w:vAlign w:val="center"/>
                </w:tcPr>
                <w:p w14:paraId="7B673BDC">
                  <w:pPr>
                    <w:widowControl/>
                    <w:spacing w:line="360" w:lineRule="auto"/>
                    <w:jc w:val="center"/>
                    <w:textAlignment w:val="center"/>
                    <w:rPr>
                      <w:rFonts w:hint="default"/>
                      <w:color w:val="auto"/>
                      <w:kern w:val="0"/>
                      <w:sz w:val="18"/>
                      <w:szCs w:val="18"/>
                      <w:lang w:val="en-US" w:eastAsia="zh-CN"/>
                    </w:rPr>
                  </w:pPr>
                  <w:r>
                    <w:rPr>
                      <w:rFonts w:hint="eastAsia"/>
                      <w:color w:val="auto"/>
                      <w:kern w:val="0"/>
                      <w:sz w:val="18"/>
                      <w:szCs w:val="18"/>
                      <w:lang w:val="en-US" w:eastAsia="zh-CN"/>
                    </w:rPr>
                    <w:t>烟气黑度</w:t>
                  </w:r>
                </w:p>
              </w:tc>
              <w:tc>
                <w:tcPr>
                  <w:tcW w:w="257" w:type="pct"/>
                  <w:vAlign w:val="center"/>
                </w:tcPr>
                <w:p w14:paraId="4A280BEA">
                  <w:pPr>
                    <w:pStyle w:val="73"/>
                    <w:spacing w:line="360" w:lineRule="auto"/>
                    <w:rPr>
                      <w:rFonts w:hint="eastAsia" w:eastAsia="宋体"/>
                      <w:color w:val="auto"/>
                      <w:sz w:val="18"/>
                      <w:szCs w:val="18"/>
                      <w:lang w:val="en-US" w:eastAsia="zh-CN"/>
                    </w:rPr>
                  </w:pPr>
                  <w:r>
                    <w:rPr>
                      <w:rFonts w:hint="eastAsia"/>
                      <w:color w:val="auto"/>
                      <w:sz w:val="18"/>
                      <w:szCs w:val="18"/>
                      <w:lang w:val="en-US" w:eastAsia="zh-CN"/>
                    </w:rPr>
                    <w:t>类比法</w:t>
                  </w:r>
                </w:p>
              </w:tc>
              <w:tc>
                <w:tcPr>
                  <w:tcW w:w="384" w:type="pct"/>
                  <w:vMerge w:val="continue"/>
                  <w:vAlign w:val="center"/>
                </w:tcPr>
                <w:p w14:paraId="7CD82131">
                  <w:pPr>
                    <w:pStyle w:val="73"/>
                    <w:spacing w:line="360" w:lineRule="auto"/>
                    <w:rPr>
                      <w:rFonts w:hint="eastAsia"/>
                      <w:color w:val="auto"/>
                      <w:sz w:val="18"/>
                      <w:szCs w:val="18"/>
                    </w:rPr>
                  </w:pPr>
                </w:p>
              </w:tc>
              <w:tc>
                <w:tcPr>
                  <w:tcW w:w="409" w:type="pct"/>
                  <w:vAlign w:val="center"/>
                </w:tcPr>
                <w:p w14:paraId="2272BF15">
                  <w:pPr>
                    <w:widowControl/>
                    <w:spacing w:line="360" w:lineRule="auto"/>
                    <w:jc w:val="center"/>
                    <w:textAlignment w:val="center"/>
                    <w:rPr>
                      <w:rFonts w:hint="default"/>
                      <w:color w:val="auto"/>
                      <w:kern w:val="0"/>
                      <w:sz w:val="18"/>
                      <w:szCs w:val="18"/>
                      <w:lang w:val="en-US" w:eastAsia="zh-CN"/>
                    </w:rPr>
                  </w:pPr>
                  <w:r>
                    <w:rPr>
                      <w:rFonts w:hint="eastAsia"/>
                      <w:color w:val="auto"/>
                      <w:kern w:val="0"/>
                      <w:sz w:val="18"/>
                      <w:szCs w:val="18"/>
                      <w:lang w:val="en-US" w:eastAsia="zh-CN"/>
                    </w:rPr>
                    <w:t>＜1</w:t>
                  </w:r>
                </w:p>
              </w:tc>
              <w:tc>
                <w:tcPr>
                  <w:tcW w:w="420" w:type="pct"/>
                  <w:vAlign w:val="center"/>
                </w:tcPr>
                <w:p w14:paraId="7D4362AC">
                  <w:pPr>
                    <w:pStyle w:val="73"/>
                    <w:spacing w:line="360" w:lineRule="auto"/>
                    <w:rPr>
                      <w:rFonts w:hint="default"/>
                      <w:color w:val="auto"/>
                      <w:sz w:val="18"/>
                      <w:szCs w:val="18"/>
                      <w:lang w:val="en-US" w:eastAsia="zh-CN"/>
                    </w:rPr>
                  </w:pPr>
                  <w:r>
                    <w:rPr>
                      <w:rFonts w:hint="eastAsia"/>
                      <w:color w:val="auto"/>
                      <w:sz w:val="18"/>
                      <w:szCs w:val="18"/>
                      <w:lang w:val="en-US" w:eastAsia="zh-CN"/>
                    </w:rPr>
                    <w:t>/</w:t>
                  </w:r>
                </w:p>
              </w:tc>
              <w:tc>
                <w:tcPr>
                  <w:tcW w:w="352" w:type="pct"/>
                  <w:vAlign w:val="center"/>
                </w:tcPr>
                <w:p w14:paraId="17830DAD">
                  <w:pPr>
                    <w:pStyle w:val="73"/>
                    <w:spacing w:line="360" w:lineRule="auto"/>
                    <w:rPr>
                      <w:rFonts w:hint="eastAsia"/>
                      <w:color w:val="auto"/>
                      <w:sz w:val="18"/>
                      <w:szCs w:val="18"/>
                      <w:lang w:val="en-US" w:eastAsia="zh-CN"/>
                    </w:rPr>
                  </w:pPr>
                  <w:r>
                    <w:rPr>
                      <w:rFonts w:hint="eastAsia"/>
                      <w:color w:val="auto"/>
                      <w:sz w:val="18"/>
                      <w:szCs w:val="18"/>
                      <w:lang w:val="en-US" w:eastAsia="zh-CN"/>
                    </w:rPr>
                    <w:t>/</w:t>
                  </w:r>
                </w:p>
              </w:tc>
              <w:tc>
                <w:tcPr>
                  <w:tcW w:w="395" w:type="pct"/>
                  <w:vAlign w:val="center"/>
                </w:tcPr>
                <w:p w14:paraId="76ED23D5">
                  <w:pPr>
                    <w:pStyle w:val="73"/>
                    <w:spacing w:line="360" w:lineRule="auto"/>
                    <w:rPr>
                      <w:rFonts w:hint="eastAsia"/>
                      <w:color w:val="auto"/>
                      <w:sz w:val="18"/>
                      <w:szCs w:val="18"/>
                      <w:lang w:val="en-US" w:eastAsia="zh-CN"/>
                    </w:rPr>
                  </w:pPr>
                  <w:r>
                    <w:rPr>
                      <w:rFonts w:hint="eastAsia"/>
                      <w:color w:val="auto"/>
                      <w:sz w:val="18"/>
                      <w:szCs w:val="18"/>
                      <w:lang w:val="en-US" w:eastAsia="zh-CN"/>
                    </w:rPr>
                    <w:t>/</w:t>
                  </w:r>
                </w:p>
              </w:tc>
              <w:tc>
                <w:tcPr>
                  <w:tcW w:w="355" w:type="pct"/>
                  <w:vMerge w:val="continue"/>
                  <w:vAlign w:val="center"/>
                </w:tcPr>
                <w:p w14:paraId="49A8A30A">
                  <w:pPr>
                    <w:pStyle w:val="73"/>
                    <w:spacing w:line="360" w:lineRule="auto"/>
                    <w:rPr>
                      <w:rFonts w:hint="eastAsia"/>
                      <w:color w:val="auto"/>
                      <w:sz w:val="18"/>
                      <w:szCs w:val="18"/>
                    </w:rPr>
                  </w:pPr>
                </w:p>
              </w:tc>
              <w:tc>
                <w:tcPr>
                  <w:tcW w:w="657" w:type="dxa"/>
                  <w:vAlign w:val="center"/>
                </w:tcPr>
                <w:p w14:paraId="1F0C3E10">
                  <w:pPr>
                    <w:widowControl/>
                    <w:spacing w:line="360" w:lineRule="auto"/>
                    <w:jc w:val="center"/>
                    <w:textAlignment w:val="center"/>
                    <w:rPr>
                      <w:rFonts w:hint="eastAsia"/>
                      <w:color w:val="auto"/>
                      <w:kern w:val="0"/>
                      <w:sz w:val="18"/>
                      <w:szCs w:val="18"/>
                      <w:lang w:val="en-US" w:eastAsia="zh-CN"/>
                    </w:rPr>
                  </w:pPr>
                  <w:r>
                    <w:rPr>
                      <w:rFonts w:hint="eastAsia"/>
                      <w:color w:val="auto"/>
                      <w:kern w:val="0"/>
                      <w:sz w:val="18"/>
                      <w:szCs w:val="18"/>
                      <w:lang w:val="en-US" w:eastAsia="zh-CN"/>
                    </w:rPr>
                    <w:t>＜1</w:t>
                  </w:r>
                </w:p>
              </w:tc>
              <w:tc>
                <w:tcPr>
                  <w:tcW w:w="696" w:type="dxa"/>
                  <w:vAlign w:val="center"/>
                </w:tcPr>
                <w:p w14:paraId="464C1BEB">
                  <w:pPr>
                    <w:pStyle w:val="73"/>
                    <w:spacing w:line="360" w:lineRule="auto"/>
                    <w:rPr>
                      <w:rFonts w:hint="eastAsia"/>
                      <w:color w:val="auto"/>
                      <w:sz w:val="18"/>
                      <w:szCs w:val="18"/>
                      <w:lang w:val="en-US" w:eastAsia="zh-CN"/>
                    </w:rPr>
                  </w:pPr>
                  <w:r>
                    <w:rPr>
                      <w:rFonts w:hint="eastAsia"/>
                      <w:color w:val="auto"/>
                      <w:sz w:val="18"/>
                      <w:szCs w:val="18"/>
                      <w:lang w:val="en-US" w:eastAsia="zh-CN"/>
                    </w:rPr>
                    <w:t>/</w:t>
                  </w:r>
                </w:p>
              </w:tc>
              <w:tc>
                <w:tcPr>
                  <w:tcW w:w="333" w:type="pct"/>
                  <w:vMerge w:val="continue"/>
                  <w:vAlign w:val="center"/>
                </w:tcPr>
                <w:p w14:paraId="52946A27">
                  <w:pPr>
                    <w:spacing w:line="360" w:lineRule="auto"/>
                    <w:jc w:val="center"/>
                    <w:textAlignment w:val="center"/>
                    <w:rPr>
                      <w:rFonts w:hint="eastAsia"/>
                      <w:color w:val="auto"/>
                      <w:spacing w:val="-10"/>
                      <w:sz w:val="18"/>
                      <w:szCs w:val="18"/>
                    </w:rPr>
                  </w:pPr>
                </w:p>
              </w:tc>
            </w:tr>
          </w:tbl>
          <w:p w14:paraId="08AF6395">
            <w:pPr>
              <w:pStyle w:val="81"/>
              <w:spacing w:line="240" w:lineRule="auto"/>
              <w:rPr>
                <w:rFonts w:ascii="Times New Roman" w:eastAsiaTheme="minorEastAsia"/>
                <w:bCs/>
                <w:color w:val="auto"/>
                <w:kern w:val="2"/>
                <w:sz w:val="21"/>
                <w:szCs w:val="24"/>
              </w:rPr>
            </w:pPr>
            <w:r>
              <w:rPr>
                <w:rFonts w:hint="eastAsia" w:ascii="Times New Roman" w:eastAsiaTheme="minorEastAsia"/>
                <w:bCs/>
                <w:color w:val="auto"/>
                <w:kern w:val="2"/>
                <w:sz w:val="21"/>
                <w:szCs w:val="24"/>
              </w:rPr>
              <w:t>表4-</w:t>
            </w:r>
            <w:r>
              <w:rPr>
                <w:rFonts w:hint="eastAsia" w:ascii="Times New Roman" w:eastAsiaTheme="minorEastAsia"/>
                <w:bCs/>
                <w:color w:val="auto"/>
                <w:kern w:val="2"/>
                <w:sz w:val="21"/>
                <w:szCs w:val="24"/>
                <w:lang w:val="en-US" w:eastAsia="zh-CN"/>
              </w:rPr>
              <w:t>2</w:t>
            </w:r>
            <w:r>
              <w:rPr>
                <w:rFonts w:hint="eastAsia" w:ascii="Times New Roman" w:eastAsiaTheme="minorEastAsia"/>
                <w:bCs/>
                <w:color w:val="auto"/>
                <w:kern w:val="2"/>
                <w:sz w:val="21"/>
                <w:szCs w:val="24"/>
              </w:rPr>
              <w:t xml:space="preserve">  大气污染物有组织排放量核算表</w:t>
            </w:r>
          </w:p>
          <w:tbl>
            <w:tblPr>
              <w:tblStyle w:val="39"/>
              <w:tblW w:w="815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1"/>
              <w:gridCol w:w="1357"/>
              <w:gridCol w:w="1351"/>
              <w:gridCol w:w="1581"/>
              <w:gridCol w:w="1586"/>
              <w:gridCol w:w="1610"/>
            </w:tblGrid>
            <w:tr w14:paraId="3D6603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2" w:type="pct"/>
                  <w:vAlign w:val="center"/>
                </w:tcPr>
                <w:p w14:paraId="10842AD2">
                  <w:pPr>
                    <w:pStyle w:val="73"/>
                    <w:spacing w:line="360" w:lineRule="auto"/>
                    <w:rPr>
                      <w:color w:val="auto"/>
                      <w:szCs w:val="21"/>
                    </w:rPr>
                  </w:pPr>
                  <w:r>
                    <w:rPr>
                      <w:color w:val="auto"/>
                      <w:szCs w:val="21"/>
                    </w:rPr>
                    <w:t>序号</w:t>
                  </w:r>
                </w:p>
              </w:tc>
              <w:tc>
                <w:tcPr>
                  <w:tcW w:w="831" w:type="pct"/>
                  <w:vAlign w:val="center"/>
                </w:tcPr>
                <w:p w14:paraId="005C9B98">
                  <w:pPr>
                    <w:pStyle w:val="73"/>
                    <w:spacing w:line="360" w:lineRule="auto"/>
                    <w:rPr>
                      <w:color w:val="auto"/>
                      <w:szCs w:val="21"/>
                    </w:rPr>
                  </w:pPr>
                  <w:r>
                    <w:rPr>
                      <w:color w:val="auto"/>
                      <w:szCs w:val="21"/>
                    </w:rPr>
                    <w:t>排放口编号</w:t>
                  </w:r>
                </w:p>
              </w:tc>
              <w:tc>
                <w:tcPr>
                  <w:tcW w:w="828" w:type="pct"/>
                  <w:vAlign w:val="center"/>
                </w:tcPr>
                <w:p w14:paraId="37795BEE">
                  <w:pPr>
                    <w:pStyle w:val="73"/>
                    <w:spacing w:line="360" w:lineRule="auto"/>
                    <w:rPr>
                      <w:color w:val="auto"/>
                      <w:szCs w:val="21"/>
                    </w:rPr>
                  </w:pPr>
                  <w:r>
                    <w:rPr>
                      <w:color w:val="auto"/>
                      <w:szCs w:val="21"/>
                    </w:rPr>
                    <w:t>污染物</w:t>
                  </w:r>
                </w:p>
              </w:tc>
              <w:tc>
                <w:tcPr>
                  <w:tcW w:w="969" w:type="pct"/>
                  <w:vAlign w:val="center"/>
                </w:tcPr>
                <w:p w14:paraId="678E48BF">
                  <w:pPr>
                    <w:pStyle w:val="73"/>
                    <w:spacing w:line="360" w:lineRule="auto"/>
                    <w:rPr>
                      <w:color w:val="auto"/>
                      <w:szCs w:val="21"/>
                    </w:rPr>
                  </w:pPr>
                  <w:r>
                    <w:rPr>
                      <w:color w:val="auto"/>
                      <w:szCs w:val="21"/>
                    </w:rPr>
                    <w:t>核算排放浓度</w:t>
                  </w:r>
                </w:p>
                <w:p w14:paraId="317E0A39">
                  <w:pPr>
                    <w:pStyle w:val="73"/>
                    <w:spacing w:line="360" w:lineRule="auto"/>
                    <w:rPr>
                      <w:color w:val="auto"/>
                      <w:szCs w:val="21"/>
                    </w:rPr>
                  </w:pPr>
                  <w:r>
                    <w:rPr>
                      <w:color w:val="auto"/>
                      <w:szCs w:val="21"/>
                    </w:rPr>
                    <w:t>（mg/m</w:t>
                  </w:r>
                  <w:r>
                    <w:rPr>
                      <w:color w:val="auto"/>
                      <w:szCs w:val="21"/>
                      <w:vertAlign w:val="superscript"/>
                    </w:rPr>
                    <w:t>3</w:t>
                  </w:r>
                  <w:r>
                    <w:rPr>
                      <w:color w:val="auto"/>
                      <w:szCs w:val="21"/>
                    </w:rPr>
                    <w:t>）</w:t>
                  </w:r>
                </w:p>
              </w:tc>
              <w:tc>
                <w:tcPr>
                  <w:tcW w:w="972" w:type="pct"/>
                  <w:vAlign w:val="center"/>
                </w:tcPr>
                <w:p w14:paraId="33C2C60E">
                  <w:pPr>
                    <w:pStyle w:val="73"/>
                    <w:spacing w:line="360" w:lineRule="auto"/>
                    <w:rPr>
                      <w:color w:val="auto"/>
                      <w:szCs w:val="21"/>
                    </w:rPr>
                  </w:pPr>
                  <w:r>
                    <w:rPr>
                      <w:color w:val="auto"/>
                      <w:szCs w:val="21"/>
                    </w:rPr>
                    <w:t>核算排放速率</w:t>
                  </w:r>
                </w:p>
                <w:p w14:paraId="2939F5CC">
                  <w:pPr>
                    <w:pStyle w:val="73"/>
                    <w:spacing w:line="360" w:lineRule="auto"/>
                    <w:rPr>
                      <w:color w:val="auto"/>
                      <w:szCs w:val="21"/>
                    </w:rPr>
                  </w:pPr>
                  <w:r>
                    <w:rPr>
                      <w:color w:val="auto"/>
                      <w:szCs w:val="21"/>
                    </w:rPr>
                    <w:t>（kg/h）</w:t>
                  </w:r>
                </w:p>
              </w:tc>
              <w:tc>
                <w:tcPr>
                  <w:tcW w:w="985" w:type="pct"/>
                  <w:vAlign w:val="center"/>
                </w:tcPr>
                <w:p w14:paraId="6E549843">
                  <w:pPr>
                    <w:pStyle w:val="73"/>
                    <w:spacing w:line="360" w:lineRule="auto"/>
                    <w:rPr>
                      <w:color w:val="auto"/>
                      <w:szCs w:val="21"/>
                    </w:rPr>
                  </w:pPr>
                  <w:r>
                    <w:rPr>
                      <w:color w:val="auto"/>
                      <w:szCs w:val="21"/>
                    </w:rPr>
                    <w:t>核算年排放量</w:t>
                  </w:r>
                </w:p>
                <w:p w14:paraId="2705CDE5">
                  <w:pPr>
                    <w:pStyle w:val="73"/>
                    <w:spacing w:line="360" w:lineRule="auto"/>
                    <w:rPr>
                      <w:color w:val="auto"/>
                      <w:szCs w:val="21"/>
                    </w:rPr>
                  </w:pPr>
                  <w:r>
                    <w:rPr>
                      <w:color w:val="auto"/>
                      <w:szCs w:val="21"/>
                    </w:rPr>
                    <w:t>（t/a）</w:t>
                  </w:r>
                </w:p>
              </w:tc>
            </w:tr>
            <w:tr w14:paraId="5EA4DB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6"/>
                  <w:vAlign w:val="center"/>
                </w:tcPr>
                <w:p w14:paraId="13E75CD5">
                  <w:pPr>
                    <w:pStyle w:val="73"/>
                    <w:spacing w:line="360" w:lineRule="auto"/>
                    <w:rPr>
                      <w:color w:val="auto"/>
                      <w:szCs w:val="21"/>
                    </w:rPr>
                  </w:pPr>
                  <w:r>
                    <w:rPr>
                      <w:rFonts w:hint="eastAsia"/>
                      <w:color w:val="auto"/>
                      <w:szCs w:val="21"/>
                    </w:rPr>
                    <w:t>一般排放口</w:t>
                  </w:r>
                </w:p>
              </w:tc>
            </w:tr>
            <w:tr w14:paraId="62A18B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2" w:type="pct"/>
                  <w:vAlign w:val="center"/>
                </w:tcPr>
                <w:p w14:paraId="5E0D67D1">
                  <w:pPr>
                    <w:pStyle w:val="73"/>
                    <w:spacing w:line="360" w:lineRule="auto"/>
                    <w:rPr>
                      <w:color w:val="auto"/>
                      <w:szCs w:val="21"/>
                    </w:rPr>
                  </w:pPr>
                  <w:r>
                    <w:rPr>
                      <w:color w:val="auto"/>
                      <w:szCs w:val="21"/>
                    </w:rPr>
                    <w:t>1</w:t>
                  </w:r>
                </w:p>
              </w:tc>
              <w:tc>
                <w:tcPr>
                  <w:tcW w:w="831" w:type="pct"/>
                  <w:vMerge w:val="restart"/>
                  <w:vAlign w:val="center"/>
                </w:tcPr>
                <w:p w14:paraId="5FC41ED2">
                  <w:pPr>
                    <w:pStyle w:val="73"/>
                    <w:spacing w:line="360" w:lineRule="auto"/>
                    <w:rPr>
                      <w:color w:val="auto"/>
                      <w:szCs w:val="21"/>
                    </w:rPr>
                  </w:pPr>
                  <w:r>
                    <w:rPr>
                      <w:rFonts w:hint="eastAsia"/>
                      <w:color w:val="auto"/>
                      <w:szCs w:val="21"/>
                    </w:rPr>
                    <w:t>DA001</w:t>
                  </w:r>
                </w:p>
              </w:tc>
              <w:tc>
                <w:tcPr>
                  <w:tcW w:w="828" w:type="pct"/>
                  <w:vAlign w:val="center"/>
                </w:tcPr>
                <w:p w14:paraId="44D7C604">
                  <w:pPr>
                    <w:pStyle w:val="73"/>
                    <w:spacing w:line="360" w:lineRule="auto"/>
                    <w:rPr>
                      <w:rFonts w:hint="eastAsia" w:eastAsia="宋体"/>
                      <w:color w:val="auto"/>
                      <w:szCs w:val="21"/>
                      <w:lang w:val="en-US" w:eastAsia="zh-CN"/>
                    </w:rPr>
                  </w:pPr>
                  <w:r>
                    <w:rPr>
                      <w:rFonts w:hint="eastAsia"/>
                      <w:color w:val="auto"/>
                      <w:szCs w:val="21"/>
                      <w:lang w:val="en-US" w:eastAsia="zh-CN"/>
                    </w:rPr>
                    <w:t>颗粒物</w:t>
                  </w:r>
                </w:p>
              </w:tc>
              <w:tc>
                <w:tcPr>
                  <w:tcW w:w="1581" w:type="dxa"/>
                  <w:vAlign w:val="center"/>
                </w:tcPr>
                <w:p w14:paraId="6939557F">
                  <w:pPr>
                    <w:widowControl/>
                    <w:spacing w:line="360" w:lineRule="auto"/>
                    <w:jc w:val="center"/>
                    <w:textAlignment w:val="center"/>
                    <w:rPr>
                      <w:rFonts w:hint="default" w:eastAsia="宋体"/>
                      <w:color w:val="auto"/>
                      <w:sz w:val="18"/>
                      <w:szCs w:val="18"/>
                      <w:lang w:val="en-US" w:eastAsia="zh-CN"/>
                    </w:rPr>
                  </w:pPr>
                  <w:r>
                    <w:rPr>
                      <w:rFonts w:hint="eastAsia" w:cs="Times New Roman"/>
                      <w:color w:val="auto"/>
                      <w:kern w:val="0"/>
                      <w:sz w:val="18"/>
                      <w:szCs w:val="18"/>
                      <w:lang w:val="en-US" w:eastAsia="zh-CN" w:bidi="ar-SA"/>
                    </w:rPr>
                    <w:t>39</w:t>
                  </w:r>
                </w:p>
              </w:tc>
              <w:tc>
                <w:tcPr>
                  <w:tcW w:w="1586" w:type="dxa"/>
                  <w:vAlign w:val="center"/>
                </w:tcPr>
                <w:p w14:paraId="414EAD78">
                  <w:pPr>
                    <w:pStyle w:val="73"/>
                    <w:spacing w:line="360" w:lineRule="auto"/>
                    <w:rPr>
                      <w:rFonts w:hint="default" w:eastAsia="宋体"/>
                      <w:color w:val="auto"/>
                      <w:sz w:val="18"/>
                      <w:szCs w:val="18"/>
                      <w:lang w:val="en-US" w:eastAsia="zh-CN"/>
                    </w:rPr>
                  </w:pPr>
                  <w:r>
                    <w:rPr>
                      <w:rFonts w:hint="eastAsia" w:cs="Times New Roman"/>
                      <w:color w:val="auto"/>
                      <w:kern w:val="0"/>
                      <w:sz w:val="18"/>
                      <w:szCs w:val="18"/>
                      <w:lang w:val="en-US" w:eastAsia="zh-CN" w:bidi="ar-SA"/>
                    </w:rPr>
                    <w:t>0.154</w:t>
                  </w:r>
                </w:p>
              </w:tc>
              <w:tc>
                <w:tcPr>
                  <w:tcW w:w="985" w:type="pct"/>
                  <w:vAlign w:val="center"/>
                </w:tcPr>
                <w:p w14:paraId="1EA3F6C7">
                  <w:pPr>
                    <w:widowControl/>
                    <w:spacing w:line="360" w:lineRule="auto"/>
                    <w:jc w:val="center"/>
                    <w:textAlignment w:val="center"/>
                    <w:rPr>
                      <w:rFonts w:hint="default" w:eastAsia="宋体"/>
                      <w:color w:val="auto"/>
                      <w:sz w:val="18"/>
                      <w:szCs w:val="18"/>
                      <w:lang w:val="en-US" w:eastAsia="zh-CN"/>
                    </w:rPr>
                  </w:pPr>
                  <w:r>
                    <w:rPr>
                      <w:rFonts w:hint="eastAsia"/>
                      <w:color w:val="auto"/>
                      <w:sz w:val="18"/>
                      <w:szCs w:val="18"/>
                      <w:lang w:val="en-US" w:eastAsia="zh-CN"/>
                    </w:rPr>
                    <w:t>1.109</w:t>
                  </w:r>
                </w:p>
              </w:tc>
            </w:tr>
            <w:tr w14:paraId="503FA5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2" w:type="pct"/>
                  <w:vAlign w:val="center"/>
                </w:tcPr>
                <w:p w14:paraId="0D5914C5">
                  <w:pPr>
                    <w:pStyle w:val="73"/>
                    <w:spacing w:line="360" w:lineRule="auto"/>
                    <w:rPr>
                      <w:color w:val="auto"/>
                      <w:szCs w:val="21"/>
                    </w:rPr>
                  </w:pPr>
                  <w:r>
                    <w:rPr>
                      <w:rFonts w:hint="eastAsia"/>
                      <w:color w:val="auto"/>
                      <w:szCs w:val="21"/>
                    </w:rPr>
                    <w:t>2</w:t>
                  </w:r>
                </w:p>
              </w:tc>
              <w:tc>
                <w:tcPr>
                  <w:tcW w:w="831" w:type="pct"/>
                  <w:vMerge w:val="continue"/>
                  <w:vAlign w:val="center"/>
                </w:tcPr>
                <w:p w14:paraId="03899E10">
                  <w:pPr>
                    <w:pStyle w:val="73"/>
                    <w:spacing w:line="360" w:lineRule="auto"/>
                    <w:rPr>
                      <w:rFonts w:hint="eastAsia"/>
                      <w:color w:val="auto"/>
                      <w:szCs w:val="21"/>
                    </w:rPr>
                  </w:pPr>
                </w:p>
              </w:tc>
              <w:tc>
                <w:tcPr>
                  <w:tcW w:w="828" w:type="pct"/>
                  <w:vAlign w:val="center"/>
                </w:tcPr>
                <w:p w14:paraId="1DF6C8C0">
                  <w:pPr>
                    <w:widowControl/>
                    <w:spacing w:line="360" w:lineRule="auto"/>
                    <w:jc w:val="center"/>
                    <w:textAlignment w:val="center"/>
                    <w:rPr>
                      <w:color w:val="auto"/>
                      <w:sz w:val="21"/>
                      <w:szCs w:val="21"/>
                    </w:rPr>
                  </w:pPr>
                  <w:r>
                    <w:rPr>
                      <w:rFonts w:hint="eastAsia"/>
                      <w:color w:val="auto"/>
                      <w:kern w:val="0"/>
                      <w:sz w:val="21"/>
                      <w:szCs w:val="21"/>
                      <w:lang w:val="en-US" w:eastAsia="zh-CN"/>
                    </w:rPr>
                    <w:t>SO</w:t>
                  </w:r>
                  <w:r>
                    <w:rPr>
                      <w:rFonts w:hint="eastAsia"/>
                      <w:color w:val="auto"/>
                      <w:kern w:val="0"/>
                      <w:sz w:val="21"/>
                      <w:szCs w:val="21"/>
                      <w:vertAlign w:val="subscript"/>
                      <w:lang w:val="en-US" w:eastAsia="zh-CN"/>
                    </w:rPr>
                    <w:t>2</w:t>
                  </w:r>
                </w:p>
              </w:tc>
              <w:tc>
                <w:tcPr>
                  <w:tcW w:w="1581" w:type="dxa"/>
                  <w:vAlign w:val="center"/>
                </w:tcPr>
                <w:p w14:paraId="5CBAE3BC">
                  <w:pPr>
                    <w:widowControl/>
                    <w:spacing w:line="360" w:lineRule="auto"/>
                    <w:jc w:val="center"/>
                    <w:textAlignment w:val="center"/>
                    <w:rPr>
                      <w:rFonts w:hint="default" w:eastAsia="宋体"/>
                      <w:color w:val="auto"/>
                      <w:sz w:val="18"/>
                      <w:szCs w:val="18"/>
                      <w:lang w:val="en-US" w:eastAsia="zh-CN"/>
                    </w:rPr>
                  </w:pPr>
                  <w:r>
                    <w:rPr>
                      <w:rFonts w:hint="eastAsia"/>
                      <w:color w:val="auto"/>
                      <w:kern w:val="0"/>
                      <w:sz w:val="18"/>
                      <w:szCs w:val="18"/>
                      <w:lang w:val="en-US" w:eastAsia="zh-CN"/>
                    </w:rPr>
                    <w:t>59</w:t>
                  </w:r>
                </w:p>
              </w:tc>
              <w:tc>
                <w:tcPr>
                  <w:tcW w:w="1586" w:type="dxa"/>
                  <w:vAlign w:val="center"/>
                </w:tcPr>
                <w:p w14:paraId="098D4348">
                  <w:pPr>
                    <w:pStyle w:val="73"/>
                    <w:spacing w:line="360" w:lineRule="auto"/>
                    <w:rPr>
                      <w:rFonts w:hint="default" w:eastAsia="宋体"/>
                      <w:color w:val="auto"/>
                      <w:sz w:val="18"/>
                      <w:szCs w:val="18"/>
                      <w:lang w:val="en-US" w:eastAsia="zh-CN"/>
                    </w:rPr>
                  </w:pPr>
                  <w:r>
                    <w:rPr>
                      <w:rFonts w:hint="eastAsia"/>
                      <w:color w:val="auto"/>
                      <w:sz w:val="18"/>
                      <w:szCs w:val="18"/>
                      <w:lang w:val="en-US" w:eastAsia="zh-CN"/>
                    </w:rPr>
                    <w:t>0.23</w:t>
                  </w:r>
                </w:p>
              </w:tc>
              <w:tc>
                <w:tcPr>
                  <w:tcW w:w="985" w:type="pct"/>
                  <w:vAlign w:val="center"/>
                </w:tcPr>
                <w:p w14:paraId="27D0FEBD">
                  <w:pPr>
                    <w:widowControl/>
                    <w:spacing w:line="360" w:lineRule="auto"/>
                    <w:jc w:val="center"/>
                    <w:textAlignment w:val="center"/>
                    <w:rPr>
                      <w:rFonts w:hint="default" w:eastAsia="宋体"/>
                      <w:color w:val="auto"/>
                      <w:sz w:val="18"/>
                      <w:szCs w:val="18"/>
                      <w:lang w:val="en-US" w:eastAsia="zh-CN"/>
                    </w:rPr>
                  </w:pPr>
                  <w:r>
                    <w:rPr>
                      <w:rFonts w:hint="eastAsia"/>
                      <w:color w:val="auto"/>
                      <w:sz w:val="18"/>
                      <w:szCs w:val="18"/>
                      <w:lang w:val="en-US" w:eastAsia="zh-CN"/>
                    </w:rPr>
                    <w:t>1.657</w:t>
                  </w:r>
                </w:p>
              </w:tc>
            </w:tr>
            <w:tr w14:paraId="1C79FF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2" w:type="pct"/>
                  <w:vAlign w:val="center"/>
                </w:tcPr>
                <w:p w14:paraId="26401DA4">
                  <w:pPr>
                    <w:pStyle w:val="73"/>
                    <w:spacing w:line="360" w:lineRule="auto"/>
                    <w:rPr>
                      <w:color w:val="auto"/>
                      <w:szCs w:val="21"/>
                    </w:rPr>
                  </w:pPr>
                  <w:r>
                    <w:rPr>
                      <w:rFonts w:hint="eastAsia"/>
                      <w:color w:val="auto"/>
                      <w:szCs w:val="21"/>
                    </w:rPr>
                    <w:t>3</w:t>
                  </w:r>
                </w:p>
              </w:tc>
              <w:tc>
                <w:tcPr>
                  <w:tcW w:w="831" w:type="pct"/>
                  <w:vMerge w:val="continue"/>
                  <w:vAlign w:val="center"/>
                </w:tcPr>
                <w:p w14:paraId="03BFA401">
                  <w:pPr>
                    <w:pStyle w:val="73"/>
                    <w:spacing w:line="360" w:lineRule="auto"/>
                    <w:rPr>
                      <w:color w:val="auto"/>
                      <w:szCs w:val="21"/>
                    </w:rPr>
                  </w:pPr>
                </w:p>
              </w:tc>
              <w:tc>
                <w:tcPr>
                  <w:tcW w:w="828" w:type="pct"/>
                  <w:vAlign w:val="center"/>
                </w:tcPr>
                <w:p w14:paraId="59E5C139">
                  <w:pPr>
                    <w:widowControl/>
                    <w:spacing w:line="360" w:lineRule="auto"/>
                    <w:jc w:val="center"/>
                    <w:textAlignment w:val="center"/>
                    <w:rPr>
                      <w:color w:val="auto"/>
                      <w:sz w:val="21"/>
                      <w:szCs w:val="21"/>
                    </w:rPr>
                  </w:pPr>
                  <w:r>
                    <w:rPr>
                      <w:rFonts w:hint="eastAsia"/>
                      <w:color w:val="auto"/>
                      <w:kern w:val="0"/>
                      <w:sz w:val="21"/>
                      <w:szCs w:val="21"/>
                      <w:lang w:val="en-US" w:eastAsia="zh-CN"/>
                    </w:rPr>
                    <w:t>NO</w:t>
                  </w:r>
                  <w:r>
                    <w:rPr>
                      <w:rFonts w:hint="eastAsia"/>
                      <w:color w:val="auto"/>
                      <w:kern w:val="0"/>
                      <w:sz w:val="21"/>
                      <w:szCs w:val="21"/>
                      <w:vertAlign w:val="subscript"/>
                      <w:lang w:val="en-US" w:eastAsia="zh-CN"/>
                    </w:rPr>
                    <w:t>x</w:t>
                  </w:r>
                </w:p>
              </w:tc>
              <w:tc>
                <w:tcPr>
                  <w:tcW w:w="1581" w:type="dxa"/>
                  <w:vAlign w:val="center"/>
                </w:tcPr>
                <w:p w14:paraId="69D0C36A">
                  <w:pPr>
                    <w:widowControl/>
                    <w:spacing w:line="360" w:lineRule="auto"/>
                    <w:jc w:val="center"/>
                    <w:textAlignment w:val="center"/>
                    <w:rPr>
                      <w:rFonts w:hint="eastAsia" w:eastAsia="宋体"/>
                      <w:color w:val="auto"/>
                      <w:sz w:val="18"/>
                      <w:szCs w:val="18"/>
                      <w:lang w:val="en-US" w:eastAsia="zh-CN"/>
                    </w:rPr>
                  </w:pPr>
                  <w:r>
                    <w:rPr>
                      <w:rFonts w:hint="eastAsia"/>
                      <w:color w:val="auto"/>
                      <w:kern w:val="0"/>
                      <w:sz w:val="18"/>
                      <w:szCs w:val="18"/>
                      <w:lang w:val="en-US" w:eastAsia="zh-CN"/>
                    </w:rPr>
                    <w:t>93</w:t>
                  </w:r>
                </w:p>
              </w:tc>
              <w:tc>
                <w:tcPr>
                  <w:tcW w:w="1586" w:type="dxa"/>
                  <w:vAlign w:val="center"/>
                </w:tcPr>
                <w:p w14:paraId="47758A4A">
                  <w:pPr>
                    <w:pStyle w:val="73"/>
                    <w:spacing w:line="360" w:lineRule="auto"/>
                    <w:rPr>
                      <w:color w:val="auto"/>
                      <w:sz w:val="18"/>
                      <w:szCs w:val="18"/>
                    </w:rPr>
                  </w:pPr>
                  <w:r>
                    <w:rPr>
                      <w:rFonts w:hint="eastAsia"/>
                      <w:color w:val="auto"/>
                      <w:sz w:val="18"/>
                      <w:szCs w:val="18"/>
                      <w:lang w:val="en-US" w:eastAsia="zh-CN"/>
                    </w:rPr>
                    <w:t>0.365</w:t>
                  </w:r>
                </w:p>
              </w:tc>
              <w:tc>
                <w:tcPr>
                  <w:tcW w:w="985" w:type="pct"/>
                  <w:vAlign w:val="center"/>
                </w:tcPr>
                <w:p w14:paraId="7D3286B5">
                  <w:pPr>
                    <w:widowControl/>
                    <w:spacing w:line="360" w:lineRule="auto"/>
                    <w:jc w:val="center"/>
                    <w:textAlignment w:val="center"/>
                    <w:rPr>
                      <w:rFonts w:hint="default"/>
                      <w:color w:val="auto"/>
                      <w:sz w:val="18"/>
                      <w:szCs w:val="18"/>
                      <w:lang w:val="en-US" w:eastAsia="zh-CN"/>
                    </w:rPr>
                  </w:pPr>
                  <w:r>
                    <w:rPr>
                      <w:rFonts w:hint="eastAsia"/>
                      <w:color w:val="auto"/>
                      <w:sz w:val="18"/>
                      <w:szCs w:val="18"/>
                      <w:lang w:val="en-US" w:eastAsia="zh-CN"/>
                    </w:rPr>
                    <w:t>2.626</w:t>
                  </w:r>
                </w:p>
              </w:tc>
            </w:tr>
            <w:tr w14:paraId="6897F2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4" w:type="pct"/>
                  <w:gridSpan w:val="2"/>
                  <w:vMerge w:val="restart"/>
                  <w:vAlign w:val="center"/>
                </w:tcPr>
                <w:p w14:paraId="070E1E62">
                  <w:pPr>
                    <w:pStyle w:val="73"/>
                    <w:spacing w:line="360" w:lineRule="auto"/>
                    <w:rPr>
                      <w:color w:val="auto"/>
                      <w:szCs w:val="21"/>
                    </w:rPr>
                  </w:pPr>
                  <w:r>
                    <w:rPr>
                      <w:rFonts w:hint="eastAsia"/>
                      <w:color w:val="auto"/>
                      <w:szCs w:val="21"/>
                    </w:rPr>
                    <w:t>合计</w:t>
                  </w:r>
                </w:p>
              </w:tc>
              <w:tc>
                <w:tcPr>
                  <w:tcW w:w="828" w:type="pct"/>
                  <w:vAlign w:val="center"/>
                </w:tcPr>
                <w:p w14:paraId="68C0EC84">
                  <w:pPr>
                    <w:pStyle w:val="73"/>
                    <w:spacing w:line="360" w:lineRule="auto"/>
                    <w:rPr>
                      <w:color w:val="auto"/>
                      <w:spacing w:val="-10"/>
                      <w:szCs w:val="21"/>
                    </w:rPr>
                  </w:pPr>
                  <w:r>
                    <w:rPr>
                      <w:rFonts w:hint="eastAsia"/>
                      <w:color w:val="auto"/>
                      <w:szCs w:val="21"/>
                      <w:lang w:val="en-US" w:eastAsia="zh-CN"/>
                    </w:rPr>
                    <w:t>颗粒物</w:t>
                  </w:r>
                </w:p>
              </w:tc>
              <w:tc>
                <w:tcPr>
                  <w:tcW w:w="1941" w:type="pct"/>
                  <w:gridSpan w:val="2"/>
                  <w:vAlign w:val="center"/>
                </w:tcPr>
                <w:p w14:paraId="3BF257D8">
                  <w:pPr>
                    <w:widowControl/>
                    <w:spacing w:line="360" w:lineRule="auto"/>
                    <w:jc w:val="center"/>
                    <w:textAlignment w:val="center"/>
                    <w:rPr>
                      <w:color w:val="auto"/>
                      <w:sz w:val="18"/>
                      <w:szCs w:val="18"/>
                    </w:rPr>
                  </w:pPr>
                  <w:r>
                    <w:rPr>
                      <w:rFonts w:hint="eastAsia"/>
                      <w:color w:val="auto"/>
                      <w:sz w:val="18"/>
                      <w:szCs w:val="18"/>
                    </w:rPr>
                    <w:t>/</w:t>
                  </w:r>
                </w:p>
              </w:tc>
              <w:tc>
                <w:tcPr>
                  <w:tcW w:w="1608" w:type="dxa"/>
                  <w:vAlign w:val="center"/>
                </w:tcPr>
                <w:p w14:paraId="056066B7">
                  <w:pPr>
                    <w:widowControl/>
                    <w:spacing w:line="360" w:lineRule="auto"/>
                    <w:jc w:val="center"/>
                    <w:textAlignment w:val="center"/>
                    <w:rPr>
                      <w:rFonts w:hint="default" w:eastAsia="宋体"/>
                      <w:color w:val="auto"/>
                      <w:sz w:val="18"/>
                      <w:szCs w:val="18"/>
                      <w:lang w:val="en-US" w:eastAsia="zh-CN"/>
                    </w:rPr>
                  </w:pPr>
                  <w:r>
                    <w:rPr>
                      <w:rFonts w:hint="eastAsia"/>
                      <w:color w:val="auto"/>
                      <w:sz w:val="18"/>
                      <w:szCs w:val="18"/>
                      <w:lang w:val="en-US" w:eastAsia="zh-CN"/>
                    </w:rPr>
                    <w:t>1.109</w:t>
                  </w:r>
                </w:p>
              </w:tc>
            </w:tr>
            <w:tr w14:paraId="0AE40E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4" w:type="pct"/>
                  <w:gridSpan w:val="2"/>
                  <w:vMerge w:val="continue"/>
                  <w:vAlign w:val="center"/>
                </w:tcPr>
                <w:p w14:paraId="31DDD475">
                  <w:pPr>
                    <w:pStyle w:val="73"/>
                    <w:spacing w:line="360" w:lineRule="auto"/>
                    <w:rPr>
                      <w:color w:val="auto"/>
                      <w:szCs w:val="21"/>
                    </w:rPr>
                  </w:pPr>
                </w:p>
              </w:tc>
              <w:tc>
                <w:tcPr>
                  <w:tcW w:w="828" w:type="pct"/>
                  <w:vAlign w:val="center"/>
                </w:tcPr>
                <w:p w14:paraId="0A58849E">
                  <w:pPr>
                    <w:widowControl/>
                    <w:spacing w:line="360" w:lineRule="auto"/>
                    <w:jc w:val="center"/>
                    <w:textAlignment w:val="center"/>
                    <w:rPr>
                      <w:color w:val="auto"/>
                      <w:spacing w:val="-10"/>
                      <w:szCs w:val="21"/>
                    </w:rPr>
                  </w:pPr>
                  <w:r>
                    <w:rPr>
                      <w:rFonts w:hint="eastAsia"/>
                      <w:color w:val="auto"/>
                      <w:kern w:val="0"/>
                      <w:sz w:val="21"/>
                      <w:szCs w:val="21"/>
                      <w:lang w:val="en-US" w:eastAsia="zh-CN"/>
                    </w:rPr>
                    <w:t>SO</w:t>
                  </w:r>
                  <w:r>
                    <w:rPr>
                      <w:rFonts w:hint="eastAsia"/>
                      <w:color w:val="auto"/>
                      <w:kern w:val="0"/>
                      <w:sz w:val="21"/>
                      <w:szCs w:val="21"/>
                      <w:vertAlign w:val="subscript"/>
                      <w:lang w:val="en-US" w:eastAsia="zh-CN"/>
                    </w:rPr>
                    <w:t>2</w:t>
                  </w:r>
                </w:p>
              </w:tc>
              <w:tc>
                <w:tcPr>
                  <w:tcW w:w="1941" w:type="pct"/>
                  <w:gridSpan w:val="2"/>
                  <w:vAlign w:val="center"/>
                </w:tcPr>
                <w:p w14:paraId="390E6B27">
                  <w:pPr>
                    <w:widowControl/>
                    <w:spacing w:line="360" w:lineRule="auto"/>
                    <w:jc w:val="center"/>
                    <w:textAlignment w:val="center"/>
                    <w:rPr>
                      <w:color w:val="auto"/>
                      <w:sz w:val="18"/>
                      <w:szCs w:val="18"/>
                    </w:rPr>
                  </w:pPr>
                  <w:r>
                    <w:rPr>
                      <w:rFonts w:hint="eastAsia"/>
                      <w:color w:val="auto"/>
                      <w:sz w:val="18"/>
                      <w:szCs w:val="18"/>
                    </w:rPr>
                    <w:t>/</w:t>
                  </w:r>
                </w:p>
              </w:tc>
              <w:tc>
                <w:tcPr>
                  <w:tcW w:w="1608" w:type="dxa"/>
                  <w:vAlign w:val="center"/>
                </w:tcPr>
                <w:p w14:paraId="26503F04">
                  <w:pPr>
                    <w:widowControl/>
                    <w:spacing w:line="360" w:lineRule="auto"/>
                    <w:jc w:val="center"/>
                    <w:textAlignment w:val="center"/>
                    <w:rPr>
                      <w:rFonts w:hint="default" w:eastAsia="宋体"/>
                      <w:color w:val="auto"/>
                      <w:sz w:val="18"/>
                      <w:szCs w:val="18"/>
                      <w:lang w:val="en-US" w:eastAsia="zh-CN"/>
                    </w:rPr>
                  </w:pPr>
                  <w:r>
                    <w:rPr>
                      <w:rFonts w:hint="eastAsia"/>
                      <w:color w:val="auto"/>
                      <w:sz w:val="18"/>
                      <w:szCs w:val="18"/>
                      <w:lang w:val="en-US" w:eastAsia="zh-CN"/>
                    </w:rPr>
                    <w:t>1.657</w:t>
                  </w:r>
                </w:p>
              </w:tc>
            </w:tr>
            <w:tr w14:paraId="09524D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4" w:type="pct"/>
                  <w:gridSpan w:val="2"/>
                  <w:vMerge w:val="continue"/>
                  <w:vAlign w:val="center"/>
                </w:tcPr>
                <w:p w14:paraId="76B2327E">
                  <w:pPr>
                    <w:pStyle w:val="73"/>
                    <w:spacing w:line="360" w:lineRule="auto"/>
                    <w:rPr>
                      <w:color w:val="auto"/>
                      <w:szCs w:val="21"/>
                    </w:rPr>
                  </w:pPr>
                </w:p>
              </w:tc>
              <w:tc>
                <w:tcPr>
                  <w:tcW w:w="828" w:type="pct"/>
                  <w:vAlign w:val="center"/>
                </w:tcPr>
                <w:p w14:paraId="557836EF">
                  <w:pPr>
                    <w:widowControl/>
                    <w:spacing w:line="360" w:lineRule="auto"/>
                    <w:jc w:val="center"/>
                    <w:textAlignment w:val="center"/>
                    <w:rPr>
                      <w:rFonts w:hint="eastAsia"/>
                      <w:color w:val="auto"/>
                      <w:szCs w:val="21"/>
                    </w:rPr>
                  </w:pPr>
                  <w:r>
                    <w:rPr>
                      <w:rFonts w:hint="eastAsia"/>
                      <w:color w:val="auto"/>
                      <w:kern w:val="0"/>
                      <w:sz w:val="21"/>
                      <w:szCs w:val="21"/>
                      <w:lang w:val="en-US" w:eastAsia="zh-CN"/>
                    </w:rPr>
                    <w:t>NO</w:t>
                  </w:r>
                  <w:r>
                    <w:rPr>
                      <w:rFonts w:hint="eastAsia"/>
                      <w:color w:val="auto"/>
                      <w:kern w:val="0"/>
                      <w:sz w:val="21"/>
                      <w:szCs w:val="21"/>
                      <w:vertAlign w:val="subscript"/>
                      <w:lang w:val="en-US" w:eastAsia="zh-CN"/>
                    </w:rPr>
                    <w:t>x</w:t>
                  </w:r>
                </w:p>
              </w:tc>
              <w:tc>
                <w:tcPr>
                  <w:tcW w:w="1941" w:type="pct"/>
                  <w:gridSpan w:val="2"/>
                  <w:vAlign w:val="center"/>
                </w:tcPr>
                <w:p w14:paraId="0FED00CB">
                  <w:pPr>
                    <w:widowControl/>
                    <w:spacing w:line="360" w:lineRule="auto"/>
                    <w:jc w:val="center"/>
                    <w:textAlignment w:val="center"/>
                    <w:rPr>
                      <w:rFonts w:hint="eastAsia"/>
                      <w:color w:val="auto"/>
                      <w:sz w:val="18"/>
                      <w:szCs w:val="18"/>
                    </w:rPr>
                  </w:pPr>
                  <w:r>
                    <w:rPr>
                      <w:rFonts w:hint="eastAsia"/>
                      <w:color w:val="auto"/>
                      <w:sz w:val="18"/>
                      <w:szCs w:val="18"/>
                    </w:rPr>
                    <w:t>/</w:t>
                  </w:r>
                </w:p>
              </w:tc>
              <w:tc>
                <w:tcPr>
                  <w:tcW w:w="1608" w:type="dxa"/>
                  <w:vAlign w:val="center"/>
                </w:tcPr>
                <w:p w14:paraId="60ED83EA">
                  <w:pPr>
                    <w:widowControl/>
                    <w:spacing w:line="360" w:lineRule="auto"/>
                    <w:jc w:val="center"/>
                    <w:textAlignment w:val="center"/>
                    <w:rPr>
                      <w:rFonts w:hint="eastAsia"/>
                      <w:color w:val="auto"/>
                      <w:sz w:val="18"/>
                      <w:szCs w:val="18"/>
                    </w:rPr>
                  </w:pPr>
                  <w:r>
                    <w:rPr>
                      <w:rFonts w:hint="eastAsia"/>
                      <w:color w:val="auto"/>
                      <w:sz w:val="18"/>
                      <w:szCs w:val="18"/>
                      <w:lang w:val="en-US" w:eastAsia="zh-CN"/>
                    </w:rPr>
                    <w:t>2.626</w:t>
                  </w:r>
                </w:p>
              </w:tc>
            </w:tr>
          </w:tbl>
          <w:p w14:paraId="6DE5DDA5">
            <w:pPr>
              <w:pStyle w:val="81"/>
              <w:spacing w:line="240" w:lineRule="auto"/>
              <w:rPr>
                <w:rFonts w:ascii="Times New Roman" w:eastAsiaTheme="minorEastAsia"/>
                <w:bCs/>
                <w:color w:val="auto"/>
                <w:kern w:val="2"/>
                <w:sz w:val="21"/>
                <w:szCs w:val="24"/>
              </w:rPr>
            </w:pPr>
            <w:r>
              <w:rPr>
                <w:rFonts w:hint="eastAsia" w:ascii="Times New Roman" w:eastAsiaTheme="minorEastAsia"/>
                <w:bCs/>
                <w:color w:val="auto"/>
                <w:kern w:val="2"/>
                <w:sz w:val="21"/>
                <w:szCs w:val="24"/>
              </w:rPr>
              <w:t>表4-</w:t>
            </w:r>
            <w:r>
              <w:rPr>
                <w:rFonts w:hint="eastAsia" w:ascii="Times New Roman" w:eastAsiaTheme="minorEastAsia"/>
                <w:bCs/>
                <w:color w:val="auto"/>
                <w:kern w:val="2"/>
                <w:sz w:val="21"/>
                <w:szCs w:val="24"/>
                <w:lang w:val="en-US" w:eastAsia="zh-CN"/>
              </w:rPr>
              <w:t>3</w:t>
            </w:r>
            <w:r>
              <w:rPr>
                <w:rFonts w:hint="eastAsia" w:ascii="Times New Roman" w:eastAsiaTheme="minorEastAsia"/>
                <w:bCs/>
                <w:color w:val="auto"/>
                <w:kern w:val="2"/>
                <w:sz w:val="21"/>
                <w:szCs w:val="24"/>
              </w:rPr>
              <w:t xml:space="preserve">  大气污染物年排放量核算表</w:t>
            </w:r>
          </w:p>
          <w:tbl>
            <w:tblPr>
              <w:tblStyle w:val="3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94"/>
              <w:gridCol w:w="2584"/>
              <w:gridCol w:w="4303"/>
            </w:tblGrid>
            <w:tr w14:paraId="7DC5AE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1" w:type="pct"/>
                  <w:vAlign w:val="center"/>
                </w:tcPr>
                <w:p w14:paraId="5E39E8CC">
                  <w:pPr>
                    <w:pStyle w:val="73"/>
                    <w:spacing w:line="360" w:lineRule="auto"/>
                    <w:rPr>
                      <w:color w:val="auto"/>
                      <w:szCs w:val="21"/>
                    </w:rPr>
                  </w:pPr>
                  <w:r>
                    <w:rPr>
                      <w:color w:val="auto"/>
                      <w:szCs w:val="21"/>
                    </w:rPr>
                    <w:t>序号</w:t>
                  </w:r>
                </w:p>
              </w:tc>
              <w:tc>
                <w:tcPr>
                  <w:tcW w:w="1579" w:type="pct"/>
                  <w:vAlign w:val="center"/>
                </w:tcPr>
                <w:p w14:paraId="2582FF4D">
                  <w:pPr>
                    <w:pStyle w:val="73"/>
                    <w:spacing w:line="360" w:lineRule="auto"/>
                    <w:rPr>
                      <w:color w:val="auto"/>
                      <w:szCs w:val="21"/>
                    </w:rPr>
                  </w:pPr>
                  <w:r>
                    <w:rPr>
                      <w:color w:val="auto"/>
                      <w:szCs w:val="21"/>
                    </w:rPr>
                    <w:t>污染物</w:t>
                  </w:r>
                </w:p>
              </w:tc>
              <w:tc>
                <w:tcPr>
                  <w:tcW w:w="2629" w:type="pct"/>
                  <w:vAlign w:val="center"/>
                </w:tcPr>
                <w:p w14:paraId="3EEF3D30">
                  <w:pPr>
                    <w:pStyle w:val="73"/>
                    <w:spacing w:line="360" w:lineRule="auto"/>
                    <w:rPr>
                      <w:color w:val="auto"/>
                      <w:szCs w:val="21"/>
                    </w:rPr>
                  </w:pPr>
                  <w:r>
                    <w:rPr>
                      <w:color w:val="auto"/>
                      <w:szCs w:val="21"/>
                    </w:rPr>
                    <w:t>核算年排放量（t/a）</w:t>
                  </w:r>
                </w:p>
              </w:tc>
            </w:tr>
            <w:tr w14:paraId="45E0BA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91" w:type="pct"/>
                  <w:vAlign w:val="center"/>
                </w:tcPr>
                <w:p w14:paraId="367FB6A2">
                  <w:pPr>
                    <w:pStyle w:val="73"/>
                    <w:spacing w:line="360" w:lineRule="auto"/>
                    <w:rPr>
                      <w:color w:val="auto"/>
                      <w:szCs w:val="21"/>
                    </w:rPr>
                  </w:pPr>
                  <w:r>
                    <w:rPr>
                      <w:rFonts w:hint="eastAsia"/>
                      <w:color w:val="auto"/>
                      <w:szCs w:val="21"/>
                    </w:rPr>
                    <w:t>1</w:t>
                  </w:r>
                </w:p>
              </w:tc>
              <w:tc>
                <w:tcPr>
                  <w:tcW w:w="2575" w:type="dxa"/>
                  <w:vAlign w:val="center"/>
                </w:tcPr>
                <w:p w14:paraId="4522D855">
                  <w:pPr>
                    <w:pStyle w:val="73"/>
                    <w:spacing w:line="360" w:lineRule="auto"/>
                    <w:rPr>
                      <w:color w:val="auto"/>
                      <w:spacing w:val="-10"/>
                      <w:szCs w:val="21"/>
                    </w:rPr>
                  </w:pPr>
                  <w:r>
                    <w:rPr>
                      <w:rFonts w:hint="eastAsia"/>
                      <w:color w:val="auto"/>
                      <w:szCs w:val="21"/>
                      <w:lang w:val="en-US" w:eastAsia="zh-CN"/>
                    </w:rPr>
                    <w:t>颗粒物</w:t>
                  </w:r>
                </w:p>
              </w:tc>
              <w:tc>
                <w:tcPr>
                  <w:tcW w:w="4303" w:type="dxa"/>
                  <w:vAlign w:val="center"/>
                </w:tcPr>
                <w:p w14:paraId="19689649">
                  <w:pPr>
                    <w:widowControl/>
                    <w:spacing w:line="360" w:lineRule="auto"/>
                    <w:jc w:val="center"/>
                    <w:textAlignment w:val="center"/>
                    <w:rPr>
                      <w:rFonts w:hint="default"/>
                      <w:color w:val="auto"/>
                      <w:kern w:val="0"/>
                      <w:sz w:val="21"/>
                      <w:szCs w:val="21"/>
                      <w:lang w:val="en-US" w:eastAsia="zh-CN"/>
                    </w:rPr>
                  </w:pPr>
                  <w:r>
                    <w:rPr>
                      <w:rFonts w:hint="eastAsia"/>
                      <w:color w:val="auto"/>
                      <w:kern w:val="0"/>
                      <w:sz w:val="21"/>
                      <w:szCs w:val="21"/>
                      <w:lang w:val="en-US" w:eastAsia="zh-CN"/>
                    </w:rPr>
                    <w:t>1.109</w:t>
                  </w:r>
                </w:p>
              </w:tc>
            </w:tr>
            <w:tr w14:paraId="7FB85F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1" w:type="pct"/>
                  <w:vAlign w:val="center"/>
                </w:tcPr>
                <w:p w14:paraId="2D9DE228">
                  <w:pPr>
                    <w:pStyle w:val="73"/>
                    <w:spacing w:line="360" w:lineRule="auto"/>
                    <w:rPr>
                      <w:color w:val="auto"/>
                      <w:szCs w:val="21"/>
                    </w:rPr>
                  </w:pPr>
                  <w:r>
                    <w:rPr>
                      <w:rFonts w:hint="eastAsia"/>
                      <w:color w:val="auto"/>
                      <w:szCs w:val="21"/>
                    </w:rPr>
                    <w:t>2</w:t>
                  </w:r>
                </w:p>
              </w:tc>
              <w:tc>
                <w:tcPr>
                  <w:tcW w:w="2575" w:type="dxa"/>
                  <w:vAlign w:val="center"/>
                </w:tcPr>
                <w:p w14:paraId="1D537288">
                  <w:pPr>
                    <w:widowControl/>
                    <w:spacing w:line="360" w:lineRule="auto"/>
                    <w:jc w:val="center"/>
                    <w:textAlignment w:val="center"/>
                    <w:rPr>
                      <w:color w:val="auto"/>
                      <w:spacing w:val="-10"/>
                      <w:szCs w:val="21"/>
                    </w:rPr>
                  </w:pPr>
                  <w:r>
                    <w:rPr>
                      <w:rFonts w:hint="eastAsia"/>
                      <w:color w:val="auto"/>
                      <w:kern w:val="0"/>
                      <w:sz w:val="21"/>
                      <w:szCs w:val="21"/>
                      <w:lang w:val="en-US" w:eastAsia="zh-CN"/>
                    </w:rPr>
                    <w:t>SO</w:t>
                  </w:r>
                  <w:r>
                    <w:rPr>
                      <w:rFonts w:hint="eastAsia"/>
                      <w:color w:val="auto"/>
                      <w:kern w:val="0"/>
                      <w:sz w:val="21"/>
                      <w:szCs w:val="21"/>
                      <w:vertAlign w:val="subscript"/>
                      <w:lang w:val="en-US" w:eastAsia="zh-CN"/>
                    </w:rPr>
                    <w:t>2</w:t>
                  </w:r>
                </w:p>
              </w:tc>
              <w:tc>
                <w:tcPr>
                  <w:tcW w:w="4303" w:type="dxa"/>
                  <w:vAlign w:val="center"/>
                </w:tcPr>
                <w:p w14:paraId="3008346E">
                  <w:pPr>
                    <w:widowControl/>
                    <w:spacing w:line="360" w:lineRule="auto"/>
                    <w:jc w:val="center"/>
                    <w:textAlignment w:val="center"/>
                    <w:rPr>
                      <w:rFonts w:hint="eastAsia"/>
                      <w:color w:val="auto"/>
                      <w:kern w:val="0"/>
                      <w:sz w:val="21"/>
                      <w:szCs w:val="21"/>
                      <w:lang w:val="en-US" w:eastAsia="zh-CN"/>
                    </w:rPr>
                  </w:pPr>
                  <w:r>
                    <w:rPr>
                      <w:rFonts w:hint="eastAsia"/>
                      <w:color w:val="auto"/>
                      <w:kern w:val="0"/>
                      <w:sz w:val="21"/>
                      <w:szCs w:val="21"/>
                      <w:lang w:val="en-US" w:eastAsia="zh-CN"/>
                    </w:rPr>
                    <w:t>1.657</w:t>
                  </w:r>
                </w:p>
              </w:tc>
            </w:tr>
            <w:tr w14:paraId="0B6A31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1" w:type="pct"/>
                  <w:vAlign w:val="center"/>
                </w:tcPr>
                <w:p w14:paraId="03538B5E">
                  <w:pPr>
                    <w:pStyle w:val="73"/>
                    <w:spacing w:line="360" w:lineRule="auto"/>
                    <w:rPr>
                      <w:rFonts w:hint="eastAsia" w:eastAsia="宋体"/>
                      <w:color w:val="auto"/>
                      <w:szCs w:val="21"/>
                      <w:lang w:val="en-US" w:eastAsia="zh-CN"/>
                    </w:rPr>
                  </w:pPr>
                  <w:r>
                    <w:rPr>
                      <w:rFonts w:hint="eastAsia"/>
                      <w:color w:val="auto"/>
                      <w:szCs w:val="21"/>
                      <w:lang w:val="en-US" w:eastAsia="zh-CN"/>
                    </w:rPr>
                    <w:t>3</w:t>
                  </w:r>
                </w:p>
              </w:tc>
              <w:tc>
                <w:tcPr>
                  <w:tcW w:w="2575" w:type="dxa"/>
                  <w:vAlign w:val="center"/>
                </w:tcPr>
                <w:p w14:paraId="496263AB">
                  <w:pPr>
                    <w:widowControl/>
                    <w:spacing w:line="360" w:lineRule="auto"/>
                    <w:jc w:val="center"/>
                    <w:textAlignment w:val="center"/>
                    <w:rPr>
                      <w:color w:val="auto"/>
                    </w:rPr>
                  </w:pPr>
                  <w:r>
                    <w:rPr>
                      <w:rFonts w:hint="eastAsia"/>
                      <w:color w:val="auto"/>
                      <w:kern w:val="0"/>
                      <w:sz w:val="21"/>
                      <w:szCs w:val="21"/>
                      <w:lang w:val="en-US" w:eastAsia="zh-CN"/>
                    </w:rPr>
                    <w:t>NO</w:t>
                  </w:r>
                  <w:r>
                    <w:rPr>
                      <w:rFonts w:hint="eastAsia"/>
                      <w:color w:val="auto"/>
                      <w:kern w:val="0"/>
                      <w:sz w:val="21"/>
                      <w:szCs w:val="21"/>
                      <w:vertAlign w:val="subscript"/>
                      <w:lang w:val="en-US" w:eastAsia="zh-CN"/>
                    </w:rPr>
                    <w:t>x</w:t>
                  </w:r>
                </w:p>
              </w:tc>
              <w:tc>
                <w:tcPr>
                  <w:tcW w:w="4303" w:type="dxa"/>
                  <w:vAlign w:val="center"/>
                </w:tcPr>
                <w:p w14:paraId="4B847FAA">
                  <w:pPr>
                    <w:widowControl/>
                    <w:spacing w:line="360" w:lineRule="auto"/>
                    <w:jc w:val="center"/>
                    <w:textAlignment w:val="center"/>
                    <w:rPr>
                      <w:rFonts w:hint="eastAsia"/>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2.626</w:t>
                  </w:r>
                </w:p>
              </w:tc>
            </w:tr>
          </w:tbl>
          <w:p w14:paraId="1FA81B67">
            <w:pPr>
              <w:pStyle w:val="47"/>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2、非正常工况</w:t>
            </w:r>
          </w:p>
          <w:p w14:paraId="0AFA4077">
            <w:pPr>
              <w:pStyle w:val="103"/>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假定热风炉布</w:t>
            </w:r>
            <w:r>
              <w:rPr>
                <w:rFonts w:hint="eastAsia" w:ascii="Times New Roman" w:hAnsi="Times New Roman" w:eastAsia="宋体" w:cs="Times New Roman"/>
                <w:color w:val="auto"/>
                <w:kern w:val="0"/>
                <w:sz w:val="24"/>
                <w:szCs w:val="24"/>
                <w:highlight w:val="none"/>
                <w:lang w:val="en-US" w:eastAsia="zh-CN" w:bidi="ar-SA"/>
              </w:rPr>
              <w:t>袋除尘器滤袋破损</w:t>
            </w:r>
            <w:r>
              <w:rPr>
                <w:rFonts w:hint="default"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参考《污染源源强核算技术指南</w:t>
            </w:r>
            <w:r>
              <w:rPr>
                <w:rFonts w:hint="default"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火电》，本项目非正常工况设定情景及计算数据如下：</w:t>
            </w:r>
          </w:p>
          <w:p w14:paraId="5D9ED999">
            <w:pPr>
              <w:pStyle w:val="103"/>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滤袋破损期间按下式计算烟尘排放增加量：</w:t>
            </w:r>
          </w:p>
          <w:p w14:paraId="0E424947">
            <w:pPr>
              <w:pStyle w:val="103"/>
              <w:ind w:left="0" w:leftChars="0" w:firstLine="0" w:firstLineChars="0"/>
              <w:jc w:val="center"/>
              <w:rPr>
                <w:rFonts w:hint="default" w:ascii="Times New Roman" w:hAnsi="Times New Roman" w:eastAsia="宋体" w:cs="Times New Roman"/>
                <w:color w:val="auto"/>
                <w:kern w:val="0"/>
                <w:sz w:val="24"/>
                <w:szCs w:val="24"/>
                <w:highlight w:val="none"/>
                <w:lang w:val="en-US" w:eastAsia="zh-CN" w:bidi="ar-SA"/>
              </w:rPr>
            </w:pPr>
            <w:r>
              <w:rPr>
                <w:color w:val="auto"/>
              </w:rPr>
              <w:drawing>
                <wp:inline distT="0" distB="0" distL="114300" distR="114300">
                  <wp:extent cx="1694815" cy="367665"/>
                  <wp:effectExtent l="0" t="0" r="635" b="13335"/>
                  <wp:docPr id="13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1"/>
                          <pic:cNvPicPr>
                            <a:picLocks noChangeAspect="1"/>
                          </pic:cNvPicPr>
                        </pic:nvPicPr>
                        <pic:blipFill>
                          <a:blip r:embed="rId20"/>
                          <a:stretch>
                            <a:fillRect/>
                          </a:stretch>
                        </pic:blipFill>
                        <pic:spPr>
                          <a:xfrm>
                            <a:off x="0" y="0"/>
                            <a:ext cx="1694815" cy="367665"/>
                          </a:xfrm>
                          <a:prstGeom prst="rect">
                            <a:avLst/>
                          </a:prstGeom>
                          <a:noFill/>
                          <a:ln>
                            <a:noFill/>
                          </a:ln>
                        </pic:spPr>
                      </pic:pic>
                    </a:graphicData>
                  </a:graphic>
                </wp:inline>
              </w:drawing>
            </w:r>
          </w:p>
          <w:p w14:paraId="2AE17EC5">
            <w:pPr>
              <w:pStyle w:val="103"/>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式中：ΔM</w:t>
            </w:r>
            <w:r>
              <w:rPr>
                <w:rFonts w:hint="default" w:ascii="Times New Roman" w:hAnsi="Times New Roman" w:eastAsia="宋体" w:cs="Times New Roman"/>
                <w:color w:val="auto"/>
                <w:kern w:val="0"/>
                <w:sz w:val="24"/>
                <w:szCs w:val="24"/>
                <w:highlight w:val="none"/>
                <w:vertAlign w:val="subscript"/>
                <w:lang w:val="en-US" w:eastAsia="zh-CN" w:bidi="ar-SA"/>
              </w:rPr>
              <w:t>A</w:t>
            </w:r>
            <w:r>
              <w:rPr>
                <w:rFonts w:hint="default" w:ascii="Times New Roman" w:hAnsi="Times New Roman" w:eastAsia="宋体" w:cs="Times New Roman"/>
                <w:color w:val="auto"/>
                <w:kern w:val="0"/>
                <w:sz w:val="24"/>
                <w:szCs w:val="24"/>
                <w:highlight w:val="none"/>
                <w:lang w:val="en-US" w:eastAsia="zh-CN" w:bidi="ar-SA"/>
              </w:rPr>
              <w:t>——滤袋破损后增加的烟尘排放量，g/s；</w:t>
            </w:r>
          </w:p>
          <w:p w14:paraId="07D1EA19">
            <w:pPr>
              <w:pStyle w:val="103"/>
              <w:ind w:firstLine="1200" w:firstLineChars="5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ρ</w:t>
            </w:r>
            <w:r>
              <w:rPr>
                <w:rFonts w:hint="default" w:ascii="Times New Roman" w:hAnsi="Times New Roman" w:eastAsia="宋体" w:cs="Times New Roman"/>
                <w:color w:val="auto"/>
                <w:kern w:val="0"/>
                <w:sz w:val="24"/>
                <w:szCs w:val="24"/>
                <w:highlight w:val="none"/>
                <w:vertAlign w:val="subscript"/>
                <w:lang w:val="en-US" w:eastAsia="zh-CN" w:bidi="ar-SA"/>
              </w:rPr>
              <w:t>d</w:t>
            </w:r>
            <w:r>
              <w:rPr>
                <w:rFonts w:hint="default" w:ascii="Times New Roman" w:hAnsi="Times New Roman" w:eastAsia="宋体" w:cs="Times New Roman"/>
                <w:color w:val="auto"/>
                <w:kern w:val="0"/>
                <w:sz w:val="24"/>
                <w:szCs w:val="24"/>
                <w:highlight w:val="none"/>
                <w:lang w:val="en-US" w:eastAsia="zh-CN" w:bidi="ar-SA"/>
              </w:rPr>
              <w:t>——原烟气含尘质量浓度，g/m</w:t>
            </w:r>
            <w:r>
              <w:rPr>
                <w:rFonts w:hint="default" w:ascii="Times New Roman" w:hAnsi="Times New Roman" w:eastAsia="宋体" w:cs="Times New Roman"/>
                <w:color w:val="auto"/>
                <w:kern w:val="0"/>
                <w:sz w:val="24"/>
                <w:szCs w:val="24"/>
                <w:highlight w:val="none"/>
                <w:vertAlign w:val="superscript"/>
                <w:lang w:val="en-US" w:eastAsia="zh-CN" w:bidi="ar-SA"/>
              </w:rPr>
              <w:t>3</w:t>
            </w:r>
            <w:r>
              <w:rPr>
                <w:rFonts w:hint="default"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导热油炉</w:t>
            </w:r>
            <w:r>
              <w:rPr>
                <w:rFonts w:hint="default" w:ascii="Times New Roman" w:hAnsi="Times New Roman" w:eastAsia="宋体" w:cs="Times New Roman"/>
                <w:color w:val="auto"/>
                <w:kern w:val="0"/>
                <w:sz w:val="24"/>
                <w:szCs w:val="24"/>
                <w:highlight w:val="none"/>
                <w:lang w:val="en-US" w:eastAsia="zh-CN" w:bidi="ar-SA"/>
              </w:rPr>
              <w:t>烟尘</w:t>
            </w:r>
            <w:r>
              <w:rPr>
                <w:rFonts w:hint="eastAsia" w:ascii="Times New Roman" w:hAnsi="Times New Roman" w:eastAsia="宋体" w:cs="Times New Roman"/>
                <w:color w:val="auto"/>
                <w:kern w:val="0"/>
                <w:sz w:val="24"/>
                <w:szCs w:val="24"/>
                <w:highlight w:val="none"/>
                <w:lang w:val="en-US" w:eastAsia="zh-CN" w:bidi="ar-SA"/>
              </w:rPr>
              <w:t>2.699</w:t>
            </w:r>
            <w:r>
              <w:rPr>
                <w:rFonts w:hint="default" w:ascii="Times New Roman" w:hAnsi="Times New Roman" w:eastAsia="宋体" w:cs="Times New Roman"/>
                <w:color w:val="auto"/>
                <w:kern w:val="0"/>
                <w:sz w:val="24"/>
                <w:szCs w:val="24"/>
                <w:highlight w:val="none"/>
                <w:lang w:val="en-US" w:eastAsia="zh-CN" w:bidi="ar-SA"/>
              </w:rPr>
              <w:t>g/m</w:t>
            </w:r>
            <w:r>
              <w:rPr>
                <w:rFonts w:hint="default" w:ascii="Times New Roman" w:hAnsi="Times New Roman" w:eastAsia="宋体" w:cs="Times New Roman"/>
                <w:color w:val="auto"/>
                <w:kern w:val="0"/>
                <w:sz w:val="24"/>
                <w:szCs w:val="24"/>
                <w:highlight w:val="none"/>
                <w:vertAlign w:val="superscript"/>
                <w:lang w:val="en-US" w:eastAsia="zh-CN" w:bidi="ar-SA"/>
              </w:rPr>
              <w:t>3</w:t>
            </w:r>
            <w:r>
              <w:rPr>
                <w:rFonts w:hint="default" w:ascii="Times New Roman" w:hAnsi="Times New Roman" w:eastAsia="宋体" w:cs="Times New Roman"/>
                <w:color w:val="auto"/>
                <w:kern w:val="0"/>
                <w:sz w:val="24"/>
                <w:szCs w:val="24"/>
                <w:highlight w:val="none"/>
                <w:lang w:val="en-US" w:eastAsia="zh-CN" w:bidi="ar-SA"/>
              </w:rPr>
              <w:t>；</w:t>
            </w:r>
          </w:p>
          <w:p w14:paraId="6A545D40">
            <w:pPr>
              <w:pStyle w:val="103"/>
              <w:ind w:firstLine="1200" w:firstLineChars="5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S——滤袋破口面积，m</w:t>
            </w:r>
            <w:r>
              <w:rPr>
                <w:rFonts w:hint="default" w:ascii="Times New Roman" w:hAnsi="Times New Roman" w:eastAsia="宋体" w:cs="Times New Roman"/>
                <w:color w:val="auto"/>
                <w:kern w:val="0"/>
                <w:sz w:val="24"/>
                <w:szCs w:val="24"/>
                <w:highlight w:val="none"/>
                <w:vertAlign w:val="superscript"/>
                <w:lang w:val="en-US" w:eastAsia="zh-CN" w:bidi="ar-SA"/>
              </w:rPr>
              <w:t>2</w:t>
            </w:r>
            <w:r>
              <w:rPr>
                <w:rFonts w:hint="default" w:ascii="Times New Roman" w:hAnsi="Times New Roman" w:eastAsia="宋体" w:cs="Times New Roman"/>
                <w:color w:val="auto"/>
                <w:kern w:val="0"/>
                <w:sz w:val="24"/>
                <w:szCs w:val="24"/>
                <w:highlight w:val="none"/>
                <w:lang w:val="en-US" w:eastAsia="zh-CN" w:bidi="ar-SA"/>
              </w:rPr>
              <w:t>；取0.01m</w:t>
            </w:r>
            <w:r>
              <w:rPr>
                <w:rFonts w:hint="default" w:ascii="Times New Roman" w:hAnsi="Times New Roman" w:eastAsia="宋体" w:cs="Times New Roman"/>
                <w:color w:val="auto"/>
                <w:kern w:val="0"/>
                <w:sz w:val="24"/>
                <w:szCs w:val="24"/>
                <w:highlight w:val="none"/>
                <w:vertAlign w:val="superscript"/>
                <w:lang w:val="en-US" w:eastAsia="zh-CN" w:bidi="ar-SA"/>
              </w:rPr>
              <w:t>2</w:t>
            </w:r>
            <w:r>
              <w:rPr>
                <w:rFonts w:hint="default" w:ascii="Times New Roman" w:hAnsi="Times New Roman" w:eastAsia="宋体" w:cs="Times New Roman"/>
                <w:color w:val="auto"/>
                <w:kern w:val="0"/>
                <w:sz w:val="24"/>
                <w:szCs w:val="24"/>
                <w:highlight w:val="none"/>
                <w:lang w:val="en-US" w:eastAsia="zh-CN" w:bidi="ar-SA"/>
              </w:rPr>
              <w:t>；</w:t>
            </w:r>
          </w:p>
          <w:p w14:paraId="00D3BE22">
            <w:pPr>
              <w:pStyle w:val="103"/>
              <w:ind w:firstLine="1200" w:firstLineChars="5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v——滤袋破洞处烟气流速，m/s，取</w:t>
            </w:r>
            <w:r>
              <w:rPr>
                <w:rFonts w:hint="eastAsia" w:ascii="Times New Roman" w:hAnsi="Times New Roman" w:eastAsia="宋体" w:cs="Times New Roman"/>
                <w:color w:val="auto"/>
                <w:kern w:val="0"/>
                <w:sz w:val="24"/>
                <w:szCs w:val="24"/>
                <w:highlight w:val="none"/>
                <w:lang w:val="en-US" w:eastAsia="zh-CN" w:bidi="ar-SA"/>
              </w:rPr>
              <w:t>30</w:t>
            </w:r>
            <w:r>
              <w:rPr>
                <w:rFonts w:hint="default" w:ascii="Times New Roman" w:hAnsi="Times New Roman" w:eastAsia="宋体" w:cs="Times New Roman"/>
                <w:color w:val="auto"/>
                <w:kern w:val="0"/>
                <w:sz w:val="24"/>
                <w:szCs w:val="24"/>
                <w:highlight w:val="none"/>
                <w:lang w:val="en-US" w:eastAsia="zh-CN" w:bidi="ar-SA"/>
              </w:rPr>
              <w:t>m/s。</w:t>
            </w:r>
          </w:p>
          <w:p w14:paraId="6F57AF06">
            <w:pPr>
              <w:pStyle w:val="103"/>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计算得出增加热风炉烟尘排放量为</w:t>
            </w:r>
            <w:r>
              <w:rPr>
                <w:rFonts w:hint="eastAsia" w:ascii="Times New Roman" w:hAnsi="Times New Roman" w:eastAsia="宋体" w:cs="Times New Roman"/>
                <w:color w:val="auto"/>
                <w:kern w:val="0"/>
                <w:sz w:val="24"/>
                <w:szCs w:val="24"/>
                <w:highlight w:val="none"/>
                <w:lang w:val="en-US" w:eastAsia="zh-CN" w:bidi="ar-SA"/>
              </w:rPr>
              <w:t>0.81</w:t>
            </w:r>
            <w:r>
              <w:rPr>
                <w:rFonts w:hint="default" w:ascii="Times New Roman" w:hAnsi="Times New Roman" w:eastAsia="宋体" w:cs="Times New Roman"/>
                <w:color w:val="auto"/>
                <w:kern w:val="0"/>
                <w:sz w:val="24"/>
                <w:szCs w:val="24"/>
                <w:highlight w:val="none"/>
                <w:lang w:val="en-US" w:eastAsia="zh-CN" w:bidi="ar-SA"/>
              </w:rPr>
              <w:t>g/s，</w:t>
            </w:r>
            <w:r>
              <w:rPr>
                <w:rFonts w:hint="eastAsia" w:ascii="Times New Roman" w:hAnsi="Times New Roman" w:eastAsia="宋体" w:cs="Times New Roman"/>
                <w:color w:val="auto"/>
                <w:kern w:val="0"/>
                <w:sz w:val="24"/>
                <w:szCs w:val="24"/>
                <w:highlight w:val="none"/>
                <w:lang w:val="en-US" w:eastAsia="zh-CN" w:bidi="ar-SA"/>
              </w:rPr>
              <w:t>2.916</w:t>
            </w:r>
            <w:r>
              <w:rPr>
                <w:rFonts w:hint="default" w:ascii="Times New Roman" w:hAnsi="Times New Roman" w:eastAsia="宋体" w:cs="Times New Roman"/>
                <w:color w:val="auto"/>
                <w:kern w:val="0"/>
                <w:sz w:val="24"/>
                <w:szCs w:val="24"/>
                <w:highlight w:val="none"/>
                <w:lang w:val="en-US" w:eastAsia="zh-CN" w:bidi="ar-SA"/>
              </w:rPr>
              <w:t>kg/h，加上正常排放量，得出非正常工况下热风炉烟尘的排放速率为</w:t>
            </w:r>
            <w:r>
              <w:rPr>
                <w:rFonts w:hint="eastAsia" w:ascii="Times New Roman" w:hAnsi="Times New Roman" w:eastAsia="宋体" w:cs="Times New Roman"/>
                <w:color w:val="auto"/>
                <w:kern w:val="0"/>
                <w:sz w:val="24"/>
                <w:szCs w:val="24"/>
                <w:highlight w:val="none"/>
                <w:lang w:val="en-US" w:eastAsia="zh-CN" w:bidi="ar-SA"/>
              </w:rPr>
              <w:t>3.0</w:t>
            </w:r>
            <w:r>
              <w:rPr>
                <w:rFonts w:hint="eastAsia" w:cs="Times New Roman"/>
                <w:color w:val="auto"/>
                <w:kern w:val="0"/>
                <w:sz w:val="24"/>
                <w:szCs w:val="24"/>
                <w:highlight w:val="none"/>
                <w:lang w:val="en-US" w:eastAsia="zh-CN" w:bidi="ar-SA"/>
              </w:rPr>
              <w:t>7</w:t>
            </w:r>
            <w:r>
              <w:rPr>
                <w:rFonts w:hint="default" w:ascii="Times New Roman" w:hAnsi="Times New Roman" w:eastAsia="宋体" w:cs="Times New Roman"/>
                <w:color w:val="auto"/>
                <w:kern w:val="0"/>
                <w:sz w:val="24"/>
                <w:szCs w:val="24"/>
                <w:highlight w:val="none"/>
                <w:lang w:val="en-US" w:eastAsia="zh-CN" w:bidi="ar-SA"/>
              </w:rPr>
              <w:t>kg/h。</w:t>
            </w:r>
          </w:p>
          <w:p w14:paraId="3FEEE919">
            <w:pPr>
              <w:pStyle w:val="103"/>
              <w:ind w:firstLine="480" w:firstLineChars="200"/>
              <w:rPr>
                <w:color w:val="auto"/>
                <w:sz w:val="24"/>
                <w:szCs w:val="24"/>
              </w:rPr>
            </w:pPr>
            <w:r>
              <w:rPr>
                <w:rFonts w:hint="default" w:ascii="Times New Roman" w:hAnsi="Times New Roman" w:eastAsia="宋体" w:cs="Times New Roman"/>
                <w:color w:val="auto"/>
                <w:kern w:val="0"/>
                <w:sz w:val="24"/>
                <w:szCs w:val="24"/>
                <w:highlight w:val="none"/>
                <w:lang w:val="en-US" w:eastAsia="zh-CN" w:bidi="ar-SA"/>
              </w:rPr>
              <w:t>若发生非正常工况时，企业做停产处理</w:t>
            </w:r>
            <w:r>
              <w:rPr>
                <w:rFonts w:hint="eastAsia" w:ascii="Times New Roman" w:hAnsi="Times New Roman" w:eastAsia="宋体"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非正常工况下废气污染源强核算结果及相关参数</w:t>
            </w:r>
            <w:r>
              <w:rPr>
                <w:rFonts w:hint="eastAsia" w:ascii="Times New Roman" w:hAnsi="Times New Roman" w:eastAsia="宋体" w:cs="Times New Roman"/>
                <w:color w:val="auto"/>
                <w:kern w:val="0"/>
                <w:sz w:val="24"/>
                <w:szCs w:val="24"/>
                <w:highlight w:val="none"/>
                <w:lang w:val="en-US" w:eastAsia="zh-CN" w:bidi="ar-SA"/>
              </w:rPr>
              <w:t>见</w:t>
            </w:r>
            <w:r>
              <w:rPr>
                <w:rFonts w:hint="default" w:ascii="Times New Roman" w:hAnsi="Times New Roman" w:eastAsia="宋体" w:cs="Times New Roman"/>
                <w:color w:val="auto"/>
                <w:kern w:val="0"/>
                <w:sz w:val="24"/>
                <w:szCs w:val="24"/>
                <w:highlight w:val="none"/>
                <w:lang w:val="en-US" w:eastAsia="zh-CN" w:bidi="ar-SA"/>
              </w:rPr>
              <w:t>表</w:t>
            </w:r>
            <w:r>
              <w:rPr>
                <w:rFonts w:hint="eastAsia" w:ascii="Times New Roman" w:hAnsi="Times New Roman" w:eastAsia="宋体" w:cs="Times New Roman"/>
                <w:color w:val="auto"/>
                <w:kern w:val="0"/>
                <w:sz w:val="24"/>
                <w:szCs w:val="24"/>
                <w:highlight w:val="none"/>
                <w:lang w:val="en-US" w:eastAsia="zh-CN" w:bidi="ar-SA"/>
              </w:rPr>
              <w:t>4-</w:t>
            </w:r>
            <w:r>
              <w:rPr>
                <w:rFonts w:hint="eastAsia" w:cs="Times New Roman"/>
                <w:color w:val="auto"/>
                <w:kern w:val="0"/>
                <w:sz w:val="24"/>
                <w:szCs w:val="24"/>
                <w:highlight w:val="none"/>
                <w:lang w:val="en-US" w:eastAsia="zh-CN" w:bidi="ar-SA"/>
              </w:rPr>
              <w:t>4</w:t>
            </w:r>
            <w:r>
              <w:rPr>
                <w:color w:val="auto"/>
                <w:sz w:val="24"/>
                <w:szCs w:val="24"/>
              </w:rPr>
              <w:t>。</w:t>
            </w:r>
          </w:p>
          <w:p w14:paraId="188FB516">
            <w:pPr>
              <w:pStyle w:val="91"/>
              <w:adjustRightInd w:val="0"/>
              <w:snapToGrid w:val="0"/>
              <w:spacing w:line="240" w:lineRule="auto"/>
              <w:ind w:firstLine="422" w:firstLineChars="200"/>
              <w:rPr>
                <w:rFonts w:ascii="Times New Roman" w:hAnsi="Times New Roman" w:cs="Times New Roman" w:eastAsiaTheme="minorEastAsia"/>
                <w:b/>
                <w:bCs/>
                <w:color w:val="auto"/>
              </w:rPr>
            </w:pPr>
            <w:r>
              <w:rPr>
                <w:rFonts w:ascii="Times New Roman" w:hAnsi="Times New Roman" w:cs="Times New Roman" w:eastAsiaTheme="minorEastAsia"/>
                <w:b/>
                <w:bCs/>
                <w:color w:val="auto"/>
              </w:rPr>
              <w:t>表4-</w:t>
            </w:r>
            <w:r>
              <w:rPr>
                <w:rFonts w:hint="eastAsia" w:ascii="Times New Roman" w:hAnsi="Times New Roman" w:cs="Times New Roman" w:eastAsiaTheme="minorEastAsia"/>
                <w:b/>
                <w:bCs/>
                <w:color w:val="auto"/>
                <w:lang w:val="en-US" w:eastAsia="zh-CN"/>
              </w:rPr>
              <w:t>4</w:t>
            </w:r>
            <w:r>
              <w:rPr>
                <w:rFonts w:ascii="Times New Roman" w:hAnsi="Times New Roman" w:cs="Times New Roman" w:eastAsiaTheme="minorEastAsia"/>
                <w:b/>
                <w:bCs/>
                <w:color w:val="auto"/>
              </w:rPr>
              <w:t xml:space="preserve">  非正常工况下废气污染源强核算结果及相关参数一览表</w:t>
            </w:r>
          </w:p>
          <w:tbl>
            <w:tblPr>
              <w:tblStyle w:val="39"/>
              <w:tblW w:w="4995"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12"/>
              <w:gridCol w:w="769"/>
              <w:gridCol w:w="1065"/>
              <w:gridCol w:w="942"/>
              <w:gridCol w:w="1166"/>
              <w:gridCol w:w="937"/>
              <w:gridCol w:w="893"/>
              <w:gridCol w:w="893"/>
              <w:gridCol w:w="1096"/>
            </w:tblGrid>
            <w:tr w14:paraId="0F95A7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252" w:type="pct"/>
                  <w:tcBorders>
                    <w:tl2br w:val="nil"/>
                    <w:tr2bl w:val="nil"/>
                  </w:tcBorders>
                  <w:noWrap/>
                  <w:vAlign w:val="center"/>
                </w:tcPr>
                <w:p w14:paraId="41746CDA">
                  <w:pPr>
                    <w:spacing w:line="360" w:lineRule="auto"/>
                    <w:jc w:val="center"/>
                    <w:rPr>
                      <w:color w:val="auto"/>
                      <w:kern w:val="0"/>
                      <w:szCs w:val="21"/>
                    </w:rPr>
                  </w:pPr>
                  <w:r>
                    <w:rPr>
                      <w:color w:val="auto"/>
                      <w:kern w:val="0"/>
                      <w:szCs w:val="21"/>
                    </w:rPr>
                    <w:t>序号</w:t>
                  </w:r>
                </w:p>
              </w:tc>
              <w:tc>
                <w:tcPr>
                  <w:tcW w:w="470" w:type="pct"/>
                  <w:tcBorders>
                    <w:tl2br w:val="nil"/>
                    <w:tr2bl w:val="nil"/>
                  </w:tcBorders>
                  <w:noWrap/>
                  <w:vAlign w:val="center"/>
                </w:tcPr>
                <w:p w14:paraId="3554723F">
                  <w:pPr>
                    <w:spacing w:line="360" w:lineRule="auto"/>
                    <w:jc w:val="center"/>
                    <w:rPr>
                      <w:color w:val="auto"/>
                      <w:kern w:val="0"/>
                      <w:szCs w:val="21"/>
                    </w:rPr>
                  </w:pPr>
                  <w:r>
                    <w:rPr>
                      <w:color w:val="auto"/>
                      <w:kern w:val="0"/>
                      <w:szCs w:val="21"/>
                    </w:rPr>
                    <w:t>污染源</w:t>
                  </w:r>
                </w:p>
              </w:tc>
              <w:tc>
                <w:tcPr>
                  <w:tcW w:w="651" w:type="pct"/>
                  <w:tcBorders>
                    <w:tl2br w:val="nil"/>
                    <w:tr2bl w:val="nil"/>
                  </w:tcBorders>
                  <w:noWrap/>
                  <w:vAlign w:val="center"/>
                </w:tcPr>
                <w:p w14:paraId="65FF91AB">
                  <w:pPr>
                    <w:spacing w:line="360" w:lineRule="auto"/>
                    <w:jc w:val="center"/>
                    <w:rPr>
                      <w:color w:val="auto"/>
                      <w:kern w:val="0"/>
                      <w:szCs w:val="21"/>
                    </w:rPr>
                  </w:pPr>
                  <w:r>
                    <w:rPr>
                      <w:color w:val="auto"/>
                      <w:kern w:val="0"/>
                      <w:szCs w:val="21"/>
                    </w:rPr>
                    <w:t>非正常排放原因</w:t>
                  </w:r>
                </w:p>
              </w:tc>
              <w:tc>
                <w:tcPr>
                  <w:tcW w:w="576" w:type="pct"/>
                  <w:tcBorders>
                    <w:tl2br w:val="nil"/>
                    <w:tr2bl w:val="nil"/>
                  </w:tcBorders>
                  <w:noWrap/>
                  <w:vAlign w:val="center"/>
                </w:tcPr>
                <w:p w14:paraId="58A81148">
                  <w:pPr>
                    <w:spacing w:line="360" w:lineRule="auto"/>
                    <w:jc w:val="center"/>
                    <w:rPr>
                      <w:color w:val="auto"/>
                      <w:kern w:val="0"/>
                      <w:szCs w:val="21"/>
                    </w:rPr>
                  </w:pPr>
                  <w:r>
                    <w:rPr>
                      <w:color w:val="auto"/>
                      <w:kern w:val="0"/>
                      <w:szCs w:val="21"/>
                    </w:rPr>
                    <w:t>污染物</w:t>
                  </w:r>
                </w:p>
              </w:tc>
              <w:tc>
                <w:tcPr>
                  <w:tcW w:w="713" w:type="pct"/>
                  <w:tcBorders>
                    <w:tl2br w:val="nil"/>
                    <w:tr2bl w:val="nil"/>
                  </w:tcBorders>
                  <w:noWrap/>
                  <w:vAlign w:val="center"/>
                </w:tcPr>
                <w:p w14:paraId="63A6FA83">
                  <w:pPr>
                    <w:spacing w:line="360" w:lineRule="auto"/>
                    <w:jc w:val="center"/>
                    <w:rPr>
                      <w:color w:val="auto"/>
                      <w:kern w:val="0"/>
                      <w:szCs w:val="21"/>
                    </w:rPr>
                  </w:pPr>
                  <w:r>
                    <w:rPr>
                      <w:color w:val="auto"/>
                      <w:kern w:val="0"/>
                      <w:szCs w:val="21"/>
                    </w:rPr>
                    <w:t>非正常排放浓度/（mg/m</w:t>
                  </w:r>
                  <w:r>
                    <w:rPr>
                      <w:color w:val="auto"/>
                      <w:kern w:val="0"/>
                      <w:szCs w:val="21"/>
                      <w:vertAlign w:val="superscript"/>
                    </w:rPr>
                    <w:t>3</w:t>
                  </w:r>
                  <w:r>
                    <w:rPr>
                      <w:color w:val="auto"/>
                      <w:kern w:val="0"/>
                      <w:szCs w:val="21"/>
                    </w:rPr>
                    <w:t>）</w:t>
                  </w:r>
                </w:p>
              </w:tc>
              <w:tc>
                <w:tcPr>
                  <w:tcW w:w="573" w:type="pct"/>
                  <w:tcBorders>
                    <w:tl2br w:val="nil"/>
                    <w:tr2bl w:val="nil"/>
                  </w:tcBorders>
                  <w:noWrap/>
                  <w:vAlign w:val="center"/>
                </w:tcPr>
                <w:p w14:paraId="03F57C85">
                  <w:pPr>
                    <w:spacing w:line="360" w:lineRule="auto"/>
                    <w:jc w:val="center"/>
                    <w:rPr>
                      <w:color w:val="auto"/>
                      <w:kern w:val="0"/>
                      <w:szCs w:val="21"/>
                    </w:rPr>
                  </w:pPr>
                  <w:r>
                    <w:rPr>
                      <w:color w:val="auto"/>
                      <w:kern w:val="0"/>
                      <w:szCs w:val="21"/>
                    </w:rPr>
                    <w:t>非正常排放速率/（kg/h）</w:t>
                  </w:r>
                </w:p>
              </w:tc>
              <w:tc>
                <w:tcPr>
                  <w:tcW w:w="546" w:type="pct"/>
                  <w:tcBorders>
                    <w:tl2br w:val="nil"/>
                    <w:tr2bl w:val="nil"/>
                  </w:tcBorders>
                  <w:noWrap/>
                  <w:vAlign w:val="center"/>
                </w:tcPr>
                <w:p w14:paraId="39DD5A85">
                  <w:pPr>
                    <w:spacing w:line="360" w:lineRule="auto"/>
                    <w:jc w:val="center"/>
                    <w:rPr>
                      <w:color w:val="auto"/>
                      <w:kern w:val="0"/>
                      <w:szCs w:val="21"/>
                    </w:rPr>
                  </w:pPr>
                  <w:r>
                    <w:rPr>
                      <w:color w:val="auto"/>
                      <w:kern w:val="0"/>
                      <w:szCs w:val="21"/>
                    </w:rPr>
                    <w:t>单次持续时间/h</w:t>
                  </w:r>
                </w:p>
              </w:tc>
              <w:tc>
                <w:tcPr>
                  <w:tcW w:w="546" w:type="pct"/>
                  <w:tcBorders>
                    <w:tl2br w:val="nil"/>
                    <w:tr2bl w:val="nil"/>
                  </w:tcBorders>
                  <w:noWrap/>
                  <w:vAlign w:val="center"/>
                </w:tcPr>
                <w:p w14:paraId="381C0EAC">
                  <w:pPr>
                    <w:spacing w:line="360" w:lineRule="auto"/>
                    <w:jc w:val="center"/>
                    <w:rPr>
                      <w:color w:val="auto"/>
                      <w:kern w:val="0"/>
                      <w:szCs w:val="21"/>
                    </w:rPr>
                  </w:pPr>
                  <w:r>
                    <w:rPr>
                      <w:color w:val="auto"/>
                      <w:kern w:val="0"/>
                      <w:szCs w:val="21"/>
                    </w:rPr>
                    <w:t>年发生频次/次</w:t>
                  </w:r>
                </w:p>
              </w:tc>
              <w:tc>
                <w:tcPr>
                  <w:tcW w:w="670" w:type="pct"/>
                  <w:tcBorders>
                    <w:tl2br w:val="nil"/>
                    <w:tr2bl w:val="nil"/>
                  </w:tcBorders>
                  <w:noWrap/>
                  <w:vAlign w:val="center"/>
                </w:tcPr>
                <w:p w14:paraId="096EEFD4">
                  <w:pPr>
                    <w:spacing w:line="360" w:lineRule="auto"/>
                    <w:jc w:val="center"/>
                    <w:rPr>
                      <w:color w:val="auto"/>
                      <w:kern w:val="0"/>
                      <w:szCs w:val="21"/>
                    </w:rPr>
                  </w:pPr>
                  <w:r>
                    <w:rPr>
                      <w:color w:val="auto"/>
                      <w:kern w:val="0"/>
                      <w:szCs w:val="21"/>
                    </w:rPr>
                    <w:t>应对</w:t>
                  </w:r>
                </w:p>
                <w:p w14:paraId="5FF65DDA">
                  <w:pPr>
                    <w:spacing w:line="360" w:lineRule="auto"/>
                    <w:jc w:val="center"/>
                    <w:rPr>
                      <w:color w:val="auto"/>
                      <w:kern w:val="0"/>
                      <w:szCs w:val="21"/>
                    </w:rPr>
                  </w:pPr>
                  <w:r>
                    <w:rPr>
                      <w:color w:val="auto"/>
                      <w:kern w:val="0"/>
                      <w:szCs w:val="21"/>
                    </w:rPr>
                    <w:t>措施</w:t>
                  </w:r>
                </w:p>
              </w:tc>
            </w:tr>
            <w:tr w14:paraId="01A8127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252" w:type="pct"/>
                  <w:tcBorders>
                    <w:tl2br w:val="nil"/>
                    <w:tr2bl w:val="nil"/>
                  </w:tcBorders>
                  <w:noWrap/>
                  <w:vAlign w:val="center"/>
                </w:tcPr>
                <w:p w14:paraId="7F35B4EC">
                  <w:pPr>
                    <w:spacing w:line="360" w:lineRule="auto"/>
                    <w:jc w:val="center"/>
                    <w:rPr>
                      <w:color w:val="auto"/>
                      <w:kern w:val="0"/>
                      <w:szCs w:val="21"/>
                    </w:rPr>
                  </w:pPr>
                  <w:r>
                    <w:rPr>
                      <w:rFonts w:hint="eastAsia"/>
                      <w:color w:val="auto"/>
                      <w:kern w:val="0"/>
                      <w:szCs w:val="21"/>
                    </w:rPr>
                    <w:t>1</w:t>
                  </w:r>
                </w:p>
              </w:tc>
              <w:tc>
                <w:tcPr>
                  <w:tcW w:w="470" w:type="pct"/>
                  <w:tcBorders>
                    <w:tl2br w:val="nil"/>
                    <w:tr2bl w:val="nil"/>
                  </w:tcBorders>
                  <w:noWrap/>
                  <w:vAlign w:val="center"/>
                </w:tcPr>
                <w:p w14:paraId="6FCC2C6B">
                  <w:pPr>
                    <w:spacing w:line="360" w:lineRule="auto"/>
                    <w:jc w:val="center"/>
                    <w:rPr>
                      <w:rFonts w:hint="default" w:eastAsia="宋体"/>
                      <w:color w:val="auto"/>
                      <w:kern w:val="0"/>
                      <w:szCs w:val="21"/>
                      <w:lang w:val="en-US" w:eastAsia="zh-CN"/>
                    </w:rPr>
                  </w:pPr>
                  <w:r>
                    <w:rPr>
                      <w:rFonts w:hint="eastAsia"/>
                      <w:color w:val="auto"/>
                      <w:lang w:val="en-US" w:eastAsia="zh-CN"/>
                    </w:rPr>
                    <w:t>供热工程</w:t>
                  </w:r>
                </w:p>
              </w:tc>
              <w:tc>
                <w:tcPr>
                  <w:tcW w:w="651" w:type="pct"/>
                  <w:tcBorders>
                    <w:tl2br w:val="nil"/>
                    <w:tr2bl w:val="nil"/>
                  </w:tcBorders>
                  <w:noWrap/>
                  <w:vAlign w:val="center"/>
                </w:tcPr>
                <w:p w14:paraId="0F311668">
                  <w:pPr>
                    <w:spacing w:line="360" w:lineRule="auto"/>
                    <w:jc w:val="center"/>
                    <w:rPr>
                      <w:color w:val="auto"/>
                      <w:kern w:val="0"/>
                      <w:szCs w:val="21"/>
                    </w:rPr>
                  </w:pPr>
                  <w:r>
                    <w:rPr>
                      <w:rFonts w:hint="eastAsia"/>
                      <w:color w:val="auto"/>
                      <w:kern w:val="0"/>
                      <w:szCs w:val="21"/>
                    </w:rPr>
                    <w:t>布袋除尘器</w:t>
                  </w:r>
                  <w:r>
                    <w:rPr>
                      <w:color w:val="auto"/>
                      <w:kern w:val="0"/>
                      <w:szCs w:val="21"/>
                    </w:rPr>
                    <w:t>布袋破损</w:t>
                  </w:r>
                </w:p>
              </w:tc>
              <w:tc>
                <w:tcPr>
                  <w:tcW w:w="576" w:type="pct"/>
                  <w:tcBorders>
                    <w:tl2br w:val="nil"/>
                    <w:tr2bl w:val="nil"/>
                  </w:tcBorders>
                  <w:noWrap/>
                  <w:vAlign w:val="center"/>
                </w:tcPr>
                <w:p w14:paraId="7B062DDB">
                  <w:pPr>
                    <w:spacing w:line="360" w:lineRule="auto"/>
                    <w:jc w:val="center"/>
                    <w:rPr>
                      <w:color w:val="auto"/>
                      <w:kern w:val="0"/>
                      <w:szCs w:val="21"/>
                    </w:rPr>
                  </w:pPr>
                  <w:r>
                    <w:rPr>
                      <w:color w:val="auto"/>
                    </w:rPr>
                    <w:t>颗粒物</w:t>
                  </w:r>
                </w:p>
              </w:tc>
              <w:tc>
                <w:tcPr>
                  <w:tcW w:w="713" w:type="pct"/>
                  <w:tcBorders>
                    <w:tl2br w:val="nil"/>
                    <w:tr2bl w:val="nil"/>
                  </w:tcBorders>
                  <w:noWrap/>
                  <w:vAlign w:val="center"/>
                </w:tcPr>
                <w:p w14:paraId="04464F15">
                  <w:pPr>
                    <w:spacing w:line="360" w:lineRule="auto"/>
                    <w:jc w:val="center"/>
                    <w:rPr>
                      <w:rFonts w:hint="default" w:eastAsia="宋体"/>
                      <w:color w:val="auto"/>
                      <w:szCs w:val="21"/>
                      <w:lang w:val="en-US" w:eastAsia="zh-CN"/>
                    </w:rPr>
                  </w:pPr>
                  <w:r>
                    <w:rPr>
                      <w:rFonts w:hint="eastAsia"/>
                      <w:color w:val="auto"/>
                      <w:szCs w:val="21"/>
                      <w:lang w:val="en-US" w:eastAsia="zh-CN"/>
                    </w:rPr>
                    <w:t>783</w:t>
                  </w:r>
                </w:p>
              </w:tc>
              <w:tc>
                <w:tcPr>
                  <w:tcW w:w="573" w:type="pct"/>
                  <w:tcBorders>
                    <w:tl2br w:val="nil"/>
                    <w:tr2bl w:val="nil"/>
                  </w:tcBorders>
                  <w:noWrap/>
                  <w:vAlign w:val="center"/>
                </w:tcPr>
                <w:p w14:paraId="16761F10">
                  <w:pPr>
                    <w:pStyle w:val="194"/>
                    <w:spacing w:line="360" w:lineRule="auto"/>
                    <w:rPr>
                      <w:rFonts w:hint="default" w:eastAsia="宋体"/>
                      <w:color w:val="auto"/>
                      <w:kern w:val="0"/>
                      <w:szCs w:val="21"/>
                      <w:lang w:val="en-US" w:eastAsia="zh-CN"/>
                    </w:rPr>
                  </w:pPr>
                  <w:r>
                    <w:rPr>
                      <w:rFonts w:hint="eastAsia"/>
                      <w:color w:val="auto"/>
                      <w:kern w:val="0"/>
                      <w:szCs w:val="21"/>
                      <w:lang w:val="en-US" w:eastAsia="zh-CN"/>
                    </w:rPr>
                    <w:t>3.07</w:t>
                  </w:r>
                </w:p>
              </w:tc>
              <w:tc>
                <w:tcPr>
                  <w:tcW w:w="546" w:type="pct"/>
                  <w:tcBorders>
                    <w:tl2br w:val="nil"/>
                    <w:tr2bl w:val="nil"/>
                  </w:tcBorders>
                  <w:noWrap/>
                  <w:vAlign w:val="center"/>
                </w:tcPr>
                <w:p w14:paraId="2C37E627">
                  <w:pPr>
                    <w:pStyle w:val="194"/>
                    <w:spacing w:line="360" w:lineRule="auto"/>
                    <w:rPr>
                      <w:color w:val="auto"/>
                      <w:kern w:val="0"/>
                      <w:szCs w:val="21"/>
                    </w:rPr>
                  </w:pPr>
                  <w:r>
                    <w:rPr>
                      <w:color w:val="auto"/>
                      <w:kern w:val="0"/>
                      <w:szCs w:val="21"/>
                    </w:rPr>
                    <w:t>1h</w:t>
                  </w:r>
                </w:p>
              </w:tc>
              <w:tc>
                <w:tcPr>
                  <w:tcW w:w="546" w:type="pct"/>
                  <w:tcBorders>
                    <w:tl2br w:val="nil"/>
                    <w:tr2bl w:val="nil"/>
                  </w:tcBorders>
                  <w:noWrap/>
                  <w:vAlign w:val="center"/>
                </w:tcPr>
                <w:p w14:paraId="6183FDBD">
                  <w:pPr>
                    <w:spacing w:line="360" w:lineRule="auto"/>
                    <w:jc w:val="center"/>
                    <w:rPr>
                      <w:color w:val="auto"/>
                      <w:kern w:val="0"/>
                      <w:szCs w:val="21"/>
                    </w:rPr>
                  </w:pPr>
                  <w:r>
                    <w:rPr>
                      <w:color w:val="auto"/>
                    </w:rPr>
                    <w:t>1</w:t>
                  </w:r>
                  <w:r>
                    <w:rPr>
                      <w:rFonts w:hint="eastAsia"/>
                      <w:color w:val="auto"/>
                    </w:rPr>
                    <w:t>次</w:t>
                  </w:r>
                </w:p>
              </w:tc>
              <w:tc>
                <w:tcPr>
                  <w:tcW w:w="670" w:type="pct"/>
                  <w:tcBorders>
                    <w:tl2br w:val="nil"/>
                    <w:tr2bl w:val="nil"/>
                  </w:tcBorders>
                  <w:noWrap/>
                  <w:vAlign w:val="center"/>
                </w:tcPr>
                <w:p w14:paraId="351DB734">
                  <w:pPr>
                    <w:spacing w:line="360" w:lineRule="auto"/>
                    <w:jc w:val="center"/>
                    <w:rPr>
                      <w:color w:val="auto"/>
                      <w:kern w:val="0"/>
                      <w:szCs w:val="21"/>
                    </w:rPr>
                  </w:pPr>
                  <w:r>
                    <w:rPr>
                      <w:color w:val="auto"/>
                      <w:kern w:val="0"/>
                      <w:szCs w:val="21"/>
                    </w:rPr>
                    <w:t>停止生产及时检修</w:t>
                  </w:r>
                </w:p>
              </w:tc>
            </w:tr>
          </w:tbl>
          <w:p w14:paraId="344FCE24">
            <w:pPr>
              <w:numPr>
                <w:ilvl w:val="0"/>
                <w:numId w:val="4"/>
              </w:numPr>
              <w:tabs>
                <w:tab w:val="left" w:pos="1291"/>
              </w:tabs>
              <w:spacing w:line="360" w:lineRule="auto"/>
              <w:ind w:firstLine="480" w:firstLineChars="200"/>
              <w:jc w:val="left"/>
              <w:rPr>
                <w:bCs/>
                <w:color w:val="auto"/>
                <w:sz w:val="24"/>
              </w:rPr>
            </w:pPr>
            <w:r>
              <w:rPr>
                <w:rFonts w:hint="eastAsia"/>
                <w:bCs/>
                <w:color w:val="auto"/>
                <w:sz w:val="24"/>
              </w:rPr>
              <w:t>环保措施可行性</w:t>
            </w:r>
            <w:r>
              <w:rPr>
                <w:bCs/>
                <w:color w:val="auto"/>
                <w:sz w:val="24"/>
              </w:rPr>
              <w:t>及</w:t>
            </w:r>
            <w:r>
              <w:rPr>
                <w:rFonts w:hint="eastAsia"/>
                <w:bCs/>
                <w:color w:val="auto"/>
                <w:sz w:val="24"/>
              </w:rPr>
              <w:t>排气筒设置可行性</w:t>
            </w:r>
            <w:r>
              <w:rPr>
                <w:bCs/>
                <w:color w:val="auto"/>
                <w:sz w:val="24"/>
              </w:rPr>
              <w:t>分析</w:t>
            </w:r>
          </w:p>
          <w:p w14:paraId="217481FD">
            <w:pPr>
              <w:keepNext w:val="0"/>
              <w:keepLines w:val="0"/>
              <w:pageBreakBefore w:val="0"/>
              <w:numPr>
                <w:ilvl w:val="0"/>
                <w:numId w:val="0"/>
              </w:numPr>
              <w:suppressLineNumbers w:val="0"/>
              <w:tabs>
                <w:tab w:val="left" w:pos="1291"/>
              </w:tabs>
              <w:wordWrap/>
              <w:topLinePunct w:val="0"/>
              <w:bidi w:val="0"/>
              <w:spacing w:before="0" w:beforeAutospacing="0" w:after="0" w:afterAutospacing="0" w:line="360" w:lineRule="auto"/>
              <w:ind w:left="0" w:leftChars="0" w:right="0" w:rightChars="0" w:firstLine="480" w:firstLineChars="200"/>
              <w:jc w:val="left"/>
              <w:rPr>
                <w:rFonts w:hint="eastAsia"/>
                <w:bCs/>
                <w:color w:val="auto"/>
                <w:sz w:val="24"/>
                <w:highlight w:val="none"/>
                <w:lang w:eastAsia="zh-CN"/>
              </w:rPr>
            </w:pPr>
            <w:r>
              <w:rPr>
                <w:rFonts w:hint="eastAsia"/>
                <w:bCs/>
                <w:color w:val="auto"/>
                <w:sz w:val="24"/>
              </w:rPr>
              <w:t>（1）</w:t>
            </w:r>
            <w:r>
              <w:rPr>
                <w:rFonts w:hint="eastAsia"/>
                <w:bCs/>
                <w:color w:val="auto"/>
                <w:sz w:val="24"/>
                <w:highlight w:val="none"/>
                <w:lang w:eastAsia="zh-CN"/>
              </w:rPr>
              <w:t>环保措施可行性分析</w:t>
            </w:r>
          </w:p>
          <w:p w14:paraId="1C295AEF">
            <w:pPr>
              <w:keepNext w:val="0"/>
              <w:keepLines w:val="0"/>
              <w:pageBreakBefore w:val="0"/>
              <w:numPr>
                <w:ilvl w:val="0"/>
                <w:numId w:val="0"/>
              </w:numPr>
              <w:suppressLineNumbers w:val="0"/>
              <w:tabs>
                <w:tab w:val="left" w:pos="1291"/>
              </w:tabs>
              <w:wordWrap/>
              <w:topLinePunct w:val="0"/>
              <w:bidi w:val="0"/>
              <w:spacing w:before="0" w:beforeAutospacing="0" w:after="0" w:afterAutospacing="0" w:line="360" w:lineRule="auto"/>
              <w:ind w:left="0" w:leftChars="0" w:right="0" w:rightChars="0" w:firstLine="480" w:firstLineChars="200"/>
              <w:jc w:val="left"/>
              <w:rPr>
                <w:rFonts w:hint="eastAsia" w:ascii="Times New Roman" w:hAnsi="Times New Roman" w:eastAsia="宋体" w:cs="Times New Roman"/>
                <w:color w:val="auto"/>
                <w:kern w:val="0"/>
                <w:sz w:val="24"/>
                <w:szCs w:val="24"/>
                <w:highlight w:val="none"/>
                <w:lang w:val="en-US" w:eastAsia="zh-CN" w:bidi="ar-SA"/>
              </w:rPr>
            </w:pPr>
            <w:r>
              <w:rPr>
                <w:rFonts w:hint="eastAsia"/>
                <w:bCs/>
                <w:color w:val="auto"/>
                <w:sz w:val="24"/>
                <w:highlight w:val="none"/>
                <w:lang w:eastAsia="zh-CN"/>
              </w:rPr>
              <w:t>本项目</w:t>
            </w:r>
            <w:r>
              <w:rPr>
                <w:rFonts w:hint="eastAsia"/>
                <w:color w:val="auto"/>
                <w:spacing w:val="4"/>
                <w:sz w:val="24"/>
                <w:lang w:val="en-US" w:eastAsia="zh-CN"/>
              </w:rPr>
              <w:t>燃生物质</w:t>
            </w:r>
            <w:r>
              <w:rPr>
                <w:rFonts w:hint="eastAsia"/>
                <w:color w:val="auto"/>
                <w:spacing w:val="4"/>
                <w:sz w:val="24"/>
              </w:rPr>
              <w:t>导热油炉</w:t>
            </w:r>
            <w:r>
              <w:rPr>
                <w:rFonts w:hint="eastAsia"/>
                <w:bCs/>
                <w:color w:val="auto"/>
                <w:sz w:val="24"/>
                <w:highlight w:val="none"/>
                <w:lang w:eastAsia="zh-CN"/>
              </w:rPr>
              <w:t>会产生颗粒物，</w:t>
            </w:r>
            <w:r>
              <w:rPr>
                <w:rFonts w:hint="eastAsia"/>
                <w:bCs/>
                <w:color w:val="auto"/>
                <w:sz w:val="24"/>
                <w:highlight w:val="none"/>
                <w:lang w:val="en-US" w:eastAsia="zh-CN"/>
              </w:rPr>
              <w:t>锅炉烟气采用旋风除尘+</w:t>
            </w:r>
            <w:r>
              <w:rPr>
                <w:rFonts w:hint="eastAsia"/>
                <w:bCs/>
                <w:color w:val="auto"/>
                <w:sz w:val="24"/>
                <w:highlight w:val="none"/>
                <w:lang w:eastAsia="zh-CN"/>
              </w:rPr>
              <w:t>布袋除尘器处理，</w:t>
            </w:r>
            <w:r>
              <w:rPr>
                <w:rFonts w:hint="eastAsia"/>
                <w:bCs/>
                <w:color w:val="auto"/>
                <w:sz w:val="24"/>
                <w:highlight w:val="none"/>
                <w:lang w:val="en-US" w:eastAsia="zh-CN"/>
              </w:rPr>
              <w:t>处理后</w:t>
            </w:r>
            <w:r>
              <w:rPr>
                <w:rFonts w:hint="eastAsia"/>
                <w:bCs/>
                <w:color w:val="auto"/>
                <w:sz w:val="24"/>
                <w:highlight w:val="none"/>
                <w:lang w:eastAsia="zh-CN"/>
              </w:rPr>
              <w:t>后通过</w:t>
            </w:r>
            <w:r>
              <w:rPr>
                <w:rFonts w:hint="eastAsia"/>
                <w:bCs/>
                <w:color w:val="auto"/>
                <w:sz w:val="24"/>
                <w:highlight w:val="none"/>
                <w:lang w:val="en-US" w:eastAsia="zh-CN"/>
              </w:rPr>
              <w:t>30m高排气筒</w:t>
            </w:r>
            <w:r>
              <w:rPr>
                <w:rFonts w:hint="eastAsia" w:cs="Times New Roman"/>
                <w:color w:val="auto"/>
                <w:kern w:val="0"/>
                <w:sz w:val="24"/>
                <w:szCs w:val="24"/>
                <w:highlight w:val="none"/>
                <w:lang w:val="en-US" w:eastAsia="zh-CN" w:bidi="ar-SA"/>
              </w:rPr>
              <w:t>（DA001）</w:t>
            </w:r>
            <w:r>
              <w:rPr>
                <w:rFonts w:hint="eastAsia"/>
                <w:bCs/>
                <w:color w:val="auto"/>
                <w:sz w:val="24"/>
                <w:highlight w:val="none"/>
                <w:lang w:val="en-US" w:eastAsia="zh-CN"/>
              </w:rPr>
              <w:t>排放</w:t>
            </w:r>
            <w:r>
              <w:rPr>
                <w:rFonts w:hint="eastAsia"/>
                <w:bCs/>
                <w:color w:val="auto"/>
                <w:sz w:val="24"/>
                <w:highlight w:val="none"/>
                <w:lang w:eastAsia="zh-CN"/>
              </w:rPr>
              <w:t>。根</w:t>
            </w:r>
            <w:r>
              <w:rPr>
                <w:rFonts w:hint="eastAsia" w:ascii="Times New Roman" w:hAnsi="Times New Roman" w:eastAsia="宋体" w:cs="Times New Roman"/>
                <w:bCs/>
                <w:color w:val="auto"/>
                <w:sz w:val="24"/>
                <w:highlight w:val="none"/>
                <w:lang w:eastAsia="zh-CN"/>
              </w:rPr>
              <w:t>据《排污许可证申请与核发技术规范 锅炉》（HJ953—2018）</w:t>
            </w:r>
            <w:r>
              <w:rPr>
                <w:rFonts w:hint="eastAsia" w:cs="Times New Roman"/>
                <w:bCs/>
                <w:color w:val="auto"/>
                <w:sz w:val="24"/>
                <w:highlight w:val="none"/>
                <w:lang w:eastAsia="zh-CN"/>
              </w:rPr>
              <w:t>“表7 锅炉烟气污染防治可行技术”</w:t>
            </w:r>
            <w:r>
              <w:rPr>
                <w:rFonts w:hint="eastAsia" w:ascii="Times New Roman" w:hAnsi="Times New Roman" w:eastAsia="宋体" w:cs="Times New Roman"/>
                <w:bCs/>
                <w:color w:val="auto"/>
                <w:sz w:val="24"/>
                <w:highlight w:val="none"/>
                <w:lang w:eastAsia="zh-CN"/>
              </w:rPr>
              <w:t>中对可行性技术的要求</w:t>
            </w:r>
            <w:r>
              <w:rPr>
                <w:rFonts w:hint="eastAsia"/>
                <w:bCs/>
                <w:color w:val="auto"/>
                <w:sz w:val="24"/>
                <w:highlight w:val="none"/>
                <w:lang w:eastAsia="zh-CN"/>
              </w:rPr>
              <w:t>，本项目采取</w:t>
            </w:r>
            <w:r>
              <w:rPr>
                <w:rFonts w:hint="eastAsia"/>
                <w:bCs/>
                <w:color w:val="auto"/>
                <w:sz w:val="24"/>
                <w:highlight w:val="none"/>
                <w:lang w:val="en-US" w:eastAsia="zh-CN"/>
              </w:rPr>
              <w:t>旋风除尘+</w:t>
            </w:r>
            <w:r>
              <w:rPr>
                <w:rFonts w:hint="eastAsia"/>
                <w:bCs/>
                <w:color w:val="auto"/>
                <w:sz w:val="24"/>
                <w:highlight w:val="none"/>
                <w:lang w:eastAsia="zh-CN"/>
              </w:rPr>
              <w:t>布袋除尘器处理是可行的。</w:t>
            </w:r>
          </w:p>
          <w:p w14:paraId="30E31F02">
            <w:pPr>
              <w:keepNext w:val="0"/>
              <w:keepLines w:val="0"/>
              <w:pageBreakBefore w:val="0"/>
              <w:numPr>
                <w:ilvl w:val="0"/>
                <w:numId w:val="0"/>
              </w:numPr>
              <w:suppressLineNumbers w:val="0"/>
              <w:tabs>
                <w:tab w:val="left" w:pos="1291"/>
              </w:tabs>
              <w:wordWrap/>
              <w:topLinePunct w:val="0"/>
              <w:bidi w:val="0"/>
              <w:spacing w:before="0" w:beforeAutospacing="0" w:after="0" w:afterAutospacing="0" w:line="360" w:lineRule="auto"/>
              <w:ind w:left="0" w:leftChars="0" w:right="0" w:rightChars="0" w:firstLine="480" w:firstLineChars="200"/>
              <w:jc w:val="left"/>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（2）排气筒高度设置合理性分析</w:t>
            </w:r>
          </w:p>
          <w:p w14:paraId="1A9BE258">
            <w:pPr>
              <w:keepNext w:val="0"/>
              <w:keepLines w:val="0"/>
              <w:pageBreakBefore w:val="0"/>
              <w:suppressLineNumbers w:val="0"/>
              <w:kinsoku w:val="0"/>
              <w:wordWrap/>
              <w:overflowPunct w:val="0"/>
              <w:topLinePunct w:val="0"/>
              <w:autoSpaceDE w:val="0"/>
              <w:autoSpaceDN w:val="0"/>
              <w:bidi w:val="0"/>
              <w:spacing w:before="0" w:beforeAutospacing="0" w:after="0" w:afterAutospacing="0" w:line="360" w:lineRule="auto"/>
              <w:ind w:left="0" w:leftChars="0" w:right="0" w:rightChars="0" w:firstLine="480" w:firstLineChars="200"/>
              <w:rPr>
                <w:color w:val="auto"/>
                <w:sz w:val="24"/>
              </w:rPr>
            </w:pPr>
            <w:r>
              <w:rPr>
                <w:rFonts w:hint="eastAsia" w:cs="Times New Roman"/>
                <w:color w:val="auto"/>
                <w:sz w:val="24"/>
                <w:szCs w:val="24"/>
                <w:highlight w:val="none"/>
                <w:lang w:val="en-US" w:eastAsia="zh-CN"/>
              </w:rPr>
              <w:t>本项目一台</w:t>
            </w:r>
            <w:r>
              <w:rPr>
                <w:rFonts w:hint="eastAsia"/>
                <w:color w:val="auto"/>
                <w:spacing w:val="4"/>
                <w:sz w:val="24"/>
                <w:lang w:val="en-US" w:eastAsia="zh-CN"/>
              </w:rPr>
              <w:t>1800KW燃生物质</w:t>
            </w:r>
            <w:r>
              <w:rPr>
                <w:rFonts w:hint="eastAsia"/>
                <w:color w:val="auto"/>
                <w:spacing w:val="4"/>
                <w:sz w:val="24"/>
              </w:rPr>
              <w:t>导热油炉</w:t>
            </w:r>
            <w:r>
              <w:rPr>
                <w:rFonts w:hint="eastAsia" w:cs="Times New Roman"/>
                <w:color w:val="auto"/>
                <w:sz w:val="24"/>
                <w:szCs w:val="24"/>
                <w:highlight w:val="none"/>
                <w:lang w:val="en-US" w:eastAsia="zh-CN"/>
              </w:rPr>
              <w:t>，</w:t>
            </w:r>
            <w:r>
              <w:rPr>
                <w:rFonts w:hint="eastAsia"/>
                <w:color w:val="auto"/>
                <w:sz w:val="24"/>
                <w:szCs w:val="24"/>
                <w:highlight w:val="none"/>
                <w:lang w:val="en-US" w:eastAsia="zh-CN"/>
              </w:rPr>
              <w:t>根据</w:t>
            </w:r>
            <w:r>
              <w:rPr>
                <w:rFonts w:hint="eastAsia" w:ascii="Times New Roman" w:hAnsi="Times New Roman" w:eastAsia="宋体" w:cs="Times New Roman"/>
                <w:color w:val="auto"/>
                <w:sz w:val="24"/>
                <w:szCs w:val="24"/>
                <w:highlight w:val="none"/>
                <w:lang w:val="en-US" w:eastAsia="zh-CN"/>
              </w:rPr>
              <w:t>《锅炉大气污染物排放标准》（GB13271-2014）</w:t>
            </w:r>
            <w:r>
              <w:rPr>
                <w:rFonts w:hint="eastAsia" w:cs="Times New Roman"/>
                <w:color w:val="auto"/>
                <w:sz w:val="24"/>
                <w:szCs w:val="24"/>
                <w:highlight w:val="none"/>
                <w:lang w:val="en-US" w:eastAsia="zh-CN"/>
              </w:rPr>
              <w:t>表4中锅炉房最低允许高度，排气筒最低允许高度为30m，</w:t>
            </w:r>
            <w:r>
              <w:rPr>
                <w:rFonts w:hint="eastAsia" w:ascii="Times New Roman" w:hAnsi="Times New Roman" w:eastAsia="宋体" w:cs="Times New Roman"/>
                <w:color w:val="auto"/>
                <w:sz w:val="24"/>
                <w:szCs w:val="24"/>
                <w:highlight w:val="none"/>
                <w:lang w:val="en-US" w:eastAsia="zh-CN"/>
              </w:rPr>
              <w:t>“4.5 新建锅炉房的</w:t>
            </w:r>
            <w:r>
              <w:rPr>
                <w:rFonts w:hint="eastAsia" w:cs="Times New Roman"/>
                <w:color w:val="auto"/>
                <w:sz w:val="24"/>
                <w:szCs w:val="24"/>
                <w:highlight w:val="none"/>
                <w:lang w:val="en-US" w:eastAsia="zh-CN"/>
              </w:rPr>
              <w:t>排气筒</w:t>
            </w:r>
            <w:r>
              <w:rPr>
                <w:rFonts w:hint="eastAsia" w:ascii="Times New Roman" w:hAnsi="Times New Roman" w:eastAsia="宋体" w:cs="Times New Roman"/>
                <w:color w:val="auto"/>
                <w:sz w:val="24"/>
                <w:szCs w:val="24"/>
                <w:highlight w:val="none"/>
                <w:lang w:val="en-US" w:eastAsia="zh-CN"/>
              </w:rPr>
              <w:t>周围半径200m距离内有建筑物时，其</w:t>
            </w:r>
            <w:r>
              <w:rPr>
                <w:rFonts w:hint="eastAsia" w:cs="Times New Roman"/>
                <w:color w:val="auto"/>
                <w:sz w:val="24"/>
                <w:szCs w:val="24"/>
                <w:highlight w:val="none"/>
                <w:lang w:val="en-US" w:eastAsia="zh-CN"/>
              </w:rPr>
              <w:t>排气筒</w:t>
            </w:r>
            <w:r>
              <w:rPr>
                <w:rFonts w:hint="eastAsia" w:ascii="Times New Roman" w:hAnsi="Times New Roman" w:eastAsia="宋体" w:cs="Times New Roman"/>
                <w:color w:val="auto"/>
                <w:sz w:val="24"/>
                <w:szCs w:val="24"/>
                <w:highlight w:val="none"/>
                <w:lang w:val="en-US" w:eastAsia="zh-CN"/>
              </w:rPr>
              <w:t>应高出最高建筑物3m以上”，</w:t>
            </w:r>
            <w:r>
              <w:rPr>
                <w:rFonts w:hint="eastAsia" w:cs="Times New Roman"/>
                <w:color w:val="auto"/>
                <w:sz w:val="24"/>
                <w:szCs w:val="24"/>
                <w:highlight w:val="none"/>
                <w:lang w:val="en-US" w:eastAsia="zh-CN"/>
              </w:rPr>
              <w:t>项目周围半径200m范围内最高建筑物7.5m，</w:t>
            </w:r>
            <w:r>
              <w:rPr>
                <w:rFonts w:hint="eastAsia" w:ascii="Times New Roman" w:hAnsi="Times New Roman" w:eastAsia="宋体" w:cs="Times New Roman"/>
                <w:color w:val="auto"/>
                <w:sz w:val="24"/>
                <w:szCs w:val="24"/>
                <w:highlight w:val="none"/>
                <w:lang w:val="en-US" w:eastAsia="zh-CN"/>
              </w:rPr>
              <w:t>本项目锅炉房</w:t>
            </w:r>
            <w:r>
              <w:rPr>
                <w:rFonts w:hint="eastAsia" w:cs="Times New Roman"/>
                <w:color w:val="auto"/>
                <w:sz w:val="24"/>
                <w:szCs w:val="24"/>
                <w:highlight w:val="none"/>
                <w:lang w:val="en-US" w:eastAsia="zh-CN"/>
              </w:rPr>
              <w:t>排气筒</w:t>
            </w:r>
            <w:r>
              <w:rPr>
                <w:rFonts w:hint="eastAsia" w:cs="Times New Roman"/>
                <w:color w:val="auto"/>
                <w:kern w:val="0"/>
                <w:sz w:val="24"/>
                <w:szCs w:val="24"/>
                <w:highlight w:val="none"/>
                <w:lang w:val="en-US" w:eastAsia="zh-CN" w:bidi="ar-SA"/>
              </w:rPr>
              <w:t>（DA001）</w:t>
            </w:r>
            <w:r>
              <w:rPr>
                <w:rFonts w:hint="eastAsia" w:ascii="Times New Roman" w:hAnsi="Times New Roman" w:eastAsia="宋体" w:cs="Times New Roman"/>
                <w:color w:val="auto"/>
                <w:sz w:val="24"/>
                <w:szCs w:val="24"/>
                <w:highlight w:val="none"/>
                <w:lang w:val="en-US" w:eastAsia="zh-CN"/>
              </w:rPr>
              <w:t>高</w:t>
            </w:r>
            <w:r>
              <w:rPr>
                <w:rFonts w:hint="eastAsia" w:cs="Times New Roman"/>
                <w:color w:val="auto"/>
                <w:sz w:val="24"/>
                <w:szCs w:val="24"/>
                <w:highlight w:val="none"/>
                <w:lang w:val="en-US" w:eastAsia="zh-CN"/>
              </w:rPr>
              <w:t>30</w:t>
            </w:r>
            <w:r>
              <w:rPr>
                <w:rFonts w:hint="eastAsia" w:ascii="Times New Roman" w:hAnsi="Times New Roman" w:eastAsia="宋体" w:cs="Times New Roman"/>
                <w:color w:val="auto"/>
                <w:sz w:val="24"/>
                <w:szCs w:val="24"/>
                <w:highlight w:val="none"/>
                <w:lang w:val="en-US" w:eastAsia="zh-CN"/>
              </w:rPr>
              <w:t>m符合《锅炉大气污染物排放标准》（GB13271-2014）</w:t>
            </w:r>
            <w:r>
              <w:rPr>
                <w:rFonts w:hint="eastAsia"/>
                <w:color w:val="auto"/>
                <w:sz w:val="24"/>
                <w:szCs w:val="24"/>
                <w:highlight w:val="none"/>
                <w:lang w:val="en-US" w:eastAsia="zh-CN"/>
              </w:rPr>
              <w:t>最低允许高度的要求。</w:t>
            </w:r>
          </w:p>
          <w:p w14:paraId="3488BF71">
            <w:pPr>
              <w:tabs>
                <w:tab w:val="left" w:pos="1291"/>
              </w:tabs>
              <w:spacing w:line="360" w:lineRule="auto"/>
              <w:ind w:firstLine="480" w:firstLineChars="200"/>
              <w:jc w:val="left"/>
              <w:rPr>
                <w:rFonts w:eastAsiaTheme="minorEastAsia"/>
                <w:color w:val="auto"/>
                <w:sz w:val="24"/>
                <w:szCs w:val="28"/>
              </w:rPr>
            </w:pPr>
            <w:r>
              <w:rPr>
                <w:rFonts w:hint="eastAsia" w:eastAsiaTheme="minorEastAsia"/>
                <w:color w:val="auto"/>
                <w:sz w:val="24"/>
                <w:szCs w:val="28"/>
              </w:rPr>
              <w:t>（3）</w:t>
            </w:r>
            <w:r>
              <w:rPr>
                <w:rFonts w:eastAsiaTheme="minorEastAsia"/>
                <w:color w:val="auto"/>
                <w:sz w:val="24"/>
                <w:szCs w:val="28"/>
              </w:rPr>
              <w:t>排放口基本情况</w:t>
            </w:r>
          </w:p>
          <w:p w14:paraId="41C9BA1E">
            <w:pPr>
              <w:pStyle w:val="47"/>
              <w:spacing w:line="360" w:lineRule="auto"/>
              <w:ind w:firstLine="480" w:firstLineChars="200"/>
              <w:jc w:val="left"/>
              <w:rPr>
                <w:rFonts w:ascii="Times New Roman" w:hAnsi="Times New Roman" w:cs="Times New Roman" w:eastAsiaTheme="minorEastAsia"/>
                <w:b/>
                <w:bCs/>
                <w:color w:val="auto"/>
                <w:kern w:val="2"/>
                <w:sz w:val="21"/>
              </w:rPr>
            </w:pPr>
            <w:r>
              <w:rPr>
                <w:rFonts w:ascii="Times New Roman" w:hAnsi="Times New Roman" w:cs="Times New Roman" w:eastAsiaTheme="minorEastAsia"/>
                <w:color w:val="auto"/>
              </w:rPr>
              <w:t>废气产排污节点、污染物及污染治理设施信息</w:t>
            </w:r>
            <w:r>
              <w:rPr>
                <w:rFonts w:hint="eastAsia" w:ascii="Times New Roman" w:hAnsi="Times New Roman" w:cs="Times New Roman" w:eastAsiaTheme="minorEastAsia"/>
                <w:color w:val="auto"/>
              </w:rPr>
              <w:t>，</w:t>
            </w:r>
            <w:r>
              <w:rPr>
                <w:rFonts w:ascii="Times New Roman" w:hAnsi="Times New Roman" w:cs="Times New Roman" w:eastAsiaTheme="minorEastAsia"/>
                <w:color w:val="auto"/>
              </w:rPr>
              <w:t>大气排放口基本情况</w:t>
            </w:r>
            <w:r>
              <w:rPr>
                <w:rFonts w:hint="eastAsia" w:ascii="Times New Roman" w:hAnsi="Times New Roman" w:cs="Times New Roman" w:eastAsiaTheme="minorEastAsia"/>
                <w:color w:val="auto"/>
              </w:rPr>
              <w:t>见表4-</w:t>
            </w:r>
            <w:r>
              <w:rPr>
                <w:rFonts w:hint="eastAsia" w:ascii="Times New Roman" w:hAnsi="Times New Roman" w:cs="Times New Roman" w:eastAsiaTheme="minorEastAsia"/>
                <w:color w:val="auto"/>
                <w:lang w:val="en-US" w:eastAsia="zh-CN"/>
              </w:rPr>
              <w:t>5</w:t>
            </w:r>
            <w:r>
              <w:rPr>
                <w:rFonts w:ascii="Times New Roman" w:hAnsi="Times New Roman" w:cs="Times New Roman" w:eastAsiaTheme="minorEastAsia"/>
                <w:color w:val="auto"/>
              </w:rPr>
              <w:t>。</w:t>
            </w:r>
          </w:p>
          <w:p w14:paraId="07E05C87">
            <w:pPr>
              <w:kinsoku w:val="0"/>
              <w:overflowPunct w:val="0"/>
              <w:autoSpaceDE w:val="0"/>
              <w:autoSpaceDN w:val="0"/>
              <w:snapToGrid w:val="0"/>
              <w:ind w:firstLine="422" w:firstLineChars="200"/>
              <w:jc w:val="center"/>
              <w:rPr>
                <w:rFonts w:eastAsiaTheme="minorEastAsia"/>
                <w:b/>
                <w:bCs/>
                <w:color w:val="auto"/>
              </w:rPr>
            </w:pPr>
            <w:r>
              <w:rPr>
                <w:rFonts w:eastAsiaTheme="minorEastAsia"/>
                <w:b/>
                <w:bCs/>
                <w:color w:val="auto"/>
              </w:rPr>
              <w:t>表4-</w:t>
            </w:r>
            <w:r>
              <w:rPr>
                <w:rFonts w:hint="eastAsia" w:eastAsiaTheme="minorEastAsia"/>
                <w:b/>
                <w:bCs/>
                <w:color w:val="auto"/>
                <w:lang w:val="en-US" w:eastAsia="zh-CN"/>
              </w:rPr>
              <w:t>5</w:t>
            </w:r>
            <w:r>
              <w:rPr>
                <w:rFonts w:hint="eastAsia" w:eastAsiaTheme="minorEastAsia"/>
                <w:b/>
                <w:bCs/>
                <w:color w:val="auto"/>
              </w:rPr>
              <w:t xml:space="preserve">  </w:t>
            </w:r>
            <w:r>
              <w:rPr>
                <w:rFonts w:eastAsiaTheme="minorEastAsia"/>
                <w:b/>
                <w:bCs/>
                <w:color w:val="auto"/>
              </w:rPr>
              <w:t>大气排放口基本情况表</w:t>
            </w:r>
          </w:p>
          <w:tbl>
            <w:tblPr>
              <w:tblStyle w:val="39"/>
              <w:tblW w:w="4995"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427"/>
              <w:gridCol w:w="684"/>
              <w:gridCol w:w="687"/>
              <w:gridCol w:w="1238"/>
              <w:gridCol w:w="1369"/>
              <w:gridCol w:w="1377"/>
              <w:gridCol w:w="669"/>
              <w:gridCol w:w="888"/>
              <w:gridCol w:w="834"/>
            </w:tblGrid>
            <w:tr w14:paraId="58E2853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blHeader/>
                <w:jc w:val="center"/>
              </w:trPr>
              <w:tc>
                <w:tcPr>
                  <w:tcW w:w="261" w:type="pct"/>
                  <w:vMerge w:val="restart"/>
                  <w:noWrap/>
                  <w:vAlign w:val="center"/>
                </w:tcPr>
                <w:p w14:paraId="599962F1">
                  <w:pPr>
                    <w:pStyle w:val="195"/>
                    <w:kinsoku w:val="0"/>
                    <w:overflowPunct w:val="0"/>
                    <w:autoSpaceDE w:val="0"/>
                    <w:autoSpaceDN w:val="0"/>
                    <w:spacing w:line="360" w:lineRule="auto"/>
                    <w:jc w:val="center"/>
                    <w:rPr>
                      <w:rFonts w:ascii="Times New Roman" w:hAnsi="Times New Roman" w:eastAsiaTheme="minorEastAsia"/>
                      <w:color w:val="auto"/>
                      <w:szCs w:val="21"/>
                    </w:rPr>
                  </w:pPr>
                  <w:r>
                    <w:rPr>
                      <w:rFonts w:ascii="Times New Roman" w:hAnsi="Times New Roman" w:eastAsiaTheme="minorEastAsia"/>
                      <w:color w:val="auto"/>
                      <w:szCs w:val="21"/>
                    </w:rPr>
                    <w:t>序号</w:t>
                  </w:r>
                </w:p>
              </w:tc>
              <w:tc>
                <w:tcPr>
                  <w:tcW w:w="418" w:type="pct"/>
                  <w:vMerge w:val="restart"/>
                  <w:noWrap/>
                  <w:vAlign w:val="center"/>
                </w:tcPr>
                <w:p w14:paraId="5FDAC9CB">
                  <w:pPr>
                    <w:pStyle w:val="195"/>
                    <w:kinsoku w:val="0"/>
                    <w:overflowPunct w:val="0"/>
                    <w:autoSpaceDE w:val="0"/>
                    <w:autoSpaceDN w:val="0"/>
                    <w:spacing w:line="360" w:lineRule="auto"/>
                    <w:jc w:val="center"/>
                    <w:rPr>
                      <w:rFonts w:ascii="Times New Roman" w:hAnsi="Times New Roman" w:eastAsiaTheme="minorEastAsia"/>
                      <w:color w:val="auto"/>
                      <w:szCs w:val="21"/>
                    </w:rPr>
                  </w:pPr>
                  <w:r>
                    <w:rPr>
                      <w:rFonts w:ascii="Times New Roman" w:hAnsi="Times New Roman" w:eastAsiaTheme="minorEastAsia"/>
                      <w:color w:val="auto"/>
                      <w:szCs w:val="21"/>
                    </w:rPr>
                    <w:t>排放口编号</w:t>
                  </w:r>
                </w:p>
              </w:tc>
              <w:tc>
                <w:tcPr>
                  <w:tcW w:w="420" w:type="pct"/>
                  <w:vMerge w:val="restart"/>
                  <w:noWrap/>
                  <w:vAlign w:val="center"/>
                </w:tcPr>
                <w:p w14:paraId="19CCDC0B">
                  <w:pPr>
                    <w:pStyle w:val="195"/>
                    <w:kinsoku w:val="0"/>
                    <w:overflowPunct w:val="0"/>
                    <w:autoSpaceDE w:val="0"/>
                    <w:autoSpaceDN w:val="0"/>
                    <w:spacing w:line="360" w:lineRule="auto"/>
                    <w:jc w:val="center"/>
                    <w:rPr>
                      <w:rFonts w:ascii="Times New Roman" w:hAnsi="Times New Roman" w:eastAsiaTheme="minorEastAsia"/>
                      <w:color w:val="auto"/>
                      <w:szCs w:val="21"/>
                    </w:rPr>
                  </w:pPr>
                  <w:r>
                    <w:rPr>
                      <w:rFonts w:ascii="Times New Roman" w:hAnsi="Times New Roman" w:eastAsiaTheme="minorEastAsia"/>
                      <w:color w:val="auto"/>
                      <w:szCs w:val="21"/>
                    </w:rPr>
                    <w:t>排放口名称</w:t>
                  </w:r>
                </w:p>
              </w:tc>
              <w:tc>
                <w:tcPr>
                  <w:tcW w:w="757" w:type="pct"/>
                  <w:vMerge w:val="restart"/>
                  <w:noWrap/>
                  <w:vAlign w:val="center"/>
                </w:tcPr>
                <w:p w14:paraId="3DC5830F">
                  <w:pPr>
                    <w:pStyle w:val="195"/>
                    <w:kinsoku w:val="0"/>
                    <w:overflowPunct w:val="0"/>
                    <w:autoSpaceDE w:val="0"/>
                    <w:autoSpaceDN w:val="0"/>
                    <w:spacing w:line="360" w:lineRule="auto"/>
                    <w:jc w:val="center"/>
                    <w:rPr>
                      <w:rFonts w:ascii="Times New Roman" w:hAnsi="Times New Roman" w:eastAsiaTheme="minorEastAsia"/>
                      <w:color w:val="auto"/>
                      <w:szCs w:val="21"/>
                    </w:rPr>
                  </w:pPr>
                  <w:r>
                    <w:rPr>
                      <w:rFonts w:ascii="Times New Roman" w:hAnsi="Times New Roman" w:eastAsiaTheme="minorEastAsia"/>
                      <w:color w:val="auto"/>
                      <w:szCs w:val="21"/>
                    </w:rPr>
                    <w:t>污染物种类</w:t>
                  </w:r>
                </w:p>
              </w:tc>
              <w:tc>
                <w:tcPr>
                  <w:tcW w:w="1679" w:type="pct"/>
                  <w:gridSpan w:val="2"/>
                  <w:noWrap/>
                  <w:vAlign w:val="center"/>
                </w:tcPr>
                <w:p w14:paraId="0E682240">
                  <w:pPr>
                    <w:pStyle w:val="195"/>
                    <w:kinsoku w:val="0"/>
                    <w:overflowPunct w:val="0"/>
                    <w:autoSpaceDE w:val="0"/>
                    <w:autoSpaceDN w:val="0"/>
                    <w:spacing w:line="360" w:lineRule="auto"/>
                    <w:jc w:val="center"/>
                    <w:rPr>
                      <w:rFonts w:ascii="Times New Roman" w:hAnsi="Times New Roman" w:eastAsiaTheme="minorEastAsia"/>
                      <w:color w:val="auto"/>
                      <w:szCs w:val="21"/>
                    </w:rPr>
                  </w:pPr>
                  <w:r>
                    <w:rPr>
                      <w:rFonts w:ascii="Times New Roman" w:hAnsi="Times New Roman" w:eastAsiaTheme="minorEastAsia"/>
                      <w:color w:val="auto"/>
                      <w:szCs w:val="21"/>
                    </w:rPr>
                    <w:t>排放口地理坐标（1）</w:t>
                  </w:r>
                </w:p>
              </w:tc>
              <w:tc>
                <w:tcPr>
                  <w:tcW w:w="409" w:type="pct"/>
                  <w:vMerge w:val="restart"/>
                  <w:noWrap/>
                  <w:vAlign w:val="center"/>
                </w:tcPr>
                <w:p w14:paraId="150520E4">
                  <w:pPr>
                    <w:pStyle w:val="195"/>
                    <w:kinsoku w:val="0"/>
                    <w:overflowPunct w:val="0"/>
                    <w:autoSpaceDE w:val="0"/>
                    <w:autoSpaceDN w:val="0"/>
                    <w:spacing w:line="360" w:lineRule="auto"/>
                    <w:jc w:val="center"/>
                    <w:rPr>
                      <w:rFonts w:ascii="Times New Roman" w:hAnsi="Times New Roman" w:eastAsiaTheme="minorEastAsia"/>
                      <w:color w:val="auto"/>
                      <w:szCs w:val="21"/>
                    </w:rPr>
                  </w:pPr>
                  <w:r>
                    <w:rPr>
                      <w:rFonts w:ascii="Times New Roman" w:hAnsi="Times New Roman" w:eastAsiaTheme="minorEastAsia"/>
                      <w:color w:val="auto"/>
                      <w:szCs w:val="21"/>
                    </w:rPr>
                    <w:t>排气筒高度</w:t>
                  </w:r>
                </w:p>
                <w:p w14:paraId="287060C4">
                  <w:pPr>
                    <w:pStyle w:val="195"/>
                    <w:kinsoku w:val="0"/>
                    <w:overflowPunct w:val="0"/>
                    <w:autoSpaceDE w:val="0"/>
                    <w:autoSpaceDN w:val="0"/>
                    <w:spacing w:line="360" w:lineRule="auto"/>
                    <w:jc w:val="center"/>
                    <w:rPr>
                      <w:rFonts w:ascii="Times New Roman" w:hAnsi="Times New Roman" w:eastAsiaTheme="minorEastAsia"/>
                      <w:color w:val="auto"/>
                      <w:szCs w:val="21"/>
                    </w:rPr>
                  </w:pPr>
                  <w:r>
                    <w:rPr>
                      <w:rFonts w:ascii="Times New Roman" w:hAnsi="Times New Roman" w:eastAsiaTheme="minorEastAsia"/>
                      <w:color w:val="auto"/>
                      <w:szCs w:val="21"/>
                    </w:rPr>
                    <w:t>（m）</w:t>
                  </w:r>
                </w:p>
              </w:tc>
              <w:tc>
                <w:tcPr>
                  <w:tcW w:w="543" w:type="pct"/>
                  <w:vMerge w:val="restart"/>
                  <w:noWrap/>
                  <w:vAlign w:val="center"/>
                </w:tcPr>
                <w:p w14:paraId="64D823D9">
                  <w:pPr>
                    <w:pStyle w:val="195"/>
                    <w:kinsoku w:val="0"/>
                    <w:overflowPunct w:val="0"/>
                    <w:autoSpaceDE w:val="0"/>
                    <w:autoSpaceDN w:val="0"/>
                    <w:spacing w:line="360" w:lineRule="auto"/>
                    <w:jc w:val="center"/>
                    <w:rPr>
                      <w:rFonts w:ascii="Times New Roman" w:hAnsi="Times New Roman" w:eastAsiaTheme="minorEastAsia"/>
                      <w:color w:val="auto"/>
                      <w:szCs w:val="21"/>
                    </w:rPr>
                  </w:pPr>
                  <w:r>
                    <w:rPr>
                      <w:rFonts w:ascii="Times New Roman" w:hAnsi="Times New Roman" w:eastAsiaTheme="minorEastAsia"/>
                      <w:color w:val="auto"/>
                      <w:szCs w:val="21"/>
                    </w:rPr>
                    <w:t>排气筒出口内径</w:t>
                  </w:r>
                </w:p>
                <w:p w14:paraId="49FADC15">
                  <w:pPr>
                    <w:pStyle w:val="195"/>
                    <w:kinsoku w:val="0"/>
                    <w:overflowPunct w:val="0"/>
                    <w:autoSpaceDE w:val="0"/>
                    <w:autoSpaceDN w:val="0"/>
                    <w:spacing w:line="360" w:lineRule="auto"/>
                    <w:jc w:val="center"/>
                    <w:rPr>
                      <w:rFonts w:ascii="Times New Roman" w:hAnsi="Times New Roman" w:eastAsiaTheme="minorEastAsia"/>
                      <w:color w:val="auto"/>
                      <w:szCs w:val="21"/>
                    </w:rPr>
                  </w:pPr>
                  <w:r>
                    <w:rPr>
                      <w:rFonts w:ascii="Times New Roman" w:hAnsi="Times New Roman" w:eastAsiaTheme="minorEastAsia"/>
                      <w:color w:val="auto"/>
                      <w:szCs w:val="21"/>
                    </w:rPr>
                    <w:t>（m）</w:t>
                  </w:r>
                </w:p>
              </w:tc>
              <w:tc>
                <w:tcPr>
                  <w:tcW w:w="510" w:type="pct"/>
                  <w:vMerge w:val="restart"/>
                  <w:noWrap/>
                  <w:vAlign w:val="center"/>
                </w:tcPr>
                <w:p w14:paraId="2FB1DB38">
                  <w:pPr>
                    <w:pStyle w:val="195"/>
                    <w:kinsoku w:val="0"/>
                    <w:overflowPunct w:val="0"/>
                    <w:autoSpaceDE w:val="0"/>
                    <w:autoSpaceDN w:val="0"/>
                    <w:spacing w:line="360" w:lineRule="auto"/>
                    <w:jc w:val="center"/>
                    <w:rPr>
                      <w:rFonts w:ascii="Times New Roman" w:hAnsi="Times New Roman" w:eastAsiaTheme="minorEastAsia"/>
                      <w:color w:val="auto"/>
                      <w:szCs w:val="21"/>
                    </w:rPr>
                  </w:pPr>
                  <w:r>
                    <w:rPr>
                      <w:rFonts w:ascii="Times New Roman" w:hAnsi="Times New Roman" w:eastAsiaTheme="minorEastAsia"/>
                      <w:color w:val="auto"/>
                      <w:szCs w:val="21"/>
                    </w:rPr>
                    <w:t>排气温度（℃）</w:t>
                  </w:r>
                </w:p>
              </w:tc>
            </w:tr>
            <w:tr w14:paraId="026A83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24" w:hRule="atLeast"/>
                <w:tblHeader/>
                <w:jc w:val="center"/>
              </w:trPr>
              <w:tc>
                <w:tcPr>
                  <w:tcW w:w="261" w:type="pct"/>
                  <w:vMerge w:val="continue"/>
                  <w:noWrap/>
                  <w:vAlign w:val="center"/>
                </w:tcPr>
                <w:p w14:paraId="58EFF7D4">
                  <w:pPr>
                    <w:pStyle w:val="195"/>
                    <w:kinsoku w:val="0"/>
                    <w:overflowPunct w:val="0"/>
                    <w:autoSpaceDE w:val="0"/>
                    <w:autoSpaceDN w:val="0"/>
                    <w:spacing w:line="360" w:lineRule="auto"/>
                    <w:jc w:val="center"/>
                    <w:rPr>
                      <w:rFonts w:ascii="Times New Roman" w:hAnsi="Times New Roman" w:eastAsiaTheme="minorEastAsia"/>
                      <w:color w:val="auto"/>
                      <w:szCs w:val="21"/>
                    </w:rPr>
                  </w:pPr>
                </w:p>
              </w:tc>
              <w:tc>
                <w:tcPr>
                  <w:tcW w:w="418" w:type="pct"/>
                  <w:vMerge w:val="continue"/>
                  <w:noWrap/>
                  <w:vAlign w:val="center"/>
                </w:tcPr>
                <w:p w14:paraId="2131C99E">
                  <w:pPr>
                    <w:pStyle w:val="195"/>
                    <w:kinsoku w:val="0"/>
                    <w:overflowPunct w:val="0"/>
                    <w:autoSpaceDE w:val="0"/>
                    <w:autoSpaceDN w:val="0"/>
                    <w:spacing w:line="360" w:lineRule="auto"/>
                    <w:jc w:val="center"/>
                    <w:rPr>
                      <w:rFonts w:ascii="Times New Roman" w:hAnsi="Times New Roman" w:eastAsiaTheme="minorEastAsia"/>
                      <w:color w:val="auto"/>
                      <w:szCs w:val="21"/>
                    </w:rPr>
                  </w:pPr>
                </w:p>
              </w:tc>
              <w:tc>
                <w:tcPr>
                  <w:tcW w:w="420" w:type="pct"/>
                  <w:vMerge w:val="continue"/>
                  <w:noWrap/>
                  <w:vAlign w:val="center"/>
                </w:tcPr>
                <w:p w14:paraId="7B557869">
                  <w:pPr>
                    <w:pStyle w:val="195"/>
                    <w:kinsoku w:val="0"/>
                    <w:overflowPunct w:val="0"/>
                    <w:autoSpaceDE w:val="0"/>
                    <w:autoSpaceDN w:val="0"/>
                    <w:spacing w:line="360" w:lineRule="auto"/>
                    <w:jc w:val="center"/>
                    <w:rPr>
                      <w:rFonts w:ascii="Times New Roman" w:hAnsi="Times New Roman" w:eastAsiaTheme="minorEastAsia"/>
                      <w:color w:val="auto"/>
                      <w:szCs w:val="21"/>
                    </w:rPr>
                  </w:pPr>
                </w:p>
              </w:tc>
              <w:tc>
                <w:tcPr>
                  <w:tcW w:w="757" w:type="pct"/>
                  <w:vMerge w:val="continue"/>
                  <w:noWrap/>
                  <w:vAlign w:val="center"/>
                </w:tcPr>
                <w:p w14:paraId="3C8F27BC">
                  <w:pPr>
                    <w:pStyle w:val="195"/>
                    <w:kinsoku w:val="0"/>
                    <w:overflowPunct w:val="0"/>
                    <w:autoSpaceDE w:val="0"/>
                    <w:autoSpaceDN w:val="0"/>
                    <w:spacing w:line="360" w:lineRule="auto"/>
                    <w:jc w:val="center"/>
                    <w:rPr>
                      <w:rFonts w:ascii="Times New Roman" w:hAnsi="Times New Roman" w:eastAsiaTheme="minorEastAsia"/>
                      <w:color w:val="auto"/>
                      <w:szCs w:val="21"/>
                    </w:rPr>
                  </w:pPr>
                </w:p>
              </w:tc>
              <w:tc>
                <w:tcPr>
                  <w:tcW w:w="837" w:type="pct"/>
                  <w:noWrap/>
                  <w:vAlign w:val="center"/>
                </w:tcPr>
                <w:p w14:paraId="0FE7EDBD">
                  <w:pPr>
                    <w:pStyle w:val="195"/>
                    <w:kinsoku w:val="0"/>
                    <w:overflowPunct w:val="0"/>
                    <w:autoSpaceDE w:val="0"/>
                    <w:autoSpaceDN w:val="0"/>
                    <w:spacing w:line="360" w:lineRule="auto"/>
                    <w:jc w:val="center"/>
                    <w:rPr>
                      <w:rFonts w:ascii="Times New Roman" w:hAnsi="Times New Roman" w:eastAsiaTheme="minorEastAsia"/>
                      <w:color w:val="auto"/>
                      <w:szCs w:val="21"/>
                    </w:rPr>
                  </w:pPr>
                  <w:r>
                    <w:rPr>
                      <w:rFonts w:ascii="Times New Roman" w:hAnsi="Times New Roman" w:eastAsiaTheme="minorEastAsia"/>
                      <w:color w:val="auto"/>
                      <w:szCs w:val="21"/>
                    </w:rPr>
                    <w:t>经度</w:t>
                  </w:r>
                </w:p>
              </w:tc>
              <w:tc>
                <w:tcPr>
                  <w:tcW w:w="841" w:type="pct"/>
                  <w:noWrap/>
                  <w:vAlign w:val="center"/>
                </w:tcPr>
                <w:p w14:paraId="242624A4">
                  <w:pPr>
                    <w:pStyle w:val="195"/>
                    <w:kinsoku w:val="0"/>
                    <w:overflowPunct w:val="0"/>
                    <w:autoSpaceDE w:val="0"/>
                    <w:autoSpaceDN w:val="0"/>
                    <w:spacing w:line="360" w:lineRule="auto"/>
                    <w:jc w:val="center"/>
                    <w:rPr>
                      <w:rFonts w:ascii="Times New Roman" w:hAnsi="Times New Roman" w:eastAsiaTheme="minorEastAsia"/>
                      <w:color w:val="auto"/>
                      <w:szCs w:val="21"/>
                    </w:rPr>
                  </w:pPr>
                  <w:r>
                    <w:rPr>
                      <w:rFonts w:ascii="Times New Roman" w:hAnsi="Times New Roman" w:eastAsiaTheme="minorEastAsia"/>
                      <w:color w:val="auto"/>
                      <w:szCs w:val="21"/>
                    </w:rPr>
                    <w:t>纬度</w:t>
                  </w:r>
                </w:p>
              </w:tc>
              <w:tc>
                <w:tcPr>
                  <w:tcW w:w="409" w:type="pct"/>
                  <w:vMerge w:val="continue"/>
                  <w:noWrap/>
                  <w:vAlign w:val="center"/>
                </w:tcPr>
                <w:p w14:paraId="02D28FC6">
                  <w:pPr>
                    <w:pStyle w:val="195"/>
                    <w:kinsoku w:val="0"/>
                    <w:overflowPunct w:val="0"/>
                    <w:autoSpaceDE w:val="0"/>
                    <w:autoSpaceDN w:val="0"/>
                    <w:spacing w:line="360" w:lineRule="auto"/>
                    <w:jc w:val="center"/>
                    <w:rPr>
                      <w:rFonts w:ascii="Times New Roman" w:hAnsi="Times New Roman" w:eastAsiaTheme="minorEastAsia"/>
                      <w:color w:val="auto"/>
                      <w:szCs w:val="21"/>
                    </w:rPr>
                  </w:pPr>
                </w:p>
              </w:tc>
              <w:tc>
                <w:tcPr>
                  <w:tcW w:w="543" w:type="pct"/>
                  <w:vMerge w:val="continue"/>
                  <w:noWrap/>
                  <w:vAlign w:val="center"/>
                </w:tcPr>
                <w:p w14:paraId="3571C6AD">
                  <w:pPr>
                    <w:pStyle w:val="195"/>
                    <w:kinsoku w:val="0"/>
                    <w:overflowPunct w:val="0"/>
                    <w:autoSpaceDE w:val="0"/>
                    <w:autoSpaceDN w:val="0"/>
                    <w:spacing w:line="360" w:lineRule="auto"/>
                    <w:jc w:val="center"/>
                    <w:rPr>
                      <w:rFonts w:ascii="Times New Roman" w:hAnsi="Times New Roman" w:eastAsiaTheme="minorEastAsia"/>
                      <w:color w:val="auto"/>
                      <w:szCs w:val="21"/>
                    </w:rPr>
                  </w:pPr>
                </w:p>
              </w:tc>
              <w:tc>
                <w:tcPr>
                  <w:tcW w:w="510" w:type="pct"/>
                  <w:vMerge w:val="continue"/>
                  <w:noWrap/>
                  <w:vAlign w:val="center"/>
                </w:tcPr>
                <w:p w14:paraId="2C3569BC">
                  <w:pPr>
                    <w:pStyle w:val="195"/>
                    <w:kinsoku w:val="0"/>
                    <w:overflowPunct w:val="0"/>
                    <w:autoSpaceDE w:val="0"/>
                    <w:autoSpaceDN w:val="0"/>
                    <w:spacing w:line="360" w:lineRule="auto"/>
                    <w:jc w:val="center"/>
                    <w:rPr>
                      <w:rFonts w:ascii="Times New Roman" w:hAnsi="Times New Roman" w:eastAsiaTheme="minorEastAsia"/>
                      <w:color w:val="auto"/>
                      <w:szCs w:val="21"/>
                    </w:rPr>
                  </w:pPr>
                </w:p>
              </w:tc>
            </w:tr>
            <w:tr w14:paraId="66683F2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24" w:hRule="atLeast"/>
                <w:tblHeader/>
                <w:jc w:val="center"/>
              </w:trPr>
              <w:tc>
                <w:tcPr>
                  <w:tcW w:w="261" w:type="pct"/>
                  <w:noWrap/>
                  <w:vAlign w:val="center"/>
                </w:tcPr>
                <w:p w14:paraId="5AC653BB">
                  <w:pPr>
                    <w:pStyle w:val="195"/>
                    <w:kinsoku w:val="0"/>
                    <w:overflowPunct w:val="0"/>
                    <w:autoSpaceDE w:val="0"/>
                    <w:autoSpaceDN w:val="0"/>
                    <w:spacing w:line="360" w:lineRule="auto"/>
                    <w:jc w:val="center"/>
                    <w:rPr>
                      <w:rFonts w:ascii="Times New Roman" w:hAnsi="Times New Roman" w:eastAsiaTheme="minorEastAsia"/>
                      <w:color w:val="auto"/>
                      <w:szCs w:val="21"/>
                    </w:rPr>
                  </w:pPr>
                  <w:r>
                    <w:rPr>
                      <w:rFonts w:ascii="Times New Roman" w:hAnsi="Times New Roman" w:eastAsiaTheme="minorEastAsia"/>
                      <w:color w:val="auto"/>
                      <w:szCs w:val="21"/>
                    </w:rPr>
                    <w:t>1</w:t>
                  </w:r>
                </w:p>
              </w:tc>
              <w:tc>
                <w:tcPr>
                  <w:tcW w:w="418" w:type="pct"/>
                  <w:noWrap/>
                  <w:vAlign w:val="center"/>
                </w:tcPr>
                <w:p w14:paraId="76742105">
                  <w:pPr>
                    <w:pStyle w:val="195"/>
                    <w:kinsoku w:val="0"/>
                    <w:overflowPunct w:val="0"/>
                    <w:autoSpaceDE w:val="0"/>
                    <w:autoSpaceDN w:val="0"/>
                    <w:spacing w:line="360" w:lineRule="auto"/>
                    <w:jc w:val="center"/>
                    <w:rPr>
                      <w:rFonts w:ascii="Times New Roman" w:hAnsi="Times New Roman" w:eastAsiaTheme="minorEastAsia"/>
                      <w:color w:val="auto"/>
                      <w:szCs w:val="21"/>
                    </w:rPr>
                  </w:pPr>
                  <w:r>
                    <w:rPr>
                      <w:rFonts w:ascii="Times New Roman" w:hAnsi="Times New Roman" w:eastAsiaTheme="minorEastAsia"/>
                      <w:color w:val="auto"/>
                      <w:szCs w:val="21"/>
                    </w:rPr>
                    <w:t>DA001</w:t>
                  </w:r>
                </w:p>
              </w:tc>
              <w:tc>
                <w:tcPr>
                  <w:tcW w:w="420" w:type="pct"/>
                  <w:noWrap/>
                  <w:vAlign w:val="center"/>
                </w:tcPr>
                <w:p w14:paraId="3349B830">
                  <w:pPr>
                    <w:pStyle w:val="195"/>
                    <w:kinsoku w:val="0"/>
                    <w:overflowPunct w:val="0"/>
                    <w:autoSpaceDE w:val="0"/>
                    <w:autoSpaceDN w:val="0"/>
                    <w:spacing w:line="360" w:lineRule="auto"/>
                    <w:jc w:val="center"/>
                    <w:rPr>
                      <w:rFonts w:ascii="Times New Roman" w:hAnsi="Times New Roman" w:eastAsiaTheme="minorEastAsia"/>
                      <w:color w:val="auto"/>
                      <w:szCs w:val="21"/>
                    </w:rPr>
                  </w:pPr>
                  <w:r>
                    <w:rPr>
                      <w:rFonts w:ascii="Times New Roman" w:hAnsi="Times New Roman" w:eastAsiaTheme="minorEastAsia"/>
                      <w:color w:val="auto"/>
                      <w:szCs w:val="21"/>
                    </w:rPr>
                    <w:t>排气筒</w:t>
                  </w:r>
                </w:p>
              </w:tc>
              <w:tc>
                <w:tcPr>
                  <w:tcW w:w="757" w:type="pct"/>
                  <w:noWrap/>
                  <w:vAlign w:val="center"/>
                </w:tcPr>
                <w:p w14:paraId="2E84E9D3">
                  <w:pPr>
                    <w:pStyle w:val="195"/>
                    <w:kinsoku w:val="0"/>
                    <w:overflowPunct w:val="0"/>
                    <w:autoSpaceDE w:val="0"/>
                    <w:autoSpaceDN w:val="0"/>
                    <w:spacing w:line="360" w:lineRule="auto"/>
                    <w:jc w:val="center"/>
                    <w:rPr>
                      <w:rFonts w:hint="default" w:ascii="Times New Roman" w:hAnsi="Times New Roman" w:eastAsiaTheme="minorEastAsia"/>
                      <w:color w:val="auto"/>
                      <w:szCs w:val="21"/>
                      <w:vertAlign w:val="baseline"/>
                      <w:lang w:val="en-US" w:eastAsia="zh-CN"/>
                    </w:rPr>
                  </w:pPr>
                  <w:r>
                    <w:rPr>
                      <w:rFonts w:ascii="Times New Roman" w:hAnsi="Times New Roman" w:eastAsiaTheme="minorEastAsia"/>
                      <w:color w:val="auto"/>
                      <w:sz w:val="21"/>
                      <w:szCs w:val="21"/>
                    </w:rPr>
                    <w:t>颗粒物</w:t>
                  </w:r>
                  <w:r>
                    <w:rPr>
                      <w:rFonts w:hint="eastAsia" w:ascii="Times New Roman" w:hAnsi="Times New Roman" w:eastAsiaTheme="minorEastAsia"/>
                      <w:color w:val="auto"/>
                      <w:sz w:val="21"/>
                      <w:szCs w:val="21"/>
                      <w:lang w:eastAsia="zh-CN"/>
                    </w:rPr>
                    <w:t>、</w:t>
                  </w:r>
                  <w:r>
                    <w:rPr>
                      <w:rFonts w:hint="eastAsia"/>
                      <w:color w:val="auto"/>
                      <w:kern w:val="0"/>
                      <w:sz w:val="21"/>
                      <w:szCs w:val="21"/>
                      <w:lang w:val="en-US" w:eastAsia="zh-CN"/>
                    </w:rPr>
                    <w:t>SO</w:t>
                  </w:r>
                  <w:r>
                    <w:rPr>
                      <w:rFonts w:hint="eastAsia"/>
                      <w:color w:val="auto"/>
                      <w:kern w:val="0"/>
                      <w:sz w:val="21"/>
                      <w:szCs w:val="21"/>
                      <w:vertAlign w:val="subscript"/>
                      <w:lang w:val="en-US" w:eastAsia="zh-CN"/>
                    </w:rPr>
                    <w:t>2</w:t>
                  </w:r>
                  <w:r>
                    <w:rPr>
                      <w:rFonts w:hint="eastAsia"/>
                      <w:color w:val="auto"/>
                      <w:kern w:val="0"/>
                      <w:sz w:val="21"/>
                      <w:szCs w:val="21"/>
                      <w:vertAlign w:val="baseline"/>
                      <w:lang w:val="en-US" w:eastAsia="zh-CN"/>
                    </w:rPr>
                    <w:t>、</w:t>
                  </w:r>
                  <w:r>
                    <w:rPr>
                      <w:rFonts w:hint="eastAsia"/>
                      <w:color w:val="auto"/>
                      <w:kern w:val="0"/>
                      <w:sz w:val="21"/>
                      <w:szCs w:val="21"/>
                      <w:lang w:val="en-US" w:eastAsia="zh-CN"/>
                    </w:rPr>
                    <w:t>NO</w:t>
                  </w:r>
                  <w:r>
                    <w:rPr>
                      <w:rFonts w:hint="eastAsia"/>
                      <w:color w:val="auto"/>
                      <w:kern w:val="0"/>
                      <w:sz w:val="21"/>
                      <w:szCs w:val="21"/>
                      <w:vertAlign w:val="subscript"/>
                      <w:lang w:val="en-US" w:eastAsia="zh-CN"/>
                    </w:rPr>
                    <w:t>x</w:t>
                  </w:r>
                  <w:r>
                    <w:rPr>
                      <w:rFonts w:hint="eastAsia"/>
                      <w:color w:val="auto"/>
                      <w:kern w:val="0"/>
                      <w:sz w:val="21"/>
                      <w:szCs w:val="21"/>
                      <w:vertAlign w:val="baseline"/>
                      <w:lang w:val="en-US" w:eastAsia="zh-CN"/>
                    </w:rPr>
                    <w:t>、汞及其化合物、烟气黑度</w:t>
                  </w:r>
                </w:p>
              </w:tc>
              <w:tc>
                <w:tcPr>
                  <w:tcW w:w="837" w:type="pct"/>
                  <w:noWrap/>
                  <w:vAlign w:val="center"/>
                </w:tcPr>
                <w:p w14:paraId="2FC41733">
                  <w:pPr>
                    <w:pStyle w:val="195"/>
                    <w:kinsoku w:val="0"/>
                    <w:overflowPunct w:val="0"/>
                    <w:autoSpaceDE w:val="0"/>
                    <w:autoSpaceDN w:val="0"/>
                    <w:spacing w:line="360" w:lineRule="auto"/>
                    <w:jc w:val="center"/>
                    <w:rPr>
                      <w:rFonts w:ascii="Times New Roman" w:hAnsi="Times New Roman" w:eastAsiaTheme="minorEastAsia"/>
                      <w:color w:val="auto"/>
                      <w:szCs w:val="21"/>
                    </w:rPr>
                  </w:pPr>
                  <w:r>
                    <w:rPr>
                      <w:rFonts w:hint="eastAsia" w:ascii="Times New Roman" w:hAnsi="Times New Roman" w:eastAsiaTheme="minorEastAsia"/>
                      <w:color w:val="auto"/>
                      <w:szCs w:val="21"/>
                    </w:rPr>
                    <w:t>130.71542592</w:t>
                  </w:r>
                </w:p>
              </w:tc>
              <w:tc>
                <w:tcPr>
                  <w:tcW w:w="841" w:type="pct"/>
                  <w:noWrap/>
                  <w:vAlign w:val="center"/>
                </w:tcPr>
                <w:p w14:paraId="1432D69C">
                  <w:pPr>
                    <w:pStyle w:val="195"/>
                    <w:kinsoku w:val="0"/>
                    <w:overflowPunct w:val="0"/>
                    <w:autoSpaceDE w:val="0"/>
                    <w:autoSpaceDN w:val="0"/>
                    <w:spacing w:line="360" w:lineRule="auto"/>
                    <w:jc w:val="center"/>
                    <w:rPr>
                      <w:rFonts w:ascii="Times New Roman" w:hAnsi="Times New Roman" w:eastAsiaTheme="minorEastAsia"/>
                      <w:color w:val="auto"/>
                      <w:szCs w:val="21"/>
                    </w:rPr>
                  </w:pPr>
                  <w:r>
                    <w:rPr>
                      <w:rFonts w:hint="eastAsia" w:ascii="Times New Roman" w:hAnsi="Times New Roman" w:eastAsiaTheme="minorEastAsia"/>
                      <w:color w:val="auto"/>
                      <w:szCs w:val="21"/>
                    </w:rPr>
                    <w:t>45.11775119</w:t>
                  </w:r>
                </w:p>
              </w:tc>
              <w:tc>
                <w:tcPr>
                  <w:tcW w:w="409" w:type="pct"/>
                  <w:noWrap/>
                  <w:vAlign w:val="center"/>
                </w:tcPr>
                <w:p w14:paraId="04D2F55E">
                  <w:pPr>
                    <w:pStyle w:val="195"/>
                    <w:kinsoku w:val="0"/>
                    <w:overflowPunct w:val="0"/>
                    <w:autoSpaceDE w:val="0"/>
                    <w:autoSpaceDN w:val="0"/>
                    <w:spacing w:line="360" w:lineRule="auto"/>
                    <w:jc w:val="center"/>
                    <w:rPr>
                      <w:rFonts w:hint="default" w:ascii="Times New Roman" w:hAnsi="Times New Roman" w:eastAsiaTheme="minorEastAsia"/>
                      <w:color w:val="auto"/>
                      <w:szCs w:val="21"/>
                      <w:lang w:val="en-US" w:eastAsia="zh-CN"/>
                    </w:rPr>
                  </w:pPr>
                  <w:r>
                    <w:rPr>
                      <w:rFonts w:hint="eastAsia" w:ascii="Times New Roman" w:hAnsi="Times New Roman" w:eastAsiaTheme="minorEastAsia"/>
                      <w:color w:val="auto"/>
                      <w:szCs w:val="21"/>
                      <w:lang w:val="en-US" w:eastAsia="zh-CN"/>
                    </w:rPr>
                    <w:t>30</w:t>
                  </w:r>
                </w:p>
              </w:tc>
              <w:tc>
                <w:tcPr>
                  <w:tcW w:w="543" w:type="pct"/>
                  <w:noWrap/>
                  <w:vAlign w:val="center"/>
                </w:tcPr>
                <w:p w14:paraId="749155C0">
                  <w:pPr>
                    <w:pStyle w:val="195"/>
                    <w:kinsoku w:val="0"/>
                    <w:overflowPunct w:val="0"/>
                    <w:autoSpaceDE w:val="0"/>
                    <w:autoSpaceDN w:val="0"/>
                    <w:spacing w:line="360" w:lineRule="auto"/>
                    <w:jc w:val="center"/>
                    <w:rPr>
                      <w:rFonts w:ascii="Times New Roman" w:hAnsi="Times New Roman" w:eastAsiaTheme="minorEastAsia"/>
                      <w:color w:val="auto"/>
                      <w:szCs w:val="21"/>
                    </w:rPr>
                  </w:pPr>
                  <w:r>
                    <w:rPr>
                      <w:rFonts w:ascii="Times New Roman" w:hAnsi="Times New Roman" w:eastAsiaTheme="minorEastAsia"/>
                      <w:color w:val="auto"/>
                      <w:szCs w:val="21"/>
                    </w:rPr>
                    <w:t>0.5</w:t>
                  </w:r>
                </w:p>
              </w:tc>
              <w:tc>
                <w:tcPr>
                  <w:tcW w:w="510" w:type="pct"/>
                  <w:noWrap/>
                  <w:vAlign w:val="center"/>
                </w:tcPr>
                <w:p w14:paraId="74F11B2F">
                  <w:pPr>
                    <w:pStyle w:val="195"/>
                    <w:kinsoku w:val="0"/>
                    <w:overflowPunct w:val="0"/>
                    <w:autoSpaceDE w:val="0"/>
                    <w:autoSpaceDN w:val="0"/>
                    <w:spacing w:line="360" w:lineRule="auto"/>
                    <w:jc w:val="center"/>
                    <w:rPr>
                      <w:rFonts w:hint="default" w:ascii="Times New Roman" w:hAnsi="Times New Roman" w:eastAsiaTheme="minorEastAsia"/>
                      <w:color w:val="auto"/>
                      <w:szCs w:val="21"/>
                      <w:lang w:val="en-US" w:eastAsia="zh-CN"/>
                    </w:rPr>
                  </w:pPr>
                  <w:r>
                    <w:rPr>
                      <w:rFonts w:hint="eastAsia" w:ascii="Times New Roman" w:hAnsi="Times New Roman" w:eastAsiaTheme="minorEastAsia"/>
                      <w:color w:val="auto"/>
                      <w:szCs w:val="21"/>
                      <w:lang w:val="en-US" w:eastAsia="zh-CN"/>
                    </w:rPr>
                    <w:t>100</w:t>
                  </w:r>
                </w:p>
              </w:tc>
            </w:tr>
          </w:tbl>
          <w:p w14:paraId="061F8752">
            <w:pPr>
              <w:pStyle w:val="10"/>
              <w:spacing w:after="0" w:line="360" w:lineRule="auto"/>
              <w:ind w:firstLine="480" w:firstLineChars="200"/>
              <w:rPr>
                <w:bCs/>
                <w:color w:val="auto"/>
                <w:sz w:val="24"/>
              </w:rPr>
            </w:pPr>
            <w:r>
              <w:rPr>
                <w:rFonts w:hint="eastAsia"/>
                <w:bCs/>
                <w:color w:val="auto"/>
                <w:sz w:val="24"/>
              </w:rPr>
              <w:t>4、</w:t>
            </w:r>
            <w:r>
              <w:rPr>
                <w:bCs/>
                <w:color w:val="auto"/>
                <w:sz w:val="24"/>
              </w:rPr>
              <w:t>大气监测计划</w:t>
            </w:r>
          </w:p>
          <w:p w14:paraId="385B8899">
            <w:pPr>
              <w:pStyle w:val="50"/>
              <w:ind w:firstLine="480"/>
              <w:rPr>
                <w:rFonts w:ascii="Times New Roman" w:hAnsi="Times New Roman"/>
                <w:color w:val="auto"/>
              </w:rPr>
            </w:pPr>
            <w:r>
              <w:rPr>
                <w:rFonts w:ascii="Times New Roman" w:hAnsi="Times New Roman"/>
                <w:color w:val="auto"/>
              </w:rPr>
              <w:t>本项目运行期污染源监测计划按照《排污单位自行监测技术指南 总则》（HJ 819-2017）</w:t>
            </w:r>
            <w:r>
              <w:rPr>
                <w:rFonts w:hint="eastAsia" w:ascii="Times New Roman" w:hAnsi="Times New Roman"/>
                <w:color w:val="auto"/>
              </w:rPr>
              <w:t>、</w:t>
            </w:r>
            <w:r>
              <w:rPr>
                <w:rFonts w:hint="eastAsia" w:ascii="Times New Roman" w:hAnsi="Times New Roman" w:cs="Times New Roman"/>
                <w:color w:val="auto"/>
                <w:kern w:val="2"/>
                <w:sz w:val="24"/>
                <w:szCs w:val="24"/>
                <w:highlight w:val="none"/>
                <w:lang w:val="en-US" w:eastAsia="zh-CN" w:bidi="ar-SA"/>
              </w:rPr>
              <w:t>《排污单位自行监测技术指南 火力发电及锅炉》（HJ 820-2017）</w:t>
            </w:r>
            <w:r>
              <w:rPr>
                <w:rFonts w:ascii="Times New Roman" w:hAnsi="Times New Roman"/>
                <w:color w:val="auto"/>
              </w:rPr>
              <w:t>中的监测要求制定，具体监测计划见下表</w:t>
            </w:r>
            <w:r>
              <w:rPr>
                <w:rFonts w:hint="eastAsia" w:ascii="Times New Roman" w:hAnsi="Times New Roman"/>
                <w:color w:val="auto"/>
              </w:rPr>
              <w:t>4-</w:t>
            </w:r>
            <w:r>
              <w:rPr>
                <w:rFonts w:hint="eastAsia" w:ascii="Times New Roman" w:hAnsi="Times New Roman"/>
                <w:color w:val="auto"/>
                <w:lang w:val="en-US" w:eastAsia="zh-CN"/>
              </w:rPr>
              <w:t>6</w:t>
            </w:r>
            <w:r>
              <w:rPr>
                <w:rFonts w:ascii="Times New Roman" w:hAnsi="Times New Roman"/>
                <w:color w:val="auto"/>
              </w:rPr>
              <w:t>。若企业不具备监测条件进行上述污染源及环境质量监测，可委托有资质的环境监测单位进行监测。</w:t>
            </w:r>
          </w:p>
          <w:p w14:paraId="5AE3E231">
            <w:pPr>
              <w:jc w:val="center"/>
              <w:rPr>
                <w:b/>
                <w:bCs/>
                <w:iCs/>
                <w:color w:val="auto"/>
                <w:kern w:val="0"/>
                <w:szCs w:val="21"/>
              </w:rPr>
            </w:pPr>
            <w:r>
              <w:rPr>
                <w:b/>
                <w:bCs/>
                <w:iCs/>
                <w:color w:val="auto"/>
                <w:kern w:val="0"/>
                <w:szCs w:val="21"/>
              </w:rPr>
              <w:t>表4-</w:t>
            </w:r>
            <w:r>
              <w:rPr>
                <w:rFonts w:hint="eastAsia"/>
                <w:b/>
                <w:bCs/>
                <w:iCs/>
                <w:color w:val="auto"/>
                <w:kern w:val="0"/>
                <w:szCs w:val="21"/>
                <w:lang w:val="en-US" w:eastAsia="zh-CN"/>
              </w:rPr>
              <w:t>6</w:t>
            </w:r>
            <w:r>
              <w:rPr>
                <w:b/>
                <w:bCs/>
                <w:iCs/>
                <w:color w:val="auto"/>
                <w:kern w:val="0"/>
                <w:szCs w:val="21"/>
              </w:rPr>
              <w:t xml:space="preserve">  大气监测计划</w:t>
            </w:r>
          </w:p>
          <w:tbl>
            <w:tblPr>
              <w:tblStyle w:val="3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199"/>
              <w:gridCol w:w="1397"/>
              <w:gridCol w:w="1713"/>
              <w:gridCol w:w="1638"/>
              <w:gridCol w:w="2231"/>
            </w:tblGrid>
            <w:tr w14:paraId="161BD1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67" w:hRule="exact"/>
                <w:jc w:val="center"/>
              </w:trPr>
              <w:tc>
                <w:tcPr>
                  <w:tcW w:w="733" w:type="pct"/>
                  <w:vAlign w:val="center"/>
                </w:tcPr>
                <w:p w14:paraId="122A79CB">
                  <w:pPr>
                    <w:pStyle w:val="190"/>
                    <w:snapToGrid w:val="0"/>
                    <w:ind w:firstLine="0" w:firstLineChars="0"/>
                    <w:jc w:val="center"/>
                    <w:rPr>
                      <w:rFonts w:ascii="Times New Roman" w:eastAsia="宋体"/>
                      <w:color w:val="auto"/>
                      <w:sz w:val="21"/>
                      <w:szCs w:val="21"/>
                      <w:lang w:val="zh-CN"/>
                    </w:rPr>
                  </w:pPr>
                  <w:r>
                    <w:rPr>
                      <w:rFonts w:ascii="Times New Roman" w:eastAsia="宋体"/>
                      <w:color w:val="auto"/>
                      <w:sz w:val="21"/>
                      <w:szCs w:val="21"/>
                      <w:lang w:val="zh-CN"/>
                    </w:rPr>
                    <w:t>环境要素</w:t>
                  </w:r>
                </w:p>
              </w:tc>
              <w:tc>
                <w:tcPr>
                  <w:tcW w:w="854" w:type="pct"/>
                  <w:vAlign w:val="center"/>
                </w:tcPr>
                <w:p w14:paraId="51EFBEFD">
                  <w:pPr>
                    <w:pStyle w:val="190"/>
                    <w:snapToGrid w:val="0"/>
                    <w:ind w:firstLine="0" w:firstLineChars="0"/>
                    <w:jc w:val="center"/>
                    <w:rPr>
                      <w:rFonts w:ascii="Times New Roman" w:eastAsia="宋体"/>
                      <w:color w:val="auto"/>
                      <w:sz w:val="21"/>
                      <w:szCs w:val="21"/>
                      <w:lang w:val="zh-CN"/>
                    </w:rPr>
                  </w:pPr>
                  <w:r>
                    <w:rPr>
                      <w:rFonts w:ascii="Times New Roman" w:eastAsia="宋体"/>
                      <w:color w:val="auto"/>
                      <w:sz w:val="21"/>
                      <w:szCs w:val="21"/>
                      <w:lang w:val="zh-CN"/>
                    </w:rPr>
                    <w:t>监测项目</w:t>
                  </w:r>
                </w:p>
              </w:tc>
              <w:tc>
                <w:tcPr>
                  <w:tcW w:w="1047" w:type="pct"/>
                  <w:vAlign w:val="center"/>
                </w:tcPr>
                <w:p w14:paraId="49C5334B">
                  <w:pPr>
                    <w:pStyle w:val="190"/>
                    <w:snapToGrid w:val="0"/>
                    <w:ind w:firstLine="0" w:firstLineChars="0"/>
                    <w:jc w:val="center"/>
                    <w:rPr>
                      <w:rFonts w:ascii="Times New Roman" w:eastAsia="宋体"/>
                      <w:color w:val="auto"/>
                      <w:sz w:val="21"/>
                      <w:szCs w:val="21"/>
                      <w:lang w:val="zh-CN"/>
                    </w:rPr>
                  </w:pPr>
                  <w:r>
                    <w:rPr>
                      <w:rFonts w:ascii="Times New Roman" w:eastAsia="宋体"/>
                      <w:color w:val="auto"/>
                      <w:sz w:val="21"/>
                      <w:szCs w:val="21"/>
                      <w:lang w:val="zh-CN"/>
                    </w:rPr>
                    <w:t>监测点</w:t>
                  </w:r>
                </w:p>
              </w:tc>
              <w:tc>
                <w:tcPr>
                  <w:tcW w:w="1001" w:type="pct"/>
                  <w:vAlign w:val="center"/>
                </w:tcPr>
                <w:p w14:paraId="4F550D31">
                  <w:pPr>
                    <w:pStyle w:val="190"/>
                    <w:snapToGrid w:val="0"/>
                    <w:ind w:firstLine="0" w:firstLineChars="0"/>
                    <w:jc w:val="center"/>
                    <w:rPr>
                      <w:rFonts w:ascii="Times New Roman" w:eastAsia="宋体"/>
                      <w:color w:val="auto"/>
                      <w:sz w:val="21"/>
                      <w:szCs w:val="21"/>
                      <w:lang w:val="zh-CN"/>
                    </w:rPr>
                  </w:pPr>
                  <w:r>
                    <w:rPr>
                      <w:rFonts w:ascii="Times New Roman" w:eastAsia="宋体"/>
                      <w:color w:val="auto"/>
                      <w:sz w:val="21"/>
                      <w:szCs w:val="21"/>
                      <w:lang w:val="zh-CN"/>
                    </w:rPr>
                    <w:t>监测时间及频率</w:t>
                  </w:r>
                </w:p>
              </w:tc>
              <w:tc>
                <w:tcPr>
                  <w:tcW w:w="1363" w:type="pct"/>
                  <w:vAlign w:val="center"/>
                </w:tcPr>
                <w:p w14:paraId="02E47726">
                  <w:pPr>
                    <w:pStyle w:val="190"/>
                    <w:snapToGrid w:val="0"/>
                    <w:ind w:firstLine="0" w:firstLineChars="0"/>
                    <w:jc w:val="center"/>
                    <w:rPr>
                      <w:rFonts w:ascii="Times New Roman" w:eastAsia="宋体"/>
                      <w:color w:val="auto"/>
                      <w:sz w:val="21"/>
                      <w:szCs w:val="21"/>
                      <w:lang w:val="zh-CN"/>
                    </w:rPr>
                  </w:pPr>
                  <w:r>
                    <w:rPr>
                      <w:rFonts w:hint="eastAsia" w:ascii="Times New Roman" w:eastAsia="宋体"/>
                      <w:color w:val="auto"/>
                      <w:sz w:val="21"/>
                      <w:szCs w:val="21"/>
                      <w:lang w:val="zh-CN"/>
                    </w:rPr>
                    <w:t>执行标准</w:t>
                  </w:r>
                </w:p>
              </w:tc>
            </w:tr>
            <w:tr w14:paraId="4F73EB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632" w:hRule="exact"/>
                <w:jc w:val="center"/>
              </w:trPr>
              <w:tc>
                <w:tcPr>
                  <w:tcW w:w="733" w:type="pct"/>
                  <w:vAlign w:val="center"/>
                </w:tcPr>
                <w:p w14:paraId="10C1CFE4">
                  <w:pPr>
                    <w:pStyle w:val="190"/>
                    <w:snapToGrid w:val="0"/>
                    <w:ind w:firstLine="0" w:firstLineChars="0"/>
                    <w:jc w:val="center"/>
                    <w:rPr>
                      <w:rFonts w:ascii="Times New Roman" w:eastAsia="宋体"/>
                      <w:color w:val="auto"/>
                      <w:sz w:val="21"/>
                      <w:szCs w:val="21"/>
                      <w:lang w:val="zh-CN"/>
                    </w:rPr>
                  </w:pPr>
                  <w:r>
                    <w:rPr>
                      <w:rFonts w:hint="eastAsia" w:ascii="Times New Roman" w:eastAsia="宋体"/>
                      <w:color w:val="auto"/>
                      <w:sz w:val="21"/>
                      <w:szCs w:val="21"/>
                      <w:lang w:val="zh-CN"/>
                    </w:rPr>
                    <w:t>废气</w:t>
                  </w:r>
                </w:p>
              </w:tc>
              <w:tc>
                <w:tcPr>
                  <w:tcW w:w="854" w:type="pct"/>
                  <w:vAlign w:val="center"/>
                </w:tcPr>
                <w:p w14:paraId="5B05EEBE">
                  <w:pPr>
                    <w:pStyle w:val="195"/>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ascii="Times New Roman"/>
                      <w:color w:val="auto"/>
                      <w:szCs w:val="21"/>
                      <w:lang w:val="zh-CN"/>
                    </w:rPr>
                  </w:pPr>
                  <w:r>
                    <w:rPr>
                      <w:rFonts w:hint="default" w:ascii="Times New Roman" w:hAnsi="Times New Roman" w:cs="Times New Roman" w:eastAsiaTheme="minorEastAsia"/>
                      <w:color w:val="auto"/>
                      <w:sz w:val="21"/>
                      <w:szCs w:val="21"/>
                      <w:highlight w:val="none"/>
                    </w:rPr>
                    <w:t>颗粒物</w:t>
                  </w:r>
                  <w:r>
                    <w:rPr>
                      <w:rFonts w:hint="default" w:ascii="Times New Roman" w:hAnsi="Times New Roman"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lang w:val="en-US" w:eastAsia="zh-CN"/>
                    </w:rPr>
                    <w:t>SO</w:t>
                  </w:r>
                  <w:r>
                    <w:rPr>
                      <w:rFonts w:hint="default" w:ascii="Times New Roman" w:hAnsi="Times New Roman" w:cs="Times New Roman" w:eastAsiaTheme="minorEastAsia"/>
                      <w:color w:val="auto"/>
                      <w:sz w:val="21"/>
                      <w:szCs w:val="21"/>
                      <w:highlight w:val="none"/>
                      <w:vertAlign w:val="subscript"/>
                      <w:lang w:val="en-US" w:eastAsia="zh-CN"/>
                    </w:rPr>
                    <w:t>2</w:t>
                  </w:r>
                  <w:r>
                    <w:rPr>
                      <w:rFonts w:hint="default" w:ascii="Times New Roman" w:hAnsi="Times New Roman"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lang w:val="en-US" w:eastAsia="zh-CN"/>
                    </w:rPr>
                    <w:t>NO</w:t>
                  </w:r>
                  <w:r>
                    <w:rPr>
                      <w:rFonts w:hint="eastAsia" w:ascii="Times New Roman" w:hAnsi="Times New Roman" w:cs="Times New Roman" w:eastAsiaTheme="minorEastAsia"/>
                      <w:color w:val="auto"/>
                      <w:sz w:val="21"/>
                      <w:szCs w:val="21"/>
                      <w:highlight w:val="none"/>
                      <w:lang w:val="en-US" w:eastAsia="zh-CN"/>
                    </w:rPr>
                    <w:t>x、烟气黑度</w:t>
                  </w:r>
                </w:p>
              </w:tc>
              <w:tc>
                <w:tcPr>
                  <w:tcW w:w="1047" w:type="pct"/>
                  <w:vAlign w:val="center"/>
                </w:tcPr>
                <w:p w14:paraId="769F24CF">
                  <w:pPr>
                    <w:pStyle w:val="195"/>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ascii="Times New Roman"/>
                      <w:color w:val="auto"/>
                      <w:szCs w:val="21"/>
                      <w:lang w:val="zh-CN"/>
                    </w:rPr>
                  </w:pPr>
                  <w:r>
                    <w:rPr>
                      <w:rFonts w:hint="default" w:ascii="Times New Roman" w:hAnsi="Times New Roman" w:cs="Times New Roman" w:eastAsiaTheme="minorEastAsia"/>
                      <w:color w:val="auto"/>
                      <w:sz w:val="21"/>
                      <w:szCs w:val="21"/>
                      <w:highlight w:val="none"/>
                    </w:rPr>
                    <w:t>DA00</w:t>
                  </w:r>
                  <w:r>
                    <w:rPr>
                      <w:rFonts w:hint="eastAsia" w:ascii="Times New Roman" w:hAnsi="Times New Roman" w:cs="Times New Roman" w:eastAsiaTheme="minorEastAsia"/>
                      <w:color w:val="auto"/>
                      <w:sz w:val="21"/>
                      <w:szCs w:val="21"/>
                      <w:highlight w:val="none"/>
                      <w:lang w:val="en-US" w:eastAsia="zh-CN"/>
                    </w:rPr>
                    <w:t>1</w:t>
                  </w:r>
                </w:p>
              </w:tc>
              <w:tc>
                <w:tcPr>
                  <w:tcW w:w="1001" w:type="pct"/>
                  <w:vAlign w:val="center"/>
                </w:tcPr>
                <w:p w14:paraId="67805432">
                  <w:pPr>
                    <w:pStyle w:val="190"/>
                    <w:keepNext w:val="0"/>
                    <w:keepLines w:val="0"/>
                    <w:pageBreakBefore w:val="0"/>
                    <w:suppressLineNumbers w:val="0"/>
                    <w:wordWrap/>
                    <w:bidi w:val="0"/>
                    <w:snapToGrid w:val="0"/>
                    <w:spacing w:before="0" w:beforeAutospacing="0" w:after="0" w:afterAutospacing="0" w:line="360" w:lineRule="auto"/>
                    <w:ind w:left="0" w:leftChars="0" w:right="0" w:rightChars="0" w:firstLine="0" w:firstLineChars="0"/>
                    <w:jc w:val="center"/>
                    <w:rPr>
                      <w:rFonts w:ascii="Times New Roman" w:eastAsia="宋体"/>
                      <w:color w:val="auto"/>
                      <w:sz w:val="21"/>
                      <w:szCs w:val="21"/>
                      <w:lang w:val="zh-CN"/>
                    </w:rPr>
                  </w:pPr>
                  <w:r>
                    <w:rPr>
                      <w:rFonts w:hint="default" w:ascii="Times New Roman" w:hAnsi="Times New Roman" w:cs="Times New Roman" w:eastAsiaTheme="minorEastAsia"/>
                      <w:color w:val="auto"/>
                      <w:sz w:val="21"/>
                      <w:szCs w:val="21"/>
                      <w:highlight w:val="none"/>
                      <w:lang w:val="en-US" w:eastAsia="zh-CN"/>
                    </w:rPr>
                    <w:t>1</w:t>
                  </w:r>
                  <w:r>
                    <w:rPr>
                      <w:rFonts w:hint="default" w:ascii="Times New Roman" w:hAnsi="Times New Roman" w:cs="Times New Roman" w:eastAsiaTheme="minorEastAsia"/>
                      <w:color w:val="auto"/>
                      <w:sz w:val="21"/>
                      <w:szCs w:val="21"/>
                      <w:highlight w:val="none"/>
                      <w:lang w:val="en-US"/>
                    </w:rPr>
                    <w:t>次</w:t>
                  </w:r>
                  <w:r>
                    <w:rPr>
                      <w:rFonts w:hint="eastAsia" w:ascii="Times New Roman" w:cs="Times New Roman" w:eastAsiaTheme="minorEastAsia"/>
                      <w:color w:val="auto"/>
                      <w:sz w:val="21"/>
                      <w:szCs w:val="21"/>
                      <w:highlight w:val="none"/>
                      <w:lang w:val="en-US" w:eastAsia="zh-CN"/>
                    </w:rPr>
                    <w:t>/月</w:t>
                  </w:r>
                </w:p>
              </w:tc>
              <w:tc>
                <w:tcPr>
                  <w:tcW w:w="1363" w:type="pct"/>
                  <w:vAlign w:val="center"/>
                </w:tcPr>
                <w:p w14:paraId="4B4B1D46">
                  <w:pPr>
                    <w:pStyle w:val="190"/>
                    <w:keepNext w:val="0"/>
                    <w:keepLines w:val="0"/>
                    <w:pageBreakBefore w:val="0"/>
                    <w:suppressLineNumbers w:val="0"/>
                    <w:wordWrap/>
                    <w:bidi w:val="0"/>
                    <w:snapToGrid w:val="0"/>
                    <w:spacing w:before="0" w:beforeAutospacing="0" w:after="0" w:afterAutospacing="0" w:line="360" w:lineRule="auto"/>
                    <w:ind w:left="0" w:leftChars="0" w:right="0" w:rightChars="0" w:firstLine="0" w:firstLineChars="0"/>
                    <w:jc w:val="center"/>
                    <w:rPr>
                      <w:rFonts w:ascii="Times New Roman" w:eastAsia="宋体"/>
                      <w:color w:val="auto"/>
                      <w:sz w:val="21"/>
                      <w:szCs w:val="21"/>
                    </w:rPr>
                  </w:pPr>
                  <w:r>
                    <w:rPr>
                      <w:rFonts w:hint="eastAsia" w:ascii="Times New Roman" w:cs="Times New Roman" w:eastAsiaTheme="minorEastAsia"/>
                      <w:color w:val="auto"/>
                      <w:sz w:val="21"/>
                      <w:szCs w:val="21"/>
                      <w:highlight w:val="none"/>
                      <w:lang w:val="en-US" w:eastAsia="zh-CN"/>
                    </w:rPr>
                    <w:t>《锅炉大气污染物排放标准》（GB13271-2014）表2中燃煤锅炉大气污染物标准限值</w:t>
                  </w:r>
                </w:p>
              </w:tc>
            </w:tr>
            <w:tr w14:paraId="04ECCB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632" w:hRule="exact"/>
                <w:jc w:val="center"/>
              </w:trPr>
              <w:tc>
                <w:tcPr>
                  <w:tcW w:w="733" w:type="pct"/>
                  <w:vAlign w:val="center"/>
                </w:tcPr>
                <w:p w14:paraId="0D680825">
                  <w:pPr>
                    <w:pStyle w:val="190"/>
                    <w:snapToGrid w:val="0"/>
                    <w:ind w:firstLine="0" w:firstLineChars="0"/>
                    <w:jc w:val="center"/>
                    <w:rPr>
                      <w:rFonts w:hint="eastAsia" w:ascii="Times New Roman" w:eastAsia="宋体"/>
                      <w:color w:val="auto"/>
                      <w:sz w:val="21"/>
                      <w:szCs w:val="21"/>
                      <w:lang w:val="en-US" w:eastAsia="zh-CN"/>
                    </w:rPr>
                  </w:pPr>
                  <w:r>
                    <w:rPr>
                      <w:rFonts w:hint="eastAsia" w:ascii="Times New Roman" w:eastAsia="宋体"/>
                      <w:color w:val="auto"/>
                      <w:sz w:val="21"/>
                      <w:szCs w:val="21"/>
                      <w:lang w:val="en-US" w:eastAsia="zh-CN"/>
                    </w:rPr>
                    <w:t>厂界</w:t>
                  </w:r>
                </w:p>
              </w:tc>
              <w:tc>
                <w:tcPr>
                  <w:tcW w:w="854" w:type="pct"/>
                  <w:vAlign w:val="center"/>
                </w:tcPr>
                <w:p w14:paraId="40F3B8DD">
                  <w:pPr>
                    <w:pStyle w:val="195"/>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eastAsia"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颗粒物</w:t>
                  </w:r>
                </w:p>
              </w:tc>
              <w:tc>
                <w:tcPr>
                  <w:tcW w:w="1047" w:type="pct"/>
                  <w:vAlign w:val="center"/>
                </w:tcPr>
                <w:p w14:paraId="402B0785">
                  <w:pPr>
                    <w:pStyle w:val="195"/>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leftChars="0" w:right="0" w:rightChars="0" w:firstLine="0" w:firstLineChars="0"/>
                    <w:jc w:val="center"/>
                    <w:textAlignment w:val="auto"/>
                    <w:rPr>
                      <w:rFonts w:hint="eastAsia"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无组织</w:t>
                  </w:r>
                </w:p>
              </w:tc>
              <w:tc>
                <w:tcPr>
                  <w:tcW w:w="1001" w:type="pct"/>
                  <w:vAlign w:val="center"/>
                </w:tcPr>
                <w:p w14:paraId="5AF87F17">
                  <w:pPr>
                    <w:pStyle w:val="190"/>
                    <w:keepNext w:val="0"/>
                    <w:keepLines w:val="0"/>
                    <w:pageBreakBefore w:val="0"/>
                    <w:suppressLineNumbers w:val="0"/>
                    <w:wordWrap/>
                    <w:bidi w:val="0"/>
                    <w:snapToGrid w:val="0"/>
                    <w:spacing w:before="0" w:beforeAutospacing="0" w:after="0" w:afterAutospacing="0" w:line="360" w:lineRule="auto"/>
                    <w:ind w:left="0" w:leftChars="0" w:right="0" w:rightChars="0" w:firstLine="0" w:firstLineChars="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1次</w:t>
                  </w:r>
                  <w:r>
                    <w:rPr>
                      <w:rFonts w:hint="eastAsia" w:ascii="Times New Roman" w:hAnsi="Times New Roman" w:cs="Times New Roman" w:eastAsiaTheme="minorEastAsia"/>
                      <w:color w:val="auto"/>
                      <w:sz w:val="21"/>
                      <w:szCs w:val="21"/>
                      <w:highlight w:val="none"/>
                      <w:lang w:val="en-US" w:eastAsia="zh-CN"/>
                    </w:rPr>
                    <w:t>/季度</w:t>
                  </w:r>
                </w:p>
              </w:tc>
              <w:tc>
                <w:tcPr>
                  <w:tcW w:w="1363" w:type="pct"/>
                  <w:vAlign w:val="center"/>
                </w:tcPr>
                <w:p w14:paraId="447875B8">
                  <w:pPr>
                    <w:pStyle w:val="190"/>
                    <w:keepNext w:val="0"/>
                    <w:keepLines w:val="0"/>
                    <w:pageBreakBefore w:val="0"/>
                    <w:suppressLineNumbers w:val="0"/>
                    <w:wordWrap/>
                    <w:bidi w:val="0"/>
                    <w:snapToGrid w:val="0"/>
                    <w:spacing w:before="0" w:beforeAutospacing="0" w:after="0" w:afterAutospacing="0" w:line="360" w:lineRule="auto"/>
                    <w:ind w:left="0" w:leftChars="0" w:right="0" w:rightChars="0" w:firstLine="0" w:firstLineChars="0"/>
                    <w:jc w:val="center"/>
                    <w:rPr>
                      <w:rFonts w:hint="eastAsia"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《大气污染物综合排放标准》（GB16297-1996）中表2无组织排放监控浓度限值</w:t>
                  </w:r>
                </w:p>
              </w:tc>
            </w:tr>
          </w:tbl>
          <w:p w14:paraId="127EB773">
            <w:pPr>
              <w:pStyle w:val="58"/>
              <w:kinsoku w:val="0"/>
              <w:overflowPunct w:val="0"/>
              <w:autoSpaceDE w:val="0"/>
              <w:autoSpaceDN w:val="0"/>
              <w:spacing w:line="360" w:lineRule="auto"/>
              <w:ind w:firstLine="480"/>
              <w:rPr>
                <w:rFonts w:eastAsiaTheme="minorEastAsia"/>
                <w:color w:val="auto"/>
              </w:rPr>
            </w:pPr>
            <w:r>
              <w:rPr>
                <w:rFonts w:hint="eastAsia" w:eastAsiaTheme="minorEastAsia"/>
                <w:color w:val="auto"/>
                <w:lang w:val="en-US" w:eastAsia="zh-CN"/>
              </w:rPr>
              <w:t>5、</w:t>
            </w:r>
            <w:r>
              <w:rPr>
                <w:rFonts w:eastAsiaTheme="minorEastAsia"/>
                <w:color w:val="auto"/>
              </w:rPr>
              <w:t>环境影响分析</w:t>
            </w:r>
          </w:p>
          <w:p w14:paraId="151B22CD">
            <w:pPr>
              <w:pStyle w:val="58"/>
              <w:kinsoku w:val="0"/>
              <w:overflowPunct w:val="0"/>
              <w:autoSpaceDE w:val="0"/>
              <w:autoSpaceDN w:val="0"/>
              <w:spacing w:line="360" w:lineRule="auto"/>
              <w:ind w:firstLine="480"/>
              <w:rPr>
                <w:rFonts w:hint="default" w:eastAsia="宋体"/>
                <w:color w:val="auto"/>
                <w:lang w:val="en-US" w:eastAsia="zh-CN"/>
              </w:rPr>
            </w:pPr>
            <w:r>
              <w:rPr>
                <w:rFonts w:hint="eastAsia" w:cs="Times New Roman"/>
                <w:color w:val="auto"/>
                <w:kern w:val="0"/>
                <w:sz w:val="24"/>
                <w:szCs w:val="24"/>
                <w:highlight w:val="none"/>
                <w:lang w:val="en-US" w:eastAsia="zh-CN" w:bidi="ar-SA"/>
              </w:rPr>
              <w:t>本项目</w:t>
            </w:r>
            <w:r>
              <w:rPr>
                <w:rFonts w:hint="eastAsia"/>
                <w:color w:val="auto"/>
                <w:spacing w:val="4"/>
                <w:sz w:val="24"/>
                <w:lang w:val="en-US" w:eastAsia="zh-CN"/>
              </w:rPr>
              <w:t>燃生物质</w:t>
            </w:r>
            <w:r>
              <w:rPr>
                <w:rFonts w:hint="eastAsia"/>
                <w:color w:val="auto"/>
                <w:spacing w:val="4"/>
                <w:sz w:val="24"/>
              </w:rPr>
              <w:t>导热油炉</w:t>
            </w:r>
            <w:r>
              <w:rPr>
                <w:rFonts w:hint="eastAsia" w:cs="Times New Roman"/>
                <w:color w:val="auto"/>
                <w:kern w:val="0"/>
                <w:sz w:val="24"/>
                <w:szCs w:val="24"/>
                <w:highlight w:val="none"/>
                <w:lang w:val="en-US" w:eastAsia="zh-CN" w:bidi="ar-SA"/>
              </w:rPr>
              <w:t>废气采用</w:t>
            </w:r>
            <w:r>
              <w:rPr>
                <w:rFonts w:hint="eastAsia"/>
                <w:bCs/>
                <w:color w:val="auto"/>
                <w:sz w:val="24"/>
                <w:highlight w:val="none"/>
                <w:lang w:val="en-US" w:eastAsia="zh-CN"/>
              </w:rPr>
              <w:t>旋风除尘+</w:t>
            </w:r>
            <w:r>
              <w:rPr>
                <w:rFonts w:hint="eastAsia" w:cs="Times New Roman"/>
                <w:color w:val="auto"/>
                <w:kern w:val="0"/>
                <w:sz w:val="24"/>
                <w:szCs w:val="24"/>
                <w:highlight w:val="none"/>
                <w:lang w:val="en-US" w:eastAsia="zh-CN" w:bidi="ar-SA"/>
              </w:rPr>
              <w:t>布袋除尘器处理，处理后废气经30m高排气筒（DA001）排放。</w:t>
            </w:r>
            <w:r>
              <w:rPr>
                <w:rFonts w:hint="default"/>
                <w:color w:val="auto"/>
                <w:sz w:val="24"/>
                <w:lang w:val="en-US" w:eastAsia="zh-CN"/>
              </w:rPr>
              <w:t>颗粒物、SO</w:t>
            </w:r>
            <w:r>
              <w:rPr>
                <w:rFonts w:hint="default"/>
                <w:color w:val="auto"/>
                <w:sz w:val="24"/>
                <w:vertAlign w:val="subscript"/>
                <w:lang w:val="en-US" w:eastAsia="zh-CN"/>
              </w:rPr>
              <w:t>2</w:t>
            </w:r>
            <w:r>
              <w:rPr>
                <w:rFonts w:hint="eastAsia"/>
                <w:color w:val="auto"/>
                <w:sz w:val="24"/>
                <w:lang w:val="en-US" w:eastAsia="zh-CN"/>
              </w:rPr>
              <w:t>、</w:t>
            </w:r>
            <w:r>
              <w:rPr>
                <w:rFonts w:hint="default"/>
                <w:color w:val="auto"/>
                <w:sz w:val="24"/>
                <w:lang w:val="en-US" w:eastAsia="zh-CN"/>
              </w:rPr>
              <w:t>NOx排放</w:t>
            </w:r>
            <w:r>
              <w:rPr>
                <w:rFonts w:hint="eastAsia"/>
                <w:color w:val="auto"/>
                <w:sz w:val="24"/>
                <w:lang w:val="en-US" w:eastAsia="zh-CN"/>
              </w:rPr>
              <w:t>浓度</w:t>
            </w:r>
            <w:r>
              <w:rPr>
                <w:rFonts w:hint="default"/>
                <w:color w:val="auto"/>
                <w:sz w:val="24"/>
                <w:lang w:val="en-US" w:eastAsia="zh-CN"/>
              </w:rPr>
              <w:t>均满足</w:t>
            </w:r>
            <w:r>
              <w:rPr>
                <w:rFonts w:hint="eastAsia"/>
                <w:color w:val="auto"/>
                <w:sz w:val="24"/>
                <w:lang w:val="en-US" w:eastAsia="zh-CN"/>
              </w:rPr>
              <w:t>《锅炉大气污染物排放标准》（GB13271-2014）表2中燃煤锅炉大气污染物标准限值要求</w:t>
            </w:r>
            <w:r>
              <w:rPr>
                <w:rFonts w:hint="default"/>
                <w:color w:val="auto"/>
                <w:sz w:val="24"/>
                <w:lang w:val="en-US" w:eastAsia="zh-CN"/>
              </w:rPr>
              <w:t>。</w:t>
            </w:r>
            <w:r>
              <w:rPr>
                <w:rFonts w:hint="eastAsia"/>
                <w:color w:val="auto"/>
                <w:sz w:val="24"/>
                <w:lang w:val="en-US" w:eastAsia="zh-CN"/>
              </w:rPr>
              <w:t>无组织颗粒物采取密闭厂房，加强通风方式，</w:t>
            </w:r>
            <w:r>
              <w:rPr>
                <w:rFonts w:hint="eastAsia" w:cs="Times New Roman"/>
                <w:color w:val="auto"/>
                <w:kern w:val="0"/>
                <w:sz w:val="24"/>
                <w:szCs w:val="24"/>
                <w:lang w:val="en-US" w:eastAsia="zh-CN"/>
              </w:rPr>
              <w:t>厂界无组织颗粒物满足</w:t>
            </w:r>
            <w:r>
              <w:rPr>
                <w:rFonts w:hint="eastAsia" w:ascii="Times New Roman" w:hAnsi="Times New Roman" w:eastAsia="宋体" w:cs="Times New Roman"/>
                <w:bCs/>
                <w:color w:val="auto"/>
                <w:sz w:val="24"/>
              </w:rPr>
              <w:t>《大气污染物综合排放标准》（GB16297-1996）表2中无组织排放限值</w:t>
            </w:r>
            <w:r>
              <w:rPr>
                <w:rFonts w:hint="eastAsia" w:ascii="Times New Roman" w:hAnsi="Times New Roman" w:eastAsia="宋体" w:cs="Times New Roman"/>
                <w:bCs/>
                <w:color w:val="auto"/>
                <w:sz w:val="24"/>
                <w:lang w:eastAsia="zh-CN"/>
              </w:rPr>
              <w:t>。</w:t>
            </w:r>
          </w:p>
          <w:p w14:paraId="7ACE3A74">
            <w:pPr>
              <w:pStyle w:val="35"/>
              <w:spacing w:before="0" w:beforeAutospacing="0" w:after="0" w:afterAutospacing="0" w:line="360" w:lineRule="auto"/>
              <w:ind w:firstLine="480" w:firstLineChars="200"/>
              <w:rPr>
                <w:rFonts w:ascii="Times New Roman" w:hAnsi="Times New Roman"/>
                <w:b/>
                <w:bCs/>
                <w:color w:val="auto"/>
                <w:szCs w:val="24"/>
              </w:rPr>
            </w:pPr>
            <w:r>
              <w:rPr>
                <w:rFonts w:ascii="Times New Roman" w:hAnsi="Times New Roman"/>
                <w:color w:val="auto"/>
              </w:rPr>
              <w:t>综上所述，</w:t>
            </w:r>
            <w:r>
              <w:rPr>
                <w:rFonts w:ascii="Times New Roman" w:hAnsi="Times New Roman" w:eastAsiaTheme="minorEastAsia"/>
                <w:color w:val="auto"/>
              </w:rPr>
              <w:t>从环境空气的角度，本项目的建设是可行的。</w:t>
            </w:r>
          </w:p>
          <w:p w14:paraId="4D4F52CF">
            <w:pPr>
              <w:pStyle w:val="35"/>
              <w:spacing w:before="0" w:beforeAutospacing="0" w:after="0" w:afterAutospacing="0" w:line="360" w:lineRule="auto"/>
              <w:ind w:firstLine="482" w:firstLineChars="200"/>
              <w:rPr>
                <w:rFonts w:ascii="Times New Roman" w:hAnsi="Times New Roman"/>
                <w:b/>
                <w:bCs/>
                <w:color w:val="auto"/>
                <w:szCs w:val="24"/>
              </w:rPr>
            </w:pPr>
            <w:r>
              <w:rPr>
                <w:rFonts w:hint="eastAsia" w:ascii="Times New Roman" w:hAnsi="Times New Roman"/>
                <w:b/>
                <w:bCs/>
                <w:color w:val="auto"/>
                <w:szCs w:val="24"/>
              </w:rPr>
              <w:t>二、</w:t>
            </w:r>
            <w:r>
              <w:rPr>
                <w:rFonts w:ascii="Times New Roman" w:hAnsi="Times New Roman"/>
                <w:b/>
                <w:bCs/>
                <w:color w:val="auto"/>
                <w:szCs w:val="24"/>
              </w:rPr>
              <w:t>废水</w:t>
            </w:r>
          </w:p>
          <w:p w14:paraId="02B12724">
            <w:pPr>
              <w:pStyle w:val="58"/>
              <w:kinsoku w:val="0"/>
              <w:overflowPunct w:val="0"/>
              <w:autoSpaceDE w:val="0"/>
              <w:autoSpaceDN w:val="0"/>
              <w:spacing w:line="360" w:lineRule="auto"/>
              <w:ind w:firstLine="480"/>
              <w:rPr>
                <w:rFonts w:hint="default" w:eastAsiaTheme="minorEastAsia"/>
                <w:color w:val="auto"/>
                <w:lang w:val="en-US" w:eastAsia="zh-CN"/>
              </w:rPr>
            </w:pPr>
            <w:r>
              <w:rPr>
                <w:rFonts w:hint="eastAsia" w:eastAsiaTheme="minorEastAsia"/>
                <w:color w:val="auto"/>
                <w:lang w:val="en-US" w:eastAsia="zh-CN"/>
              </w:rPr>
              <w:t>本项目不用水，不产生废水。</w:t>
            </w:r>
          </w:p>
          <w:p w14:paraId="43603C06">
            <w:pPr>
              <w:pStyle w:val="35"/>
              <w:spacing w:before="0" w:beforeAutospacing="0" w:after="0" w:afterAutospacing="0" w:line="360" w:lineRule="auto"/>
              <w:ind w:firstLine="482" w:firstLineChars="200"/>
              <w:rPr>
                <w:rFonts w:ascii="Times New Roman" w:hAnsi="Times New Roman"/>
                <w:b/>
                <w:bCs/>
                <w:color w:val="auto"/>
                <w:szCs w:val="24"/>
              </w:rPr>
            </w:pPr>
            <w:r>
              <w:rPr>
                <w:rFonts w:hint="eastAsia" w:ascii="Times New Roman" w:hAnsi="Times New Roman"/>
                <w:b/>
                <w:bCs/>
                <w:color w:val="auto"/>
                <w:szCs w:val="24"/>
              </w:rPr>
              <w:t>三、</w:t>
            </w:r>
            <w:r>
              <w:rPr>
                <w:rFonts w:ascii="Times New Roman" w:hAnsi="Times New Roman"/>
                <w:b/>
                <w:bCs/>
                <w:color w:val="auto"/>
                <w:szCs w:val="24"/>
              </w:rPr>
              <w:t>噪声</w:t>
            </w:r>
          </w:p>
          <w:p w14:paraId="205DAEE7">
            <w:pPr>
              <w:pStyle w:val="35"/>
              <w:spacing w:before="0" w:beforeAutospacing="0" w:after="0" w:afterAutospacing="0" w:line="360" w:lineRule="auto"/>
              <w:ind w:firstLine="480" w:firstLineChars="200"/>
              <w:rPr>
                <w:rFonts w:ascii="Times New Roman" w:hAnsi="Times New Roman"/>
                <w:color w:val="auto"/>
                <w:szCs w:val="24"/>
              </w:rPr>
            </w:pPr>
            <w:r>
              <w:rPr>
                <w:rFonts w:hint="eastAsia" w:ascii="Times New Roman" w:hAnsi="Times New Roman"/>
                <w:color w:val="auto"/>
                <w:szCs w:val="24"/>
              </w:rPr>
              <w:t>1、源强核算及达标排放情况</w:t>
            </w:r>
          </w:p>
          <w:p w14:paraId="3F937291">
            <w:pPr>
              <w:pStyle w:val="58"/>
              <w:adjustRightInd w:val="0"/>
              <w:snapToGrid w:val="0"/>
              <w:spacing w:line="360" w:lineRule="auto"/>
              <w:ind w:firstLine="480"/>
              <w:rPr>
                <w:b/>
                <w:color w:val="auto"/>
                <w:szCs w:val="24"/>
              </w:rPr>
            </w:pPr>
            <w:r>
              <w:rPr>
                <w:color w:val="auto"/>
              </w:rPr>
              <w:t>本项目投产后</w:t>
            </w:r>
            <w:r>
              <w:rPr>
                <w:color w:val="auto"/>
                <w:szCs w:val="24"/>
              </w:rPr>
              <w:t>噪声源主要由各种运转设备产生，主要来自</w:t>
            </w:r>
            <w:r>
              <w:rPr>
                <w:rFonts w:hint="eastAsia"/>
                <w:color w:val="auto"/>
                <w:szCs w:val="21"/>
                <w:lang w:val="en-US" w:eastAsia="zh-CN"/>
              </w:rPr>
              <w:t>1800KW燃生物质导热油炉、风机、烘干箱、布袋除尘器、干燥锅、滚筒筛、混料机、烘干箱。</w:t>
            </w:r>
            <w:r>
              <w:rPr>
                <w:color w:val="auto"/>
                <w:szCs w:val="24"/>
              </w:rPr>
              <w:t>等设备产生的噪声。</w:t>
            </w:r>
            <w:r>
              <w:rPr>
                <w:color w:val="auto"/>
              </w:rPr>
              <w:t>根据同类型</w:t>
            </w:r>
            <w:r>
              <w:rPr>
                <w:rFonts w:hint="eastAsia"/>
                <w:color w:val="auto"/>
              </w:rPr>
              <w:t>机械加工生产线</w:t>
            </w:r>
            <w:r>
              <w:rPr>
                <w:color w:val="auto"/>
              </w:rPr>
              <w:t>的调查，主要设备噪声声压级见表4-</w:t>
            </w:r>
            <w:r>
              <w:rPr>
                <w:rFonts w:hint="eastAsia"/>
                <w:color w:val="auto"/>
                <w:lang w:val="en-US" w:eastAsia="zh-CN"/>
              </w:rPr>
              <w:t>7</w:t>
            </w:r>
            <w:r>
              <w:rPr>
                <w:color w:val="auto"/>
              </w:rPr>
              <w:t>。</w:t>
            </w:r>
          </w:p>
          <w:p w14:paraId="2C8682E3">
            <w:pPr>
              <w:jc w:val="center"/>
              <w:rPr>
                <w:b/>
                <w:bCs/>
                <w:iCs/>
                <w:color w:val="auto"/>
                <w:kern w:val="0"/>
                <w:szCs w:val="21"/>
              </w:rPr>
            </w:pPr>
            <w:r>
              <w:rPr>
                <w:b/>
                <w:bCs/>
                <w:iCs/>
                <w:color w:val="auto"/>
                <w:kern w:val="0"/>
                <w:szCs w:val="21"/>
              </w:rPr>
              <w:t>表</w:t>
            </w:r>
            <w:r>
              <w:rPr>
                <w:rFonts w:hint="eastAsia"/>
                <w:b/>
                <w:bCs/>
                <w:iCs/>
                <w:color w:val="auto"/>
                <w:kern w:val="0"/>
                <w:szCs w:val="21"/>
              </w:rPr>
              <w:t>4</w:t>
            </w:r>
            <w:r>
              <w:rPr>
                <w:rFonts w:hint="eastAsia"/>
                <w:b/>
                <w:bCs/>
                <w:iCs/>
                <w:color w:val="auto"/>
                <w:kern w:val="0"/>
                <w:szCs w:val="21"/>
                <w:lang w:val="en-US" w:eastAsia="zh-CN"/>
              </w:rPr>
              <w:t>-7</w:t>
            </w:r>
            <w:r>
              <w:rPr>
                <w:rFonts w:hint="eastAsia"/>
                <w:b/>
                <w:bCs/>
                <w:iCs/>
                <w:color w:val="auto"/>
                <w:kern w:val="0"/>
                <w:szCs w:val="21"/>
              </w:rPr>
              <w:t xml:space="preserve"> </w:t>
            </w:r>
            <w:r>
              <w:rPr>
                <w:b/>
                <w:bCs/>
                <w:iCs/>
                <w:color w:val="auto"/>
                <w:kern w:val="0"/>
                <w:szCs w:val="21"/>
              </w:rPr>
              <w:t xml:space="preserve"> 噪声污染源源强</w:t>
            </w:r>
            <w:r>
              <w:rPr>
                <w:rFonts w:hint="eastAsia"/>
                <w:b/>
                <w:bCs/>
                <w:iCs/>
                <w:color w:val="auto"/>
                <w:kern w:val="0"/>
                <w:szCs w:val="21"/>
              </w:rPr>
              <w:t>调查清单</w:t>
            </w:r>
          </w:p>
          <w:tbl>
            <w:tblPr>
              <w:tblStyle w:val="40"/>
              <w:tblW w:w="80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3"/>
              <w:gridCol w:w="450"/>
              <w:gridCol w:w="1152"/>
              <w:gridCol w:w="420"/>
              <w:gridCol w:w="465"/>
              <w:gridCol w:w="498"/>
              <w:gridCol w:w="510"/>
              <w:gridCol w:w="510"/>
              <w:gridCol w:w="510"/>
              <w:gridCol w:w="510"/>
              <w:gridCol w:w="510"/>
              <w:gridCol w:w="510"/>
              <w:gridCol w:w="510"/>
              <w:gridCol w:w="510"/>
              <w:gridCol w:w="516"/>
            </w:tblGrid>
            <w:tr w14:paraId="44576E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vMerge w:val="restart"/>
                  <w:tcBorders>
                    <w:tl2br w:val="nil"/>
                    <w:tr2bl w:val="nil"/>
                  </w:tcBorders>
                  <w:vAlign w:val="center"/>
                </w:tcPr>
                <w:p w14:paraId="41F21491">
                  <w:pPr>
                    <w:pStyle w:val="47"/>
                    <w:widowControl/>
                    <w:spacing w:line="360" w:lineRule="auto"/>
                    <w:rPr>
                      <w:rFonts w:ascii="Times New Roman" w:hAnsi="Times New Roman" w:cs="Times New Roman"/>
                      <w:bCs/>
                      <w:color w:val="auto"/>
                      <w:sz w:val="18"/>
                      <w:szCs w:val="18"/>
                    </w:rPr>
                  </w:pPr>
                  <w:r>
                    <w:rPr>
                      <w:rFonts w:ascii="Times New Roman" w:hAnsi="Times New Roman" w:cs="Times New Roman"/>
                      <w:bCs/>
                      <w:color w:val="auto"/>
                      <w:sz w:val="18"/>
                      <w:szCs w:val="18"/>
                    </w:rPr>
                    <w:t>序号</w:t>
                  </w:r>
                </w:p>
              </w:tc>
              <w:tc>
                <w:tcPr>
                  <w:tcW w:w="450" w:type="dxa"/>
                  <w:vMerge w:val="restart"/>
                  <w:tcBorders>
                    <w:tl2br w:val="nil"/>
                    <w:tr2bl w:val="nil"/>
                  </w:tcBorders>
                  <w:vAlign w:val="center"/>
                </w:tcPr>
                <w:p w14:paraId="593E27A4">
                  <w:pPr>
                    <w:pStyle w:val="47"/>
                    <w:widowControl/>
                    <w:spacing w:line="360" w:lineRule="auto"/>
                    <w:rPr>
                      <w:rFonts w:ascii="Times New Roman" w:hAnsi="Times New Roman" w:cs="Times New Roman"/>
                      <w:bCs/>
                      <w:color w:val="auto"/>
                      <w:sz w:val="18"/>
                      <w:szCs w:val="18"/>
                    </w:rPr>
                  </w:pPr>
                  <w:r>
                    <w:rPr>
                      <w:rFonts w:ascii="Times New Roman" w:hAnsi="Times New Roman" w:cs="Times New Roman"/>
                      <w:bCs/>
                      <w:color w:val="auto"/>
                      <w:sz w:val="18"/>
                      <w:szCs w:val="18"/>
                    </w:rPr>
                    <w:t>建筑物名称</w:t>
                  </w:r>
                </w:p>
              </w:tc>
              <w:tc>
                <w:tcPr>
                  <w:tcW w:w="1152" w:type="dxa"/>
                  <w:vMerge w:val="restart"/>
                  <w:tcBorders>
                    <w:tl2br w:val="nil"/>
                    <w:tr2bl w:val="nil"/>
                  </w:tcBorders>
                  <w:vAlign w:val="center"/>
                </w:tcPr>
                <w:p w14:paraId="72A7DD6B">
                  <w:pPr>
                    <w:pStyle w:val="47"/>
                    <w:widowControl/>
                    <w:spacing w:line="360" w:lineRule="auto"/>
                    <w:rPr>
                      <w:rFonts w:ascii="Times New Roman" w:hAnsi="Times New Roman" w:cs="Times New Roman"/>
                      <w:bCs/>
                      <w:color w:val="auto"/>
                      <w:sz w:val="18"/>
                      <w:szCs w:val="18"/>
                    </w:rPr>
                  </w:pPr>
                  <w:r>
                    <w:rPr>
                      <w:rFonts w:ascii="Times New Roman" w:hAnsi="Times New Roman" w:cs="Times New Roman"/>
                      <w:bCs/>
                      <w:color w:val="auto"/>
                      <w:sz w:val="18"/>
                      <w:szCs w:val="18"/>
                    </w:rPr>
                    <w:t>声源名称</w:t>
                  </w:r>
                </w:p>
              </w:tc>
              <w:tc>
                <w:tcPr>
                  <w:tcW w:w="885" w:type="dxa"/>
                  <w:gridSpan w:val="2"/>
                  <w:tcBorders>
                    <w:tl2br w:val="nil"/>
                    <w:tr2bl w:val="nil"/>
                  </w:tcBorders>
                  <w:vAlign w:val="center"/>
                </w:tcPr>
                <w:p w14:paraId="2E97EAF5">
                  <w:pPr>
                    <w:pStyle w:val="47"/>
                    <w:widowControl/>
                    <w:spacing w:line="360" w:lineRule="auto"/>
                    <w:rPr>
                      <w:rFonts w:ascii="Times New Roman" w:hAnsi="Times New Roman" w:cs="Times New Roman"/>
                      <w:bCs/>
                      <w:color w:val="auto"/>
                      <w:sz w:val="18"/>
                      <w:szCs w:val="18"/>
                    </w:rPr>
                  </w:pPr>
                  <w:r>
                    <w:rPr>
                      <w:rFonts w:ascii="Times New Roman" w:hAnsi="Times New Roman" w:cs="Times New Roman"/>
                      <w:bCs/>
                      <w:color w:val="auto"/>
                      <w:sz w:val="18"/>
                      <w:szCs w:val="18"/>
                    </w:rPr>
                    <w:t>声源源强</w:t>
                  </w:r>
                </w:p>
              </w:tc>
              <w:tc>
                <w:tcPr>
                  <w:tcW w:w="498" w:type="dxa"/>
                  <w:vMerge w:val="restart"/>
                  <w:tcBorders>
                    <w:tl2br w:val="nil"/>
                    <w:tr2bl w:val="nil"/>
                  </w:tcBorders>
                  <w:vAlign w:val="center"/>
                </w:tcPr>
                <w:p w14:paraId="418FFE0A">
                  <w:pPr>
                    <w:pStyle w:val="47"/>
                    <w:widowControl/>
                    <w:spacing w:line="360" w:lineRule="auto"/>
                    <w:rPr>
                      <w:rFonts w:ascii="Times New Roman" w:hAnsi="Times New Roman" w:cs="Times New Roman"/>
                      <w:bCs/>
                      <w:color w:val="auto"/>
                      <w:sz w:val="18"/>
                      <w:szCs w:val="18"/>
                    </w:rPr>
                  </w:pPr>
                  <w:r>
                    <w:rPr>
                      <w:rFonts w:ascii="Times New Roman" w:hAnsi="Times New Roman" w:cs="Times New Roman"/>
                      <w:bCs/>
                      <w:color w:val="auto"/>
                      <w:sz w:val="18"/>
                      <w:szCs w:val="18"/>
                    </w:rPr>
                    <w:t>声源控制措施</w:t>
                  </w:r>
                </w:p>
              </w:tc>
              <w:tc>
                <w:tcPr>
                  <w:tcW w:w="1530" w:type="dxa"/>
                  <w:gridSpan w:val="3"/>
                  <w:tcBorders>
                    <w:tl2br w:val="nil"/>
                    <w:tr2bl w:val="nil"/>
                  </w:tcBorders>
                  <w:vAlign w:val="center"/>
                </w:tcPr>
                <w:p w14:paraId="6A47253A">
                  <w:pPr>
                    <w:pStyle w:val="47"/>
                    <w:widowControl/>
                    <w:spacing w:line="360" w:lineRule="auto"/>
                    <w:rPr>
                      <w:rFonts w:ascii="Times New Roman" w:hAnsi="Times New Roman" w:cs="Times New Roman"/>
                      <w:bCs/>
                      <w:color w:val="auto"/>
                      <w:sz w:val="18"/>
                      <w:szCs w:val="18"/>
                    </w:rPr>
                  </w:pPr>
                  <w:r>
                    <w:rPr>
                      <w:rFonts w:ascii="Times New Roman" w:hAnsi="Times New Roman" w:cs="Times New Roman"/>
                      <w:bCs/>
                      <w:color w:val="auto"/>
                      <w:sz w:val="18"/>
                      <w:szCs w:val="18"/>
                    </w:rPr>
                    <w:t>空间相对位置/m</w:t>
                  </w:r>
                </w:p>
              </w:tc>
              <w:tc>
                <w:tcPr>
                  <w:tcW w:w="510" w:type="dxa"/>
                  <w:vMerge w:val="restart"/>
                  <w:tcBorders>
                    <w:tl2br w:val="nil"/>
                    <w:tr2bl w:val="nil"/>
                  </w:tcBorders>
                  <w:vAlign w:val="center"/>
                </w:tcPr>
                <w:p w14:paraId="75E5DB2A">
                  <w:pPr>
                    <w:pStyle w:val="47"/>
                    <w:widowControl/>
                    <w:spacing w:line="360" w:lineRule="auto"/>
                    <w:rPr>
                      <w:rFonts w:ascii="Times New Roman" w:hAnsi="Times New Roman" w:cs="Times New Roman"/>
                      <w:bCs/>
                      <w:color w:val="auto"/>
                      <w:sz w:val="18"/>
                      <w:szCs w:val="18"/>
                    </w:rPr>
                  </w:pPr>
                  <w:r>
                    <w:rPr>
                      <w:rFonts w:ascii="Times New Roman" w:hAnsi="Times New Roman" w:cs="Times New Roman"/>
                      <w:bCs/>
                      <w:color w:val="auto"/>
                      <w:sz w:val="18"/>
                      <w:szCs w:val="18"/>
                    </w:rPr>
                    <w:t>距室内边界距离</w:t>
                  </w:r>
                </w:p>
              </w:tc>
              <w:tc>
                <w:tcPr>
                  <w:tcW w:w="510" w:type="dxa"/>
                  <w:vMerge w:val="restart"/>
                  <w:tcBorders>
                    <w:tl2br w:val="nil"/>
                    <w:tr2bl w:val="nil"/>
                  </w:tcBorders>
                  <w:vAlign w:val="center"/>
                </w:tcPr>
                <w:p w14:paraId="7DB3E2C2">
                  <w:pPr>
                    <w:pStyle w:val="47"/>
                    <w:widowControl/>
                    <w:spacing w:line="360" w:lineRule="auto"/>
                    <w:rPr>
                      <w:rFonts w:ascii="Times New Roman" w:hAnsi="Times New Roman" w:cs="Times New Roman"/>
                      <w:bCs/>
                      <w:color w:val="auto"/>
                      <w:sz w:val="18"/>
                      <w:szCs w:val="18"/>
                    </w:rPr>
                  </w:pPr>
                  <w:r>
                    <w:rPr>
                      <w:rFonts w:ascii="Times New Roman" w:hAnsi="Times New Roman" w:cs="Times New Roman"/>
                      <w:bCs/>
                      <w:color w:val="auto"/>
                      <w:sz w:val="18"/>
                      <w:szCs w:val="18"/>
                    </w:rPr>
                    <w:t>室内边界声级/dB(A)</w:t>
                  </w:r>
                </w:p>
              </w:tc>
              <w:tc>
                <w:tcPr>
                  <w:tcW w:w="510" w:type="dxa"/>
                  <w:vMerge w:val="restart"/>
                  <w:tcBorders>
                    <w:tl2br w:val="nil"/>
                    <w:tr2bl w:val="nil"/>
                  </w:tcBorders>
                  <w:vAlign w:val="center"/>
                </w:tcPr>
                <w:p w14:paraId="6762276B">
                  <w:pPr>
                    <w:pStyle w:val="47"/>
                    <w:widowControl/>
                    <w:spacing w:line="360" w:lineRule="auto"/>
                    <w:rPr>
                      <w:rFonts w:ascii="Times New Roman" w:hAnsi="Times New Roman" w:cs="Times New Roman"/>
                      <w:bCs/>
                      <w:color w:val="auto"/>
                      <w:sz w:val="18"/>
                      <w:szCs w:val="18"/>
                    </w:rPr>
                  </w:pPr>
                  <w:r>
                    <w:rPr>
                      <w:rFonts w:ascii="Times New Roman" w:hAnsi="Times New Roman" w:cs="Times New Roman"/>
                      <w:bCs/>
                      <w:color w:val="auto"/>
                      <w:sz w:val="18"/>
                      <w:szCs w:val="18"/>
                    </w:rPr>
                    <w:t>运行时段</w:t>
                  </w:r>
                </w:p>
              </w:tc>
              <w:tc>
                <w:tcPr>
                  <w:tcW w:w="510" w:type="dxa"/>
                  <w:vMerge w:val="restart"/>
                  <w:tcBorders>
                    <w:tl2br w:val="nil"/>
                    <w:tr2bl w:val="nil"/>
                  </w:tcBorders>
                  <w:vAlign w:val="center"/>
                </w:tcPr>
                <w:p w14:paraId="1F451115">
                  <w:pPr>
                    <w:pStyle w:val="47"/>
                    <w:widowControl/>
                    <w:spacing w:line="360" w:lineRule="auto"/>
                    <w:rPr>
                      <w:rFonts w:ascii="Times New Roman" w:hAnsi="Times New Roman" w:cs="Times New Roman"/>
                      <w:bCs/>
                      <w:color w:val="auto"/>
                      <w:sz w:val="18"/>
                      <w:szCs w:val="18"/>
                    </w:rPr>
                  </w:pPr>
                  <w:r>
                    <w:rPr>
                      <w:rFonts w:ascii="Times New Roman" w:hAnsi="Times New Roman" w:cs="Times New Roman"/>
                      <w:bCs/>
                      <w:color w:val="auto"/>
                      <w:sz w:val="18"/>
                      <w:szCs w:val="18"/>
                    </w:rPr>
                    <w:t>建筑物插入损失/dB(A)</w:t>
                  </w:r>
                </w:p>
              </w:tc>
              <w:tc>
                <w:tcPr>
                  <w:tcW w:w="1026" w:type="dxa"/>
                  <w:gridSpan w:val="2"/>
                  <w:tcBorders>
                    <w:tl2br w:val="nil"/>
                    <w:tr2bl w:val="nil"/>
                  </w:tcBorders>
                  <w:vAlign w:val="center"/>
                </w:tcPr>
                <w:p w14:paraId="1846B712">
                  <w:pPr>
                    <w:pStyle w:val="47"/>
                    <w:widowControl/>
                    <w:spacing w:line="360" w:lineRule="auto"/>
                    <w:rPr>
                      <w:rFonts w:ascii="Times New Roman" w:hAnsi="Times New Roman" w:cs="Times New Roman"/>
                      <w:bCs/>
                      <w:color w:val="auto"/>
                      <w:sz w:val="18"/>
                      <w:szCs w:val="18"/>
                    </w:rPr>
                  </w:pPr>
                  <w:r>
                    <w:rPr>
                      <w:rFonts w:ascii="Times New Roman" w:hAnsi="Times New Roman" w:cs="Times New Roman"/>
                      <w:bCs/>
                      <w:color w:val="auto"/>
                      <w:sz w:val="18"/>
                      <w:szCs w:val="18"/>
                    </w:rPr>
                    <w:t>建筑物外噪声</w:t>
                  </w:r>
                </w:p>
              </w:tc>
            </w:tr>
            <w:tr w14:paraId="0948F6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vMerge w:val="continue"/>
                  <w:tcBorders>
                    <w:tl2br w:val="nil"/>
                    <w:tr2bl w:val="nil"/>
                  </w:tcBorders>
                  <w:vAlign w:val="center"/>
                </w:tcPr>
                <w:p w14:paraId="6853AD4B">
                  <w:pPr>
                    <w:pStyle w:val="47"/>
                    <w:widowControl/>
                    <w:spacing w:line="360" w:lineRule="auto"/>
                    <w:rPr>
                      <w:rFonts w:ascii="Times New Roman" w:hAnsi="Times New Roman" w:cs="Times New Roman"/>
                      <w:bCs/>
                      <w:color w:val="auto"/>
                      <w:sz w:val="18"/>
                      <w:szCs w:val="18"/>
                    </w:rPr>
                  </w:pPr>
                </w:p>
              </w:tc>
              <w:tc>
                <w:tcPr>
                  <w:tcW w:w="450" w:type="dxa"/>
                  <w:vMerge w:val="continue"/>
                  <w:tcBorders>
                    <w:tl2br w:val="nil"/>
                    <w:tr2bl w:val="nil"/>
                  </w:tcBorders>
                  <w:vAlign w:val="center"/>
                </w:tcPr>
                <w:p w14:paraId="54B4C467">
                  <w:pPr>
                    <w:pStyle w:val="47"/>
                    <w:widowControl/>
                    <w:spacing w:line="360" w:lineRule="auto"/>
                    <w:rPr>
                      <w:rFonts w:ascii="Times New Roman" w:hAnsi="Times New Roman" w:cs="Times New Roman"/>
                      <w:bCs/>
                      <w:color w:val="auto"/>
                      <w:sz w:val="18"/>
                      <w:szCs w:val="18"/>
                    </w:rPr>
                  </w:pPr>
                </w:p>
              </w:tc>
              <w:tc>
                <w:tcPr>
                  <w:tcW w:w="1152" w:type="dxa"/>
                  <w:vMerge w:val="continue"/>
                  <w:tcBorders>
                    <w:tl2br w:val="nil"/>
                    <w:tr2bl w:val="nil"/>
                  </w:tcBorders>
                  <w:vAlign w:val="center"/>
                </w:tcPr>
                <w:p w14:paraId="762D97C2">
                  <w:pPr>
                    <w:pStyle w:val="47"/>
                    <w:widowControl/>
                    <w:spacing w:line="360" w:lineRule="auto"/>
                    <w:rPr>
                      <w:rFonts w:ascii="Times New Roman" w:hAnsi="Times New Roman" w:cs="Times New Roman"/>
                      <w:bCs/>
                      <w:color w:val="auto"/>
                      <w:sz w:val="18"/>
                      <w:szCs w:val="18"/>
                    </w:rPr>
                  </w:pPr>
                </w:p>
              </w:tc>
              <w:tc>
                <w:tcPr>
                  <w:tcW w:w="420" w:type="dxa"/>
                  <w:tcBorders>
                    <w:tl2br w:val="nil"/>
                    <w:tr2bl w:val="nil"/>
                  </w:tcBorders>
                  <w:vAlign w:val="center"/>
                </w:tcPr>
                <w:p w14:paraId="4E4CCF8D">
                  <w:pPr>
                    <w:pStyle w:val="47"/>
                    <w:widowControl/>
                    <w:spacing w:line="360" w:lineRule="auto"/>
                    <w:rPr>
                      <w:rFonts w:ascii="Times New Roman" w:hAnsi="Times New Roman" w:cs="Times New Roman"/>
                      <w:bCs/>
                      <w:color w:val="auto"/>
                      <w:sz w:val="18"/>
                      <w:szCs w:val="18"/>
                    </w:rPr>
                  </w:pPr>
                  <w:r>
                    <w:rPr>
                      <w:rFonts w:ascii="Times New Roman" w:hAnsi="Times New Roman" w:cs="Times New Roman"/>
                      <w:bCs/>
                      <w:color w:val="auto"/>
                      <w:sz w:val="18"/>
                      <w:szCs w:val="18"/>
                    </w:rPr>
                    <w:t>声压级/dB(A)</w:t>
                  </w:r>
                </w:p>
              </w:tc>
              <w:tc>
                <w:tcPr>
                  <w:tcW w:w="465" w:type="dxa"/>
                  <w:tcBorders>
                    <w:tl2br w:val="nil"/>
                    <w:tr2bl w:val="nil"/>
                  </w:tcBorders>
                  <w:vAlign w:val="center"/>
                </w:tcPr>
                <w:p w14:paraId="1E6E9DED">
                  <w:pPr>
                    <w:widowControl/>
                    <w:spacing w:line="360" w:lineRule="auto"/>
                    <w:jc w:val="center"/>
                    <w:rPr>
                      <w:bCs/>
                      <w:color w:val="auto"/>
                      <w:kern w:val="0"/>
                      <w:sz w:val="18"/>
                      <w:szCs w:val="18"/>
                    </w:rPr>
                  </w:pPr>
                  <w:r>
                    <w:rPr>
                      <w:bCs/>
                      <w:color w:val="auto"/>
                      <w:kern w:val="0"/>
                      <w:sz w:val="18"/>
                      <w:szCs w:val="18"/>
                    </w:rPr>
                    <w:t>距声源</w:t>
                  </w:r>
                </w:p>
                <w:p w14:paraId="10963CF6">
                  <w:pPr>
                    <w:widowControl/>
                    <w:spacing w:line="360" w:lineRule="auto"/>
                    <w:jc w:val="center"/>
                    <w:rPr>
                      <w:bCs/>
                      <w:color w:val="auto"/>
                      <w:kern w:val="0"/>
                      <w:sz w:val="18"/>
                      <w:szCs w:val="18"/>
                    </w:rPr>
                  </w:pPr>
                  <w:r>
                    <w:rPr>
                      <w:bCs/>
                      <w:color w:val="auto"/>
                      <w:kern w:val="0"/>
                      <w:sz w:val="18"/>
                      <w:szCs w:val="18"/>
                    </w:rPr>
                    <w:t>距离/m</w:t>
                  </w:r>
                </w:p>
              </w:tc>
              <w:tc>
                <w:tcPr>
                  <w:tcW w:w="498" w:type="dxa"/>
                  <w:vMerge w:val="continue"/>
                  <w:tcBorders>
                    <w:tl2br w:val="nil"/>
                    <w:tr2bl w:val="nil"/>
                  </w:tcBorders>
                  <w:vAlign w:val="center"/>
                </w:tcPr>
                <w:p w14:paraId="564A443B">
                  <w:pPr>
                    <w:pStyle w:val="47"/>
                    <w:widowControl/>
                    <w:spacing w:line="360" w:lineRule="auto"/>
                    <w:rPr>
                      <w:rFonts w:ascii="Times New Roman" w:hAnsi="Times New Roman" w:cs="Times New Roman"/>
                      <w:bCs/>
                      <w:color w:val="auto"/>
                      <w:sz w:val="18"/>
                      <w:szCs w:val="18"/>
                    </w:rPr>
                  </w:pPr>
                </w:p>
              </w:tc>
              <w:tc>
                <w:tcPr>
                  <w:tcW w:w="510" w:type="dxa"/>
                  <w:tcBorders>
                    <w:tl2br w:val="nil"/>
                    <w:tr2bl w:val="nil"/>
                  </w:tcBorders>
                  <w:vAlign w:val="center"/>
                </w:tcPr>
                <w:p w14:paraId="2785A761">
                  <w:pPr>
                    <w:pStyle w:val="47"/>
                    <w:widowControl/>
                    <w:spacing w:line="360" w:lineRule="auto"/>
                    <w:rPr>
                      <w:rFonts w:ascii="Times New Roman" w:hAnsi="Times New Roman" w:cs="Times New Roman"/>
                      <w:bCs/>
                      <w:color w:val="auto"/>
                      <w:sz w:val="18"/>
                      <w:szCs w:val="18"/>
                    </w:rPr>
                  </w:pPr>
                  <w:r>
                    <w:rPr>
                      <w:rFonts w:ascii="Times New Roman" w:hAnsi="Times New Roman" w:cs="Times New Roman"/>
                      <w:bCs/>
                      <w:color w:val="auto"/>
                      <w:sz w:val="18"/>
                      <w:szCs w:val="18"/>
                    </w:rPr>
                    <w:t>X</w:t>
                  </w:r>
                </w:p>
              </w:tc>
              <w:tc>
                <w:tcPr>
                  <w:tcW w:w="510" w:type="dxa"/>
                  <w:tcBorders>
                    <w:tl2br w:val="nil"/>
                    <w:tr2bl w:val="nil"/>
                  </w:tcBorders>
                  <w:vAlign w:val="center"/>
                </w:tcPr>
                <w:p w14:paraId="35DC3A6B">
                  <w:pPr>
                    <w:pStyle w:val="47"/>
                    <w:widowControl/>
                    <w:spacing w:line="360" w:lineRule="auto"/>
                    <w:rPr>
                      <w:rFonts w:ascii="Times New Roman" w:hAnsi="Times New Roman" w:cs="Times New Roman"/>
                      <w:bCs/>
                      <w:color w:val="auto"/>
                      <w:sz w:val="18"/>
                      <w:szCs w:val="18"/>
                    </w:rPr>
                  </w:pPr>
                  <w:r>
                    <w:rPr>
                      <w:rFonts w:ascii="Times New Roman" w:hAnsi="Times New Roman" w:cs="Times New Roman"/>
                      <w:bCs/>
                      <w:color w:val="auto"/>
                      <w:sz w:val="18"/>
                      <w:szCs w:val="18"/>
                    </w:rPr>
                    <w:t>Y</w:t>
                  </w:r>
                </w:p>
              </w:tc>
              <w:tc>
                <w:tcPr>
                  <w:tcW w:w="510" w:type="dxa"/>
                  <w:tcBorders>
                    <w:tl2br w:val="nil"/>
                    <w:tr2bl w:val="nil"/>
                  </w:tcBorders>
                  <w:vAlign w:val="center"/>
                </w:tcPr>
                <w:p w14:paraId="3495915B">
                  <w:pPr>
                    <w:pStyle w:val="47"/>
                    <w:widowControl/>
                    <w:spacing w:line="360" w:lineRule="auto"/>
                    <w:rPr>
                      <w:rFonts w:ascii="Times New Roman" w:hAnsi="Times New Roman" w:cs="Times New Roman"/>
                      <w:bCs/>
                      <w:color w:val="auto"/>
                      <w:sz w:val="18"/>
                      <w:szCs w:val="18"/>
                    </w:rPr>
                  </w:pPr>
                  <w:r>
                    <w:rPr>
                      <w:rFonts w:ascii="Times New Roman" w:hAnsi="Times New Roman" w:cs="Times New Roman"/>
                      <w:bCs/>
                      <w:color w:val="auto"/>
                      <w:sz w:val="18"/>
                      <w:szCs w:val="18"/>
                    </w:rPr>
                    <w:t>Z</w:t>
                  </w:r>
                </w:p>
              </w:tc>
              <w:tc>
                <w:tcPr>
                  <w:tcW w:w="510" w:type="dxa"/>
                  <w:vMerge w:val="continue"/>
                  <w:tcBorders>
                    <w:tl2br w:val="nil"/>
                    <w:tr2bl w:val="nil"/>
                  </w:tcBorders>
                  <w:vAlign w:val="center"/>
                </w:tcPr>
                <w:p w14:paraId="3CF73EDE">
                  <w:pPr>
                    <w:pStyle w:val="47"/>
                    <w:widowControl/>
                    <w:spacing w:line="360" w:lineRule="auto"/>
                    <w:rPr>
                      <w:rFonts w:ascii="Times New Roman" w:hAnsi="Times New Roman" w:cs="Times New Roman"/>
                      <w:bCs/>
                      <w:color w:val="auto"/>
                      <w:sz w:val="18"/>
                      <w:szCs w:val="18"/>
                    </w:rPr>
                  </w:pPr>
                </w:p>
              </w:tc>
              <w:tc>
                <w:tcPr>
                  <w:tcW w:w="510" w:type="dxa"/>
                  <w:vMerge w:val="continue"/>
                  <w:tcBorders>
                    <w:tl2br w:val="nil"/>
                    <w:tr2bl w:val="nil"/>
                  </w:tcBorders>
                  <w:vAlign w:val="center"/>
                </w:tcPr>
                <w:p w14:paraId="604ED096">
                  <w:pPr>
                    <w:pStyle w:val="47"/>
                    <w:widowControl/>
                    <w:spacing w:line="360" w:lineRule="auto"/>
                    <w:rPr>
                      <w:rFonts w:ascii="Times New Roman" w:hAnsi="Times New Roman" w:cs="Times New Roman"/>
                      <w:bCs/>
                      <w:color w:val="auto"/>
                      <w:sz w:val="18"/>
                      <w:szCs w:val="18"/>
                    </w:rPr>
                  </w:pPr>
                </w:p>
              </w:tc>
              <w:tc>
                <w:tcPr>
                  <w:tcW w:w="510" w:type="dxa"/>
                  <w:vMerge w:val="continue"/>
                  <w:tcBorders>
                    <w:tl2br w:val="nil"/>
                    <w:tr2bl w:val="nil"/>
                  </w:tcBorders>
                  <w:vAlign w:val="center"/>
                </w:tcPr>
                <w:p w14:paraId="398C4490">
                  <w:pPr>
                    <w:pStyle w:val="47"/>
                    <w:widowControl/>
                    <w:spacing w:line="360" w:lineRule="auto"/>
                    <w:rPr>
                      <w:rFonts w:ascii="Times New Roman" w:hAnsi="Times New Roman" w:cs="Times New Roman"/>
                      <w:bCs/>
                      <w:color w:val="auto"/>
                      <w:sz w:val="18"/>
                      <w:szCs w:val="18"/>
                    </w:rPr>
                  </w:pPr>
                </w:p>
              </w:tc>
              <w:tc>
                <w:tcPr>
                  <w:tcW w:w="510" w:type="dxa"/>
                  <w:vMerge w:val="continue"/>
                  <w:tcBorders>
                    <w:tl2br w:val="nil"/>
                    <w:tr2bl w:val="nil"/>
                  </w:tcBorders>
                  <w:vAlign w:val="center"/>
                </w:tcPr>
                <w:p w14:paraId="368A5A42">
                  <w:pPr>
                    <w:pStyle w:val="47"/>
                    <w:widowControl/>
                    <w:spacing w:line="360" w:lineRule="auto"/>
                    <w:rPr>
                      <w:rFonts w:ascii="Times New Roman" w:hAnsi="Times New Roman" w:cs="Times New Roman"/>
                      <w:bCs/>
                      <w:color w:val="auto"/>
                      <w:sz w:val="18"/>
                      <w:szCs w:val="18"/>
                    </w:rPr>
                  </w:pPr>
                </w:p>
              </w:tc>
              <w:tc>
                <w:tcPr>
                  <w:tcW w:w="510" w:type="dxa"/>
                  <w:tcBorders>
                    <w:tl2br w:val="nil"/>
                    <w:tr2bl w:val="nil"/>
                  </w:tcBorders>
                  <w:vAlign w:val="center"/>
                </w:tcPr>
                <w:p w14:paraId="71ADA713">
                  <w:pPr>
                    <w:pStyle w:val="47"/>
                    <w:widowControl/>
                    <w:spacing w:line="360" w:lineRule="auto"/>
                    <w:rPr>
                      <w:rFonts w:ascii="Times New Roman" w:hAnsi="Times New Roman" w:cs="Times New Roman"/>
                      <w:bCs/>
                      <w:color w:val="auto"/>
                      <w:sz w:val="18"/>
                      <w:szCs w:val="18"/>
                    </w:rPr>
                  </w:pPr>
                  <w:r>
                    <w:rPr>
                      <w:rFonts w:ascii="Times New Roman" w:hAnsi="Times New Roman" w:cs="Times New Roman"/>
                      <w:bCs/>
                      <w:color w:val="auto"/>
                      <w:sz w:val="18"/>
                      <w:szCs w:val="18"/>
                    </w:rPr>
                    <w:t>声压级/dB(A)</w:t>
                  </w:r>
                </w:p>
              </w:tc>
              <w:tc>
                <w:tcPr>
                  <w:tcW w:w="516" w:type="dxa"/>
                  <w:tcBorders>
                    <w:tl2br w:val="nil"/>
                    <w:tr2bl w:val="nil"/>
                  </w:tcBorders>
                  <w:vAlign w:val="center"/>
                </w:tcPr>
                <w:p w14:paraId="64A9A11C">
                  <w:pPr>
                    <w:pStyle w:val="47"/>
                    <w:widowControl/>
                    <w:spacing w:line="360" w:lineRule="auto"/>
                    <w:rPr>
                      <w:rFonts w:ascii="Times New Roman" w:hAnsi="Times New Roman" w:cs="Times New Roman"/>
                      <w:bCs/>
                      <w:color w:val="auto"/>
                      <w:sz w:val="18"/>
                      <w:szCs w:val="18"/>
                    </w:rPr>
                  </w:pPr>
                  <w:r>
                    <w:rPr>
                      <w:rFonts w:ascii="Times New Roman" w:hAnsi="Times New Roman" w:cs="Times New Roman"/>
                      <w:bCs/>
                      <w:color w:val="auto"/>
                      <w:sz w:val="18"/>
                      <w:szCs w:val="18"/>
                    </w:rPr>
                    <w:t>建筑物外距离</w:t>
                  </w:r>
                </w:p>
              </w:tc>
            </w:tr>
            <w:tr w14:paraId="2902B3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tcBorders>
                    <w:tl2br w:val="nil"/>
                    <w:tr2bl w:val="nil"/>
                  </w:tcBorders>
                  <w:vAlign w:val="center"/>
                </w:tcPr>
                <w:p w14:paraId="4556B49C">
                  <w:pPr>
                    <w:pStyle w:val="47"/>
                    <w:widowControl/>
                    <w:spacing w:line="360" w:lineRule="auto"/>
                    <w:rPr>
                      <w:rFonts w:ascii="Times New Roman" w:hAnsi="Times New Roman" w:cs="Times New Roman"/>
                      <w:bCs/>
                      <w:color w:val="auto"/>
                      <w:sz w:val="18"/>
                      <w:szCs w:val="18"/>
                    </w:rPr>
                  </w:pPr>
                  <w:r>
                    <w:rPr>
                      <w:rFonts w:ascii="Times New Roman" w:hAnsi="Times New Roman" w:cs="Times New Roman"/>
                      <w:bCs/>
                      <w:color w:val="auto"/>
                      <w:sz w:val="18"/>
                      <w:szCs w:val="18"/>
                    </w:rPr>
                    <w:t>1</w:t>
                  </w:r>
                </w:p>
              </w:tc>
              <w:tc>
                <w:tcPr>
                  <w:tcW w:w="450" w:type="dxa"/>
                  <w:vMerge w:val="restart"/>
                  <w:tcBorders>
                    <w:tl2br w:val="nil"/>
                    <w:tr2bl w:val="nil"/>
                  </w:tcBorders>
                  <w:vAlign w:val="center"/>
                </w:tcPr>
                <w:p w14:paraId="4E4E0FEB">
                  <w:pPr>
                    <w:pStyle w:val="47"/>
                    <w:widowControl/>
                    <w:spacing w:line="360" w:lineRule="auto"/>
                    <w:rPr>
                      <w:rFonts w:hint="eastAsia" w:ascii="Times New Roman" w:hAnsi="Times New Roman" w:eastAsia="宋体" w:cs="Times New Roman"/>
                      <w:bCs/>
                      <w:color w:val="auto"/>
                      <w:sz w:val="18"/>
                      <w:szCs w:val="18"/>
                      <w:lang w:eastAsia="zh-CN"/>
                    </w:rPr>
                  </w:pPr>
                  <w:r>
                    <w:rPr>
                      <w:rFonts w:hint="eastAsia" w:ascii="Times New Roman" w:hAnsi="Times New Roman" w:cs="Times New Roman"/>
                      <w:bCs/>
                      <w:color w:val="auto"/>
                      <w:sz w:val="18"/>
                      <w:szCs w:val="18"/>
                      <w:lang w:val="en-US" w:eastAsia="zh-CN"/>
                    </w:rPr>
                    <w:t>锅炉房</w:t>
                  </w:r>
                </w:p>
              </w:tc>
              <w:tc>
                <w:tcPr>
                  <w:tcW w:w="1152" w:type="dxa"/>
                  <w:tcBorders>
                    <w:tl2br w:val="nil"/>
                    <w:tr2bl w:val="nil"/>
                  </w:tcBorders>
                  <w:vAlign w:val="center"/>
                </w:tcPr>
                <w:p w14:paraId="7162627F">
                  <w:pPr>
                    <w:widowControl/>
                    <w:spacing w:line="360" w:lineRule="auto"/>
                    <w:jc w:val="center"/>
                    <w:rPr>
                      <w:rFonts w:hint="default" w:eastAsia="宋体"/>
                      <w:color w:val="auto"/>
                      <w:sz w:val="18"/>
                      <w:szCs w:val="18"/>
                      <w:lang w:val="en-US" w:eastAsia="zh-CN"/>
                    </w:rPr>
                  </w:pPr>
                  <w:r>
                    <w:rPr>
                      <w:rFonts w:hint="eastAsia"/>
                      <w:color w:val="auto"/>
                      <w:sz w:val="18"/>
                      <w:szCs w:val="18"/>
                      <w:lang w:val="en-US" w:eastAsia="zh-CN"/>
                    </w:rPr>
                    <w:t>1800KW燃生物质导热油炉</w:t>
                  </w:r>
                </w:p>
              </w:tc>
              <w:tc>
                <w:tcPr>
                  <w:tcW w:w="420" w:type="dxa"/>
                  <w:tcBorders>
                    <w:tl2br w:val="nil"/>
                    <w:tr2bl w:val="nil"/>
                  </w:tcBorders>
                  <w:vAlign w:val="center"/>
                </w:tcPr>
                <w:p w14:paraId="7A4B3BA1">
                  <w:pPr>
                    <w:widowControl/>
                    <w:adjustRightInd w:val="0"/>
                    <w:spacing w:line="360" w:lineRule="auto"/>
                    <w:jc w:val="center"/>
                    <w:rPr>
                      <w:rFonts w:hint="default" w:eastAsia="宋体"/>
                      <w:bCs/>
                      <w:color w:val="auto"/>
                      <w:sz w:val="18"/>
                      <w:szCs w:val="18"/>
                      <w:lang w:val="en-US" w:eastAsia="zh-CN"/>
                    </w:rPr>
                  </w:pPr>
                  <w:r>
                    <w:rPr>
                      <w:rFonts w:hint="eastAsia"/>
                      <w:snapToGrid w:val="0"/>
                      <w:color w:val="auto"/>
                      <w:sz w:val="18"/>
                      <w:szCs w:val="18"/>
                      <w:lang w:val="en-US" w:eastAsia="zh-CN"/>
                    </w:rPr>
                    <w:t>80</w:t>
                  </w:r>
                </w:p>
              </w:tc>
              <w:tc>
                <w:tcPr>
                  <w:tcW w:w="465" w:type="dxa"/>
                  <w:tcBorders>
                    <w:tl2br w:val="nil"/>
                    <w:tr2bl w:val="nil"/>
                  </w:tcBorders>
                  <w:vAlign w:val="center"/>
                </w:tcPr>
                <w:p w14:paraId="613A7068">
                  <w:pPr>
                    <w:widowControl/>
                    <w:adjustRightInd w:val="0"/>
                    <w:spacing w:line="360" w:lineRule="auto"/>
                    <w:jc w:val="center"/>
                    <w:rPr>
                      <w:snapToGrid w:val="0"/>
                      <w:color w:val="auto"/>
                      <w:sz w:val="18"/>
                      <w:szCs w:val="18"/>
                    </w:rPr>
                  </w:pPr>
                  <w:r>
                    <w:rPr>
                      <w:rFonts w:hint="eastAsia"/>
                      <w:snapToGrid w:val="0"/>
                      <w:color w:val="auto"/>
                      <w:sz w:val="18"/>
                      <w:szCs w:val="18"/>
                    </w:rPr>
                    <w:t>1</w:t>
                  </w:r>
                </w:p>
              </w:tc>
              <w:tc>
                <w:tcPr>
                  <w:tcW w:w="498" w:type="dxa"/>
                  <w:vMerge w:val="restart"/>
                  <w:tcBorders>
                    <w:tl2br w:val="nil"/>
                    <w:tr2bl w:val="nil"/>
                  </w:tcBorders>
                  <w:vAlign w:val="center"/>
                </w:tcPr>
                <w:p w14:paraId="34F3C5E5">
                  <w:pPr>
                    <w:pStyle w:val="47"/>
                    <w:widowControl/>
                    <w:spacing w:line="360" w:lineRule="auto"/>
                    <w:rPr>
                      <w:rFonts w:ascii="Times New Roman" w:hAnsi="Times New Roman" w:cs="Times New Roman"/>
                      <w:bCs/>
                      <w:color w:val="auto"/>
                      <w:sz w:val="18"/>
                      <w:szCs w:val="18"/>
                    </w:rPr>
                  </w:pPr>
                  <w:r>
                    <w:rPr>
                      <w:rFonts w:ascii="Times New Roman" w:hAnsi="Times New Roman" w:cs="Times New Roman"/>
                      <w:color w:val="auto"/>
                      <w:sz w:val="18"/>
                      <w:szCs w:val="18"/>
                    </w:rPr>
                    <w:t>隔声、减振、低噪声设备</w:t>
                  </w:r>
                </w:p>
              </w:tc>
              <w:tc>
                <w:tcPr>
                  <w:tcW w:w="510" w:type="dxa"/>
                  <w:tcBorders>
                    <w:tl2br w:val="nil"/>
                    <w:tr2bl w:val="nil"/>
                  </w:tcBorders>
                  <w:vAlign w:val="center"/>
                </w:tcPr>
                <w:p w14:paraId="758A76EF">
                  <w:pPr>
                    <w:pStyle w:val="47"/>
                    <w:widowControl/>
                    <w:spacing w:line="360" w:lineRule="auto"/>
                    <w:rPr>
                      <w:rFonts w:hint="default" w:ascii="Times New Roman" w:hAnsi="Times New Roman" w:eastAsia="宋体" w:cs="Times New Roman"/>
                      <w:bCs/>
                      <w:color w:val="auto"/>
                      <w:sz w:val="18"/>
                      <w:szCs w:val="18"/>
                      <w:lang w:val="en-US" w:eastAsia="zh-CN"/>
                    </w:rPr>
                  </w:pPr>
                  <w:r>
                    <w:rPr>
                      <w:rFonts w:hint="eastAsia" w:ascii="Times New Roman" w:hAnsi="Times New Roman" w:cs="Times New Roman"/>
                      <w:bCs/>
                      <w:color w:val="auto"/>
                      <w:sz w:val="18"/>
                      <w:szCs w:val="18"/>
                      <w:lang w:val="en-US" w:eastAsia="zh-CN"/>
                    </w:rPr>
                    <w:t>30</w:t>
                  </w:r>
                </w:p>
              </w:tc>
              <w:tc>
                <w:tcPr>
                  <w:tcW w:w="510" w:type="dxa"/>
                  <w:tcBorders>
                    <w:tl2br w:val="nil"/>
                    <w:tr2bl w:val="nil"/>
                  </w:tcBorders>
                  <w:vAlign w:val="center"/>
                </w:tcPr>
                <w:p w14:paraId="5EA7CAE2">
                  <w:pPr>
                    <w:pStyle w:val="47"/>
                    <w:widowControl/>
                    <w:spacing w:line="360" w:lineRule="auto"/>
                    <w:rPr>
                      <w:rFonts w:hint="default" w:ascii="Times New Roman" w:hAnsi="Times New Roman" w:eastAsia="宋体" w:cs="Times New Roman"/>
                      <w:bCs/>
                      <w:color w:val="auto"/>
                      <w:sz w:val="18"/>
                      <w:szCs w:val="18"/>
                      <w:lang w:val="en-US" w:eastAsia="zh-CN"/>
                    </w:rPr>
                  </w:pPr>
                  <w:r>
                    <w:rPr>
                      <w:rFonts w:hint="eastAsia" w:ascii="Times New Roman" w:hAnsi="Times New Roman" w:cs="Times New Roman"/>
                      <w:bCs/>
                      <w:color w:val="auto"/>
                      <w:sz w:val="18"/>
                      <w:szCs w:val="18"/>
                      <w:lang w:val="en-US" w:eastAsia="zh-CN"/>
                    </w:rPr>
                    <w:t>26</w:t>
                  </w:r>
                </w:p>
              </w:tc>
              <w:tc>
                <w:tcPr>
                  <w:tcW w:w="510" w:type="dxa"/>
                  <w:tcBorders>
                    <w:tl2br w:val="nil"/>
                    <w:tr2bl w:val="nil"/>
                  </w:tcBorders>
                  <w:vAlign w:val="center"/>
                </w:tcPr>
                <w:p w14:paraId="58573F87">
                  <w:pPr>
                    <w:pStyle w:val="47"/>
                    <w:widowControl/>
                    <w:spacing w:line="360" w:lineRule="auto"/>
                    <w:rPr>
                      <w:rFonts w:hint="default" w:ascii="Times New Roman" w:hAnsi="Times New Roman" w:eastAsia="宋体" w:cs="Times New Roman"/>
                      <w:bCs/>
                      <w:color w:val="auto"/>
                      <w:sz w:val="18"/>
                      <w:szCs w:val="18"/>
                      <w:lang w:val="en-US" w:eastAsia="zh-CN"/>
                    </w:rPr>
                  </w:pPr>
                  <w:r>
                    <w:rPr>
                      <w:rFonts w:hint="eastAsia" w:ascii="Times New Roman" w:hAnsi="Times New Roman" w:cs="Times New Roman"/>
                      <w:bCs/>
                      <w:color w:val="auto"/>
                      <w:sz w:val="18"/>
                      <w:szCs w:val="18"/>
                      <w:lang w:val="en-US" w:eastAsia="zh-CN"/>
                    </w:rPr>
                    <w:t>2.5</w:t>
                  </w:r>
                </w:p>
              </w:tc>
              <w:tc>
                <w:tcPr>
                  <w:tcW w:w="510" w:type="dxa"/>
                  <w:tcBorders>
                    <w:tl2br w:val="nil"/>
                    <w:tr2bl w:val="nil"/>
                  </w:tcBorders>
                  <w:vAlign w:val="center"/>
                </w:tcPr>
                <w:p w14:paraId="624795CE">
                  <w:pPr>
                    <w:pStyle w:val="47"/>
                    <w:widowControl/>
                    <w:spacing w:line="360" w:lineRule="auto"/>
                    <w:rPr>
                      <w:rFonts w:ascii="Times New Roman" w:hAnsi="Times New Roman" w:cs="Times New Roman"/>
                      <w:bCs/>
                      <w:color w:val="auto"/>
                      <w:sz w:val="18"/>
                      <w:szCs w:val="18"/>
                    </w:rPr>
                  </w:pPr>
                  <w:r>
                    <w:rPr>
                      <w:rFonts w:hint="eastAsia" w:ascii="Times New Roman" w:hAnsi="Times New Roman" w:cs="Times New Roman"/>
                      <w:bCs/>
                      <w:color w:val="auto"/>
                      <w:sz w:val="18"/>
                      <w:szCs w:val="18"/>
                    </w:rPr>
                    <w:t>1</w:t>
                  </w:r>
                </w:p>
              </w:tc>
              <w:tc>
                <w:tcPr>
                  <w:tcW w:w="510" w:type="dxa"/>
                  <w:tcBorders>
                    <w:tl2br w:val="nil"/>
                    <w:tr2bl w:val="nil"/>
                  </w:tcBorders>
                  <w:vAlign w:val="center"/>
                </w:tcPr>
                <w:p w14:paraId="29714905">
                  <w:pPr>
                    <w:pStyle w:val="47"/>
                    <w:widowControl/>
                    <w:spacing w:line="360" w:lineRule="auto"/>
                    <w:rPr>
                      <w:rFonts w:hint="default" w:ascii="Times New Roman" w:hAnsi="Times New Roman" w:eastAsia="宋体" w:cs="Times New Roman"/>
                      <w:bCs/>
                      <w:color w:val="auto"/>
                      <w:sz w:val="18"/>
                      <w:szCs w:val="18"/>
                      <w:lang w:val="en-US" w:eastAsia="zh-CN"/>
                    </w:rPr>
                  </w:pPr>
                  <w:r>
                    <w:rPr>
                      <w:rFonts w:hint="eastAsia" w:ascii="Times New Roman" w:hAnsi="Times New Roman" w:cs="Times New Roman"/>
                      <w:bCs/>
                      <w:color w:val="auto"/>
                      <w:sz w:val="18"/>
                      <w:szCs w:val="18"/>
                      <w:lang w:val="en-US" w:eastAsia="zh-CN"/>
                    </w:rPr>
                    <w:t>80</w:t>
                  </w:r>
                </w:p>
              </w:tc>
              <w:tc>
                <w:tcPr>
                  <w:tcW w:w="510" w:type="dxa"/>
                  <w:vMerge w:val="restart"/>
                  <w:tcBorders>
                    <w:tl2br w:val="nil"/>
                    <w:tr2bl w:val="nil"/>
                  </w:tcBorders>
                  <w:vAlign w:val="center"/>
                </w:tcPr>
                <w:p w14:paraId="7A81789C">
                  <w:pPr>
                    <w:pStyle w:val="47"/>
                    <w:widowControl/>
                    <w:spacing w:line="360" w:lineRule="auto"/>
                    <w:rPr>
                      <w:rFonts w:hint="default" w:ascii="Times New Roman" w:hAnsi="Times New Roman" w:eastAsia="宋体" w:cs="Times New Roman"/>
                      <w:bCs/>
                      <w:color w:val="auto"/>
                      <w:sz w:val="18"/>
                      <w:szCs w:val="18"/>
                      <w:lang w:val="en-US" w:eastAsia="zh-CN"/>
                    </w:rPr>
                  </w:pPr>
                  <w:r>
                    <w:rPr>
                      <w:rFonts w:hint="eastAsia" w:ascii="Times New Roman" w:hAnsi="Times New Roman" w:cs="Times New Roman"/>
                      <w:bCs/>
                      <w:color w:val="auto"/>
                      <w:sz w:val="18"/>
                      <w:szCs w:val="18"/>
                      <w:lang w:val="en-US" w:eastAsia="zh-CN"/>
                    </w:rPr>
                    <w:t>昼、夜间</w:t>
                  </w:r>
                </w:p>
              </w:tc>
              <w:tc>
                <w:tcPr>
                  <w:tcW w:w="510" w:type="dxa"/>
                  <w:tcBorders>
                    <w:tl2br w:val="nil"/>
                    <w:tr2bl w:val="nil"/>
                  </w:tcBorders>
                  <w:vAlign w:val="center"/>
                </w:tcPr>
                <w:p w14:paraId="21B66AE7">
                  <w:pPr>
                    <w:widowControl/>
                    <w:spacing w:line="360" w:lineRule="auto"/>
                    <w:jc w:val="center"/>
                    <w:rPr>
                      <w:bCs/>
                      <w:color w:val="auto"/>
                      <w:kern w:val="0"/>
                      <w:sz w:val="18"/>
                      <w:szCs w:val="18"/>
                    </w:rPr>
                  </w:pPr>
                  <w:r>
                    <w:rPr>
                      <w:rFonts w:hint="eastAsia"/>
                      <w:bCs/>
                      <w:color w:val="auto"/>
                      <w:kern w:val="0"/>
                      <w:sz w:val="18"/>
                      <w:szCs w:val="18"/>
                    </w:rPr>
                    <w:t>20</w:t>
                  </w:r>
                </w:p>
              </w:tc>
              <w:tc>
                <w:tcPr>
                  <w:tcW w:w="510" w:type="dxa"/>
                  <w:tcBorders>
                    <w:tl2br w:val="nil"/>
                    <w:tr2bl w:val="nil"/>
                  </w:tcBorders>
                  <w:vAlign w:val="center"/>
                </w:tcPr>
                <w:p w14:paraId="76A94F2C">
                  <w:pPr>
                    <w:pStyle w:val="47"/>
                    <w:widowControl/>
                    <w:spacing w:line="360" w:lineRule="auto"/>
                    <w:rPr>
                      <w:rFonts w:hint="eastAsia" w:ascii="Times New Roman" w:hAnsi="Times New Roman" w:eastAsia="宋体" w:cs="Times New Roman"/>
                      <w:bCs/>
                      <w:color w:val="auto"/>
                      <w:sz w:val="18"/>
                      <w:szCs w:val="18"/>
                      <w:lang w:eastAsia="zh-CN"/>
                    </w:rPr>
                  </w:pPr>
                  <w:r>
                    <w:rPr>
                      <w:rFonts w:hint="eastAsia" w:ascii="Times New Roman" w:hAnsi="Times New Roman" w:cs="Times New Roman"/>
                      <w:bCs/>
                      <w:color w:val="auto"/>
                      <w:sz w:val="18"/>
                      <w:szCs w:val="18"/>
                    </w:rPr>
                    <w:t>6</w:t>
                  </w:r>
                  <w:r>
                    <w:rPr>
                      <w:rFonts w:hint="eastAsia" w:ascii="Times New Roman" w:hAnsi="Times New Roman" w:cs="Times New Roman"/>
                      <w:bCs/>
                      <w:color w:val="auto"/>
                      <w:sz w:val="18"/>
                      <w:szCs w:val="18"/>
                      <w:lang w:val="en-US" w:eastAsia="zh-CN"/>
                    </w:rPr>
                    <w:t>0</w:t>
                  </w:r>
                </w:p>
              </w:tc>
              <w:tc>
                <w:tcPr>
                  <w:tcW w:w="516" w:type="dxa"/>
                  <w:tcBorders>
                    <w:tl2br w:val="nil"/>
                    <w:tr2bl w:val="nil"/>
                  </w:tcBorders>
                  <w:vAlign w:val="center"/>
                </w:tcPr>
                <w:p w14:paraId="7E514A4B">
                  <w:pPr>
                    <w:pStyle w:val="47"/>
                    <w:widowControl/>
                    <w:spacing w:line="360" w:lineRule="auto"/>
                    <w:rPr>
                      <w:rFonts w:ascii="Times New Roman" w:hAnsi="Times New Roman" w:cs="Times New Roman"/>
                      <w:bCs/>
                      <w:color w:val="auto"/>
                      <w:sz w:val="18"/>
                      <w:szCs w:val="18"/>
                    </w:rPr>
                  </w:pPr>
                  <w:r>
                    <w:rPr>
                      <w:rFonts w:ascii="Times New Roman" w:hAnsi="Times New Roman" w:cs="Times New Roman"/>
                      <w:bCs/>
                      <w:color w:val="auto"/>
                      <w:sz w:val="18"/>
                      <w:szCs w:val="18"/>
                    </w:rPr>
                    <w:t>1</w:t>
                  </w:r>
                </w:p>
              </w:tc>
            </w:tr>
            <w:tr w14:paraId="1CC312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tcBorders>
                    <w:tl2br w:val="nil"/>
                    <w:tr2bl w:val="nil"/>
                  </w:tcBorders>
                  <w:shd w:val="clear" w:color="auto" w:fill="auto"/>
                  <w:vAlign w:val="center"/>
                </w:tcPr>
                <w:p w14:paraId="4AB213D6">
                  <w:pPr>
                    <w:pStyle w:val="47"/>
                    <w:widowControl/>
                    <w:spacing w:line="360" w:lineRule="auto"/>
                    <w:rPr>
                      <w:rFonts w:hint="eastAsia" w:ascii="Times New Roman" w:hAnsi="Times New Roman" w:eastAsia="宋体" w:cs="Times New Roman"/>
                      <w:bCs/>
                      <w:color w:val="auto"/>
                      <w:sz w:val="18"/>
                      <w:szCs w:val="18"/>
                      <w:lang w:val="en-US" w:eastAsia="zh-CN" w:bidi="ar-SA"/>
                    </w:rPr>
                  </w:pPr>
                  <w:r>
                    <w:rPr>
                      <w:rFonts w:hint="eastAsia" w:ascii="Times New Roman" w:hAnsi="Times New Roman" w:cs="Times New Roman"/>
                      <w:bCs/>
                      <w:color w:val="auto"/>
                      <w:sz w:val="18"/>
                      <w:szCs w:val="18"/>
                      <w:lang w:val="en-US" w:eastAsia="zh-CN"/>
                    </w:rPr>
                    <w:t>2</w:t>
                  </w:r>
                </w:p>
              </w:tc>
              <w:tc>
                <w:tcPr>
                  <w:tcW w:w="450" w:type="dxa"/>
                  <w:vMerge w:val="continue"/>
                  <w:tcBorders>
                    <w:tl2br w:val="nil"/>
                    <w:tr2bl w:val="nil"/>
                  </w:tcBorders>
                  <w:vAlign w:val="center"/>
                </w:tcPr>
                <w:p w14:paraId="73BE59F9">
                  <w:pPr>
                    <w:pStyle w:val="47"/>
                    <w:widowControl/>
                    <w:spacing w:line="360" w:lineRule="auto"/>
                    <w:rPr>
                      <w:rFonts w:hint="eastAsia" w:ascii="Times New Roman" w:hAnsi="Times New Roman" w:cs="Times New Roman"/>
                      <w:bCs/>
                      <w:color w:val="auto"/>
                      <w:sz w:val="18"/>
                      <w:szCs w:val="18"/>
                      <w:lang w:val="en-US" w:eastAsia="zh-CN"/>
                    </w:rPr>
                  </w:pPr>
                </w:p>
              </w:tc>
              <w:tc>
                <w:tcPr>
                  <w:tcW w:w="1152" w:type="dxa"/>
                  <w:tcBorders>
                    <w:tl2br w:val="nil"/>
                    <w:tr2bl w:val="nil"/>
                  </w:tcBorders>
                  <w:vAlign w:val="center"/>
                </w:tcPr>
                <w:p w14:paraId="2895EFEB">
                  <w:pPr>
                    <w:widowControl/>
                    <w:spacing w:line="360" w:lineRule="auto"/>
                    <w:jc w:val="center"/>
                    <w:rPr>
                      <w:rFonts w:hint="default"/>
                      <w:color w:val="auto"/>
                      <w:sz w:val="18"/>
                      <w:szCs w:val="18"/>
                      <w:lang w:val="en-US" w:eastAsia="zh-CN"/>
                    </w:rPr>
                  </w:pPr>
                  <w:r>
                    <w:rPr>
                      <w:rFonts w:hint="eastAsia"/>
                      <w:color w:val="auto"/>
                      <w:sz w:val="18"/>
                      <w:szCs w:val="18"/>
                      <w:lang w:val="en-US" w:eastAsia="zh-CN"/>
                    </w:rPr>
                    <w:t>风机</w:t>
                  </w:r>
                </w:p>
              </w:tc>
              <w:tc>
                <w:tcPr>
                  <w:tcW w:w="420" w:type="dxa"/>
                  <w:tcBorders>
                    <w:tl2br w:val="nil"/>
                    <w:tr2bl w:val="nil"/>
                  </w:tcBorders>
                  <w:vAlign w:val="center"/>
                </w:tcPr>
                <w:p w14:paraId="231283F6">
                  <w:pPr>
                    <w:widowControl/>
                    <w:adjustRightInd w:val="0"/>
                    <w:spacing w:line="360" w:lineRule="auto"/>
                    <w:jc w:val="center"/>
                    <w:rPr>
                      <w:rFonts w:hint="eastAsia"/>
                      <w:snapToGrid w:val="0"/>
                      <w:color w:val="auto"/>
                      <w:sz w:val="18"/>
                      <w:szCs w:val="18"/>
                      <w:lang w:val="en-US" w:eastAsia="zh-CN"/>
                    </w:rPr>
                  </w:pPr>
                  <w:r>
                    <w:rPr>
                      <w:rFonts w:hint="eastAsia"/>
                      <w:snapToGrid w:val="0"/>
                      <w:color w:val="auto"/>
                      <w:sz w:val="18"/>
                      <w:szCs w:val="18"/>
                      <w:lang w:val="en-US" w:eastAsia="zh-CN"/>
                    </w:rPr>
                    <w:t>85</w:t>
                  </w:r>
                </w:p>
              </w:tc>
              <w:tc>
                <w:tcPr>
                  <w:tcW w:w="465" w:type="dxa"/>
                  <w:tcBorders>
                    <w:tl2br w:val="nil"/>
                    <w:tr2bl w:val="nil"/>
                  </w:tcBorders>
                  <w:vAlign w:val="center"/>
                </w:tcPr>
                <w:p w14:paraId="33B04C1C">
                  <w:pPr>
                    <w:widowControl/>
                    <w:adjustRightInd w:val="0"/>
                    <w:spacing w:line="360" w:lineRule="auto"/>
                    <w:jc w:val="center"/>
                    <w:rPr>
                      <w:rFonts w:hint="eastAsia"/>
                      <w:snapToGrid w:val="0"/>
                      <w:color w:val="auto"/>
                      <w:sz w:val="18"/>
                      <w:szCs w:val="18"/>
                    </w:rPr>
                  </w:pPr>
                  <w:r>
                    <w:rPr>
                      <w:rFonts w:hint="eastAsia"/>
                      <w:snapToGrid w:val="0"/>
                      <w:color w:val="auto"/>
                      <w:sz w:val="18"/>
                      <w:szCs w:val="18"/>
                      <w:lang w:val="en-US" w:eastAsia="zh-CN"/>
                    </w:rPr>
                    <w:t>1</w:t>
                  </w:r>
                </w:p>
              </w:tc>
              <w:tc>
                <w:tcPr>
                  <w:tcW w:w="498" w:type="dxa"/>
                  <w:vMerge w:val="continue"/>
                  <w:tcBorders>
                    <w:tl2br w:val="nil"/>
                    <w:tr2bl w:val="nil"/>
                  </w:tcBorders>
                  <w:vAlign w:val="center"/>
                </w:tcPr>
                <w:p w14:paraId="6DC70D6F">
                  <w:pPr>
                    <w:pStyle w:val="47"/>
                    <w:widowControl/>
                    <w:spacing w:line="360" w:lineRule="auto"/>
                    <w:rPr>
                      <w:rFonts w:ascii="Times New Roman" w:hAnsi="Times New Roman" w:cs="Times New Roman"/>
                      <w:color w:val="auto"/>
                      <w:sz w:val="18"/>
                      <w:szCs w:val="18"/>
                    </w:rPr>
                  </w:pPr>
                </w:p>
              </w:tc>
              <w:tc>
                <w:tcPr>
                  <w:tcW w:w="510" w:type="dxa"/>
                  <w:tcBorders>
                    <w:tl2br w:val="nil"/>
                    <w:tr2bl w:val="nil"/>
                  </w:tcBorders>
                  <w:vAlign w:val="center"/>
                </w:tcPr>
                <w:p w14:paraId="68023394">
                  <w:pPr>
                    <w:pStyle w:val="47"/>
                    <w:widowControl/>
                    <w:spacing w:line="360" w:lineRule="auto"/>
                    <w:rPr>
                      <w:rFonts w:hint="default" w:ascii="Times New Roman" w:hAnsi="Times New Roman" w:cs="Times New Roman"/>
                      <w:bCs/>
                      <w:color w:val="auto"/>
                      <w:sz w:val="18"/>
                      <w:szCs w:val="18"/>
                      <w:lang w:val="en-US" w:eastAsia="zh-CN"/>
                    </w:rPr>
                  </w:pPr>
                  <w:r>
                    <w:rPr>
                      <w:rFonts w:hint="eastAsia" w:ascii="Times New Roman" w:hAnsi="Times New Roman" w:cs="Times New Roman"/>
                      <w:bCs/>
                      <w:color w:val="auto"/>
                      <w:sz w:val="18"/>
                      <w:szCs w:val="18"/>
                      <w:lang w:val="en-US" w:eastAsia="zh-CN"/>
                    </w:rPr>
                    <w:t>27</w:t>
                  </w:r>
                </w:p>
              </w:tc>
              <w:tc>
                <w:tcPr>
                  <w:tcW w:w="510" w:type="dxa"/>
                  <w:tcBorders>
                    <w:tl2br w:val="nil"/>
                    <w:tr2bl w:val="nil"/>
                  </w:tcBorders>
                  <w:vAlign w:val="center"/>
                </w:tcPr>
                <w:p w14:paraId="3227EDA4">
                  <w:pPr>
                    <w:pStyle w:val="47"/>
                    <w:widowControl/>
                    <w:spacing w:line="360" w:lineRule="auto"/>
                    <w:rPr>
                      <w:rFonts w:hint="default" w:ascii="Times New Roman" w:hAnsi="Times New Roman" w:cs="Times New Roman"/>
                      <w:bCs/>
                      <w:color w:val="auto"/>
                      <w:sz w:val="18"/>
                      <w:szCs w:val="18"/>
                      <w:lang w:val="en-US" w:eastAsia="zh-CN"/>
                    </w:rPr>
                  </w:pPr>
                  <w:r>
                    <w:rPr>
                      <w:rFonts w:hint="eastAsia" w:ascii="Times New Roman" w:hAnsi="Times New Roman" w:cs="Times New Roman"/>
                      <w:bCs/>
                      <w:color w:val="auto"/>
                      <w:sz w:val="18"/>
                      <w:szCs w:val="18"/>
                      <w:lang w:val="en-US" w:eastAsia="zh-CN"/>
                    </w:rPr>
                    <w:t>24</w:t>
                  </w:r>
                </w:p>
              </w:tc>
              <w:tc>
                <w:tcPr>
                  <w:tcW w:w="510" w:type="dxa"/>
                  <w:tcBorders>
                    <w:tl2br w:val="nil"/>
                    <w:tr2bl w:val="nil"/>
                  </w:tcBorders>
                  <w:vAlign w:val="center"/>
                </w:tcPr>
                <w:p w14:paraId="48E826A5">
                  <w:pPr>
                    <w:pStyle w:val="47"/>
                    <w:widowControl/>
                    <w:spacing w:line="360" w:lineRule="auto"/>
                    <w:rPr>
                      <w:rFonts w:hint="default" w:ascii="Times New Roman" w:hAnsi="Times New Roman" w:cs="Times New Roman"/>
                      <w:bCs/>
                      <w:color w:val="auto"/>
                      <w:sz w:val="18"/>
                      <w:szCs w:val="18"/>
                      <w:lang w:val="en-US" w:eastAsia="zh-CN"/>
                    </w:rPr>
                  </w:pPr>
                  <w:r>
                    <w:rPr>
                      <w:rFonts w:hint="eastAsia" w:ascii="Times New Roman" w:hAnsi="Times New Roman" w:cs="Times New Roman"/>
                      <w:bCs/>
                      <w:color w:val="auto"/>
                      <w:sz w:val="18"/>
                      <w:szCs w:val="18"/>
                      <w:lang w:val="en-US" w:eastAsia="zh-CN"/>
                    </w:rPr>
                    <w:t>0.5</w:t>
                  </w:r>
                </w:p>
              </w:tc>
              <w:tc>
                <w:tcPr>
                  <w:tcW w:w="510" w:type="dxa"/>
                  <w:tcBorders>
                    <w:tl2br w:val="nil"/>
                    <w:tr2bl w:val="nil"/>
                  </w:tcBorders>
                  <w:vAlign w:val="center"/>
                </w:tcPr>
                <w:p w14:paraId="2D4E562E">
                  <w:pPr>
                    <w:pStyle w:val="47"/>
                    <w:widowControl/>
                    <w:spacing w:line="360" w:lineRule="auto"/>
                    <w:rPr>
                      <w:rFonts w:hint="eastAsia" w:ascii="Times New Roman" w:hAnsi="Times New Roman" w:eastAsia="宋体" w:cs="Times New Roman"/>
                      <w:bCs/>
                      <w:color w:val="auto"/>
                      <w:sz w:val="18"/>
                      <w:szCs w:val="18"/>
                      <w:lang w:val="en-US" w:eastAsia="zh-CN"/>
                    </w:rPr>
                  </w:pPr>
                  <w:r>
                    <w:rPr>
                      <w:rFonts w:hint="eastAsia" w:ascii="Times New Roman" w:hAnsi="Times New Roman" w:cs="Times New Roman"/>
                      <w:bCs/>
                      <w:color w:val="auto"/>
                      <w:sz w:val="18"/>
                      <w:szCs w:val="18"/>
                      <w:lang w:val="en-US" w:eastAsia="zh-CN"/>
                    </w:rPr>
                    <w:t>1</w:t>
                  </w:r>
                </w:p>
              </w:tc>
              <w:tc>
                <w:tcPr>
                  <w:tcW w:w="510" w:type="dxa"/>
                  <w:tcBorders>
                    <w:tl2br w:val="nil"/>
                    <w:tr2bl w:val="nil"/>
                  </w:tcBorders>
                  <w:vAlign w:val="center"/>
                </w:tcPr>
                <w:p w14:paraId="49DCD328">
                  <w:pPr>
                    <w:pStyle w:val="47"/>
                    <w:widowControl/>
                    <w:spacing w:line="360" w:lineRule="auto"/>
                    <w:rPr>
                      <w:rFonts w:hint="default" w:ascii="Times New Roman" w:hAnsi="Times New Roman" w:cs="Times New Roman"/>
                      <w:bCs/>
                      <w:color w:val="auto"/>
                      <w:sz w:val="18"/>
                      <w:szCs w:val="18"/>
                      <w:lang w:val="en-US" w:eastAsia="zh-CN"/>
                    </w:rPr>
                  </w:pPr>
                  <w:r>
                    <w:rPr>
                      <w:rFonts w:hint="eastAsia" w:ascii="Times New Roman" w:hAnsi="Times New Roman" w:cs="Times New Roman"/>
                      <w:bCs/>
                      <w:color w:val="auto"/>
                      <w:sz w:val="18"/>
                      <w:szCs w:val="18"/>
                      <w:lang w:val="en-US" w:eastAsia="zh-CN"/>
                    </w:rPr>
                    <w:t>85</w:t>
                  </w:r>
                </w:p>
              </w:tc>
              <w:tc>
                <w:tcPr>
                  <w:tcW w:w="510" w:type="dxa"/>
                  <w:vMerge w:val="continue"/>
                  <w:tcBorders>
                    <w:tl2br w:val="nil"/>
                    <w:tr2bl w:val="nil"/>
                  </w:tcBorders>
                  <w:vAlign w:val="center"/>
                </w:tcPr>
                <w:p w14:paraId="3ADBB27A">
                  <w:pPr>
                    <w:pStyle w:val="47"/>
                    <w:widowControl/>
                    <w:spacing w:line="360" w:lineRule="auto"/>
                    <w:rPr>
                      <w:rFonts w:hint="eastAsia" w:ascii="Times New Roman" w:hAnsi="Times New Roman" w:cs="Times New Roman"/>
                      <w:bCs/>
                      <w:color w:val="auto"/>
                      <w:sz w:val="18"/>
                      <w:szCs w:val="18"/>
                      <w:lang w:val="en-US" w:eastAsia="zh-CN"/>
                    </w:rPr>
                  </w:pPr>
                </w:p>
              </w:tc>
              <w:tc>
                <w:tcPr>
                  <w:tcW w:w="510" w:type="dxa"/>
                  <w:tcBorders>
                    <w:tl2br w:val="nil"/>
                    <w:tr2bl w:val="nil"/>
                  </w:tcBorders>
                  <w:vAlign w:val="center"/>
                </w:tcPr>
                <w:p w14:paraId="2658F56F">
                  <w:pPr>
                    <w:widowControl/>
                    <w:spacing w:line="360" w:lineRule="auto"/>
                    <w:jc w:val="center"/>
                    <w:rPr>
                      <w:rFonts w:hint="default" w:eastAsia="宋体"/>
                      <w:bCs/>
                      <w:color w:val="auto"/>
                      <w:kern w:val="0"/>
                      <w:sz w:val="18"/>
                      <w:szCs w:val="18"/>
                      <w:lang w:val="en-US" w:eastAsia="zh-CN"/>
                    </w:rPr>
                  </w:pPr>
                  <w:r>
                    <w:rPr>
                      <w:rFonts w:hint="eastAsia"/>
                      <w:bCs/>
                      <w:color w:val="auto"/>
                      <w:kern w:val="0"/>
                      <w:sz w:val="18"/>
                      <w:szCs w:val="18"/>
                      <w:lang w:val="en-US" w:eastAsia="zh-CN"/>
                    </w:rPr>
                    <w:t>20</w:t>
                  </w:r>
                </w:p>
              </w:tc>
              <w:tc>
                <w:tcPr>
                  <w:tcW w:w="510" w:type="dxa"/>
                  <w:tcBorders>
                    <w:tl2br w:val="nil"/>
                    <w:tr2bl w:val="nil"/>
                  </w:tcBorders>
                  <w:vAlign w:val="center"/>
                </w:tcPr>
                <w:p w14:paraId="104FCFAF">
                  <w:pPr>
                    <w:pStyle w:val="47"/>
                    <w:widowControl/>
                    <w:spacing w:line="360" w:lineRule="auto"/>
                    <w:rPr>
                      <w:rFonts w:hint="default" w:ascii="Times New Roman" w:hAnsi="Times New Roman" w:eastAsia="宋体" w:cs="Times New Roman"/>
                      <w:bCs/>
                      <w:color w:val="auto"/>
                      <w:sz w:val="18"/>
                      <w:szCs w:val="18"/>
                      <w:lang w:val="en-US" w:eastAsia="zh-CN"/>
                    </w:rPr>
                  </w:pPr>
                  <w:r>
                    <w:rPr>
                      <w:rFonts w:hint="eastAsia" w:ascii="Times New Roman" w:hAnsi="Times New Roman" w:cs="Times New Roman"/>
                      <w:bCs/>
                      <w:color w:val="auto"/>
                      <w:sz w:val="18"/>
                      <w:szCs w:val="18"/>
                      <w:lang w:val="en-US" w:eastAsia="zh-CN"/>
                    </w:rPr>
                    <w:t>65</w:t>
                  </w:r>
                </w:p>
              </w:tc>
              <w:tc>
                <w:tcPr>
                  <w:tcW w:w="516" w:type="dxa"/>
                  <w:tcBorders>
                    <w:tl2br w:val="nil"/>
                    <w:tr2bl w:val="nil"/>
                  </w:tcBorders>
                  <w:vAlign w:val="center"/>
                </w:tcPr>
                <w:p w14:paraId="2B088DF3">
                  <w:pPr>
                    <w:widowControl/>
                    <w:spacing w:line="360" w:lineRule="auto"/>
                    <w:jc w:val="center"/>
                    <w:rPr>
                      <w:rFonts w:ascii="Times New Roman" w:hAnsi="Times New Roman" w:cs="Times New Roman"/>
                      <w:bCs/>
                      <w:color w:val="auto"/>
                      <w:sz w:val="18"/>
                      <w:szCs w:val="18"/>
                    </w:rPr>
                  </w:pPr>
                  <w:r>
                    <w:rPr>
                      <w:rFonts w:ascii="Times New Roman" w:hAnsi="Times New Roman" w:cs="Times New Roman"/>
                      <w:bCs/>
                      <w:color w:val="auto"/>
                      <w:sz w:val="18"/>
                      <w:szCs w:val="18"/>
                    </w:rPr>
                    <w:t>1</w:t>
                  </w:r>
                </w:p>
              </w:tc>
            </w:tr>
            <w:tr w14:paraId="6B5155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tcBorders>
                    <w:tl2br w:val="nil"/>
                    <w:tr2bl w:val="nil"/>
                  </w:tcBorders>
                  <w:shd w:val="clear" w:color="auto" w:fill="auto"/>
                  <w:vAlign w:val="center"/>
                </w:tcPr>
                <w:p w14:paraId="43BE5584">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cs="Times New Roman"/>
                      <w:bCs/>
                      <w:color w:val="auto"/>
                      <w:sz w:val="18"/>
                      <w:szCs w:val="18"/>
                      <w:lang w:val="en-US" w:eastAsia="zh-CN"/>
                    </w:rPr>
                    <w:t>3</w:t>
                  </w:r>
                </w:p>
              </w:tc>
              <w:tc>
                <w:tcPr>
                  <w:tcW w:w="450" w:type="dxa"/>
                  <w:vMerge w:val="continue"/>
                  <w:tcBorders>
                    <w:tl2br w:val="nil"/>
                    <w:tr2bl w:val="nil"/>
                  </w:tcBorders>
                  <w:vAlign w:val="center"/>
                </w:tcPr>
                <w:p w14:paraId="08D4FB96">
                  <w:pPr>
                    <w:pStyle w:val="47"/>
                    <w:widowControl/>
                    <w:spacing w:line="360" w:lineRule="auto"/>
                    <w:rPr>
                      <w:rFonts w:hint="eastAsia" w:ascii="Times New Roman" w:hAnsi="Times New Roman" w:cs="Times New Roman"/>
                      <w:bCs/>
                      <w:color w:val="auto"/>
                      <w:sz w:val="18"/>
                      <w:szCs w:val="18"/>
                      <w:lang w:val="en-US" w:eastAsia="zh-CN"/>
                    </w:rPr>
                  </w:pPr>
                </w:p>
              </w:tc>
              <w:tc>
                <w:tcPr>
                  <w:tcW w:w="1152" w:type="dxa"/>
                  <w:tcBorders>
                    <w:tl2br w:val="nil"/>
                    <w:tr2bl w:val="nil"/>
                  </w:tcBorders>
                  <w:vAlign w:val="center"/>
                </w:tcPr>
                <w:p w14:paraId="69F07B98">
                  <w:pPr>
                    <w:widowControl/>
                    <w:spacing w:line="360" w:lineRule="auto"/>
                    <w:jc w:val="center"/>
                    <w:rPr>
                      <w:rFonts w:hint="eastAsia"/>
                      <w:color w:val="auto"/>
                      <w:sz w:val="18"/>
                      <w:szCs w:val="18"/>
                      <w:lang w:val="en-US" w:eastAsia="zh-CN"/>
                    </w:rPr>
                  </w:pPr>
                  <w:r>
                    <w:rPr>
                      <w:rFonts w:hint="eastAsia"/>
                      <w:color w:val="auto"/>
                      <w:sz w:val="18"/>
                      <w:szCs w:val="18"/>
                      <w:lang w:val="en-US" w:eastAsia="zh-CN"/>
                    </w:rPr>
                    <w:t>风机</w:t>
                  </w:r>
                </w:p>
              </w:tc>
              <w:tc>
                <w:tcPr>
                  <w:tcW w:w="420" w:type="dxa"/>
                  <w:tcBorders>
                    <w:tl2br w:val="nil"/>
                    <w:tr2bl w:val="nil"/>
                  </w:tcBorders>
                  <w:vAlign w:val="center"/>
                </w:tcPr>
                <w:p w14:paraId="46C99D03">
                  <w:pPr>
                    <w:widowControl/>
                    <w:adjustRightInd w:val="0"/>
                    <w:spacing w:line="360" w:lineRule="auto"/>
                    <w:jc w:val="center"/>
                    <w:rPr>
                      <w:rFonts w:hint="eastAsia"/>
                      <w:snapToGrid w:val="0"/>
                      <w:color w:val="auto"/>
                      <w:sz w:val="18"/>
                      <w:szCs w:val="18"/>
                      <w:lang w:val="en-US" w:eastAsia="zh-CN"/>
                    </w:rPr>
                  </w:pPr>
                  <w:r>
                    <w:rPr>
                      <w:rFonts w:hint="eastAsia"/>
                      <w:snapToGrid w:val="0"/>
                      <w:color w:val="auto"/>
                      <w:sz w:val="18"/>
                      <w:szCs w:val="18"/>
                      <w:lang w:val="en-US" w:eastAsia="zh-CN"/>
                    </w:rPr>
                    <w:t>85</w:t>
                  </w:r>
                </w:p>
              </w:tc>
              <w:tc>
                <w:tcPr>
                  <w:tcW w:w="465" w:type="dxa"/>
                  <w:tcBorders>
                    <w:tl2br w:val="nil"/>
                    <w:tr2bl w:val="nil"/>
                  </w:tcBorders>
                  <w:vAlign w:val="center"/>
                </w:tcPr>
                <w:p w14:paraId="582B17A1">
                  <w:pPr>
                    <w:widowControl/>
                    <w:adjustRightInd w:val="0"/>
                    <w:spacing w:line="360" w:lineRule="auto"/>
                    <w:jc w:val="center"/>
                    <w:rPr>
                      <w:rFonts w:hint="eastAsia"/>
                      <w:snapToGrid w:val="0"/>
                      <w:color w:val="auto"/>
                      <w:sz w:val="18"/>
                      <w:szCs w:val="18"/>
                    </w:rPr>
                  </w:pPr>
                  <w:r>
                    <w:rPr>
                      <w:rFonts w:hint="eastAsia"/>
                      <w:snapToGrid w:val="0"/>
                      <w:color w:val="auto"/>
                      <w:sz w:val="18"/>
                      <w:szCs w:val="18"/>
                      <w:lang w:val="en-US" w:eastAsia="zh-CN"/>
                    </w:rPr>
                    <w:t>1</w:t>
                  </w:r>
                </w:p>
              </w:tc>
              <w:tc>
                <w:tcPr>
                  <w:tcW w:w="498" w:type="dxa"/>
                  <w:vMerge w:val="continue"/>
                  <w:tcBorders>
                    <w:tl2br w:val="nil"/>
                    <w:tr2bl w:val="nil"/>
                  </w:tcBorders>
                  <w:vAlign w:val="center"/>
                </w:tcPr>
                <w:p w14:paraId="2342ADA8">
                  <w:pPr>
                    <w:pStyle w:val="47"/>
                    <w:widowControl/>
                    <w:spacing w:line="360" w:lineRule="auto"/>
                    <w:rPr>
                      <w:rFonts w:ascii="Times New Roman" w:hAnsi="Times New Roman" w:cs="Times New Roman"/>
                      <w:color w:val="auto"/>
                      <w:sz w:val="18"/>
                      <w:szCs w:val="18"/>
                    </w:rPr>
                  </w:pPr>
                </w:p>
              </w:tc>
              <w:tc>
                <w:tcPr>
                  <w:tcW w:w="510" w:type="dxa"/>
                  <w:tcBorders>
                    <w:tl2br w:val="nil"/>
                    <w:tr2bl w:val="nil"/>
                  </w:tcBorders>
                  <w:vAlign w:val="center"/>
                </w:tcPr>
                <w:p w14:paraId="2B30F5D1">
                  <w:pPr>
                    <w:pStyle w:val="47"/>
                    <w:widowControl/>
                    <w:spacing w:line="360" w:lineRule="auto"/>
                    <w:rPr>
                      <w:rFonts w:hint="default" w:ascii="Times New Roman" w:hAnsi="Times New Roman" w:cs="Times New Roman"/>
                      <w:bCs/>
                      <w:color w:val="auto"/>
                      <w:sz w:val="18"/>
                      <w:szCs w:val="18"/>
                      <w:lang w:val="en-US" w:eastAsia="zh-CN"/>
                    </w:rPr>
                  </w:pPr>
                  <w:r>
                    <w:rPr>
                      <w:rFonts w:hint="eastAsia" w:ascii="Times New Roman" w:hAnsi="Times New Roman" w:cs="Times New Roman"/>
                      <w:bCs/>
                      <w:color w:val="auto"/>
                      <w:sz w:val="18"/>
                      <w:szCs w:val="18"/>
                      <w:lang w:val="en-US" w:eastAsia="zh-CN"/>
                    </w:rPr>
                    <w:t>25</w:t>
                  </w:r>
                </w:p>
              </w:tc>
              <w:tc>
                <w:tcPr>
                  <w:tcW w:w="510" w:type="dxa"/>
                  <w:tcBorders>
                    <w:tl2br w:val="nil"/>
                    <w:tr2bl w:val="nil"/>
                  </w:tcBorders>
                  <w:vAlign w:val="center"/>
                </w:tcPr>
                <w:p w14:paraId="0751AAB9">
                  <w:pPr>
                    <w:pStyle w:val="47"/>
                    <w:widowControl/>
                    <w:spacing w:line="360" w:lineRule="auto"/>
                    <w:rPr>
                      <w:rFonts w:hint="default" w:ascii="Times New Roman" w:hAnsi="Times New Roman" w:cs="Times New Roman"/>
                      <w:bCs/>
                      <w:color w:val="auto"/>
                      <w:sz w:val="18"/>
                      <w:szCs w:val="18"/>
                      <w:lang w:val="en-US" w:eastAsia="zh-CN"/>
                    </w:rPr>
                  </w:pPr>
                  <w:r>
                    <w:rPr>
                      <w:rFonts w:hint="eastAsia" w:ascii="Times New Roman" w:hAnsi="Times New Roman" w:cs="Times New Roman"/>
                      <w:bCs/>
                      <w:color w:val="auto"/>
                      <w:sz w:val="18"/>
                      <w:szCs w:val="18"/>
                      <w:lang w:val="en-US" w:eastAsia="zh-CN"/>
                    </w:rPr>
                    <w:t>31</w:t>
                  </w:r>
                </w:p>
              </w:tc>
              <w:tc>
                <w:tcPr>
                  <w:tcW w:w="510" w:type="dxa"/>
                  <w:tcBorders>
                    <w:tl2br w:val="nil"/>
                    <w:tr2bl w:val="nil"/>
                  </w:tcBorders>
                  <w:vAlign w:val="center"/>
                </w:tcPr>
                <w:p w14:paraId="5E2C90FF">
                  <w:pPr>
                    <w:pStyle w:val="47"/>
                    <w:widowControl/>
                    <w:spacing w:line="360" w:lineRule="auto"/>
                    <w:rPr>
                      <w:rFonts w:hint="default" w:ascii="Times New Roman" w:hAnsi="Times New Roman" w:cs="Times New Roman"/>
                      <w:bCs/>
                      <w:color w:val="auto"/>
                      <w:sz w:val="18"/>
                      <w:szCs w:val="18"/>
                      <w:lang w:val="en-US" w:eastAsia="zh-CN"/>
                    </w:rPr>
                  </w:pPr>
                  <w:r>
                    <w:rPr>
                      <w:rFonts w:hint="eastAsia" w:ascii="Times New Roman" w:hAnsi="Times New Roman" w:cs="Times New Roman"/>
                      <w:bCs/>
                      <w:color w:val="auto"/>
                      <w:sz w:val="18"/>
                      <w:szCs w:val="18"/>
                      <w:lang w:val="en-US" w:eastAsia="zh-CN"/>
                    </w:rPr>
                    <w:t>0.5</w:t>
                  </w:r>
                </w:p>
              </w:tc>
              <w:tc>
                <w:tcPr>
                  <w:tcW w:w="510" w:type="dxa"/>
                  <w:tcBorders>
                    <w:tl2br w:val="nil"/>
                    <w:tr2bl w:val="nil"/>
                  </w:tcBorders>
                  <w:vAlign w:val="center"/>
                </w:tcPr>
                <w:p w14:paraId="376B28F7">
                  <w:pPr>
                    <w:pStyle w:val="47"/>
                    <w:widowControl/>
                    <w:spacing w:line="360" w:lineRule="auto"/>
                    <w:rPr>
                      <w:rFonts w:hint="eastAsia" w:ascii="Times New Roman" w:hAnsi="Times New Roman" w:eastAsia="宋体" w:cs="Times New Roman"/>
                      <w:bCs/>
                      <w:color w:val="auto"/>
                      <w:sz w:val="18"/>
                      <w:szCs w:val="18"/>
                      <w:lang w:val="en-US" w:eastAsia="zh-CN"/>
                    </w:rPr>
                  </w:pPr>
                  <w:r>
                    <w:rPr>
                      <w:rFonts w:hint="eastAsia" w:ascii="Times New Roman" w:hAnsi="Times New Roman" w:cs="Times New Roman"/>
                      <w:bCs/>
                      <w:color w:val="auto"/>
                      <w:sz w:val="18"/>
                      <w:szCs w:val="18"/>
                      <w:lang w:val="en-US" w:eastAsia="zh-CN"/>
                    </w:rPr>
                    <w:t>1</w:t>
                  </w:r>
                </w:p>
              </w:tc>
              <w:tc>
                <w:tcPr>
                  <w:tcW w:w="510" w:type="dxa"/>
                  <w:tcBorders>
                    <w:tl2br w:val="nil"/>
                    <w:tr2bl w:val="nil"/>
                  </w:tcBorders>
                  <w:vAlign w:val="center"/>
                </w:tcPr>
                <w:p w14:paraId="6C4A7983">
                  <w:pPr>
                    <w:pStyle w:val="47"/>
                    <w:widowControl/>
                    <w:spacing w:line="360" w:lineRule="auto"/>
                    <w:rPr>
                      <w:rFonts w:hint="default" w:ascii="Times New Roman" w:hAnsi="Times New Roman" w:cs="Times New Roman"/>
                      <w:bCs/>
                      <w:color w:val="auto"/>
                      <w:sz w:val="18"/>
                      <w:szCs w:val="18"/>
                      <w:lang w:val="en-US" w:eastAsia="zh-CN"/>
                    </w:rPr>
                  </w:pPr>
                  <w:r>
                    <w:rPr>
                      <w:rFonts w:hint="eastAsia" w:ascii="Times New Roman" w:hAnsi="Times New Roman" w:cs="Times New Roman"/>
                      <w:bCs/>
                      <w:color w:val="auto"/>
                      <w:sz w:val="18"/>
                      <w:szCs w:val="18"/>
                      <w:lang w:val="en-US" w:eastAsia="zh-CN"/>
                    </w:rPr>
                    <w:t>85</w:t>
                  </w:r>
                </w:p>
              </w:tc>
              <w:tc>
                <w:tcPr>
                  <w:tcW w:w="510" w:type="dxa"/>
                  <w:vMerge w:val="continue"/>
                  <w:tcBorders>
                    <w:tl2br w:val="nil"/>
                    <w:tr2bl w:val="nil"/>
                  </w:tcBorders>
                  <w:vAlign w:val="center"/>
                </w:tcPr>
                <w:p w14:paraId="69FB7787">
                  <w:pPr>
                    <w:pStyle w:val="47"/>
                    <w:widowControl/>
                    <w:spacing w:line="360" w:lineRule="auto"/>
                    <w:rPr>
                      <w:rFonts w:hint="eastAsia" w:ascii="Times New Roman" w:hAnsi="Times New Roman" w:cs="Times New Roman"/>
                      <w:bCs/>
                      <w:color w:val="auto"/>
                      <w:sz w:val="18"/>
                      <w:szCs w:val="18"/>
                      <w:lang w:val="en-US" w:eastAsia="zh-CN"/>
                    </w:rPr>
                  </w:pPr>
                </w:p>
              </w:tc>
              <w:tc>
                <w:tcPr>
                  <w:tcW w:w="510" w:type="dxa"/>
                  <w:tcBorders>
                    <w:tl2br w:val="nil"/>
                    <w:tr2bl w:val="nil"/>
                  </w:tcBorders>
                  <w:vAlign w:val="center"/>
                </w:tcPr>
                <w:p w14:paraId="50D0ED0C">
                  <w:pPr>
                    <w:widowControl/>
                    <w:spacing w:line="360" w:lineRule="auto"/>
                    <w:jc w:val="center"/>
                    <w:rPr>
                      <w:rFonts w:hint="default" w:eastAsia="宋体"/>
                      <w:bCs/>
                      <w:color w:val="auto"/>
                      <w:kern w:val="0"/>
                      <w:sz w:val="18"/>
                      <w:szCs w:val="18"/>
                      <w:lang w:val="en-US" w:eastAsia="zh-CN"/>
                    </w:rPr>
                  </w:pPr>
                  <w:r>
                    <w:rPr>
                      <w:rFonts w:hint="eastAsia"/>
                      <w:bCs/>
                      <w:color w:val="auto"/>
                      <w:kern w:val="0"/>
                      <w:sz w:val="18"/>
                      <w:szCs w:val="18"/>
                      <w:lang w:val="en-US" w:eastAsia="zh-CN"/>
                    </w:rPr>
                    <w:t>20</w:t>
                  </w:r>
                </w:p>
              </w:tc>
              <w:tc>
                <w:tcPr>
                  <w:tcW w:w="510" w:type="dxa"/>
                  <w:tcBorders>
                    <w:tl2br w:val="nil"/>
                    <w:tr2bl w:val="nil"/>
                  </w:tcBorders>
                  <w:vAlign w:val="center"/>
                </w:tcPr>
                <w:p w14:paraId="109E0C91">
                  <w:pPr>
                    <w:pStyle w:val="47"/>
                    <w:widowControl/>
                    <w:spacing w:line="360" w:lineRule="auto"/>
                    <w:rPr>
                      <w:rFonts w:hint="default" w:ascii="Times New Roman" w:hAnsi="Times New Roman" w:eastAsia="宋体" w:cs="Times New Roman"/>
                      <w:bCs/>
                      <w:color w:val="auto"/>
                      <w:sz w:val="18"/>
                      <w:szCs w:val="18"/>
                      <w:lang w:val="en-US" w:eastAsia="zh-CN"/>
                    </w:rPr>
                  </w:pPr>
                  <w:r>
                    <w:rPr>
                      <w:rFonts w:hint="eastAsia" w:ascii="Times New Roman" w:hAnsi="Times New Roman" w:cs="Times New Roman"/>
                      <w:bCs/>
                      <w:color w:val="auto"/>
                      <w:sz w:val="18"/>
                      <w:szCs w:val="18"/>
                      <w:lang w:val="en-US" w:eastAsia="zh-CN"/>
                    </w:rPr>
                    <w:t>65</w:t>
                  </w:r>
                </w:p>
              </w:tc>
              <w:tc>
                <w:tcPr>
                  <w:tcW w:w="516" w:type="dxa"/>
                  <w:tcBorders>
                    <w:tl2br w:val="nil"/>
                    <w:tr2bl w:val="nil"/>
                  </w:tcBorders>
                  <w:vAlign w:val="center"/>
                </w:tcPr>
                <w:p w14:paraId="70CB0E59">
                  <w:pPr>
                    <w:widowControl/>
                    <w:spacing w:line="360" w:lineRule="auto"/>
                    <w:jc w:val="center"/>
                    <w:rPr>
                      <w:rFonts w:ascii="Times New Roman" w:hAnsi="Times New Roman" w:cs="Times New Roman"/>
                      <w:bCs/>
                      <w:color w:val="auto"/>
                      <w:sz w:val="18"/>
                      <w:szCs w:val="18"/>
                    </w:rPr>
                  </w:pPr>
                  <w:r>
                    <w:rPr>
                      <w:rFonts w:ascii="Times New Roman" w:hAnsi="Times New Roman" w:cs="Times New Roman"/>
                      <w:bCs/>
                      <w:color w:val="auto"/>
                      <w:sz w:val="18"/>
                      <w:szCs w:val="18"/>
                    </w:rPr>
                    <w:t>1</w:t>
                  </w:r>
                </w:p>
              </w:tc>
            </w:tr>
            <w:tr w14:paraId="513673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tcBorders>
                    <w:tl2br w:val="nil"/>
                    <w:tr2bl w:val="nil"/>
                  </w:tcBorders>
                  <w:shd w:val="clear" w:color="auto" w:fill="auto"/>
                  <w:vAlign w:val="center"/>
                </w:tcPr>
                <w:p w14:paraId="4174FABC">
                  <w:pPr>
                    <w:pStyle w:val="47"/>
                    <w:widowControl/>
                    <w:spacing w:line="360" w:lineRule="auto"/>
                    <w:rPr>
                      <w:rFonts w:hint="default" w:ascii="Times New Roman" w:hAnsi="Times New Roman" w:cs="Times New Roman"/>
                      <w:bCs/>
                      <w:color w:val="auto"/>
                      <w:sz w:val="18"/>
                      <w:szCs w:val="18"/>
                      <w:lang w:val="en-US" w:eastAsia="zh-CN"/>
                    </w:rPr>
                  </w:pPr>
                  <w:r>
                    <w:rPr>
                      <w:rFonts w:hint="eastAsia" w:ascii="Times New Roman" w:hAnsi="Times New Roman" w:cs="Times New Roman"/>
                      <w:bCs/>
                      <w:color w:val="auto"/>
                      <w:sz w:val="18"/>
                      <w:szCs w:val="18"/>
                      <w:lang w:val="en-US" w:eastAsia="zh-CN"/>
                    </w:rPr>
                    <w:t>4</w:t>
                  </w:r>
                </w:p>
              </w:tc>
              <w:tc>
                <w:tcPr>
                  <w:tcW w:w="450" w:type="dxa"/>
                  <w:vMerge w:val="restart"/>
                  <w:tcBorders>
                    <w:tl2br w:val="nil"/>
                    <w:tr2bl w:val="nil"/>
                  </w:tcBorders>
                  <w:vAlign w:val="center"/>
                </w:tcPr>
                <w:p w14:paraId="3C92F519">
                  <w:pPr>
                    <w:pStyle w:val="47"/>
                    <w:widowControl/>
                    <w:spacing w:line="360" w:lineRule="auto"/>
                    <w:rPr>
                      <w:rFonts w:hint="default" w:ascii="Times New Roman" w:hAnsi="Times New Roman" w:cs="Times New Roman"/>
                      <w:bCs/>
                      <w:color w:val="auto"/>
                      <w:sz w:val="18"/>
                      <w:szCs w:val="18"/>
                      <w:lang w:val="en-US" w:eastAsia="zh-CN"/>
                    </w:rPr>
                  </w:pPr>
                  <w:r>
                    <w:rPr>
                      <w:rFonts w:hint="eastAsia" w:ascii="Times New Roman" w:hAnsi="Times New Roman" w:cs="Times New Roman"/>
                      <w:bCs/>
                      <w:color w:val="auto"/>
                      <w:sz w:val="18"/>
                      <w:szCs w:val="18"/>
                      <w:lang w:val="en-US" w:eastAsia="zh-CN"/>
                    </w:rPr>
                    <w:t>石墨烘干车间</w:t>
                  </w:r>
                </w:p>
              </w:tc>
              <w:tc>
                <w:tcPr>
                  <w:tcW w:w="1152" w:type="dxa"/>
                  <w:tcBorders>
                    <w:tl2br w:val="nil"/>
                    <w:tr2bl w:val="nil"/>
                  </w:tcBorders>
                  <w:vAlign w:val="center"/>
                </w:tcPr>
                <w:p w14:paraId="0B838BDE">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烘干箱</w:t>
                  </w:r>
                </w:p>
              </w:tc>
              <w:tc>
                <w:tcPr>
                  <w:tcW w:w="420" w:type="dxa"/>
                  <w:tcBorders>
                    <w:tl2br w:val="nil"/>
                    <w:tr2bl w:val="nil"/>
                  </w:tcBorders>
                  <w:vAlign w:val="center"/>
                </w:tcPr>
                <w:p w14:paraId="45A08F15">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75</w:t>
                  </w:r>
                </w:p>
              </w:tc>
              <w:tc>
                <w:tcPr>
                  <w:tcW w:w="465" w:type="dxa"/>
                  <w:tcBorders>
                    <w:tl2br w:val="nil"/>
                    <w:tr2bl w:val="nil"/>
                  </w:tcBorders>
                  <w:vAlign w:val="center"/>
                </w:tcPr>
                <w:p w14:paraId="60809A2F">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1</w:t>
                  </w:r>
                </w:p>
              </w:tc>
              <w:tc>
                <w:tcPr>
                  <w:tcW w:w="498" w:type="dxa"/>
                  <w:vMerge w:val="continue"/>
                  <w:tcBorders>
                    <w:tl2br w:val="nil"/>
                    <w:tr2bl w:val="nil"/>
                  </w:tcBorders>
                  <w:vAlign w:val="center"/>
                </w:tcPr>
                <w:p w14:paraId="5705D8B6">
                  <w:pPr>
                    <w:widowControl/>
                    <w:spacing w:line="360" w:lineRule="auto"/>
                    <w:jc w:val="center"/>
                    <w:rPr>
                      <w:rFonts w:hint="eastAsia" w:ascii="Times New Roman" w:hAnsi="Times New Roman" w:eastAsia="宋体" w:cs="Times New Roman"/>
                      <w:color w:val="auto"/>
                      <w:sz w:val="18"/>
                      <w:szCs w:val="18"/>
                      <w:lang w:val="en-US" w:eastAsia="zh-CN"/>
                    </w:rPr>
                  </w:pPr>
                </w:p>
              </w:tc>
              <w:tc>
                <w:tcPr>
                  <w:tcW w:w="510" w:type="dxa"/>
                  <w:tcBorders>
                    <w:tl2br w:val="nil"/>
                    <w:tr2bl w:val="nil"/>
                  </w:tcBorders>
                  <w:vAlign w:val="center"/>
                </w:tcPr>
                <w:p w14:paraId="7E7055BC">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w:t>
                  </w:r>
                </w:p>
              </w:tc>
              <w:tc>
                <w:tcPr>
                  <w:tcW w:w="510" w:type="dxa"/>
                  <w:tcBorders>
                    <w:tl2br w:val="nil"/>
                    <w:tr2bl w:val="nil"/>
                  </w:tcBorders>
                  <w:vAlign w:val="center"/>
                </w:tcPr>
                <w:p w14:paraId="3D05D77F">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25</w:t>
                  </w:r>
                </w:p>
              </w:tc>
              <w:tc>
                <w:tcPr>
                  <w:tcW w:w="510" w:type="dxa"/>
                  <w:tcBorders>
                    <w:tl2br w:val="nil"/>
                    <w:tr2bl w:val="nil"/>
                  </w:tcBorders>
                  <w:vAlign w:val="center"/>
                </w:tcPr>
                <w:p w14:paraId="5FEF26C5">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1.5</w:t>
                  </w:r>
                </w:p>
              </w:tc>
              <w:tc>
                <w:tcPr>
                  <w:tcW w:w="510" w:type="dxa"/>
                  <w:tcBorders>
                    <w:tl2br w:val="nil"/>
                    <w:tr2bl w:val="nil"/>
                  </w:tcBorders>
                  <w:vAlign w:val="center"/>
                </w:tcPr>
                <w:p w14:paraId="1F705C46">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w:t>
                  </w:r>
                </w:p>
              </w:tc>
              <w:tc>
                <w:tcPr>
                  <w:tcW w:w="510" w:type="dxa"/>
                  <w:tcBorders>
                    <w:tl2br w:val="nil"/>
                    <w:tr2bl w:val="nil"/>
                  </w:tcBorders>
                  <w:vAlign w:val="center"/>
                </w:tcPr>
                <w:p w14:paraId="65059EFA">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71</w:t>
                  </w:r>
                </w:p>
              </w:tc>
              <w:tc>
                <w:tcPr>
                  <w:tcW w:w="510" w:type="dxa"/>
                  <w:vMerge w:val="continue"/>
                  <w:tcBorders>
                    <w:tl2br w:val="nil"/>
                    <w:tr2bl w:val="nil"/>
                  </w:tcBorders>
                  <w:vAlign w:val="center"/>
                </w:tcPr>
                <w:p w14:paraId="3D3722BC">
                  <w:pPr>
                    <w:widowControl/>
                    <w:spacing w:line="360" w:lineRule="auto"/>
                    <w:jc w:val="center"/>
                    <w:rPr>
                      <w:rFonts w:hint="eastAsia" w:ascii="Times New Roman" w:hAnsi="Times New Roman" w:eastAsia="宋体" w:cs="Times New Roman"/>
                      <w:color w:val="auto"/>
                      <w:sz w:val="18"/>
                      <w:szCs w:val="18"/>
                      <w:lang w:val="en-US" w:eastAsia="zh-CN"/>
                    </w:rPr>
                  </w:pPr>
                </w:p>
              </w:tc>
              <w:tc>
                <w:tcPr>
                  <w:tcW w:w="510" w:type="dxa"/>
                  <w:tcBorders>
                    <w:tl2br w:val="nil"/>
                    <w:tr2bl w:val="nil"/>
                  </w:tcBorders>
                  <w:vAlign w:val="center"/>
                </w:tcPr>
                <w:p w14:paraId="69DDAFFF">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bCs/>
                      <w:color w:val="auto"/>
                      <w:kern w:val="0"/>
                      <w:sz w:val="18"/>
                      <w:szCs w:val="18"/>
                      <w:lang w:val="en-US" w:eastAsia="zh-CN"/>
                    </w:rPr>
                    <w:t>20</w:t>
                  </w:r>
                </w:p>
              </w:tc>
              <w:tc>
                <w:tcPr>
                  <w:tcW w:w="510" w:type="dxa"/>
                  <w:tcBorders>
                    <w:tl2br w:val="nil"/>
                    <w:tr2bl w:val="nil"/>
                  </w:tcBorders>
                  <w:vAlign w:val="center"/>
                </w:tcPr>
                <w:p w14:paraId="25326207">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51</w:t>
                  </w:r>
                </w:p>
              </w:tc>
              <w:tc>
                <w:tcPr>
                  <w:tcW w:w="516" w:type="dxa"/>
                  <w:tcBorders>
                    <w:tl2br w:val="nil"/>
                    <w:tr2bl w:val="nil"/>
                  </w:tcBorders>
                  <w:vAlign w:val="center"/>
                </w:tcPr>
                <w:p w14:paraId="44A94F46">
                  <w:pPr>
                    <w:widowControl/>
                    <w:spacing w:line="360" w:lineRule="auto"/>
                    <w:jc w:val="center"/>
                    <w:rPr>
                      <w:rFonts w:hint="eastAsia" w:ascii="Times New Roman" w:hAnsi="Times New Roman" w:eastAsia="宋体" w:cs="Times New Roman"/>
                      <w:color w:val="auto"/>
                      <w:sz w:val="18"/>
                      <w:szCs w:val="18"/>
                      <w:lang w:val="en-US" w:eastAsia="zh-CN"/>
                    </w:rPr>
                  </w:pPr>
                  <w:r>
                    <w:rPr>
                      <w:rFonts w:ascii="Times New Roman" w:hAnsi="Times New Roman" w:cs="Times New Roman"/>
                      <w:bCs/>
                      <w:color w:val="auto"/>
                      <w:sz w:val="18"/>
                      <w:szCs w:val="18"/>
                    </w:rPr>
                    <w:t>1</w:t>
                  </w:r>
                </w:p>
              </w:tc>
            </w:tr>
            <w:tr w14:paraId="4AF6B7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tcBorders>
                    <w:tl2br w:val="nil"/>
                    <w:tr2bl w:val="nil"/>
                  </w:tcBorders>
                  <w:shd w:val="clear" w:color="auto" w:fill="auto"/>
                  <w:vAlign w:val="center"/>
                </w:tcPr>
                <w:p w14:paraId="778F3ADA">
                  <w:pPr>
                    <w:pStyle w:val="47"/>
                    <w:widowControl/>
                    <w:spacing w:line="360" w:lineRule="auto"/>
                    <w:rPr>
                      <w:rFonts w:hint="default" w:ascii="Times New Roman" w:hAnsi="Times New Roman" w:cs="Times New Roman"/>
                      <w:bCs/>
                      <w:color w:val="auto"/>
                      <w:sz w:val="18"/>
                      <w:szCs w:val="18"/>
                      <w:lang w:val="en-US" w:eastAsia="zh-CN"/>
                    </w:rPr>
                  </w:pPr>
                  <w:r>
                    <w:rPr>
                      <w:rFonts w:hint="eastAsia" w:ascii="Times New Roman" w:hAnsi="Times New Roman" w:cs="Times New Roman"/>
                      <w:bCs/>
                      <w:color w:val="auto"/>
                      <w:sz w:val="18"/>
                      <w:szCs w:val="18"/>
                      <w:lang w:val="en-US" w:eastAsia="zh-CN"/>
                    </w:rPr>
                    <w:t>5</w:t>
                  </w:r>
                </w:p>
              </w:tc>
              <w:tc>
                <w:tcPr>
                  <w:tcW w:w="450" w:type="dxa"/>
                  <w:vMerge w:val="continue"/>
                  <w:tcBorders>
                    <w:tl2br w:val="nil"/>
                    <w:tr2bl w:val="nil"/>
                  </w:tcBorders>
                  <w:vAlign w:val="center"/>
                </w:tcPr>
                <w:p w14:paraId="2BBD2235">
                  <w:pPr>
                    <w:pStyle w:val="47"/>
                    <w:widowControl/>
                    <w:spacing w:line="360" w:lineRule="auto"/>
                    <w:rPr>
                      <w:rFonts w:hint="eastAsia" w:ascii="Times New Roman" w:hAnsi="Times New Roman" w:cs="Times New Roman"/>
                      <w:bCs/>
                      <w:color w:val="auto"/>
                      <w:sz w:val="18"/>
                      <w:szCs w:val="18"/>
                      <w:lang w:val="en-US" w:eastAsia="zh-CN"/>
                    </w:rPr>
                  </w:pPr>
                </w:p>
              </w:tc>
              <w:tc>
                <w:tcPr>
                  <w:tcW w:w="1152" w:type="dxa"/>
                  <w:tcBorders>
                    <w:tl2br w:val="nil"/>
                    <w:tr2bl w:val="nil"/>
                  </w:tcBorders>
                  <w:vAlign w:val="center"/>
                </w:tcPr>
                <w:p w14:paraId="6BBD1324">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烘干箱</w:t>
                  </w:r>
                </w:p>
              </w:tc>
              <w:tc>
                <w:tcPr>
                  <w:tcW w:w="420" w:type="dxa"/>
                  <w:tcBorders>
                    <w:tl2br w:val="nil"/>
                    <w:tr2bl w:val="nil"/>
                  </w:tcBorders>
                  <w:vAlign w:val="center"/>
                </w:tcPr>
                <w:p w14:paraId="6547F93F">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75</w:t>
                  </w:r>
                </w:p>
              </w:tc>
              <w:tc>
                <w:tcPr>
                  <w:tcW w:w="465" w:type="dxa"/>
                  <w:tcBorders>
                    <w:tl2br w:val="nil"/>
                    <w:tr2bl w:val="nil"/>
                  </w:tcBorders>
                  <w:vAlign w:val="center"/>
                </w:tcPr>
                <w:p w14:paraId="618F1357">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1</w:t>
                  </w:r>
                </w:p>
              </w:tc>
              <w:tc>
                <w:tcPr>
                  <w:tcW w:w="498" w:type="dxa"/>
                  <w:vMerge w:val="continue"/>
                  <w:tcBorders>
                    <w:tl2br w:val="nil"/>
                    <w:tr2bl w:val="nil"/>
                  </w:tcBorders>
                  <w:vAlign w:val="center"/>
                </w:tcPr>
                <w:p w14:paraId="2635CC71">
                  <w:pPr>
                    <w:widowControl/>
                    <w:spacing w:line="360" w:lineRule="auto"/>
                    <w:jc w:val="center"/>
                    <w:rPr>
                      <w:rFonts w:hint="eastAsia" w:ascii="Times New Roman" w:hAnsi="Times New Roman" w:eastAsia="宋体" w:cs="Times New Roman"/>
                      <w:color w:val="auto"/>
                      <w:sz w:val="18"/>
                      <w:szCs w:val="18"/>
                      <w:lang w:val="en-US" w:eastAsia="zh-CN"/>
                    </w:rPr>
                  </w:pPr>
                </w:p>
              </w:tc>
              <w:tc>
                <w:tcPr>
                  <w:tcW w:w="510" w:type="dxa"/>
                  <w:tcBorders>
                    <w:tl2br w:val="nil"/>
                    <w:tr2bl w:val="nil"/>
                  </w:tcBorders>
                  <w:vAlign w:val="center"/>
                </w:tcPr>
                <w:p w14:paraId="7E05D28B">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w:t>
                  </w:r>
                </w:p>
              </w:tc>
              <w:tc>
                <w:tcPr>
                  <w:tcW w:w="510" w:type="dxa"/>
                  <w:tcBorders>
                    <w:tl2br w:val="nil"/>
                    <w:tr2bl w:val="nil"/>
                  </w:tcBorders>
                  <w:vAlign w:val="center"/>
                </w:tcPr>
                <w:p w14:paraId="4F9C733A">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26</w:t>
                  </w:r>
                </w:p>
              </w:tc>
              <w:tc>
                <w:tcPr>
                  <w:tcW w:w="510" w:type="dxa"/>
                  <w:tcBorders>
                    <w:tl2br w:val="nil"/>
                    <w:tr2bl w:val="nil"/>
                  </w:tcBorders>
                  <w:vAlign w:val="center"/>
                </w:tcPr>
                <w:p w14:paraId="7E8FAF28">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1.5</w:t>
                  </w:r>
                </w:p>
              </w:tc>
              <w:tc>
                <w:tcPr>
                  <w:tcW w:w="510" w:type="dxa"/>
                  <w:tcBorders>
                    <w:tl2br w:val="nil"/>
                    <w:tr2bl w:val="nil"/>
                  </w:tcBorders>
                  <w:vAlign w:val="center"/>
                </w:tcPr>
                <w:p w14:paraId="53812C58">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w:t>
                  </w:r>
                </w:p>
              </w:tc>
              <w:tc>
                <w:tcPr>
                  <w:tcW w:w="510" w:type="dxa"/>
                  <w:tcBorders>
                    <w:tl2br w:val="nil"/>
                    <w:tr2bl w:val="nil"/>
                  </w:tcBorders>
                  <w:vAlign w:val="center"/>
                </w:tcPr>
                <w:p w14:paraId="3F5E25AF">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71</w:t>
                  </w:r>
                </w:p>
              </w:tc>
              <w:tc>
                <w:tcPr>
                  <w:tcW w:w="510" w:type="dxa"/>
                  <w:vMerge w:val="continue"/>
                  <w:tcBorders>
                    <w:tl2br w:val="nil"/>
                    <w:tr2bl w:val="nil"/>
                  </w:tcBorders>
                  <w:vAlign w:val="center"/>
                </w:tcPr>
                <w:p w14:paraId="04EACE4B">
                  <w:pPr>
                    <w:widowControl/>
                    <w:spacing w:line="360" w:lineRule="auto"/>
                    <w:jc w:val="center"/>
                    <w:rPr>
                      <w:rFonts w:hint="eastAsia" w:ascii="Times New Roman" w:hAnsi="Times New Roman" w:eastAsia="宋体" w:cs="Times New Roman"/>
                      <w:color w:val="auto"/>
                      <w:sz w:val="18"/>
                      <w:szCs w:val="18"/>
                      <w:lang w:val="en-US" w:eastAsia="zh-CN"/>
                    </w:rPr>
                  </w:pPr>
                </w:p>
              </w:tc>
              <w:tc>
                <w:tcPr>
                  <w:tcW w:w="510" w:type="dxa"/>
                  <w:tcBorders>
                    <w:tl2br w:val="nil"/>
                    <w:tr2bl w:val="nil"/>
                  </w:tcBorders>
                  <w:vAlign w:val="center"/>
                </w:tcPr>
                <w:p w14:paraId="65244D67">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bCs/>
                      <w:color w:val="auto"/>
                      <w:kern w:val="0"/>
                      <w:sz w:val="18"/>
                      <w:szCs w:val="18"/>
                      <w:lang w:val="en-US" w:eastAsia="zh-CN"/>
                    </w:rPr>
                    <w:t>20</w:t>
                  </w:r>
                </w:p>
              </w:tc>
              <w:tc>
                <w:tcPr>
                  <w:tcW w:w="510" w:type="dxa"/>
                  <w:tcBorders>
                    <w:tl2br w:val="nil"/>
                    <w:tr2bl w:val="nil"/>
                  </w:tcBorders>
                  <w:vAlign w:val="center"/>
                </w:tcPr>
                <w:p w14:paraId="44594A95">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51</w:t>
                  </w:r>
                </w:p>
              </w:tc>
              <w:tc>
                <w:tcPr>
                  <w:tcW w:w="516" w:type="dxa"/>
                  <w:tcBorders>
                    <w:tl2br w:val="nil"/>
                    <w:tr2bl w:val="nil"/>
                  </w:tcBorders>
                  <w:vAlign w:val="center"/>
                </w:tcPr>
                <w:p w14:paraId="10B32F46">
                  <w:pPr>
                    <w:widowControl/>
                    <w:spacing w:line="360" w:lineRule="auto"/>
                    <w:jc w:val="center"/>
                    <w:rPr>
                      <w:rFonts w:hint="eastAsia" w:ascii="Times New Roman" w:hAnsi="Times New Roman" w:eastAsia="宋体" w:cs="Times New Roman"/>
                      <w:color w:val="auto"/>
                      <w:sz w:val="18"/>
                      <w:szCs w:val="18"/>
                      <w:lang w:val="en-US" w:eastAsia="zh-CN"/>
                    </w:rPr>
                  </w:pPr>
                  <w:r>
                    <w:rPr>
                      <w:rFonts w:ascii="Times New Roman" w:hAnsi="Times New Roman" w:cs="Times New Roman"/>
                      <w:bCs/>
                      <w:color w:val="auto"/>
                      <w:sz w:val="18"/>
                      <w:szCs w:val="18"/>
                    </w:rPr>
                    <w:t>1</w:t>
                  </w:r>
                </w:p>
              </w:tc>
            </w:tr>
            <w:tr w14:paraId="5A112D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tcBorders>
                    <w:tl2br w:val="nil"/>
                    <w:tr2bl w:val="nil"/>
                  </w:tcBorders>
                  <w:shd w:val="clear" w:color="auto" w:fill="auto"/>
                  <w:vAlign w:val="center"/>
                </w:tcPr>
                <w:p w14:paraId="2B75827F">
                  <w:pPr>
                    <w:pStyle w:val="47"/>
                    <w:widowControl/>
                    <w:spacing w:line="360" w:lineRule="auto"/>
                    <w:rPr>
                      <w:rFonts w:hint="default" w:ascii="Times New Roman" w:hAnsi="Times New Roman" w:cs="Times New Roman"/>
                      <w:bCs/>
                      <w:color w:val="auto"/>
                      <w:sz w:val="18"/>
                      <w:szCs w:val="18"/>
                      <w:lang w:val="en-US" w:eastAsia="zh-CN"/>
                    </w:rPr>
                  </w:pPr>
                  <w:r>
                    <w:rPr>
                      <w:rFonts w:hint="eastAsia" w:ascii="Times New Roman" w:hAnsi="Times New Roman" w:cs="Times New Roman"/>
                      <w:bCs/>
                      <w:color w:val="auto"/>
                      <w:sz w:val="18"/>
                      <w:szCs w:val="18"/>
                      <w:lang w:val="en-US" w:eastAsia="zh-CN"/>
                    </w:rPr>
                    <w:t>6</w:t>
                  </w:r>
                </w:p>
              </w:tc>
              <w:tc>
                <w:tcPr>
                  <w:tcW w:w="450" w:type="dxa"/>
                  <w:vMerge w:val="continue"/>
                  <w:tcBorders>
                    <w:tl2br w:val="nil"/>
                    <w:tr2bl w:val="nil"/>
                  </w:tcBorders>
                  <w:vAlign w:val="center"/>
                </w:tcPr>
                <w:p w14:paraId="0B9F4B26">
                  <w:pPr>
                    <w:pStyle w:val="47"/>
                    <w:widowControl/>
                    <w:spacing w:line="360" w:lineRule="auto"/>
                    <w:rPr>
                      <w:rFonts w:hint="eastAsia" w:ascii="Times New Roman" w:hAnsi="Times New Roman" w:cs="Times New Roman"/>
                      <w:bCs/>
                      <w:color w:val="auto"/>
                      <w:sz w:val="18"/>
                      <w:szCs w:val="18"/>
                      <w:lang w:val="en-US" w:eastAsia="zh-CN"/>
                    </w:rPr>
                  </w:pPr>
                </w:p>
              </w:tc>
              <w:tc>
                <w:tcPr>
                  <w:tcW w:w="1152" w:type="dxa"/>
                  <w:tcBorders>
                    <w:tl2br w:val="nil"/>
                    <w:tr2bl w:val="nil"/>
                  </w:tcBorders>
                  <w:vAlign w:val="center"/>
                </w:tcPr>
                <w:p w14:paraId="51A23A74">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烘干箱</w:t>
                  </w:r>
                </w:p>
              </w:tc>
              <w:tc>
                <w:tcPr>
                  <w:tcW w:w="420" w:type="dxa"/>
                  <w:tcBorders>
                    <w:tl2br w:val="nil"/>
                    <w:tr2bl w:val="nil"/>
                  </w:tcBorders>
                  <w:vAlign w:val="center"/>
                </w:tcPr>
                <w:p w14:paraId="787BFE46">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75</w:t>
                  </w:r>
                </w:p>
              </w:tc>
              <w:tc>
                <w:tcPr>
                  <w:tcW w:w="465" w:type="dxa"/>
                  <w:tcBorders>
                    <w:tl2br w:val="nil"/>
                    <w:tr2bl w:val="nil"/>
                  </w:tcBorders>
                  <w:vAlign w:val="center"/>
                </w:tcPr>
                <w:p w14:paraId="3B79D55F">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1</w:t>
                  </w:r>
                </w:p>
              </w:tc>
              <w:tc>
                <w:tcPr>
                  <w:tcW w:w="498" w:type="dxa"/>
                  <w:vMerge w:val="continue"/>
                  <w:tcBorders>
                    <w:tl2br w:val="nil"/>
                    <w:tr2bl w:val="nil"/>
                  </w:tcBorders>
                  <w:vAlign w:val="center"/>
                </w:tcPr>
                <w:p w14:paraId="1858D1EE">
                  <w:pPr>
                    <w:widowControl/>
                    <w:spacing w:line="360" w:lineRule="auto"/>
                    <w:jc w:val="center"/>
                    <w:rPr>
                      <w:rFonts w:hint="eastAsia" w:ascii="Times New Roman" w:hAnsi="Times New Roman" w:eastAsia="宋体" w:cs="Times New Roman"/>
                      <w:color w:val="auto"/>
                      <w:sz w:val="18"/>
                      <w:szCs w:val="18"/>
                      <w:lang w:val="en-US" w:eastAsia="zh-CN"/>
                    </w:rPr>
                  </w:pPr>
                </w:p>
              </w:tc>
              <w:tc>
                <w:tcPr>
                  <w:tcW w:w="510" w:type="dxa"/>
                  <w:tcBorders>
                    <w:tl2br w:val="nil"/>
                    <w:tr2bl w:val="nil"/>
                  </w:tcBorders>
                  <w:vAlign w:val="center"/>
                </w:tcPr>
                <w:p w14:paraId="768D5018">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w:t>
                  </w:r>
                </w:p>
              </w:tc>
              <w:tc>
                <w:tcPr>
                  <w:tcW w:w="510" w:type="dxa"/>
                  <w:tcBorders>
                    <w:tl2br w:val="nil"/>
                    <w:tr2bl w:val="nil"/>
                  </w:tcBorders>
                  <w:vAlign w:val="center"/>
                </w:tcPr>
                <w:p w14:paraId="6F7CE259">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27</w:t>
                  </w:r>
                </w:p>
              </w:tc>
              <w:tc>
                <w:tcPr>
                  <w:tcW w:w="510" w:type="dxa"/>
                  <w:tcBorders>
                    <w:tl2br w:val="nil"/>
                    <w:tr2bl w:val="nil"/>
                  </w:tcBorders>
                  <w:vAlign w:val="center"/>
                </w:tcPr>
                <w:p w14:paraId="62E5747A">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1.5</w:t>
                  </w:r>
                </w:p>
              </w:tc>
              <w:tc>
                <w:tcPr>
                  <w:tcW w:w="510" w:type="dxa"/>
                  <w:tcBorders>
                    <w:tl2br w:val="nil"/>
                    <w:tr2bl w:val="nil"/>
                  </w:tcBorders>
                  <w:vAlign w:val="center"/>
                </w:tcPr>
                <w:p w14:paraId="34215365">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w:t>
                  </w:r>
                </w:p>
              </w:tc>
              <w:tc>
                <w:tcPr>
                  <w:tcW w:w="510" w:type="dxa"/>
                  <w:tcBorders>
                    <w:tl2br w:val="nil"/>
                    <w:tr2bl w:val="nil"/>
                  </w:tcBorders>
                  <w:vAlign w:val="center"/>
                </w:tcPr>
                <w:p w14:paraId="42CC47B3">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71</w:t>
                  </w:r>
                </w:p>
              </w:tc>
              <w:tc>
                <w:tcPr>
                  <w:tcW w:w="510" w:type="dxa"/>
                  <w:vMerge w:val="continue"/>
                  <w:tcBorders>
                    <w:tl2br w:val="nil"/>
                    <w:tr2bl w:val="nil"/>
                  </w:tcBorders>
                  <w:vAlign w:val="center"/>
                </w:tcPr>
                <w:p w14:paraId="6EF8093B">
                  <w:pPr>
                    <w:widowControl/>
                    <w:spacing w:line="360" w:lineRule="auto"/>
                    <w:jc w:val="center"/>
                    <w:rPr>
                      <w:rFonts w:hint="eastAsia" w:ascii="Times New Roman" w:hAnsi="Times New Roman" w:eastAsia="宋体" w:cs="Times New Roman"/>
                      <w:color w:val="auto"/>
                      <w:sz w:val="18"/>
                      <w:szCs w:val="18"/>
                      <w:lang w:val="en-US" w:eastAsia="zh-CN"/>
                    </w:rPr>
                  </w:pPr>
                </w:p>
              </w:tc>
              <w:tc>
                <w:tcPr>
                  <w:tcW w:w="510" w:type="dxa"/>
                  <w:tcBorders>
                    <w:tl2br w:val="nil"/>
                    <w:tr2bl w:val="nil"/>
                  </w:tcBorders>
                  <w:vAlign w:val="center"/>
                </w:tcPr>
                <w:p w14:paraId="6E993B53">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bCs/>
                      <w:color w:val="auto"/>
                      <w:kern w:val="0"/>
                      <w:sz w:val="18"/>
                      <w:szCs w:val="18"/>
                      <w:lang w:val="en-US" w:eastAsia="zh-CN"/>
                    </w:rPr>
                    <w:t>20</w:t>
                  </w:r>
                </w:p>
              </w:tc>
              <w:tc>
                <w:tcPr>
                  <w:tcW w:w="510" w:type="dxa"/>
                  <w:tcBorders>
                    <w:tl2br w:val="nil"/>
                    <w:tr2bl w:val="nil"/>
                  </w:tcBorders>
                  <w:vAlign w:val="center"/>
                </w:tcPr>
                <w:p w14:paraId="1140C8A5">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51</w:t>
                  </w:r>
                </w:p>
              </w:tc>
              <w:tc>
                <w:tcPr>
                  <w:tcW w:w="516" w:type="dxa"/>
                  <w:tcBorders>
                    <w:tl2br w:val="nil"/>
                    <w:tr2bl w:val="nil"/>
                  </w:tcBorders>
                  <w:vAlign w:val="center"/>
                </w:tcPr>
                <w:p w14:paraId="57FFE9F4">
                  <w:pPr>
                    <w:widowControl/>
                    <w:spacing w:line="360" w:lineRule="auto"/>
                    <w:jc w:val="center"/>
                    <w:rPr>
                      <w:rFonts w:hint="eastAsia" w:ascii="Times New Roman" w:hAnsi="Times New Roman" w:eastAsia="宋体" w:cs="Times New Roman"/>
                      <w:color w:val="auto"/>
                      <w:sz w:val="18"/>
                      <w:szCs w:val="18"/>
                      <w:lang w:val="en-US" w:eastAsia="zh-CN"/>
                    </w:rPr>
                  </w:pPr>
                  <w:r>
                    <w:rPr>
                      <w:rFonts w:ascii="Times New Roman" w:hAnsi="Times New Roman" w:cs="Times New Roman"/>
                      <w:bCs/>
                      <w:color w:val="auto"/>
                      <w:sz w:val="18"/>
                      <w:szCs w:val="18"/>
                    </w:rPr>
                    <w:t>1</w:t>
                  </w:r>
                </w:p>
              </w:tc>
            </w:tr>
            <w:tr w14:paraId="73169A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tcBorders>
                    <w:tl2br w:val="nil"/>
                    <w:tr2bl w:val="nil"/>
                  </w:tcBorders>
                  <w:shd w:val="clear" w:color="auto" w:fill="auto"/>
                  <w:vAlign w:val="center"/>
                </w:tcPr>
                <w:p w14:paraId="1D0EA80B">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cs="Times New Roman"/>
                      <w:bCs/>
                      <w:color w:val="auto"/>
                      <w:sz w:val="18"/>
                      <w:szCs w:val="18"/>
                      <w:lang w:val="en-US" w:eastAsia="zh-CN" w:bidi="ar-SA"/>
                    </w:rPr>
                    <w:t>7</w:t>
                  </w:r>
                </w:p>
              </w:tc>
              <w:tc>
                <w:tcPr>
                  <w:tcW w:w="450" w:type="dxa"/>
                  <w:vMerge w:val="continue"/>
                  <w:tcBorders>
                    <w:tl2br w:val="nil"/>
                    <w:tr2bl w:val="nil"/>
                  </w:tcBorders>
                  <w:shd w:val="clear" w:color="auto" w:fill="auto"/>
                  <w:vAlign w:val="center"/>
                </w:tcPr>
                <w:p w14:paraId="55F98CD9">
                  <w:pPr>
                    <w:pStyle w:val="47"/>
                    <w:widowControl/>
                    <w:spacing w:line="360" w:lineRule="auto"/>
                    <w:rPr>
                      <w:rFonts w:hint="eastAsia" w:ascii="Times New Roman" w:hAnsi="Times New Roman" w:eastAsia="宋体" w:cs="Times New Roman"/>
                      <w:bCs/>
                      <w:color w:val="auto"/>
                      <w:sz w:val="18"/>
                      <w:szCs w:val="18"/>
                      <w:lang w:val="en-US" w:eastAsia="zh-CN" w:bidi="ar-SA"/>
                    </w:rPr>
                  </w:pPr>
                </w:p>
              </w:tc>
              <w:tc>
                <w:tcPr>
                  <w:tcW w:w="1152" w:type="dxa"/>
                  <w:tcBorders>
                    <w:tl2br w:val="nil"/>
                    <w:tr2bl w:val="nil"/>
                  </w:tcBorders>
                  <w:shd w:val="clear" w:color="auto" w:fill="auto"/>
                  <w:vAlign w:val="center"/>
                </w:tcPr>
                <w:p w14:paraId="489C7146">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烘干箱</w:t>
                  </w:r>
                </w:p>
              </w:tc>
              <w:tc>
                <w:tcPr>
                  <w:tcW w:w="420" w:type="dxa"/>
                  <w:tcBorders>
                    <w:tl2br w:val="nil"/>
                    <w:tr2bl w:val="nil"/>
                  </w:tcBorders>
                  <w:shd w:val="clear" w:color="auto" w:fill="auto"/>
                  <w:vAlign w:val="center"/>
                </w:tcPr>
                <w:p w14:paraId="01223CC7">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75</w:t>
                  </w:r>
                </w:p>
              </w:tc>
              <w:tc>
                <w:tcPr>
                  <w:tcW w:w="465" w:type="dxa"/>
                  <w:tcBorders>
                    <w:tl2br w:val="nil"/>
                    <w:tr2bl w:val="nil"/>
                  </w:tcBorders>
                  <w:shd w:val="clear" w:color="auto" w:fill="auto"/>
                  <w:vAlign w:val="center"/>
                </w:tcPr>
                <w:p w14:paraId="66F64062">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1</w:t>
                  </w:r>
                </w:p>
              </w:tc>
              <w:tc>
                <w:tcPr>
                  <w:tcW w:w="498" w:type="dxa"/>
                  <w:vMerge w:val="continue"/>
                  <w:tcBorders>
                    <w:tl2br w:val="nil"/>
                    <w:tr2bl w:val="nil"/>
                  </w:tcBorders>
                  <w:shd w:val="clear" w:color="auto" w:fill="auto"/>
                  <w:vAlign w:val="center"/>
                </w:tcPr>
                <w:p w14:paraId="7837EF34">
                  <w:pPr>
                    <w:widowControl/>
                    <w:spacing w:line="360" w:lineRule="auto"/>
                    <w:jc w:val="center"/>
                    <w:rPr>
                      <w:rFonts w:hint="eastAsia" w:ascii="Times New Roman" w:hAnsi="Times New Roman" w:eastAsia="宋体" w:cs="Times New Roman"/>
                      <w:color w:val="auto"/>
                      <w:sz w:val="18"/>
                      <w:szCs w:val="18"/>
                      <w:lang w:val="en-US" w:eastAsia="zh-CN"/>
                    </w:rPr>
                  </w:pPr>
                </w:p>
              </w:tc>
              <w:tc>
                <w:tcPr>
                  <w:tcW w:w="510" w:type="dxa"/>
                  <w:tcBorders>
                    <w:tl2br w:val="nil"/>
                    <w:tr2bl w:val="nil"/>
                  </w:tcBorders>
                  <w:shd w:val="clear" w:color="auto" w:fill="auto"/>
                  <w:vAlign w:val="center"/>
                </w:tcPr>
                <w:p w14:paraId="44CA27AE">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w:t>
                  </w:r>
                </w:p>
              </w:tc>
              <w:tc>
                <w:tcPr>
                  <w:tcW w:w="510" w:type="dxa"/>
                  <w:tcBorders>
                    <w:tl2br w:val="nil"/>
                    <w:tr2bl w:val="nil"/>
                  </w:tcBorders>
                  <w:shd w:val="clear" w:color="auto" w:fill="auto"/>
                  <w:vAlign w:val="center"/>
                </w:tcPr>
                <w:p w14:paraId="3715150B">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28</w:t>
                  </w:r>
                </w:p>
              </w:tc>
              <w:tc>
                <w:tcPr>
                  <w:tcW w:w="510" w:type="dxa"/>
                  <w:tcBorders>
                    <w:tl2br w:val="nil"/>
                    <w:tr2bl w:val="nil"/>
                  </w:tcBorders>
                  <w:shd w:val="clear" w:color="auto" w:fill="auto"/>
                  <w:vAlign w:val="center"/>
                </w:tcPr>
                <w:p w14:paraId="6EBE4250">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1.5</w:t>
                  </w:r>
                </w:p>
              </w:tc>
              <w:tc>
                <w:tcPr>
                  <w:tcW w:w="510" w:type="dxa"/>
                  <w:tcBorders>
                    <w:tl2br w:val="nil"/>
                    <w:tr2bl w:val="nil"/>
                  </w:tcBorders>
                  <w:shd w:val="clear" w:color="auto" w:fill="auto"/>
                  <w:vAlign w:val="center"/>
                </w:tcPr>
                <w:p w14:paraId="276E9FF4">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w:t>
                  </w:r>
                </w:p>
              </w:tc>
              <w:tc>
                <w:tcPr>
                  <w:tcW w:w="510" w:type="dxa"/>
                  <w:tcBorders>
                    <w:tl2br w:val="nil"/>
                    <w:tr2bl w:val="nil"/>
                  </w:tcBorders>
                  <w:shd w:val="clear" w:color="auto" w:fill="auto"/>
                  <w:vAlign w:val="center"/>
                </w:tcPr>
                <w:p w14:paraId="4B48C95D">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71</w:t>
                  </w:r>
                </w:p>
              </w:tc>
              <w:tc>
                <w:tcPr>
                  <w:tcW w:w="510" w:type="dxa"/>
                  <w:vMerge w:val="continue"/>
                  <w:tcBorders>
                    <w:tl2br w:val="nil"/>
                    <w:tr2bl w:val="nil"/>
                  </w:tcBorders>
                  <w:shd w:val="clear" w:color="auto" w:fill="auto"/>
                  <w:vAlign w:val="center"/>
                </w:tcPr>
                <w:p w14:paraId="578E6110">
                  <w:pPr>
                    <w:widowControl/>
                    <w:spacing w:line="360" w:lineRule="auto"/>
                    <w:jc w:val="center"/>
                    <w:rPr>
                      <w:rFonts w:hint="eastAsia" w:ascii="Times New Roman" w:hAnsi="Times New Roman" w:eastAsia="宋体" w:cs="Times New Roman"/>
                      <w:color w:val="auto"/>
                      <w:sz w:val="18"/>
                      <w:szCs w:val="18"/>
                      <w:lang w:val="en-US" w:eastAsia="zh-CN"/>
                    </w:rPr>
                  </w:pPr>
                </w:p>
              </w:tc>
              <w:tc>
                <w:tcPr>
                  <w:tcW w:w="510" w:type="dxa"/>
                  <w:tcBorders>
                    <w:tl2br w:val="nil"/>
                    <w:tr2bl w:val="nil"/>
                  </w:tcBorders>
                  <w:shd w:val="clear" w:color="auto" w:fill="auto"/>
                  <w:vAlign w:val="center"/>
                </w:tcPr>
                <w:p w14:paraId="00CEE746">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bCs/>
                      <w:color w:val="auto"/>
                      <w:kern w:val="0"/>
                      <w:sz w:val="18"/>
                      <w:szCs w:val="18"/>
                      <w:lang w:val="en-US" w:eastAsia="zh-CN"/>
                    </w:rPr>
                    <w:t>20</w:t>
                  </w:r>
                </w:p>
              </w:tc>
              <w:tc>
                <w:tcPr>
                  <w:tcW w:w="510" w:type="dxa"/>
                  <w:tcBorders>
                    <w:tl2br w:val="nil"/>
                    <w:tr2bl w:val="nil"/>
                  </w:tcBorders>
                  <w:shd w:val="clear" w:color="auto" w:fill="auto"/>
                  <w:vAlign w:val="center"/>
                </w:tcPr>
                <w:p w14:paraId="3B53D5EE">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51</w:t>
                  </w:r>
                </w:p>
              </w:tc>
              <w:tc>
                <w:tcPr>
                  <w:tcW w:w="516" w:type="dxa"/>
                  <w:tcBorders>
                    <w:tl2br w:val="nil"/>
                    <w:tr2bl w:val="nil"/>
                  </w:tcBorders>
                  <w:shd w:val="clear" w:color="auto" w:fill="auto"/>
                  <w:vAlign w:val="center"/>
                </w:tcPr>
                <w:p w14:paraId="4698230F">
                  <w:pPr>
                    <w:widowControl/>
                    <w:spacing w:line="360" w:lineRule="auto"/>
                    <w:jc w:val="center"/>
                    <w:rPr>
                      <w:rFonts w:hint="eastAsia" w:ascii="Times New Roman" w:hAnsi="Times New Roman" w:eastAsia="宋体" w:cs="Times New Roman"/>
                      <w:color w:val="auto"/>
                      <w:sz w:val="18"/>
                      <w:szCs w:val="18"/>
                      <w:lang w:val="en-US" w:eastAsia="zh-CN"/>
                    </w:rPr>
                  </w:pPr>
                  <w:r>
                    <w:rPr>
                      <w:rFonts w:ascii="Times New Roman" w:hAnsi="Times New Roman" w:cs="Times New Roman"/>
                      <w:bCs/>
                      <w:color w:val="auto"/>
                      <w:sz w:val="18"/>
                      <w:szCs w:val="18"/>
                    </w:rPr>
                    <w:t>1</w:t>
                  </w:r>
                </w:p>
              </w:tc>
            </w:tr>
            <w:tr w14:paraId="528C17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shd w:val="clear" w:color="auto" w:fill="auto"/>
                  <w:vAlign w:val="center"/>
                </w:tcPr>
                <w:p w14:paraId="4D8C5C26">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cs="Times New Roman"/>
                      <w:bCs/>
                      <w:color w:val="auto"/>
                      <w:sz w:val="18"/>
                      <w:szCs w:val="18"/>
                      <w:lang w:val="en-US" w:eastAsia="zh-CN" w:bidi="ar-SA"/>
                    </w:rPr>
                    <w:t>8</w:t>
                  </w:r>
                </w:p>
              </w:tc>
              <w:tc>
                <w:tcPr>
                  <w:tcW w:w="450" w:type="dxa"/>
                  <w:vMerge w:val="continue"/>
                  <w:shd w:val="clear" w:color="auto" w:fill="auto"/>
                  <w:vAlign w:val="center"/>
                </w:tcPr>
                <w:p w14:paraId="2C12E323">
                  <w:pPr>
                    <w:pStyle w:val="47"/>
                    <w:widowControl/>
                    <w:spacing w:line="360" w:lineRule="auto"/>
                    <w:rPr>
                      <w:rFonts w:hint="eastAsia" w:ascii="Times New Roman" w:hAnsi="Times New Roman" w:eastAsia="宋体" w:cs="Times New Roman"/>
                      <w:bCs/>
                      <w:color w:val="auto"/>
                      <w:sz w:val="18"/>
                      <w:szCs w:val="18"/>
                      <w:lang w:val="en-US" w:eastAsia="zh-CN" w:bidi="ar-SA"/>
                    </w:rPr>
                  </w:pPr>
                </w:p>
              </w:tc>
              <w:tc>
                <w:tcPr>
                  <w:tcW w:w="1152" w:type="dxa"/>
                  <w:shd w:val="clear" w:color="auto" w:fill="auto"/>
                  <w:vAlign w:val="center"/>
                </w:tcPr>
                <w:p w14:paraId="500D85DE">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烘干箱</w:t>
                  </w:r>
                </w:p>
              </w:tc>
              <w:tc>
                <w:tcPr>
                  <w:tcW w:w="420" w:type="dxa"/>
                  <w:shd w:val="clear" w:color="auto" w:fill="auto"/>
                  <w:vAlign w:val="center"/>
                </w:tcPr>
                <w:p w14:paraId="1B3165E3">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75</w:t>
                  </w:r>
                </w:p>
              </w:tc>
              <w:tc>
                <w:tcPr>
                  <w:tcW w:w="465" w:type="dxa"/>
                  <w:shd w:val="clear" w:color="auto" w:fill="auto"/>
                  <w:vAlign w:val="center"/>
                </w:tcPr>
                <w:p w14:paraId="17BF7757">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1</w:t>
                  </w:r>
                </w:p>
              </w:tc>
              <w:tc>
                <w:tcPr>
                  <w:tcW w:w="498" w:type="dxa"/>
                  <w:vMerge w:val="continue"/>
                  <w:shd w:val="clear" w:color="auto" w:fill="auto"/>
                  <w:vAlign w:val="center"/>
                </w:tcPr>
                <w:p w14:paraId="174CE2F9">
                  <w:pPr>
                    <w:widowControl/>
                    <w:spacing w:line="360" w:lineRule="auto"/>
                    <w:jc w:val="center"/>
                    <w:rPr>
                      <w:rFonts w:hint="eastAsia" w:ascii="Times New Roman" w:hAnsi="Times New Roman" w:eastAsia="宋体" w:cs="Times New Roman"/>
                      <w:color w:val="auto"/>
                      <w:sz w:val="18"/>
                      <w:szCs w:val="18"/>
                      <w:lang w:val="en-US" w:eastAsia="zh-CN"/>
                    </w:rPr>
                  </w:pPr>
                </w:p>
              </w:tc>
              <w:tc>
                <w:tcPr>
                  <w:tcW w:w="510" w:type="dxa"/>
                  <w:shd w:val="clear" w:color="auto" w:fill="auto"/>
                  <w:vAlign w:val="center"/>
                </w:tcPr>
                <w:p w14:paraId="36EBC633">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w:t>
                  </w:r>
                </w:p>
              </w:tc>
              <w:tc>
                <w:tcPr>
                  <w:tcW w:w="510" w:type="dxa"/>
                  <w:shd w:val="clear" w:color="auto" w:fill="auto"/>
                  <w:vAlign w:val="center"/>
                </w:tcPr>
                <w:p w14:paraId="1DBF3B19">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29</w:t>
                  </w:r>
                </w:p>
              </w:tc>
              <w:tc>
                <w:tcPr>
                  <w:tcW w:w="510" w:type="dxa"/>
                  <w:shd w:val="clear" w:color="auto" w:fill="auto"/>
                  <w:vAlign w:val="center"/>
                </w:tcPr>
                <w:p w14:paraId="2F42E8AF">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1.5</w:t>
                  </w:r>
                </w:p>
              </w:tc>
              <w:tc>
                <w:tcPr>
                  <w:tcW w:w="510" w:type="dxa"/>
                  <w:shd w:val="clear" w:color="auto" w:fill="auto"/>
                  <w:vAlign w:val="center"/>
                </w:tcPr>
                <w:p w14:paraId="5FBCB601">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w:t>
                  </w:r>
                </w:p>
              </w:tc>
              <w:tc>
                <w:tcPr>
                  <w:tcW w:w="510" w:type="dxa"/>
                  <w:shd w:val="clear" w:color="auto" w:fill="auto"/>
                  <w:vAlign w:val="center"/>
                </w:tcPr>
                <w:p w14:paraId="08CEEA59">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71</w:t>
                  </w:r>
                </w:p>
              </w:tc>
              <w:tc>
                <w:tcPr>
                  <w:tcW w:w="510" w:type="dxa"/>
                  <w:vMerge w:val="continue"/>
                  <w:shd w:val="clear" w:color="auto" w:fill="auto"/>
                  <w:vAlign w:val="center"/>
                </w:tcPr>
                <w:p w14:paraId="095D15D0">
                  <w:pPr>
                    <w:widowControl/>
                    <w:spacing w:line="360" w:lineRule="auto"/>
                    <w:jc w:val="center"/>
                    <w:rPr>
                      <w:rFonts w:hint="eastAsia" w:ascii="Times New Roman" w:hAnsi="Times New Roman" w:eastAsia="宋体" w:cs="Times New Roman"/>
                      <w:color w:val="auto"/>
                      <w:sz w:val="18"/>
                      <w:szCs w:val="18"/>
                      <w:lang w:val="en-US" w:eastAsia="zh-CN"/>
                    </w:rPr>
                  </w:pPr>
                </w:p>
              </w:tc>
              <w:tc>
                <w:tcPr>
                  <w:tcW w:w="510" w:type="dxa"/>
                  <w:shd w:val="clear" w:color="auto" w:fill="auto"/>
                  <w:vAlign w:val="center"/>
                </w:tcPr>
                <w:p w14:paraId="1B54BD60">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bCs/>
                      <w:color w:val="auto"/>
                      <w:kern w:val="0"/>
                      <w:sz w:val="18"/>
                      <w:szCs w:val="18"/>
                      <w:lang w:val="en-US" w:eastAsia="zh-CN"/>
                    </w:rPr>
                    <w:t>20</w:t>
                  </w:r>
                </w:p>
              </w:tc>
              <w:tc>
                <w:tcPr>
                  <w:tcW w:w="510" w:type="dxa"/>
                  <w:shd w:val="clear" w:color="auto" w:fill="auto"/>
                  <w:vAlign w:val="center"/>
                </w:tcPr>
                <w:p w14:paraId="2EF3D3C8">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51</w:t>
                  </w:r>
                </w:p>
              </w:tc>
              <w:tc>
                <w:tcPr>
                  <w:tcW w:w="516" w:type="dxa"/>
                  <w:shd w:val="clear" w:color="auto" w:fill="auto"/>
                  <w:vAlign w:val="center"/>
                </w:tcPr>
                <w:p w14:paraId="4CC8C37D">
                  <w:pPr>
                    <w:widowControl/>
                    <w:spacing w:line="360" w:lineRule="auto"/>
                    <w:jc w:val="center"/>
                    <w:rPr>
                      <w:rFonts w:hint="eastAsia" w:ascii="Times New Roman" w:hAnsi="Times New Roman" w:eastAsia="宋体" w:cs="Times New Roman"/>
                      <w:color w:val="auto"/>
                      <w:sz w:val="18"/>
                      <w:szCs w:val="18"/>
                      <w:lang w:val="en-US" w:eastAsia="zh-CN"/>
                    </w:rPr>
                  </w:pPr>
                  <w:r>
                    <w:rPr>
                      <w:rFonts w:ascii="Times New Roman" w:hAnsi="Times New Roman" w:cs="Times New Roman"/>
                      <w:bCs/>
                      <w:color w:val="auto"/>
                      <w:sz w:val="18"/>
                      <w:szCs w:val="18"/>
                    </w:rPr>
                    <w:t>1</w:t>
                  </w:r>
                </w:p>
              </w:tc>
            </w:tr>
            <w:tr w14:paraId="44CB13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shd w:val="clear" w:color="auto" w:fill="auto"/>
                  <w:vAlign w:val="center"/>
                </w:tcPr>
                <w:p w14:paraId="1F2FD14B">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cs="Times New Roman"/>
                      <w:bCs/>
                      <w:color w:val="auto"/>
                      <w:sz w:val="18"/>
                      <w:szCs w:val="18"/>
                      <w:lang w:val="en-US" w:eastAsia="zh-CN" w:bidi="ar-SA"/>
                    </w:rPr>
                    <w:t>9</w:t>
                  </w:r>
                </w:p>
              </w:tc>
              <w:tc>
                <w:tcPr>
                  <w:tcW w:w="450" w:type="dxa"/>
                  <w:vMerge w:val="continue"/>
                  <w:shd w:val="clear" w:color="auto" w:fill="auto"/>
                  <w:vAlign w:val="center"/>
                </w:tcPr>
                <w:p w14:paraId="0E0BAAED">
                  <w:pPr>
                    <w:pStyle w:val="47"/>
                    <w:widowControl/>
                    <w:spacing w:line="360" w:lineRule="auto"/>
                    <w:rPr>
                      <w:rFonts w:hint="eastAsia" w:ascii="Times New Roman" w:hAnsi="Times New Roman" w:eastAsia="宋体" w:cs="Times New Roman"/>
                      <w:bCs/>
                      <w:color w:val="auto"/>
                      <w:sz w:val="18"/>
                      <w:szCs w:val="18"/>
                      <w:lang w:val="en-US" w:eastAsia="zh-CN" w:bidi="ar-SA"/>
                    </w:rPr>
                  </w:pPr>
                </w:p>
              </w:tc>
              <w:tc>
                <w:tcPr>
                  <w:tcW w:w="1152" w:type="dxa"/>
                  <w:shd w:val="clear" w:color="auto" w:fill="auto"/>
                  <w:vAlign w:val="center"/>
                </w:tcPr>
                <w:p w14:paraId="2C294D44">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烘干箱</w:t>
                  </w:r>
                </w:p>
              </w:tc>
              <w:tc>
                <w:tcPr>
                  <w:tcW w:w="420" w:type="dxa"/>
                  <w:shd w:val="clear" w:color="auto" w:fill="auto"/>
                  <w:vAlign w:val="center"/>
                </w:tcPr>
                <w:p w14:paraId="03225455">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75</w:t>
                  </w:r>
                </w:p>
              </w:tc>
              <w:tc>
                <w:tcPr>
                  <w:tcW w:w="465" w:type="dxa"/>
                  <w:shd w:val="clear" w:color="auto" w:fill="auto"/>
                  <w:vAlign w:val="center"/>
                </w:tcPr>
                <w:p w14:paraId="125166AA">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1</w:t>
                  </w:r>
                </w:p>
              </w:tc>
              <w:tc>
                <w:tcPr>
                  <w:tcW w:w="498" w:type="dxa"/>
                  <w:vMerge w:val="continue"/>
                  <w:shd w:val="clear" w:color="auto" w:fill="auto"/>
                  <w:vAlign w:val="center"/>
                </w:tcPr>
                <w:p w14:paraId="6FE377F4">
                  <w:pPr>
                    <w:widowControl/>
                    <w:spacing w:line="360" w:lineRule="auto"/>
                    <w:jc w:val="center"/>
                    <w:rPr>
                      <w:rFonts w:hint="eastAsia" w:ascii="Times New Roman" w:hAnsi="Times New Roman" w:eastAsia="宋体" w:cs="Times New Roman"/>
                      <w:color w:val="auto"/>
                      <w:sz w:val="18"/>
                      <w:szCs w:val="18"/>
                      <w:lang w:val="en-US" w:eastAsia="zh-CN"/>
                    </w:rPr>
                  </w:pPr>
                </w:p>
              </w:tc>
              <w:tc>
                <w:tcPr>
                  <w:tcW w:w="510" w:type="dxa"/>
                  <w:shd w:val="clear" w:color="auto" w:fill="auto"/>
                  <w:vAlign w:val="center"/>
                </w:tcPr>
                <w:p w14:paraId="5F021825">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w:t>
                  </w:r>
                </w:p>
              </w:tc>
              <w:tc>
                <w:tcPr>
                  <w:tcW w:w="510" w:type="dxa"/>
                  <w:shd w:val="clear" w:color="auto" w:fill="auto"/>
                  <w:vAlign w:val="center"/>
                </w:tcPr>
                <w:p w14:paraId="604E5EC7">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30</w:t>
                  </w:r>
                </w:p>
              </w:tc>
              <w:tc>
                <w:tcPr>
                  <w:tcW w:w="510" w:type="dxa"/>
                  <w:shd w:val="clear" w:color="auto" w:fill="auto"/>
                  <w:vAlign w:val="center"/>
                </w:tcPr>
                <w:p w14:paraId="25EF32BD">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1.5</w:t>
                  </w:r>
                </w:p>
              </w:tc>
              <w:tc>
                <w:tcPr>
                  <w:tcW w:w="510" w:type="dxa"/>
                  <w:shd w:val="clear" w:color="auto" w:fill="auto"/>
                  <w:vAlign w:val="center"/>
                </w:tcPr>
                <w:p w14:paraId="677A6692">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w:t>
                  </w:r>
                </w:p>
              </w:tc>
              <w:tc>
                <w:tcPr>
                  <w:tcW w:w="510" w:type="dxa"/>
                  <w:shd w:val="clear" w:color="auto" w:fill="auto"/>
                  <w:vAlign w:val="center"/>
                </w:tcPr>
                <w:p w14:paraId="069AF9FC">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71</w:t>
                  </w:r>
                </w:p>
              </w:tc>
              <w:tc>
                <w:tcPr>
                  <w:tcW w:w="510" w:type="dxa"/>
                  <w:vMerge w:val="continue"/>
                  <w:shd w:val="clear" w:color="auto" w:fill="auto"/>
                  <w:vAlign w:val="center"/>
                </w:tcPr>
                <w:p w14:paraId="12E24090">
                  <w:pPr>
                    <w:widowControl/>
                    <w:spacing w:line="360" w:lineRule="auto"/>
                    <w:jc w:val="center"/>
                    <w:rPr>
                      <w:rFonts w:hint="eastAsia" w:ascii="Times New Roman" w:hAnsi="Times New Roman" w:eastAsia="宋体" w:cs="Times New Roman"/>
                      <w:color w:val="auto"/>
                      <w:sz w:val="18"/>
                      <w:szCs w:val="18"/>
                      <w:lang w:val="en-US" w:eastAsia="zh-CN"/>
                    </w:rPr>
                  </w:pPr>
                </w:p>
              </w:tc>
              <w:tc>
                <w:tcPr>
                  <w:tcW w:w="510" w:type="dxa"/>
                  <w:shd w:val="clear" w:color="auto" w:fill="auto"/>
                  <w:vAlign w:val="center"/>
                </w:tcPr>
                <w:p w14:paraId="51BD5C67">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bCs/>
                      <w:color w:val="auto"/>
                      <w:kern w:val="0"/>
                      <w:sz w:val="18"/>
                      <w:szCs w:val="18"/>
                      <w:lang w:val="en-US" w:eastAsia="zh-CN"/>
                    </w:rPr>
                    <w:t>20</w:t>
                  </w:r>
                </w:p>
              </w:tc>
              <w:tc>
                <w:tcPr>
                  <w:tcW w:w="510" w:type="dxa"/>
                  <w:shd w:val="clear" w:color="auto" w:fill="auto"/>
                  <w:vAlign w:val="center"/>
                </w:tcPr>
                <w:p w14:paraId="208A3F65">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51</w:t>
                  </w:r>
                </w:p>
              </w:tc>
              <w:tc>
                <w:tcPr>
                  <w:tcW w:w="516" w:type="dxa"/>
                  <w:shd w:val="clear" w:color="auto" w:fill="auto"/>
                  <w:vAlign w:val="center"/>
                </w:tcPr>
                <w:p w14:paraId="7FE0F97A">
                  <w:pPr>
                    <w:widowControl/>
                    <w:spacing w:line="360" w:lineRule="auto"/>
                    <w:jc w:val="center"/>
                    <w:rPr>
                      <w:rFonts w:hint="eastAsia" w:ascii="Times New Roman" w:hAnsi="Times New Roman" w:eastAsia="宋体" w:cs="Times New Roman"/>
                      <w:color w:val="auto"/>
                      <w:sz w:val="18"/>
                      <w:szCs w:val="18"/>
                      <w:lang w:val="en-US" w:eastAsia="zh-CN"/>
                    </w:rPr>
                  </w:pPr>
                  <w:r>
                    <w:rPr>
                      <w:rFonts w:ascii="Times New Roman" w:hAnsi="Times New Roman" w:cs="Times New Roman"/>
                      <w:bCs/>
                      <w:color w:val="auto"/>
                      <w:sz w:val="18"/>
                      <w:szCs w:val="18"/>
                    </w:rPr>
                    <w:t>1</w:t>
                  </w:r>
                </w:p>
              </w:tc>
            </w:tr>
            <w:tr w14:paraId="1E79DB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shd w:val="clear" w:color="auto" w:fill="auto"/>
                  <w:vAlign w:val="center"/>
                </w:tcPr>
                <w:p w14:paraId="33E974B5">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cs="Times New Roman"/>
                      <w:bCs/>
                      <w:color w:val="auto"/>
                      <w:sz w:val="18"/>
                      <w:szCs w:val="18"/>
                      <w:lang w:val="en-US" w:eastAsia="zh-CN" w:bidi="ar-SA"/>
                    </w:rPr>
                    <w:t>10</w:t>
                  </w:r>
                </w:p>
              </w:tc>
              <w:tc>
                <w:tcPr>
                  <w:tcW w:w="450" w:type="dxa"/>
                  <w:vMerge w:val="continue"/>
                  <w:shd w:val="clear" w:color="auto" w:fill="auto"/>
                  <w:vAlign w:val="center"/>
                </w:tcPr>
                <w:p w14:paraId="5B18D83A">
                  <w:pPr>
                    <w:pStyle w:val="47"/>
                    <w:widowControl/>
                    <w:spacing w:line="360" w:lineRule="auto"/>
                    <w:rPr>
                      <w:rFonts w:hint="eastAsia" w:ascii="Times New Roman" w:hAnsi="Times New Roman" w:eastAsia="宋体" w:cs="Times New Roman"/>
                      <w:bCs/>
                      <w:color w:val="auto"/>
                      <w:sz w:val="18"/>
                      <w:szCs w:val="18"/>
                      <w:lang w:val="en-US" w:eastAsia="zh-CN" w:bidi="ar-SA"/>
                    </w:rPr>
                  </w:pPr>
                </w:p>
              </w:tc>
              <w:tc>
                <w:tcPr>
                  <w:tcW w:w="0" w:type="auto"/>
                  <w:shd w:val="clear" w:color="auto" w:fill="auto"/>
                  <w:vAlign w:val="center"/>
                </w:tcPr>
                <w:p w14:paraId="4CEEDD05">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烘干箱</w:t>
                  </w:r>
                </w:p>
              </w:tc>
              <w:tc>
                <w:tcPr>
                  <w:tcW w:w="420" w:type="dxa"/>
                  <w:shd w:val="clear" w:color="auto" w:fill="auto"/>
                  <w:vAlign w:val="center"/>
                </w:tcPr>
                <w:p w14:paraId="3479DA00">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75</w:t>
                  </w:r>
                </w:p>
              </w:tc>
              <w:tc>
                <w:tcPr>
                  <w:tcW w:w="465" w:type="dxa"/>
                  <w:shd w:val="clear" w:color="auto" w:fill="auto"/>
                  <w:vAlign w:val="center"/>
                </w:tcPr>
                <w:p w14:paraId="16ADA2C4">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1</w:t>
                  </w:r>
                </w:p>
              </w:tc>
              <w:tc>
                <w:tcPr>
                  <w:tcW w:w="498" w:type="dxa"/>
                  <w:vMerge w:val="continue"/>
                  <w:shd w:val="clear" w:color="auto" w:fill="auto"/>
                  <w:vAlign w:val="center"/>
                </w:tcPr>
                <w:p w14:paraId="3680073A">
                  <w:pPr>
                    <w:widowControl/>
                    <w:spacing w:line="360" w:lineRule="auto"/>
                    <w:jc w:val="center"/>
                    <w:rPr>
                      <w:rFonts w:hint="eastAsia" w:ascii="Times New Roman" w:hAnsi="Times New Roman" w:eastAsia="宋体" w:cs="Times New Roman"/>
                      <w:color w:val="auto"/>
                      <w:sz w:val="18"/>
                      <w:szCs w:val="18"/>
                      <w:lang w:val="en-US" w:eastAsia="zh-CN"/>
                    </w:rPr>
                  </w:pPr>
                </w:p>
              </w:tc>
              <w:tc>
                <w:tcPr>
                  <w:tcW w:w="510" w:type="dxa"/>
                  <w:shd w:val="clear" w:color="auto" w:fill="auto"/>
                  <w:vAlign w:val="center"/>
                </w:tcPr>
                <w:p w14:paraId="5C6053A2">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w:t>
                  </w:r>
                </w:p>
              </w:tc>
              <w:tc>
                <w:tcPr>
                  <w:tcW w:w="510" w:type="dxa"/>
                  <w:shd w:val="clear" w:color="auto" w:fill="auto"/>
                  <w:vAlign w:val="center"/>
                </w:tcPr>
                <w:p w14:paraId="6F2FD8D1">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32</w:t>
                  </w:r>
                </w:p>
              </w:tc>
              <w:tc>
                <w:tcPr>
                  <w:tcW w:w="0" w:type="auto"/>
                  <w:shd w:val="clear" w:color="auto" w:fill="auto"/>
                  <w:vAlign w:val="center"/>
                </w:tcPr>
                <w:p w14:paraId="4A024864">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1.5</w:t>
                  </w:r>
                </w:p>
              </w:tc>
              <w:tc>
                <w:tcPr>
                  <w:tcW w:w="510" w:type="dxa"/>
                  <w:shd w:val="clear" w:color="auto" w:fill="auto"/>
                  <w:vAlign w:val="center"/>
                </w:tcPr>
                <w:p w14:paraId="49A9AD2A">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w:t>
                  </w:r>
                </w:p>
              </w:tc>
              <w:tc>
                <w:tcPr>
                  <w:tcW w:w="510" w:type="dxa"/>
                  <w:shd w:val="clear" w:color="auto" w:fill="auto"/>
                  <w:vAlign w:val="center"/>
                </w:tcPr>
                <w:p w14:paraId="1DF2D0C5">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71</w:t>
                  </w:r>
                </w:p>
              </w:tc>
              <w:tc>
                <w:tcPr>
                  <w:tcW w:w="510" w:type="dxa"/>
                  <w:vMerge w:val="continue"/>
                  <w:shd w:val="clear" w:color="auto" w:fill="auto"/>
                  <w:vAlign w:val="center"/>
                </w:tcPr>
                <w:p w14:paraId="5C83B974">
                  <w:pPr>
                    <w:widowControl/>
                    <w:spacing w:line="360" w:lineRule="auto"/>
                    <w:jc w:val="center"/>
                    <w:rPr>
                      <w:rFonts w:hint="eastAsia" w:ascii="Times New Roman" w:hAnsi="Times New Roman" w:eastAsia="宋体" w:cs="Times New Roman"/>
                      <w:color w:val="auto"/>
                      <w:sz w:val="18"/>
                      <w:szCs w:val="18"/>
                      <w:lang w:val="en-US" w:eastAsia="zh-CN"/>
                    </w:rPr>
                  </w:pPr>
                </w:p>
              </w:tc>
              <w:tc>
                <w:tcPr>
                  <w:tcW w:w="0" w:type="auto"/>
                  <w:shd w:val="clear" w:color="auto" w:fill="auto"/>
                  <w:vAlign w:val="center"/>
                </w:tcPr>
                <w:p w14:paraId="3421CC97">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bCs/>
                      <w:color w:val="auto"/>
                      <w:kern w:val="0"/>
                      <w:sz w:val="18"/>
                      <w:szCs w:val="18"/>
                      <w:lang w:val="en-US" w:eastAsia="zh-CN"/>
                    </w:rPr>
                    <w:t>20</w:t>
                  </w:r>
                </w:p>
              </w:tc>
              <w:tc>
                <w:tcPr>
                  <w:tcW w:w="510" w:type="dxa"/>
                  <w:shd w:val="clear" w:color="auto" w:fill="auto"/>
                  <w:vAlign w:val="center"/>
                </w:tcPr>
                <w:p w14:paraId="496F5EFC">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51</w:t>
                  </w:r>
                </w:p>
              </w:tc>
              <w:tc>
                <w:tcPr>
                  <w:tcW w:w="516" w:type="dxa"/>
                  <w:shd w:val="clear" w:color="auto" w:fill="auto"/>
                  <w:vAlign w:val="center"/>
                </w:tcPr>
                <w:p w14:paraId="33CCBE08">
                  <w:pPr>
                    <w:widowControl/>
                    <w:spacing w:line="360" w:lineRule="auto"/>
                    <w:jc w:val="center"/>
                    <w:rPr>
                      <w:rFonts w:hint="eastAsia" w:ascii="Times New Roman" w:hAnsi="Times New Roman" w:eastAsia="宋体" w:cs="Times New Roman"/>
                      <w:color w:val="auto"/>
                      <w:sz w:val="18"/>
                      <w:szCs w:val="18"/>
                      <w:lang w:val="en-US" w:eastAsia="zh-CN"/>
                    </w:rPr>
                  </w:pPr>
                  <w:r>
                    <w:rPr>
                      <w:rFonts w:ascii="Times New Roman" w:hAnsi="Times New Roman" w:cs="Times New Roman"/>
                      <w:bCs/>
                      <w:color w:val="auto"/>
                      <w:sz w:val="18"/>
                      <w:szCs w:val="18"/>
                    </w:rPr>
                    <w:t>1</w:t>
                  </w:r>
                </w:p>
              </w:tc>
            </w:tr>
            <w:tr w14:paraId="559BD4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shd w:val="clear" w:color="auto" w:fill="auto"/>
                  <w:vAlign w:val="center"/>
                </w:tcPr>
                <w:p w14:paraId="6F4B9040">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cs="Times New Roman"/>
                      <w:bCs/>
                      <w:color w:val="auto"/>
                      <w:sz w:val="18"/>
                      <w:szCs w:val="18"/>
                      <w:lang w:val="en-US" w:eastAsia="zh-CN" w:bidi="ar-SA"/>
                    </w:rPr>
                    <w:t>11</w:t>
                  </w:r>
                </w:p>
              </w:tc>
              <w:tc>
                <w:tcPr>
                  <w:tcW w:w="450" w:type="dxa"/>
                  <w:vMerge w:val="continue"/>
                  <w:shd w:val="clear" w:color="auto" w:fill="auto"/>
                  <w:vAlign w:val="center"/>
                </w:tcPr>
                <w:p w14:paraId="07706536">
                  <w:pPr>
                    <w:pStyle w:val="47"/>
                    <w:widowControl/>
                    <w:spacing w:line="360" w:lineRule="auto"/>
                    <w:rPr>
                      <w:rFonts w:hint="eastAsia" w:ascii="Times New Roman" w:hAnsi="Times New Roman" w:eastAsia="宋体" w:cs="Times New Roman"/>
                      <w:bCs/>
                      <w:color w:val="auto"/>
                      <w:sz w:val="18"/>
                      <w:szCs w:val="18"/>
                      <w:lang w:val="en-US" w:eastAsia="zh-CN" w:bidi="ar-SA"/>
                    </w:rPr>
                  </w:pPr>
                </w:p>
              </w:tc>
              <w:tc>
                <w:tcPr>
                  <w:tcW w:w="0" w:type="auto"/>
                  <w:shd w:val="clear" w:color="auto" w:fill="auto"/>
                  <w:vAlign w:val="center"/>
                </w:tcPr>
                <w:p w14:paraId="5F4EB584">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烘干箱</w:t>
                  </w:r>
                </w:p>
              </w:tc>
              <w:tc>
                <w:tcPr>
                  <w:tcW w:w="420" w:type="dxa"/>
                  <w:shd w:val="clear" w:color="auto" w:fill="auto"/>
                  <w:vAlign w:val="center"/>
                </w:tcPr>
                <w:p w14:paraId="01A7A5FB">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75</w:t>
                  </w:r>
                </w:p>
              </w:tc>
              <w:tc>
                <w:tcPr>
                  <w:tcW w:w="465" w:type="dxa"/>
                  <w:shd w:val="clear" w:color="auto" w:fill="auto"/>
                  <w:vAlign w:val="center"/>
                </w:tcPr>
                <w:p w14:paraId="2EFB48ED">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1</w:t>
                  </w:r>
                </w:p>
              </w:tc>
              <w:tc>
                <w:tcPr>
                  <w:tcW w:w="498" w:type="dxa"/>
                  <w:vMerge w:val="continue"/>
                  <w:shd w:val="clear" w:color="auto" w:fill="auto"/>
                  <w:vAlign w:val="center"/>
                </w:tcPr>
                <w:p w14:paraId="67DD55E8">
                  <w:pPr>
                    <w:widowControl/>
                    <w:spacing w:line="360" w:lineRule="auto"/>
                    <w:jc w:val="center"/>
                    <w:rPr>
                      <w:rFonts w:hint="eastAsia" w:ascii="Times New Roman" w:hAnsi="Times New Roman" w:eastAsia="宋体" w:cs="Times New Roman"/>
                      <w:color w:val="auto"/>
                      <w:sz w:val="18"/>
                      <w:szCs w:val="18"/>
                      <w:lang w:val="en-US" w:eastAsia="zh-CN"/>
                    </w:rPr>
                  </w:pPr>
                </w:p>
              </w:tc>
              <w:tc>
                <w:tcPr>
                  <w:tcW w:w="510" w:type="dxa"/>
                  <w:shd w:val="clear" w:color="auto" w:fill="auto"/>
                  <w:vAlign w:val="center"/>
                </w:tcPr>
                <w:p w14:paraId="4F251709">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w:t>
                  </w:r>
                </w:p>
              </w:tc>
              <w:tc>
                <w:tcPr>
                  <w:tcW w:w="510" w:type="dxa"/>
                  <w:shd w:val="clear" w:color="auto" w:fill="auto"/>
                  <w:vAlign w:val="center"/>
                </w:tcPr>
                <w:p w14:paraId="310B4879">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37</w:t>
                  </w:r>
                </w:p>
              </w:tc>
              <w:tc>
                <w:tcPr>
                  <w:tcW w:w="0" w:type="auto"/>
                  <w:shd w:val="clear" w:color="auto" w:fill="auto"/>
                  <w:vAlign w:val="center"/>
                </w:tcPr>
                <w:p w14:paraId="504BBDB7">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1.5</w:t>
                  </w:r>
                </w:p>
              </w:tc>
              <w:tc>
                <w:tcPr>
                  <w:tcW w:w="510" w:type="dxa"/>
                  <w:shd w:val="clear" w:color="auto" w:fill="auto"/>
                  <w:vAlign w:val="center"/>
                </w:tcPr>
                <w:p w14:paraId="7D49CA23">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w:t>
                  </w:r>
                </w:p>
              </w:tc>
              <w:tc>
                <w:tcPr>
                  <w:tcW w:w="510" w:type="dxa"/>
                  <w:shd w:val="clear" w:color="auto" w:fill="auto"/>
                  <w:vAlign w:val="center"/>
                </w:tcPr>
                <w:p w14:paraId="7433A1EC">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71</w:t>
                  </w:r>
                </w:p>
              </w:tc>
              <w:tc>
                <w:tcPr>
                  <w:tcW w:w="510" w:type="dxa"/>
                  <w:vMerge w:val="continue"/>
                  <w:shd w:val="clear" w:color="auto" w:fill="auto"/>
                  <w:vAlign w:val="center"/>
                </w:tcPr>
                <w:p w14:paraId="3CE6163A">
                  <w:pPr>
                    <w:widowControl/>
                    <w:spacing w:line="360" w:lineRule="auto"/>
                    <w:jc w:val="center"/>
                    <w:rPr>
                      <w:rFonts w:hint="eastAsia" w:ascii="Times New Roman" w:hAnsi="Times New Roman" w:eastAsia="宋体" w:cs="Times New Roman"/>
                      <w:color w:val="auto"/>
                      <w:sz w:val="18"/>
                      <w:szCs w:val="18"/>
                      <w:lang w:val="en-US" w:eastAsia="zh-CN"/>
                    </w:rPr>
                  </w:pPr>
                </w:p>
              </w:tc>
              <w:tc>
                <w:tcPr>
                  <w:tcW w:w="0" w:type="auto"/>
                  <w:shd w:val="clear" w:color="auto" w:fill="auto"/>
                  <w:vAlign w:val="center"/>
                </w:tcPr>
                <w:p w14:paraId="5B0BC83A">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bCs/>
                      <w:color w:val="auto"/>
                      <w:kern w:val="0"/>
                      <w:sz w:val="18"/>
                      <w:szCs w:val="18"/>
                      <w:lang w:val="en-US" w:eastAsia="zh-CN"/>
                    </w:rPr>
                    <w:t>20</w:t>
                  </w:r>
                </w:p>
              </w:tc>
              <w:tc>
                <w:tcPr>
                  <w:tcW w:w="510" w:type="dxa"/>
                  <w:shd w:val="clear" w:color="auto" w:fill="auto"/>
                  <w:vAlign w:val="center"/>
                </w:tcPr>
                <w:p w14:paraId="286ED958">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51</w:t>
                  </w:r>
                </w:p>
              </w:tc>
              <w:tc>
                <w:tcPr>
                  <w:tcW w:w="516" w:type="dxa"/>
                  <w:shd w:val="clear" w:color="auto" w:fill="auto"/>
                  <w:vAlign w:val="center"/>
                </w:tcPr>
                <w:p w14:paraId="2349D8C6">
                  <w:pPr>
                    <w:widowControl/>
                    <w:spacing w:line="360" w:lineRule="auto"/>
                    <w:jc w:val="center"/>
                    <w:rPr>
                      <w:rFonts w:hint="eastAsia" w:ascii="Times New Roman" w:hAnsi="Times New Roman" w:eastAsia="宋体" w:cs="Times New Roman"/>
                      <w:color w:val="auto"/>
                      <w:sz w:val="18"/>
                      <w:szCs w:val="18"/>
                      <w:lang w:val="en-US" w:eastAsia="zh-CN"/>
                    </w:rPr>
                  </w:pPr>
                  <w:r>
                    <w:rPr>
                      <w:rFonts w:ascii="Times New Roman" w:hAnsi="Times New Roman" w:cs="Times New Roman"/>
                      <w:bCs/>
                      <w:color w:val="auto"/>
                      <w:sz w:val="18"/>
                      <w:szCs w:val="18"/>
                    </w:rPr>
                    <w:t>1</w:t>
                  </w:r>
                </w:p>
              </w:tc>
            </w:tr>
            <w:tr w14:paraId="38018C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shd w:val="clear" w:color="auto" w:fill="auto"/>
                  <w:vAlign w:val="center"/>
                </w:tcPr>
                <w:p w14:paraId="562E89EA">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cs="Times New Roman"/>
                      <w:bCs/>
                      <w:color w:val="auto"/>
                      <w:sz w:val="18"/>
                      <w:szCs w:val="18"/>
                      <w:lang w:val="en-US" w:eastAsia="zh-CN" w:bidi="ar-SA"/>
                    </w:rPr>
                    <w:t>12</w:t>
                  </w:r>
                </w:p>
              </w:tc>
              <w:tc>
                <w:tcPr>
                  <w:tcW w:w="450" w:type="dxa"/>
                  <w:vMerge w:val="continue"/>
                  <w:shd w:val="clear" w:color="auto" w:fill="auto"/>
                  <w:vAlign w:val="center"/>
                </w:tcPr>
                <w:p w14:paraId="29B0BD1D">
                  <w:pPr>
                    <w:pStyle w:val="47"/>
                    <w:widowControl/>
                    <w:spacing w:line="360" w:lineRule="auto"/>
                    <w:rPr>
                      <w:rFonts w:hint="eastAsia" w:ascii="Times New Roman" w:hAnsi="Times New Roman" w:eastAsia="宋体" w:cs="Times New Roman"/>
                      <w:bCs/>
                      <w:color w:val="auto"/>
                      <w:sz w:val="18"/>
                      <w:szCs w:val="18"/>
                      <w:lang w:val="en-US" w:eastAsia="zh-CN" w:bidi="ar-SA"/>
                    </w:rPr>
                  </w:pPr>
                </w:p>
              </w:tc>
              <w:tc>
                <w:tcPr>
                  <w:tcW w:w="0" w:type="auto"/>
                  <w:shd w:val="clear" w:color="auto" w:fill="auto"/>
                  <w:vAlign w:val="center"/>
                </w:tcPr>
                <w:p w14:paraId="02DA23CE">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烘干箱</w:t>
                  </w:r>
                </w:p>
              </w:tc>
              <w:tc>
                <w:tcPr>
                  <w:tcW w:w="420" w:type="dxa"/>
                  <w:shd w:val="clear" w:color="auto" w:fill="auto"/>
                  <w:vAlign w:val="center"/>
                </w:tcPr>
                <w:p w14:paraId="577DB32E">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75</w:t>
                  </w:r>
                </w:p>
              </w:tc>
              <w:tc>
                <w:tcPr>
                  <w:tcW w:w="465" w:type="dxa"/>
                  <w:shd w:val="clear" w:color="auto" w:fill="auto"/>
                  <w:vAlign w:val="center"/>
                </w:tcPr>
                <w:p w14:paraId="7655EBC3">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1</w:t>
                  </w:r>
                </w:p>
              </w:tc>
              <w:tc>
                <w:tcPr>
                  <w:tcW w:w="498" w:type="dxa"/>
                  <w:vMerge w:val="continue"/>
                  <w:shd w:val="clear" w:color="auto" w:fill="auto"/>
                  <w:vAlign w:val="center"/>
                </w:tcPr>
                <w:p w14:paraId="3DB48C96">
                  <w:pPr>
                    <w:widowControl/>
                    <w:spacing w:line="360" w:lineRule="auto"/>
                    <w:jc w:val="center"/>
                    <w:rPr>
                      <w:rFonts w:hint="eastAsia" w:ascii="Times New Roman" w:hAnsi="Times New Roman" w:eastAsia="宋体" w:cs="Times New Roman"/>
                      <w:color w:val="auto"/>
                      <w:sz w:val="18"/>
                      <w:szCs w:val="18"/>
                      <w:lang w:val="en-US" w:eastAsia="zh-CN"/>
                    </w:rPr>
                  </w:pPr>
                </w:p>
              </w:tc>
              <w:tc>
                <w:tcPr>
                  <w:tcW w:w="510" w:type="dxa"/>
                  <w:shd w:val="clear" w:color="auto" w:fill="auto"/>
                  <w:vAlign w:val="center"/>
                </w:tcPr>
                <w:p w14:paraId="66FAC020">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w:t>
                  </w:r>
                </w:p>
              </w:tc>
              <w:tc>
                <w:tcPr>
                  <w:tcW w:w="510" w:type="dxa"/>
                  <w:shd w:val="clear" w:color="auto" w:fill="auto"/>
                  <w:vAlign w:val="center"/>
                </w:tcPr>
                <w:p w14:paraId="54562083">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38</w:t>
                  </w:r>
                </w:p>
              </w:tc>
              <w:tc>
                <w:tcPr>
                  <w:tcW w:w="0" w:type="auto"/>
                  <w:shd w:val="clear" w:color="auto" w:fill="auto"/>
                  <w:vAlign w:val="center"/>
                </w:tcPr>
                <w:p w14:paraId="26D92A67">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1.5</w:t>
                  </w:r>
                </w:p>
              </w:tc>
              <w:tc>
                <w:tcPr>
                  <w:tcW w:w="510" w:type="dxa"/>
                  <w:shd w:val="clear" w:color="auto" w:fill="auto"/>
                  <w:vAlign w:val="center"/>
                </w:tcPr>
                <w:p w14:paraId="09D73298">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w:t>
                  </w:r>
                </w:p>
              </w:tc>
              <w:tc>
                <w:tcPr>
                  <w:tcW w:w="510" w:type="dxa"/>
                  <w:shd w:val="clear" w:color="auto" w:fill="auto"/>
                  <w:vAlign w:val="center"/>
                </w:tcPr>
                <w:p w14:paraId="0C62ACF1">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71</w:t>
                  </w:r>
                </w:p>
              </w:tc>
              <w:tc>
                <w:tcPr>
                  <w:tcW w:w="510" w:type="dxa"/>
                  <w:vMerge w:val="continue"/>
                  <w:shd w:val="clear" w:color="auto" w:fill="auto"/>
                  <w:vAlign w:val="center"/>
                </w:tcPr>
                <w:p w14:paraId="034D1409">
                  <w:pPr>
                    <w:widowControl/>
                    <w:spacing w:line="360" w:lineRule="auto"/>
                    <w:jc w:val="center"/>
                    <w:rPr>
                      <w:rFonts w:hint="eastAsia" w:ascii="Times New Roman" w:hAnsi="Times New Roman" w:eastAsia="宋体" w:cs="Times New Roman"/>
                      <w:color w:val="auto"/>
                      <w:sz w:val="18"/>
                      <w:szCs w:val="18"/>
                      <w:lang w:val="en-US" w:eastAsia="zh-CN"/>
                    </w:rPr>
                  </w:pPr>
                </w:p>
              </w:tc>
              <w:tc>
                <w:tcPr>
                  <w:tcW w:w="0" w:type="auto"/>
                  <w:shd w:val="clear" w:color="auto" w:fill="auto"/>
                  <w:vAlign w:val="center"/>
                </w:tcPr>
                <w:p w14:paraId="26DF12BD">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bCs/>
                      <w:color w:val="auto"/>
                      <w:kern w:val="0"/>
                      <w:sz w:val="18"/>
                      <w:szCs w:val="18"/>
                      <w:lang w:val="en-US" w:eastAsia="zh-CN"/>
                    </w:rPr>
                    <w:t>20</w:t>
                  </w:r>
                </w:p>
              </w:tc>
              <w:tc>
                <w:tcPr>
                  <w:tcW w:w="510" w:type="dxa"/>
                  <w:shd w:val="clear" w:color="auto" w:fill="auto"/>
                  <w:vAlign w:val="center"/>
                </w:tcPr>
                <w:p w14:paraId="7105D805">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51</w:t>
                  </w:r>
                </w:p>
              </w:tc>
              <w:tc>
                <w:tcPr>
                  <w:tcW w:w="516" w:type="dxa"/>
                  <w:shd w:val="clear" w:color="auto" w:fill="auto"/>
                  <w:vAlign w:val="center"/>
                </w:tcPr>
                <w:p w14:paraId="3D695304">
                  <w:pPr>
                    <w:widowControl/>
                    <w:spacing w:line="360" w:lineRule="auto"/>
                    <w:jc w:val="center"/>
                    <w:rPr>
                      <w:rFonts w:hint="eastAsia" w:ascii="Times New Roman" w:hAnsi="Times New Roman" w:eastAsia="宋体" w:cs="Times New Roman"/>
                      <w:color w:val="auto"/>
                      <w:sz w:val="18"/>
                      <w:szCs w:val="18"/>
                      <w:lang w:val="en-US" w:eastAsia="zh-CN"/>
                    </w:rPr>
                  </w:pPr>
                  <w:r>
                    <w:rPr>
                      <w:rFonts w:ascii="Times New Roman" w:hAnsi="Times New Roman" w:cs="Times New Roman"/>
                      <w:bCs/>
                      <w:color w:val="auto"/>
                      <w:sz w:val="18"/>
                      <w:szCs w:val="18"/>
                    </w:rPr>
                    <w:t>1</w:t>
                  </w:r>
                </w:p>
              </w:tc>
            </w:tr>
            <w:tr w14:paraId="0F03B2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shd w:val="clear" w:color="auto" w:fill="auto"/>
                  <w:vAlign w:val="center"/>
                </w:tcPr>
                <w:p w14:paraId="003810A1">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cs="Times New Roman"/>
                      <w:bCs/>
                      <w:color w:val="auto"/>
                      <w:sz w:val="18"/>
                      <w:szCs w:val="18"/>
                      <w:lang w:val="en-US" w:eastAsia="zh-CN" w:bidi="ar-SA"/>
                    </w:rPr>
                    <w:t>13</w:t>
                  </w:r>
                </w:p>
              </w:tc>
              <w:tc>
                <w:tcPr>
                  <w:tcW w:w="450" w:type="dxa"/>
                  <w:vMerge w:val="continue"/>
                  <w:shd w:val="clear" w:color="auto" w:fill="auto"/>
                  <w:vAlign w:val="center"/>
                </w:tcPr>
                <w:p w14:paraId="3CBC0871">
                  <w:pPr>
                    <w:pStyle w:val="47"/>
                    <w:widowControl/>
                    <w:spacing w:line="360" w:lineRule="auto"/>
                    <w:rPr>
                      <w:rFonts w:hint="eastAsia" w:ascii="Times New Roman" w:hAnsi="Times New Roman" w:eastAsia="宋体" w:cs="Times New Roman"/>
                      <w:bCs/>
                      <w:color w:val="auto"/>
                      <w:sz w:val="18"/>
                      <w:szCs w:val="18"/>
                      <w:lang w:val="en-US" w:eastAsia="zh-CN" w:bidi="ar-SA"/>
                    </w:rPr>
                  </w:pPr>
                </w:p>
              </w:tc>
              <w:tc>
                <w:tcPr>
                  <w:tcW w:w="0" w:type="auto"/>
                  <w:shd w:val="clear" w:color="auto" w:fill="auto"/>
                  <w:vAlign w:val="center"/>
                </w:tcPr>
                <w:p w14:paraId="24BEB786">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烘干箱</w:t>
                  </w:r>
                </w:p>
              </w:tc>
              <w:tc>
                <w:tcPr>
                  <w:tcW w:w="420" w:type="dxa"/>
                  <w:shd w:val="clear" w:color="auto" w:fill="auto"/>
                  <w:vAlign w:val="center"/>
                </w:tcPr>
                <w:p w14:paraId="06B424F5">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75</w:t>
                  </w:r>
                </w:p>
              </w:tc>
              <w:tc>
                <w:tcPr>
                  <w:tcW w:w="465" w:type="dxa"/>
                  <w:shd w:val="clear" w:color="auto" w:fill="auto"/>
                  <w:vAlign w:val="center"/>
                </w:tcPr>
                <w:p w14:paraId="2424508B">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1</w:t>
                  </w:r>
                </w:p>
              </w:tc>
              <w:tc>
                <w:tcPr>
                  <w:tcW w:w="498" w:type="dxa"/>
                  <w:vMerge w:val="continue"/>
                  <w:shd w:val="clear" w:color="auto" w:fill="auto"/>
                  <w:vAlign w:val="center"/>
                </w:tcPr>
                <w:p w14:paraId="0CC2778F">
                  <w:pPr>
                    <w:widowControl/>
                    <w:spacing w:line="360" w:lineRule="auto"/>
                    <w:jc w:val="center"/>
                    <w:rPr>
                      <w:rFonts w:hint="eastAsia" w:ascii="Times New Roman" w:hAnsi="Times New Roman" w:eastAsia="宋体" w:cs="Times New Roman"/>
                      <w:color w:val="auto"/>
                      <w:sz w:val="18"/>
                      <w:szCs w:val="18"/>
                      <w:lang w:val="en-US" w:eastAsia="zh-CN"/>
                    </w:rPr>
                  </w:pPr>
                </w:p>
              </w:tc>
              <w:tc>
                <w:tcPr>
                  <w:tcW w:w="510" w:type="dxa"/>
                  <w:shd w:val="clear" w:color="auto" w:fill="auto"/>
                  <w:vAlign w:val="center"/>
                </w:tcPr>
                <w:p w14:paraId="56B8113F">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w:t>
                  </w:r>
                </w:p>
              </w:tc>
              <w:tc>
                <w:tcPr>
                  <w:tcW w:w="510" w:type="dxa"/>
                  <w:shd w:val="clear" w:color="auto" w:fill="auto"/>
                  <w:vAlign w:val="center"/>
                </w:tcPr>
                <w:p w14:paraId="56F6D256">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39</w:t>
                  </w:r>
                </w:p>
              </w:tc>
              <w:tc>
                <w:tcPr>
                  <w:tcW w:w="0" w:type="auto"/>
                  <w:shd w:val="clear" w:color="auto" w:fill="auto"/>
                  <w:vAlign w:val="center"/>
                </w:tcPr>
                <w:p w14:paraId="3D5A7CAB">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1.5</w:t>
                  </w:r>
                </w:p>
              </w:tc>
              <w:tc>
                <w:tcPr>
                  <w:tcW w:w="510" w:type="dxa"/>
                  <w:shd w:val="clear" w:color="auto" w:fill="auto"/>
                  <w:vAlign w:val="center"/>
                </w:tcPr>
                <w:p w14:paraId="671C2624">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w:t>
                  </w:r>
                </w:p>
              </w:tc>
              <w:tc>
                <w:tcPr>
                  <w:tcW w:w="510" w:type="dxa"/>
                  <w:shd w:val="clear" w:color="auto" w:fill="auto"/>
                  <w:vAlign w:val="center"/>
                </w:tcPr>
                <w:p w14:paraId="0D018EB4">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71</w:t>
                  </w:r>
                </w:p>
              </w:tc>
              <w:tc>
                <w:tcPr>
                  <w:tcW w:w="510" w:type="dxa"/>
                  <w:vMerge w:val="continue"/>
                  <w:shd w:val="clear" w:color="auto" w:fill="auto"/>
                  <w:vAlign w:val="center"/>
                </w:tcPr>
                <w:p w14:paraId="77CE8102">
                  <w:pPr>
                    <w:widowControl/>
                    <w:spacing w:line="360" w:lineRule="auto"/>
                    <w:jc w:val="center"/>
                    <w:rPr>
                      <w:rFonts w:hint="eastAsia" w:ascii="Times New Roman" w:hAnsi="Times New Roman" w:eastAsia="宋体" w:cs="Times New Roman"/>
                      <w:color w:val="auto"/>
                      <w:sz w:val="18"/>
                      <w:szCs w:val="18"/>
                      <w:lang w:val="en-US" w:eastAsia="zh-CN"/>
                    </w:rPr>
                  </w:pPr>
                </w:p>
              </w:tc>
              <w:tc>
                <w:tcPr>
                  <w:tcW w:w="0" w:type="auto"/>
                  <w:shd w:val="clear" w:color="auto" w:fill="auto"/>
                  <w:vAlign w:val="center"/>
                </w:tcPr>
                <w:p w14:paraId="36E1998A">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bCs/>
                      <w:color w:val="auto"/>
                      <w:kern w:val="0"/>
                      <w:sz w:val="18"/>
                      <w:szCs w:val="18"/>
                      <w:lang w:val="en-US" w:eastAsia="zh-CN"/>
                    </w:rPr>
                    <w:t>20</w:t>
                  </w:r>
                </w:p>
              </w:tc>
              <w:tc>
                <w:tcPr>
                  <w:tcW w:w="510" w:type="dxa"/>
                  <w:shd w:val="clear" w:color="auto" w:fill="auto"/>
                  <w:vAlign w:val="center"/>
                </w:tcPr>
                <w:p w14:paraId="4D005778">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51</w:t>
                  </w:r>
                </w:p>
              </w:tc>
              <w:tc>
                <w:tcPr>
                  <w:tcW w:w="516" w:type="dxa"/>
                  <w:shd w:val="clear" w:color="auto" w:fill="auto"/>
                  <w:vAlign w:val="center"/>
                </w:tcPr>
                <w:p w14:paraId="0D20269E">
                  <w:pPr>
                    <w:widowControl/>
                    <w:spacing w:line="360" w:lineRule="auto"/>
                    <w:jc w:val="center"/>
                    <w:rPr>
                      <w:rFonts w:hint="eastAsia" w:ascii="Times New Roman" w:hAnsi="Times New Roman" w:eastAsia="宋体" w:cs="Times New Roman"/>
                      <w:color w:val="auto"/>
                      <w:sz w:val="18"/>
                      <w:szCs w:val="18"/>
                      <w:lang w:val="en-US" w:eastAsia="zh-CN"/>
                    </w:rPr>
                  </w:pPr>
                  <w:r>
                    <w:rPr>
                      <w:rFonts w:ascii="Times New Roman" w:hAnsi="Times New Roman" w:cs="Times New Roman"/>
                      <w:bCs/>
                      <w:color w:val="auto"/>
                      <w:sz w:val="18"/>
                      <w:szCs w:val="18"/>
                    </w:rPr>
                    <w:t>1</w:t>
                  </w:r>
                </w:p>
              </w:tc>
            </w:tr>
            <w:tr w14:paraId="74A79B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shd w:val="clear" w:color="auto" w:fill="auto"/>
                  <w:vAlign w:val="center"/>
                </w:tcPr>
                <w:p w14:paraId="106CA720">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cs="Times New Roman"/>
                      <w:bCs/>
                      <w:color w:val="auto"/>
                      <w:sz w:val="18"/>
                      <w:szCs w:val="18"/>
                      <w:lang w:val="en-US" w:eastAsia="zh-CN" w:bidi="ar-SA"/>
                    </w:rPr>
                    <w:t>14</w:t>
                  </w:r>
                </w:p>
              </w:tc>
              <w:tc>
                <w:tcPr>
                  <w:tcW w:w="450" w:type="dxa"/>
                  <w:vMerge w:val="continue"/>
                  <w:shd w:val="clear" w:color="auto" w:fill="auto"/>
                  <w:vAlign w:val="center"/>
                </w:tcPr>
                <w:p w14:paraId="20CE3A30">
                  <w:pPr>
                    <w:pStyle w:val="47"/>
                    <w:widowControl/>
                    <w:spacing w:line="360" w:lineRule="auto"/>
                    <w:rPr>
                      <w:rFonts w:hint="eastAsia" w:ascii="Times New Roman" w:hAnsi="Times New Roman" w:eastAsia="宋体" w:cs="Times New Roman"/>
                      <w:bCs/>
                      <w:color w:val="auto"/>
                      <w:sz w:val="18"/>
                      <w:szCs w:val="18"/>
                      <w:lang w:val="en-US" w:eastAsia="zh-CN" w:bidi="ar-SA"/>
                    </w:rPr>
                  </w:pPr>
                </w:p>
              </w:tc>
              <w:tc>
                <w:tcPr>
                  <w:tcW w:w="0" w:type="auto"/>
                  <w:shd w:val="clear" w:color="auto" w:fill="auto"/>
                  <w:vAlign w:val="center"/>
                </w:tcPr>
                <w:p w14:paraId="7F8BDAF4">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烘干箱</w:t>
                  </w:r>
                </w:p>
              </w:tc>
              <w:tc>
                <w:tcPr>
                  <w:tcW w:w="420" w:type="dxa"/>
                  <w:shd w:val="clear" w:color="auto" w:fill="auto"/>
                  <w:vAlign w:val="center"/>
                </w:tcPr>
                <w:p w14:paraId="15E29D01">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75</w:t>
                  </w:r>
                </w:p>
              </w:tc>
              <w:tc>
                <w:tcPr>
                  <w:tcW w:w="465" w:type="dxa"/>
                  <w:shd w:val="clear" w:color="auto" w:fill="auto"/>
                  <w:vAlign w:val="center"/>
                </w:tcPr>
                <w:p w14:paraId="689CE1DB">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1</w:t>
                  </w:r>
                </w:p>
              </w:tc>
              <w:tc>
                <w:tcPr>
                  <w:tcW w:w="498" w:type="dxa"/>
                  <w:vMerge w:val="continue"/>
                  <w:shd w:val="clear" w:color="auto" w:fill="auto"/>
                  <w:vAlign w:val="center"/>
                </w:tcPr>
                <w:p w14:paraId="279CE101">
                  <w:pPr>
                    <w:widowControl/>
                    <w:spacing w:line="360" w:lineRule="auto"/>
                    <w:jc w:val="center"/>
                    <w:rPr>
                      <w:rFonts w:hint="eastAsia" w:ascii="Times New Roman" w:hAnsi="Times New Roman" w:eastAsia="宋体" w:cs="Times New Roman"/>
                      <w:color w:val="auto"/>
                      <w:sz w:val="18"/>
                      <w:szCs w:val="18"/>
                      <w:lang w:val="en-US" w:eastAsia="zh-CN"/>
                    </w:rPr>
                  </w:pPr>
                </w:p>
              </w:tc>
              <w:tc>
                <w:tcPr>
                  <w:tcW w:w="510" w:type="dxa"/>
                  <w:shd w:val="clear" w:color="auto" w:fill="auto"/>
                  <w:vAlign w:val="center"/>
                </w:tcPr>
                <w:p w14:paraId="793E60A5">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w:t>
                  </w:r>
                </w:p>
              </w:tc>
              <w:tc>
                <w:tcPr>
                  <w:tcW w:w="510" w:type="dxa"/>
                  <w:shd w:val="clear" w:color="auto" w:fill="auto"/>
                  <w:vAlign w:val="center"/>
                </w:tcPr>
                <w:p w14:paraId="6123DF98">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41</w:t>
                  </w:r>
                </w:p>
              </w:tc>
              <w:tc>
                <w:tcPr>
                  <w:tcW w:w="0" w:type="auto"/>
                  <w:shd w:val="clear" w:color="auto" w:fill="auto"/>
                  <w:vAlign w:val="center"/>
                </w:tcPr>
                <w:p w14:paraId="3C949E74">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1.5</w:t>
                  </w:r>
                </w:p>
              </w:tc>
              <w:tc>
                <w:tcPr>
                  <w:tcW w:w="510" w:type="dxa"/>
                  <w:shd w:val="clear" w:color="auto" w:fill="auto"/>
                  <w:vAlign w:val="center"/>
                </w:tcPr>
                <w:p w14:paraId="0EB212FC">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w:t>
                  </w:r>
                </w:p>
              </w:tc>
              <w:tc>
                <w:tcPr>
                  <w:tcW w:w="510" w:type="dxa"/>
                  <w:shd w:val="clear" w:color="auto" w:fill="auto"/>
                  <w:vAlign w:val="center"/>
                </w:tcPr>
                <w:p w14:paraId="510E73D3">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71</w:t>
                  </w:r>
                </w:p>
              </w:tc>
              <w:tc>
                <w:tcPr>
                  <w:tcW w:w="510" w:type="dxa"/>
                  <w:vMerge w:val="continue"/>
                  <w:shd w:val="clear" w:color="auto" w:fill="auto"/>
                  <w:vAlign w:val="center"/>
                </w:tcPr>
                <w:p w14:paraId="23994E67">
                  <w:pPr>
                    <w:widowControl/>
                    <w:spacing w:line="360" w:lineRule="auto"/>
                    <w:jc w:val="center"/>
                    <w:rPr>
                      <w:rFonts w:hint="eastAsia" w:ascii="Times New Roman" w:hAnsi="Times New Roman" w:eastAsia="宋体" w:cs="Times New Roman"/>
                      <w:color w:val="auto"/>
                      <w:sz w:val="18"/>
                      <w:szCs w:val="18"/>
                      <w:lang w:val="en-US" w:eastAsia="zh-CN"/>
                    </w:rPr>
                  </w:pPr>
                </w:p>
              </w:tc>
              <w:tc>
                <w:tcPr>
                  <w:tcW w:w="0" w:type="auto"/>
                  <w:shd w:val="clear" w:color="auto" w:fill="auto"/>
                  <w:vAlign w:val="center"/>
                </w:tcPr>
                <w:p w14:paraId="54EEFDEE">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bCs/>
                      <w:color w:val="auto"/>
                      <w:kern w:val="0"/>
                      <w:sz w:val="18"/>
                      <w:szCs w:val="18"/>
                      <w:lang w:val="en-US" w:eastAsia="zh-CN"/>
                    </w:rPr>
                    <w:t>20</w:t>
                  </w:r>
                </w:p>
              </w:tc>
              <w:tc>
                <w:tcPr>
                  <w:tcW w:w="510" w:type="dxa"/>
                  <w:shd w:val="clear" w:color="auto" w:fill="auto"/>
                  <w:vAlign w:val="center"/>
                </w:tcPr>
                <w:p w14:paraId="71541CF3">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51</w:t>
                  </w:r>
                </w:p>
              </w:tc>
              <w:tc>
                <w:tcPr>
                  <w:tcW w:w="516" w:type="dxa"/>
                  <w:shd w:val="clear" w:color="auto" w:fill="auto"/>
                  <w:vAlign w:val="center"/>
                </w:tcPr>
                <w:p w14:paraId="411394BD">
                  <w:pPr>
                    <w:widowControl/>
                    <w:spacing w:line="360" w:lineRule="auto"/>
                    <w:jc w:val="center"/>
                    <w:rPr>
                      <w:rFonts w:hint="eastAsia" w:ascii="Times New Roman" w:hAnsi="Times New Roman" w:eastAsia="宋体" w:cs="Times New Roman"/>
                      <w:color w:val="auto"/>
                      <w:sz w:val="18"/>
                      <w:szCs w:val="18"/>
                      <w:lang w:val="en-US" w:eastAsia="zh-CN"/>
                    </w:rPr>
                  </w:pPr>
                  <w:r>
                    <w:rPr>
                      <w:rFonts w:ascii="Times New Roman" w:hAnsi="Times New Roman" w:cs="Times New Roman"/>
                      <w:bCs/>
                      <w:color w:val="auto"/>
                      <w:sz w:val="18"/>
                      <w:szCs w:val="18"/>
                    </w:rPr>
                    <w:t>1</w:t>
                  </w:r>
                </w:p>
              </w:tc>
            </w:tr>
            <w:tr w14:paraId="1A8C7B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shd w:val="clear" w:color="auto" w:fill="auto"/>
                  <w:vAlign w:val="center"/>
                </w:tcPr>
                <w:p w14:paraId="24FE2509">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eastAsia="宋体" w:cs="Times New Roman"/>
                      <w:bCs/>
                      <w:color w:val="auto"/>
                      <w:sz w:val="18"/>
                      <w:szCs w:val="18"/>
                      <w:lang w:val="en-US" w:eastAsia="zh-CN" w:bidi="ar-SA"/>
                    </w:rPr>
                    <w:t>15</w:t>
                  </w:r>
                </w:p>
              </w:tc>
              <w:tc>
                <w:tcPr>
                  <w:tcW w:w="450" w:type="dxa"/>
                  <w:vMerge w:val="continue"/>
                  <w:shd w:val="clear" w:color="auto" w:fill="auto"/>
                  <w:vAlign w:val="center"/>
                </w:tcPr>
                <w:p w14:paraId="1EFD43B1">
                  <w:pPr>
                    <w:pStyle w:val="47"/>
                    <w:widowControl/>
                    <w:spacing w:line="360" w:lineRule="auto"/>
                    <w:rPr>
                      <w:rFonts w:hint="eastAsia" w:ascii="Times New Roman" w:hAnsi="Times New Roman" w:eastAsia="宋体" w:cs="Times New Roman"/>
                      <w:bCs/>
                      <w:color w:val="auto"/>
                      <w:sz w:val="18"/>
                      <w:szCs w:val="18"/>
                      <w:lang w:val="en-US" w:eastAsia="zh-CN" w:bidi="ar-SA"/>
                    </w:rPr>
                  </w:pPr>
                </w:p>
              </w:tc>
              <w:tc>
                <w:tcPr>
                  <w:tcW w:w="0" w:type="auto"/>
                  <w:shd w:val="clear" w:color="auto" w:fill="auto"/>
                  <w:vAlign w:val="center"/>
                </w:tcPr>
                <w:p w14:paraId="0345EF6A">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烘干箱</w:t>
                  </w:r>
                </w:p>
              </w:tc>
              <w:tc>
                <w:tcPr>
                  <w:tcW w:w="420" w:type="dxa"/>
                  <w:shd w:val="clear" w:color="auto" w:fill="auto"/>
                  <w:vAlign w:val="center"/>
                </w:tcPr>
                <w:p w14:paraId="0313981E">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75</w:t>
                  </w:r>
                </w:p>
              </w:tc>
              <w:tc>
                <w:tcPr>
                  <w:tcW w:w="465" w:type="dxa"/>
                  <w:shd w:val="clear" w:color="auto" w:fill="auto"/>
                  <w:vAlign w:val="center"/>
                </w:tcPr>
                <w:p w14:paraId="1ECFCAB9">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1</w:t>
                  </w:r>
                </w:p>
              </w:tc>
              <w:tc>
                <w:tcPr>
                  <w:tcW w:w="498" w:type="dxa"/>
                  <w:vMerge w:val="continue"/>
                  <w:shd w:val="clear" w:color="auto" w:fill="auto"/>
                  <w:vAlign w:val="center"/>
                </w:tcPr>
                <w:p w14:paraId="11F464B4">
                  <w:pPr>
                    <w:widowControl/>
                    <w:spacing w:line="360" w:lineRule="auto"/>
                    <w:jc w:val="center"/>
                    <w:rPr>
                      <w:rFonts w:hint="eastAsia" w:ascii="Times New Roman" w:hAnsi="Times New Roman" w:eastAsia="宋体" w:cs="Times New Roman"/>
                      <w:color w:val="auto"/>
                      <w:sz w:val="18"/>
                      <w:szCs w:val="18"/>
                      <w:lang w:val="en-US" w:eastAsia="zh-CN"/>
                    </w:rPr>
                  </w:pPr>
                </w:p>
              </w:tc>
              <w:tc>
                <w:tcPr>
                  <w:tcW w:w="510" w:type="dxa"/>
                  <w:shd w:val="clear" w:color="auto" w:fill="auto"/>
                  <w:vAlign w:val="center"/>
                </w:tcPr>
                <w:p w14:paraId="6DDC40AB">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w:t>
                  </w:r>
                </w:p>
              </w:tc>
              <w:tc>
                <w:tcPr>
                  <w:tcW w:w="510" w:type="dxa"/>
                  <w:shd w:val="clear" w:color="auto" w:fill="auto"/>
                  <w:vAlign w:val="center"/>
                </w:tcPr>
                <w:p w14:paraId="0F50CFF6">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42</w:t>
                  </w:r>
                </w:p>
              </w:tc>
              <w:tc>
                <w:tcPr>
                  <w:tcW w:w="0" w:type="auto"/>
                  <w:shd w:val="clear" w:color="auto" w:fill="auto"/>
                  <w:vAlign w:val="center"/>
                </w:tcPr>
                <w:p w14:paraId="6142CCB5">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1.5</w:t>
                  </w:r>
                </w:p>
              </w:tc>
              <w:tc>
                <w:tcPr>
                  <w:tcW w:w="510" w:type="dxa"/>
                  <w:shd w:val="clear" w:color="auto" w:fill="auto"/>
                  <w:vAlign w:val="center"/>
                </w:tcPr>
                <w:p w14:paraId="14B0DC3C">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w:t>
                  </w:r>
                </w:p>
              </w:tc>
              <w:tc>
                <w:tcPr>
                  <w:tcW w:w="510" w:type="dxa"/>
                  <w:shd w:val="clear" w:color="auto" w:fill="auto"/>
                  <w:vAlign w:val="center"/>
                </w:tcPr>
                <w:p w14:paraId="308C4536">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71</w:t>
                  </w:r>
                </w:p>
              </w:tc>
              <w:tc>
                <w:tcPr>
                  <w:tcW w:w="510" w:type="dxa"/>
                  <w:vMerge w:val="continue"/>
                  <w:shd w:val="clear" w:color="auto" w:fill="auto"/>
                  <w:vAlign w:val="center"/>
                </w:tcPr>
                <w:p w14:paraId="2E8AB06C">
                  <w:pPr>
                    <w:widowControl/>
                    <w:spacing w:line="360" w:lineRule="auto"/>
                    <w:jc w:val="center"/>
                    <w:rPr>
                      <w:rFonts w:hint="eastAsia" w:ascii="Times New Roman" w:hAnsi="Times New Roman" w:eastAsia="宋体" w:cs="Times New Roman"/>
                      <w:color w:val="auto"/>
                      <w:sz w:val="18"/>
                      <w:szCs w:val="18"/>
                      <w:lang w:val="en-US" w:eastAsia="zh-CN"/>
                    </w:rPr>
                  </w:pPr>
                </w:p>
              </w:tc>
              <w:tc>
                <w:tcPr>
                  <w:tcW w:w="0" w:type="auto"/>
                  <w:shd w:val="clear" w:color="auto" w:fill="auto"/>
                  <w:vAlign w:val="center"/>
                </w:tcPr>
                <w:p w14:paraId="02833CB2">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bCs/>
                      <w:color w:val="auto"/>
                      <w:kern w:val="0"/>
                      <w:sz w:val="18"/>
                      <w:szCs w:val="18"/>
                      <w:lang w:val="en-US" w:eastAsia="zh-CN"/>
                    </w:rPr>
                    <w:t>20</w:t>
                  </w:r>
                </w:p>
              </w:tc>
              <w:tc>
                <w:tcPr>
                  <w:tcW w:w="510" w:type="dxa"/>
                  <w:shd w:val="clear" w:color="auto" w:fill="auto"/>
                  <w:vAlign w:val="center"/>
                </w:tcPr>
                <w:p w14:paraId="51B40E66">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51</w:t>
                  </w:r>
                </w:p>
              </w:tc>
              <w:tc>
                <w:tcPr>
                  <w:tcW w:w="516" w:type="dxa"/>
                  <w:shd w:val="clear" w:color="auto" w:fill="auto"/>
                  <w:vAlign w:val="center"/>
                </w:tcPr>
                <w:p w14:paraId="7C1E8D3C">
                  <w:pPr>
                    <w:widowControl/>
                    <w:spacing w:line="360" w:lineRule="auto"/>
                    <w:jc w:val="center"/>
                    <w:rPr>
                      <w:rFonts w:hint="eastAsia" w:ascii="Times New Roman" w:hAnsi="Times New Roman" w:eastAsia="宋体" w:cs="Times New Roman"/>
                      <w:color w:val="auto"/>
                      <w:sz w:val="18"/>
                      <w:szCs w:val="18"/>
                      <w:lang w:val="en-US" w:eastAsia="zh-CN"/>
                    </w:rPr>
                  </w:pPr>
                  <w:r>
                    <w:rPr>
                      <w:rFonts w:ascii="Times New Roman" w:hAnsi="Times New Roman" w:cs="Times New Roman"/>
                      <w:bCs/>
                      <w:color w:val="auto"/>
                      <w:sz w:val="18"/>
                      <w:szCs w:val="18"/>
                    </w:rPr>
                    <w:t>1</w:t>
                  </w:r>
                </w:p>
              </w:tc>
            </w:tr>
            <w:tr w14:paraId="2BEA0C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shd w:val="clear" w:color="auto" w:fill="auto"/>
                  <w:vAlign w:val="center"/>
                </w:tcPr>
                <w:p w14:paraId="0CE8AC7A">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eastAsia="宋体" w:cs="Times New Roman"/>
                      <w:bCs/>
                      <w:color w:val="auto"/>
                      <w:sz w:val="18"/>
                      <w:szCs w:val="18"/>
                      <w:lang w:val="en-US" w:eastAsia="zh-CN" w:bidi="ar-SA"/>
                    </w:rPr>
                    <w:t>16</w:t>
                  </w:r>
                </w:p>
              </w:tc>
              <w:tc>
                <w:tcPr>
                  <w:tcW w:w="450" w:type="dxa"/>
                  <w:vMerge w:val="continue"/>
                  <w:shd w:val="clear" w:color="auto" w:fill="auto"/>
                  <w:vAlign w:val="center"/>
                </w:tcPr>
                <w:p w14:paraId="01C155F8">
                  <w:pPr>
                    <w:pStyle w:val="47"/>
                    <w:widowControl/>
                    <w:spacing w:line="360" w:lineRule="auto"/>
                    <w:rPr>
                      <w:rFonts w:hint="eastAsia" w:ascii="Times New Roman" w:hAnsi="Times New Roman" w:eastAsia="宋体" w:cs="Times New Roman"/>
                      <w:bCs/>
                      <w:color w:val="auto"/>
                      <w:sz w:val="18"/>
                      <w:szCs w:val="18"/>
                      <w:lang w:val="en-US" w:eastAsia="zh-CN" w:bidi="ar-SA"/>
                    </w:rPr>
                  </w:pPr>
                </w:p>
              </w:tc>
              <w:tc>
                <w:tcPr>
                  <w:tcW w:w="0" w:type="auto"/>
                  <w:shd w:val="clear" w:color="auto" w:fill="auto"/>
                  <w:vAlign w:val="center"/>
                </w:tcPr>
                <w:p w14:paraId="074D01C0">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烘干箱</w:t>
                  </w:r>
                </w:p>
              </w:tc>
              <w:tc>
                <w:tcPr>
                  <w:tcW w:w="420" w:type="dxa"/>
                  <w:shd w:val="clear" w:color="auto" w:fill="auto"/>
                  <w:vAlign w:val="center"/>
                </w:tcPr>
                <w:p w14:paraId="3A89B6B7">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75</w:t>
                  </w:r>
                </w:p>
              </w:tc>
              <w:tc>
                <w:tcPr>
                  <w:tcW w:w="465" w:type="dxa"/>
                  <w:shd w:val="clear" w:color="auto" w:fill="auto"/>
                  <w:vAlign w:val="center"/>
                </w:tcPr>
                <w:p w14:paraId="6CBF0DA7">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1</w:t>
                  </w:r>
                </w:p>
              </w:tc>
              <w:tc>
                <w:tcPr>
                  <w:tcW w:w="498" w:type="dxa"/>
                  <w:vMerge w:val="continue"/>
                  <w:shd w:val="clear" w:color="auto" w:fill="auto"/>
                  <w:vAlign w:val="center"/>
                </w:tcPr>
                <w:p w14:paraId="753E8421">
                  <w:pPr>
                    <w:widowControl/>
                    <w:spacing w:line="360" w:lineRule="auto"/>
                    <w:jc w:val="center"/>
                    <w:rPr>
                      <w:rFonts w:hint="eastAsia" w:ascii="Times New Roman" w:hAnsi="Times New Roman" w:eastAsia="宋体" w:cs="Times New Roman"/>
                      <w:color w:val="auto"/>
                      <w:sz w:val="18"/>
                      <w:szCs w:val="18"/>
                      <w:lang w:val="en-US" w:eastAsia="zh-CN"/>
                    </w:rPr>
                  </w:pPr>
                </w:p>
              </w:tc>
              <w:tc>
                <w:tcPr>
                  <w:tcW w:w="510" w:type="dxa"/>
                  <w:shd w:val="clear" w:color="auto" w:fill="auto"/>
                  <w:vAlign w:val="center"/>
                </w:tcPr>
                <w:p w14:paraId="2CEE1451">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w:t>
                  </w:r>
                </w:p>
              </w:tc>
              <w:tc>
                <w:tcPr>
                  <w:tcW w:w="510" w:type="dxa"/>
                  <w:shd w:val="clear" w:color="auto" w:fill="auto"/>
                  <w:vAlign w:val="center"/>
                </w:tcPr>
                <w:p w14:paraId="32C21919">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46</w:t>
                  </w:r>
                </w:p>
              </w:tc>
              <w:tc>
                <w:tcPr>
                  <w:tcW w:w="0" w:type="auto"/>
                  <w:shd w:val="clear" w:color="auto" w:fill="auto"/>
                  <w:vAlign w:val="center"/>
                </w:tcPr>
                <w:p w14:paraId="1D260089">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1.5</w:t>
                  </w:r>
                </w:p>
              </w:tc>
              <w:tc>
                <w:tcPr>
                  <w:tcW w:w="510" w:type="dxa"/>
                  <w:shd w:val="clear" w:color="auto" w:fill="auto"/>
                  <w:vAlign w:val="center"/>
                </w:tcPr>
                <w:p w14:paraId="6AA67586">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w:t>
                  </w:r>
                </w:p>
              </w:tc>
              <w:tc>
                <w:tcPr>
                  <w:tcW w:w="510" w:type="dxa"/>
                  <w:shd w:val="clear" w:color="auto" w:fill="auto"/>
                  <w:vAlign w:val="center"/>
                </w:tcPr>
                <w:p w14:paraId="0F1D7C60">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71</w:t>
                  </w:r>
                </w:p>
              </w:tc>
              <w:tc>
                <w:tcPr>
                  <w:tcW w:w="510" w:type="dxa"/>
                  <w:vMerge w:val="continue"/>
                  <w:shd w:val="clear" w:color="auto" w:fill="auto"/>
                  <w:vAlign w:val="center"/>
                </w:tcPr>
                <w:p w14:paraId="7BC0940B">
                  <w:pPr>
                    <w:widowControl/>
                    <w:spacing w:line="360" w:lineRule="auto"/>
                    <w:jc w:val="center"/>
                    <w:rPr>
                      <w:rFonts w:hint="eastAsia" w:ascii="Times New Roman" w:hAnsi="Times New Roman" w:eastAsia="宋体" w:cs="Times New Roman"/>
                      <w:color w:val="auto"/>
                      <w:sz w:val="18"/>
                      <w:szCs w:val="18"/>
                      <w:lang w:val="en-US" w:eastAsia="zh-CN"/>
                    </w:rPr>
                  </w:pPr>
                </w:p>
              </w:tc>
              <w:tc>
                <w:tcPr>
                  <w:tcW w:w="0" w:type="auto"/>
                  <w:shd w:val="clear" w:color="auto" w:fill="auto"/>
                  <w:vAlign w:val="center"/>
                </w:tcPr>
                <w:p w14:paraId="77AE01EF">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bCs/>
                      <w:color w:val="auto"/>
                      <w:kern w:val="0"/>
                      <w:sz w:val="18"/>
                      <w:szCs w:val="18"/>
                      <w:lang w:val="en-US" w:eastAsia="zh-CN"/>
                    </w:rPr>
                    <w:t>20</w:t>
                  </w:r>
                </w:p>
              </w:tc>
              <w:tc>
                <w:tcPr>
                  <w:tcW w:w="510" w:type="dxa"/>
                  <w:shd w:val="clear" w:color="auto" w:fill="auto"/>
                  <w:vAlign w:val="center"/>
                </w:tcPr>
                <w:p w14:paraId="39E98877">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51</w:t>
                  </w:r>
                </w:p>
              </w:tc>
              <w:tc>
                <w:tcPr>
                  <w:tcW w:w="516" w:type="dxa"/>
                  <w:shd w:val="clear" w:color="auto" w:fill="auto"/>
                  <w:vAlign w:val="center"/>
                </w:tcPr>
                <w:p w14:paraId="11A36E2E">
                  <w:pPr>
                    <w:widowControl/>
                    <w:spacing w:line="360" w:lineRule="auto"/>
                    <w:jc w:val="center"/>
                    <w:rPr>
                      <w:rFonts w:hint="eastAsia" w:ascii="Times New Roman" w:hAnsi="Times New Roman" w:eastAsia="宋体" w:cs="Times New Roman"/>
                      <w:color w:val="auto"/>
                      <w:sz w:val="18"/>
                      <w:szCs w:val="18"/>
                      <w:lang w:val="en-US" w:eastAsia="zh-CN"/>
                    </w:rPr>
                  </w:pPr>
                  <w:r>
                    <w:rPr>
                      <w:rFonts w:ascii="Times New Roman" w:hAnsi="Times New Roman" w:cs="Times New Roman"/>
                      <w:bCs/>
                      <w:color w:val="auto"/>
                      <w:sz w:val="18"/>
                      <w:szCs w:val="18"/>
                    </w:rPr>
                    <w:t>1</w:t>
                  </w:r>
                </w:p>
              </w:tc>
            </w:tr>
            <w:tr w14:paraId="42D52F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shd w:val="clear" w:color="auto" w:fill="auto"/>
                  <w:vAlign w:val="center"/>
                </w:tcPr>
                <w:p w14:paraId="09383B41">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eastAsia="宋体" w:cs="Times New Roman"/>
                      <w:bCs/>
                      <w:color w:val="auto"/>
                      <w:sz w:val="18"/>
                      <w:szCs w:val="18"/>
                      <w:lang w:val="en-US" w:eastAsia="zh-CN" w:bidi="ar-SA"/>
                    </w:rPr>
                    <w:t>17</w:t>
                  </w:r>
                </w:p>
              </w:tc>
              <w:tc>
                <w:tcPr>
                  <w:tcW w:w="450" w:type="dxa"/>
                  <w:vMerge w:val="continue"/>
                  <w:shd w:val="clear" w:color="auto" w:fill="auto"/>
                  <w:vAlign w:val="center"/>
                </w:tcPr>
                <w:p w14:paraId="7316B58E">
                  <w:pPr>
                    <w:pStyle w:val="47"/>
                    <w:widowControl/>
                    <w:spacing w:line="360" w:lineRule="auto"/>
                    <w:rPr>
                      <w:rFonts w:hint="eastAsia" w:ascii="Times New Roman" w:hAnsi="Times New Roman" w:eastAsia="宋体" w:cs="Times New Roman"/>
                      <w:bCs/>
                      <w:color w:val="auto"/>
                      <w:sz w:val="18"/>
                      <w:szCs w:val="18"/>
                      <w:lang w:val="en-US" w:eastAsia="zh-CN" w:bidi="ar-SA"/>
                    </w:rPr>
                  </w:pPr>
                </w:p>
              </w:tc>
              <w:tc>
                <w:tcPr>
                  <w:tcW w:w="0" w:type="auto"/>
                  <w:shd w:val="clear" w:color="auto" w:fill="auto"/>
                  <w:vAlign w:val="center"/>
                </w:tcPr>
                <w:p w14:paraId="3CD5B43C">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烘干箱</w:t>
                  </w:r>
                </w:p>
              </w:tc>
              <w:tc>
                <w:tcPr>
                  <w:tcW w:w="420" w:type="dxa"/>
                  <w:shd w:val="clear" w:color="auto" w:fill="auto"/>
                  <w:vAlign w:val="center"/>
                </w:tcPr>
                <w:p w14:paraId="2D0515F1">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75</w:t>
                  </w:r>
                </w:p>
              </w:tc>
              <w:tc>
                <w:tcPr>
                  <w:tcW w:w="465" w:type="dxa"/>
                  <w:shd w:val="clear" w:color="auto" w:fill="auto"/>
                  <w:vAlign w:val="center"/>
                </w:tcPr>
                <w:p w14:paraId="308FB802">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1</w:t>
                  </w:r>
                </w:p>
              </w:tc>
              <w:tc>
                <w:tcPr>
                  <w:tcW w:w="498" w:type="dxa"/>
                  <w:vMerge w:val="continue"/>
                  <w:shd w:val="clear" w:color="auto" w:fill="auto"/>
                  <w:vAlign w:val="center"/>
                </w:tcPr>
                <w:p w14:paraId="3F23D5C4">
                  <w:pPr>
                    <w:widowControl/>
                    <w:spacing w:line="360" w:lineRule="auto"/>
                    <w:jc w:val="center"/>
                    <w:rPr>
                      <w:rFonts w:hint="eastAsia" w:ascii="Times New Roman" w:hAnsi="Times New Roman" w:eastAsia="宋体" w:cs="Times New Roman"/>
                      <w:color w:val="auto"/>
                      <w:sz w:val="18"/>
                      <w:szCs w:val="18"/>
                      <w:lang w:val="en-US" w:eastAsia="zh-CN"/>
                    </w:rPr>
                  </w:pPr>
                </w:p>
              </w:tc>
              <w:tc>
                <w:tcPr>
                  <w:tcW w:w="510" w:type="dxa"/>
                  <w:shd w:val="clear" w:color="auto" w:fill="auto"/>
                  <w:vAlign w:val="center"/>
                </w:tcPr>
                <w:p w14:paraId="226C43DC">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w:t>
                  </w:r>
                </w:p>
              </w:tc>
              <w:tc>
                <w:tcPr>
                  <w:tcW w:w="510" w:type="dxa"/>
                  <w:shd w:val="clear" w:color="auto" w:fill="auto"/>
                  <w:vAlign w:val="center"/>
                </w:tcPr>
                <w:p w14:paraId="30668A59">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47</w:t>
                  </w:r>
                </w:p>
              </w:tc>
              <w:tc>
                <w:tcPr>
                  <w:tcW w:w="0" w:type="auto"/>
                  <w:shd w:val="clear" w:color="auto" w:fill="auto"/>
                  <w:vAlign w:val="center"/>
                </w:tcPr>
                <w:p w14:paraId="6C2F5F05">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1.5</w:t>
                  </w:r>
                </w:p>
              </w:tc>
              <w:tc>
                <w:tcPr>
                  <w:tcW w:w="510" w:type="dxa"/>
                  <w:shd w:val="clear" w:color="auto" w:fill="auto"/>
                  <w:vAlign w:val="center"/>
                </w:tcPr>
                <w:p w14:paraId="0399A84F">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w:t>
                  </w:r>
                </w:p>
              </w:tc>
              <w:tc>
                <w:tcPr>
                  <w:tcW w:w="510" w:type="dxa"/>
                  <w:shd w:val="clear" w:color="auto" w:fill="auto"/>
                  <w:vAlign w:val="center"/>
                </w:tcPr>
                <w:p w14:paraId="70036748">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71</w:t>
                  </w:r>
                </w:p>
              </w:tc>
              <w:tc>
                <w:tcPr>
                  <w:tcW w:w="510" w:type="dxa"/>
                  <w:vMerge w:val="continue"/>
                  <w:shd w:val="clear" w:color="auto" w:fill="auto"/>
                  <w:vAlign w:val="center"/>
                </w:tcPr>
                <w:p w14:paraId="2D3D8A8D">
                  <w:pPr>
                    <w:widowControl/>
                    <w:spacing w:line="360" w:lineRule="auto"/>
                    <w:jc w:val="center"/>
                    <w:rPr>
                      <w:rFonts w:hint="eastAsia" w:ascii="Times New Roman" w:hAnsi="Times New Roman" w:eastAsia="宋体" w:cs="Times New Roman"/>
                      <w:color w:val="auto"/>
                      <w:sz w:val="18"/>
                      <w:szCs w:val="18"/>
                      <w:lang w:val="en-US" w:eastAsia="zh-CN"/>
                    </w:rPr>
                  </w:pPr>
                </w:p>
              </w:tc>
              <w:tc>
                <w:tcPr>
                  <w:tcW w:w="0" w:type="auto"/>
                  <w:shd w:val="clear" w:color="auto" w:fill="auto"/>
                  <w:vAlign w:val="center"/>
                </w:tcPr>
                <w:p w14:paraId="10517F55">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bCs/>
                      <w:color w:val="auto"/>
                      <w:kern w:val="0"/>
                      <w:sz w:val="18"/>
                      <w:szCs w:val="18"/>
                      <w:lang w:val="en-US" w:eastAsia="zh-CN"/>
                    </w:rPr>
                    <w:t>20</w:t>
                  </w:r>
                </w:p>
              </w:tc>
              <w:tc>
                <w:tcPr>
                  <w:tcW w:w="510" w:type="dxa"/>
                  <w:shd w:val="clear" w:color="auto" w:fill="auto"/>
                  <w:vAlign w:val="center"/>
                </w:tcPr>
                <w:p w14:paraId="1F7BA0FA">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51</w:t>
                  </w:r>
                </w:p>
              </w:tc>
              <w:tc>
                <w:tcPr>
                  <w:tcW w:w="516" w:type="dxa"/>
                  <w:shd w:val="clear" w:color="auto" w:fill="auto"/>
                  <w:vAlign w:val="center"/>
                </w:tcPr>
                <w:p w14:paraId="1D925072">
                  <w:pPr>
                    <w:widowControl/>
                    <w:spacing w:line="360" w:lineRule="auto"/>
                    <w:jc w:val="center"/>
                    <w:rPr>
                      <w:rFonts w:hint="eastAsia" w:ascii="Times New Roman" w:hAnsi="Times New Roman" w:eastAsia="宋体" w:cs="Times New Roman"/>
                      <w:color w:val="auto"/>
                      <w:sz w:val="18"/>
                      <w:szCs w:val="18"/>
                      <w:lang w:val="en-US" w:eastAsia="zh-CN"/>
                    </w:rPr>
                  </w:pPr>
                  <w:r>
                    <w:rPr>
                      <w:rFonts w:ascii="Times New Roman" w:hAnsi="Times New Roman" w:cs="Times New Roman"/>
                      <w:bCs/>
                      <w:color w:val="auto"/>
                      <w:sz w:val="18"/>
                      <w:szCs w:val="18"/>
                    </w:rPr>
                    <w:t>1</w:t>
                  </w:r>
                </w:p>
              </w:tc>
            </w:tr>
            <w:tr w14:paraId="556170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shd w:val="clear" w:color="auto" w:fill="auto"/>
                  <w:vAlign w:val="center"/>
                </w:tcPr>
                <w:p w14:paraId="1C7186C8">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eastAsia="宋体" w:cs="Times New Roman"/>
                      <w:bCs/>
                      <w:color w:val="auto"/>
                      <w:sz w:val="18"/>
                      <w:szCs w:val="18"/>
                      <w:lang w:val="en-US" w:eastAsia="zh-CN" w:bidi="ar-SA"/>
                    </w:rPr>
                    <w:t>18</w:t>
                  </w:r>
                </w:p>
              </w:tc>
              <w:tc>
                <w:tcPr>
                  <w:tcW w:w="450" w:type="dxa"/>
                  <w:vMerge w:val="continue"/>
                  <w:shd w:val="clear" w:color="auto" w:fill="auto"/>
                  <w:vAlign w:val="center"/>
                </w:tcPr>
                <w:p w14:paraId="20FF7081">
                  <w:pPr>
                    <w:pStyle w:val="47"/>
                    <w:widowControl/>
                    <w:spacing w:line="360" w:lineRule="auto"/>
                    <w:rPr>
                      <w:rFonts w:hint="eastAsia" w:ascii="Times New Roman" w:hAnsi="Times New Roman" w:eastAsia="宋体" w:cs="Times New Roman"/>
                      <w:bCs/>
                      <w:color w:val="auto"/>
                      <w:sz w:val="18"/>
                      <w:szCs w:val="18"/>
                      <w:lang w:val="en-US" w:eastAsia="zh-CN" w:bidi="ar-SA"/>
                    </w:rPr>
                  </w:pPr>
                </w:p>
              </w:tc>
              <w:tc>
                <w:tcPr>
                  <w:tcW w:w="0" w:type="auto"/>
                  <w:shd w:val="clear" w:color="auto" w:fill="auto"/>
                  <w:vAlign w:val="center"/>
                </w:tcPr>
                <w:p w14:paraId="5ADA33B4">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烘干箱</w:t>
                  </w:r>
                </w:p>
              </w:tc>
              <w:tc>
                <w:tcPr>
                  <w:tcW w:w="420" w:type="dxa"/>
                  <w:shd w:val="clear" w:color="auto" w:fill="auto"/>
                  <w:vAlign w:val="center"/>
                </w:tcPr>
                <w:p w14:paraId="1286C6AF">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75</w:t>
                  </w:r>
                </w:p>
              </w:tc>
              <w:tc>
                <w:tcPr>
                  <w:tcW w:w="465" w:type="dxa"/>
                  <w:shd w:val="clear" w:color="auto" w:fill="auto"/>
                  <w:vAlign w:val="center"/>
                </w:tcPr>
                <w:p w14:paraId="0869EE3D">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1</w:t>
                  </w:r>
                </w:p>
              </w:tc>
              <w:tc>
                <w:tcPr>
                  <w:tcW w:w="498" w:type="dxa"/>
                  <w:vMerge w:val="continue"/>
                  <w:shd w:val="clear" w:color="auto" w:fill="auto"/>
                  <w:vAlign w:val="center"/>
                </w:tcPr>
                <w:p w14:paraId="6BF30573">
                  <w:pPr>
                    <w:widowControl/>
                    <w:spacing w:line="360" w:lineRule="auto"/>
                    <w:jc w:val="center"/>
                    <w:rPr>
                      <w:rFonts w:hint="eastAsia" w:ascii="Times New Roman" w:hAnsi="Times New Roman" w:eastAsia="宋体" w:cs="Times New Roman"/>
                      <w:color w:val="auto"/>
                      <w:sz w:val="18"/>
                      <w:szCs w:val="18"/>
                      <w:lang w:val="en-US" w:eastAsia="zh-CN"/>
                    </w:rPr>
                  </w:pPr>
                </w:p>
              </w:tc>
              <w:tc>
                <w:tcPr>
                  <w:tcW w:w="510" w:type="dxa"/>
                  <w:shd w:val="clear" w:color="auto" w:fill="auto"/>
                  <w:vAlign w:val="center"/>
                </w:tcPr>
                <w:p w14:paraId="0C90A5DC">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w:t>
                  </w:r>
                </w:p>
              </w:tc>
              <w:tc>
                <w:tcPr>
                  <w:tcW w:w="510" w:type="dxa"/>
                  <w:shd w:val="clear" w:color="auto" w:fill="auto"/>
                  <w:vAlign w:val="center"/>
                </w:tcPr>
                <w:p w14:paraId="12CED6B6">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49</w:t>
                  </w:r>
                </w:p>
              </w:tc>
              <w:tc>
                <w:tcPr>
                  <w:tcW w:w="0" w:type="auto"/>
                  <w:shd w:val="clear" w:color="auto" w:fill="auto"/>
                  <w:vAlign w:val="center"/>
                </w:tcPr>
                <w:p w14:paraId="29BAFE4A">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1.5</w:t>
                  </w:r>
                </w:p>
              </w:tc>
              <w:tc>
                <w:tcPr>
                  <w:tcW w:w="510" w:type="dxa"/>
                  <w:shd w:val="clear" w:color="auto" w:fill="auto"/>
                  <w:vAlign w:val="center"/>
                </w:tcPr>
                <w:p w14:paraId="6211C4C7">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w:t>
                  </w:r>
                </w:p>
              </w:tc>
              <w:tc>
                <w:tcPr>
                  <w:tcW w:w="510" w:type="dxa"/>
                  <w:shd w:val="clear" w:color="auto" w:fill="auto"/>
                  <w:vAlign w:val="center"/>
                </w:tcPr>
                <w:p w14:paraId="5730798F">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71</w:t>
                  </w:r>
                </w:p>
              </w:tc>
              <w:tc>
                <w:tcPr>
                  <w:tcW w:w="510" w:type="dxa"/>
                  <w:vMerge w:val="continue"/>
                  <w:shd w:val="clear" w:color="auto" w:fill="auto"/>
                  <w:vAlign w:val="center"/>
                </w:tcPr>
                <w:p w14:paraId="75B826A9">
                  <w:pPr>
                    <w:widowControl/>
                    <w:spacing w:line="360" w:lineRule="auto"/>
                    <w:jc w:val="center"/>
                    <w:rPr>
                      <w:rFonts w:hint="eastAsia" w:ascii="Times New Roman" w:hAnsi="Times New Roman" w:eastAsia="宋体" w:cs="Times New Roman"/>
                      <w:color w:val="auto"/>
                      <w:sz w:val="18"/>
                      <w:szCs w:val="18"/>
                      <w:lang w:val="en-US" w:eastAsia="zh-CN"/>
                    </w:rPr>
                  </w:pPr>
                </w:p>
              </w:tc>
              <w:tc>
                <w:tcPr>
                  <w:tcW w:w="0" w:type="auto"/>
                  <w:shd w:val="clear" w:color="auto" w:fill="auto"/>
                  <w:vAlign w:val="center"/>
                </w:tcPr>
                <w:p w14:paraId="6B133C06">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bCs/>
                      <w:color w:val="auto"/>
                      <w:kern w:val="0"/>
                      <w:sz w:val="18"/>
                      <w:szCs w:val="18"/>
                      <w:lang w:val="en-US" w:eastAsia="zh-CN"/>
                    </w:rPr>
                    <w:t>20</w:t>
                  </w:r>
                </w:p>
              </w:tc>
              <w:tc>
                <w:tcPr>
                  <w:tcW w:w="510" w:type="dxa"/>
                  <w:shd w:val="clear" w:color="auto" w:fill="auto"/>
                  <w:vAlign w:val="center"/>
                </w:tcPr>
                <w:p w14:paraId="4DCE7C48">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51</w:t>
                  </w:r>
                </w:p>
              </w:tc>
              <w:tc>
                <w:tcPr>
                  <w:tcW w:w="516" w:type="dxa"/>
                  <w:shd w:val="clear" w:color="auto" w:fill="auto"/>
                  <w:vAlign w:val="center"/>
                </w:tcPr>
                <w:p w14:paraId="2B3D78D6">
                  <w:pPr>
                    <w:widowControl/>
                    <w:spacing w:line="360" w:lineRule="auto"/>
                    <w:jc w:val="center"/>
                    <w:rPr>
                      <w:rFonts w:hint="eastAsia" w:ascii="Times New Roman" w:hAnsi="Times New Roman" w:eastAsia="宋体" w:cs="Times New Roman"/>
                      <w:color w:val="auto"/>
                      <w:sz w:val="18"/>
                      <w:szCs w:val="18"/>
                      <w:lang w:val="en-US" w:eastAsia="zh-CN"/>
                    </w:rPr>
                  </w:pPr>
                  <w:r>
                    <w:rPr>
                      <w:rFonts w:ascii="Times New Roman" w:hAnsi="Times New Roman" w:cs="Times New Roman"/>
                      <w:bCs/>
                      <w:color w:val="auto"/>
                      <w:sz w:val="18"/>
                      <w:szCs w:val="18"/>
                    </w:rPr>
                    <w:t>1</w:t>
                  </w:r>
                </w:p>
              </w:tc>
            </w:tr>
            <w:tr w14:paraId="459E45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shd w:val="clear" w:color="auto" w:fill="auto"/>
                  <w:vAlign w:val="center"/>
                </w:tcPr>
                <w:p w14:paraId="77591BDA">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eastAsia="宋体" w:cs="Times New Roman"/>
                      <w:bCs/>
                      <w:color w:val="auto"/>
                      <w:sz w:val="18"/>
                      <w:szCs w:val="18"/>
                      <w:lang w:val="en-US" w:eastAsia="zh-CN" w:bidi="ar-SA"/>
                    </w:rPr>
                    <w:t>19</w:t>
                  </w:r>
                </w:p>
              </w:tc>
              <w:tc>
                <w:tcPr>
                  <w:tcW w:w="450" w:type="dxa"/>
                  <w:vMerge w:val="continue"/>
                  <w:shd w:val="clear" w:color="auto" w:fill="auto"/>
                  <w:vAlign w:val="center"/>
                </w:tcPr>
                <w:p w14:paraId="406003AF">
                  <w:pPr>
                    <w:pStyle w:val="47"/>
                    <w:widowControl/>
                    <w:spacing w:line="360" w:lineRule="auto"/>
                    <w:rPr>
                      <w:rFonts w:hint="eastAsia" w:ascii="Times New Roman" w:hAnsi="Times New Roman" w:eastAsia="宋体" w:cs="Times New Roman"/>
                      <w:bCs/>
                      <w:color w:val="auto"/>
                      <w:sz w:val="18"/>
                      <w:szCs w:val="18"/>
                      <w:lang w:val="en-US" w:eastAsia="zh-CN" w:bidi="ar-SA"/>
                    </w:rPr>
                  </w:pPr>
                </w:p>
              </w:tc>
              <w:tc>
                <w:tcPr>
                  <w:tcW w:w="0" w:type="auto"/>
                  <w:shd w:val="clear" w:color="auto" w:fill="auto"/>
                  <w:vAlign w:val="center"/>
                </w:tcPr>
                <w:p w14:paraId="6E35C250">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布袋除尘器</w:t>
                  </w:r>
                </w:p>
              </w:tc>
              <w:tc>
                <w:tcPr>
                  <w:tcW w:w="420" w:type="dxa"/>
                  <w:shd w:val="clear" w:color="auto" w:fill="auto"/>
                  <w:vAlign w:val="center"/>
                </w:tcPr>
                <w:p w14:paraId="03241C17">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75</w:t>
                  </w:r>
                </w:p>
              </w:tc>
              <w:tc>
                <w:tcPr>
                  <w:tcW w:w="465" w:type="dxa"/>
                  <w:shd w:val="clear" w:color="auto" w:fill="auto"/>
                  <w:vAlign w:val="center"/>
                </w:tcPr>
                <w:p w14:paraId="01CEF50B">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1</w:t>
                  </w:r>
                </w:p>
              </w:tc>
              <w:tc>
                <w:tcPr>
                  <w:tcW w:w="498" w:type="dxa"/>
                  <w:vMerge w:val="continue"/>
                  <w:shd w:val="clear" w:color="auto" w:fill="auto"/>
                  <w:vAlign w:val="center"/>
                </w:tcPr>
                <w:p w14:paraId="7881EFE4">
                  <w:pPr>
                    <w:widowControl/>
                    <w:spacing w:line="360" w:lineRule="auto"/>
                    <w:jc w:val="center"/>
                    <w:rPr>
                      <w:rFonts w:hint="eastAsia" w:ascii="Times New Roman" w:hAnsi="Times New Roman" w:eastAsia="宋体" w:cs="Times New Roman"/>
                      <w:color w:val="auto"/>
                      <w:sz w:val="18"/>
                      <w:szCs w:val="18"/>
                      <w:lang w:val="en-US" w:eastAsia="zh-CN"/>
                    </w:rPr>
                  </w:pPr>
                </w:p>
              </w:tc>
              <w:tc>
                <w:tcPr>
                  <w:tcW w:w="510" w:type="dxa"/>
                  <w:shd w:val="clear" w:color="auto" w:fill="auto"/>
                  <w:vAlign w:val="center"/>
                </w:tcPr>
                <w:p w14:paraId="3312C4A0">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w:t>
                  </w:r>
                </w:p>
              </w:tc>
              <w:tc>
                <w:tcPr>
                  <w:tcW w:w="510" w:type="dxa"/>
                  <w:shd w:val="clear" w:color="auto" w:fill="auto"/>
                  <w:vAlign w:val="center"/>
                </w:tcPr>
                <w:p w14:paraId="16AA35C9">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56</w:t>
                  </w:r>
                </w:p>
              </w:tc>
              <w:tc>
                <w:tcPr>
                  <w:tcW w:w="0" w:type="auto"/>
                  <w:shd w:val="clear" w:color="auto" w:fill="auto"/>
                  <w:vAlign w:val="center"/>
                </w:tcPr>
                <w:p w14:paraId="042EA98F">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3.0</w:t>
                  </w:r>
                </w:p>
              </w:tc>
              <w:tc>
                <w:tcPr>
                  <w:tcW w:w="510" w:type="dxa"/>
                  <w:shd w:val="clear" w:color="auto" w:fill="auto"/>
                  <w:vAlign w:val="center"/>
                </w:tcPr>
                <w:p w14:paraId="4A27822C">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w:t>
                  </w:r>
                </w:p>
              </w:tc>
              <w:tc>
                <w:tcPr>
                  <w:tcW w:w="510" w:type="dxa"/>
                  <w:shd w:val="clear" w:color="auto" w:fill="auto"/>
                  <w:vAlign w:val="center"/>
                </w:tcPr>
                <w:p w14:paraId="793C219A">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75</w:t>
                  </w:r>
                </w:p>
              </w:tc>
              <w:tc>
                <w:tcPr>
                  <w:tcW w:w="510" w:type="dxa"/>
                  <w:vMerge w:val="continue"/>
                  <w:shd w:val="clear" w:color="auto" w:fill="auto"/>
                  <w:vAlign w:val="center"/>
                </w:tcPr>
                <w:p w14:paraId="4125D21A">
                  <w:pPr>
                    <w:widowControl/>
                    <w:spacing w:line="360" w:lineRule="auto"/>
                    <w:jc w:val="center"/>
                    <w:rPr>
                      <w:rFonts w:hint="eastAsia" w:ascii="Times New Roman" w:hAnsi="Times New Roman" w:eastAsia="宋体" w:cs="Times New Roman"/>
                      <w:color w:val="auto"/>
                      <w:sz w:val="18"/>
                      <w:szCs w:val="18"/>
                      <w:lang w:val="en-US" w:eastAsia="zh-CN"/>
                    </w:rPr>
                  </w:pPr>
                </w:p>
              </w:tc>
              <w:tc>
                <w:tcPr>
                  <w:tcW w:w="0" w:type="auto"/>
                  <w:shd w:val="clear" w:color="auto" w:fill="auto"/>
                  <w:vAlign w:val="center"/>
                </w:tcPr>
                <w:p w14:paraId="2BFA747F">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bCs/>
                      <w:color w:val="auto"/>
                      <w:kern w:val="0"/>
                      <w:sz w:val="18"/>
                      <w:szCs w:val="18"/>
                      <w:lang w:val="en-US" w:eastAsia="zh-CN"/>
                    </w:rPr>
                    <w:t>20</w:t>
                  </w:r>
                </w:p>
              </w:tc>
              <w:tc>
                <w:tcPr>
                  <w:tcW w:w="510" w:type="dxa"/>
                  <w:shd w:val="clear" w:color="auto" w:fill="auto"/>
                  <w:vAlign w:val="center"/>
                </w:tcPr>
                <w:p w14:paraId="01716C97">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55</w:t>
                  </w:r>
                </w:p>
              </w:tc>
              <w:tc>
                <w:tcPr>
                  <w:tcW w:w="516" w:type="dxa"/>
                  <w:shd w:val="clear" w:color="auto" w:fill="auto"/>
                  <w:vAlign w:val="center"/>
                </w:tcPr>
                <w:p w14:paraId="6372C5F9">
                  <w:pPr>
                    <w:widowControl/>
                    <w:spacing w:line="360" w:lineRule="auto"/>
                    <w:jc w:val="center"/>
                    <w:rPr>
                      <w:rFonts w:hint="eastAsia" w:ascii="Times New Roman" w:hAnsi="Times New Roman" w:eastAsia="宋体" w:cs="Times New Roman"/>
                      <w:color w:val="auto"/>
                      <w:sz w:val="18"/>
                      <w:szCs w:val="18"/>
                      <w:lang w:val="en-US" w:eastAsia="zh-CN"/>
                    </w:rPr>
                  </w:pPr>
                  <w:r>
                    <w:rPr>
                      <w:rFonts w:ascii="Times New Roman" w:hAnsi="Times New Roman" w:cs="Times New Roman"/>
                      <w:bCs/>
                      <w:color w:val="auto"/>
                      <w:sz w:val="18"/>
                      <w:szCs w:val="18"/>
                    </w:rPr>
                    <w:t>1</w:t>
                  </w:r>
                </w:p>
              </w:tc>
            </w:tr>
            <w:tr w14:paraId="3DF52E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shd w:val="clear" w:color="auto" w:fill="auto"/>
                  <w:vAlign w:val="center"/>
                </w:tcPr>
                <w:p w14:paraId="17BA2FE4">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eastAsia="宋体" w:cs="Times New Roman"/>
                      <w:bCs/>
                      <w:color w:val="auto"/>
                      <w:sz w:val="18"/>
                      <w:szCs w:val="18"/>
                      <w:lang w:val="en-US" w:eastAsia="zh-CN" w:bidi="ar-SA"/>
                    </w:rPr>
                    <w:t>20</w:t>
                  </w:r>
                </w:p>
              </w:tc>
              <w:tc>
                <w:tcPr>
                  <w:tcW w:w="450" w:type="dxa"/>
                  <w:vMerge w:val="restart"/>
                  <w:shd w:val="clear" w:color="auto" w:fill="auto"/>
                  <w:vAlign w:val="center"/>
                </w:tcPr>
                <w:p w14:paraId="20140E3A">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eastAsia="宋体" w:cs="Times New Roman"/>
                      <w:bCs/>
                      <w:color w:val="auto"/>
                      <w:sz w:val="18"/>
                      <w:szCs w:val="18"/>
                      <w:lang w:val="en-US" w:eastAsia="zh-CN" w:bidi="ar-SA"/>
                    </w:rPr>
                    <w:t>石墨烘干筛分车间</w:t>
                  </w:r>
                </w:p>
              </w:tc>
              <w:tc>
                <w:tcPr>
                  <w:tcW w:w="0" w:type="auto"/>
                  <w:shd w:val="clear" w:color="auto" w:fill="auto"/>
                  <w:vAlign w:val="center"/>
                </w:tcPr>
                <w:p w14:paraId="39ADC9B8">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干燥锅</w:t>
                  </w:r>
                </w:p>
              </w:tc>
              <w:tc>
                <w:tcPr>
                  <w:tcW w:w="420" w:type="dxa"/>
                  <w:shd w:val="clear" w:color="auto" w:fill="auto"/>
                  <w:vAlign w:val="center"/>
                </w:tcPr>
                <w:p w14:paraId="0C877645">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75</w:t>
                  </w:r>
                </w:p>
              </w:tc>
              <w:tc>
                <w:tcPr>
                  <w:tcW w:w="465" w:type="dxa"/>
                  <w:shd w:val="clear" w:color="auto" w:fill="auto"/>
                  <w:vAlign w:val="center"/>
                </w:tcPr>
                <w:p w14:paraId="1E329CA8">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1</w:t>
                  </w:r>
                </w:p>
              </w:tc>
              <w:tc>
                <w:tcPr>
                  <w:tcW w:w="498" w:type="dxa"/>
                  <w:vMerge w:val="continue"/>
                  <w:shd w:val="clear" w:color="auto" w:fill="auto"/>
                  <w:vAlign w:val="center"/>
                </w:tcPr>
                <w:p w14:paraId="01BF1826">
                  <w:pPr>
                    <w:widowControl/>
                    <w:spacing w:line="360" w:lineRule="auto"/>
                    <w:jc w:val="center"/>
                    <w:rPr>
                      <w:rFonts w:hint="eastAsia" w:ascii="Times New Roman" w:hAnsi="Times New Roman" w:eastAsia="宋体" w:cs="Times New Roman"/>
                      <w:color w:val="auto"/>
                      <w:sz w:val="18"/>
                      <w:szCs w:val="18"/>
                      <w:lang w:val="en-US" w:eastAsia="zh-CN"/>
                    </w:rPr>
                  </w:pPr>
                </w:p>
              </w:tc>
              <w:tc>
                <w:tcPr>
                  <w:tcW w:w="510" w:type="dxa"/>
                  <w:shd w:val="clear" w:color="auto" w:fill="auto"/>
                  <w:vAlign w:val="center"/>
                </w:tcPr>
                <w:p w14:paraId="3799075F">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26</w:t>
                  </w:r>
                </w:p>
              </w:tc>
              <w:tc>
                <w:tcPr>
                  <w:tcW w:w="510" w:type="dxa"/>
                  <w:shd w:val="clear" w:color="auto" w:fill="auto"/>
                  <w:vAlign w:val="center"/>
                </w:tcPr>
                <w:p w14:paraId="7A1802C5">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38</w:t>
                  </w:r>
                </w:p>
              </w:tc>
              <w:tc>
                <w:tcPr>
                  <w:tcW w:w="0" w:type="auto"/>
                  <w:shd w:val="clear" w:color="auto" w:fill="auto"/>
                  <w:vAlign w:val="center"/>
                </w:tcPr>
                <w:p w14:paraId="7CAE01E0">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1.5</w:t>
                  </w:r>
                </w:p>
              </w:tc>
              <w:tc>
                <w:tcPr>
                  <w:tcW w:w="510" w:type="dxa"/>
                  <w:shd w:val="clear" w:color="auto" w:fill="auto"/>
                  <w:vAlign w:val="center"/>
                </w:tcPr>
                <w:p w14:paraId="79BCFF01">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w:t>
                  </w:r>
                </w:p>
              </w:tc>
              <w:tc>
                <w:tcPr>
                  <w:tcW w:w="510" w:type="dxa"/>
                  <w:shd w:val="clear" w:color="auto" w:fill="auto"/>
                  <w:vAlign w:val="center"/>
                </w:tcPr>
                <w:p w14:paraId="6B3C40D8">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69</w:t>
                  </w:r>
                </w:p>
              </w:tc>
              <w:tc>
                <w:tcPr>
                  <w:tcW w:w="510" w:type="dxa"/>
                  <w:vMerge w:val="continue"/>
                  <w:shd w:val="clear" w:color="auto" w:fill="auto"/>
                  <w:vAlign w:val="center"/>
                </w:tcPr>
                <w:p w14:paraId="41F37D37">
                  <w:pPr>
                    <w:widowControl/>
                    <w:spacing w:line="360" w:lineRule="auto"/>
                    <w:jc w:val="center"/>
                    <w:rPr>
                      <w:rFonts w:hint="eastAsia" w:ascii="Times New Roman" w:hAnsi="Times New Roman" w:eastAsia="宋体" w:cs="Times New Roman"/>
                      <w:color w:val="auto"/>
                      <w:sz w:val="18"/>
                      <w:szCs w:val="18"/>
                      <w:lang w:val="en-US" w:eastAsia="zh-CN"/>
                    </w:rPr>
                  </w:pPr>
                </w:p>
              </w:tc>
              <w:tc>
                <w:tcPr>
                  <w:tcW w:w="0" w:type="auto"/>
                  <w:shd w:val="clear" w:color="auto" w:fill="auto"/>
                  <w:vAlign w:val="center"/>
                </w:tcPr>
                <w:p w14:paraId="200893DD">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bCs/>
                      <w:color w:val="auto"/>
                      <w:kern w:val="0"/>
                      <w:sz w:val="18"/>
                      <w:szCs w:val="18"/>
                      <w:lang w:val="en-US" w:eastAsia="zh-CN"/>
                    </w:rPr>
                    <w:t>20</w:t>
                  </w:r>
                </w:p>
              </w:tc>
              <w:tc>
                <w:tcPr>
                  <w:tcW w:w="510" w:type="dxa"/>
                  <w:shd w:val="clear" w:color="auto" w:fill="auto"/>
                  <w:vAlign w:val="center"/>
                </w:tcPr>
                <w:p w14:paraId="73A67453">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49</w:t>
                  </w:r>
                </w:p>
              </w:tc>
              <w:tc>
                <w:tcPr>
                  <w:tcW w:w="516" w:type="dxa"/>
                  <w:shd w:val="clear" w:color="auto" w:fill="auto"/>
                  <w:vAlign w:val="center"/>
                </w:tcPr>
                <w:p w14:paraId="45BBB139">
                  <w:pPr>
                    <w:widowControl/>
                    <w:spacing w:line="360" w:lineRule="auto"/>
                    <w:jc w:val="center"/>
                    <w:rPr>
                      <w:rFonts w:hint="eastAsia" w:ascii="Times New Roman" w:hAnsi="Times New Roman" w:eastAsia="宋体" w:cs="Times New Roman"/>
                      <w:color w:val="auto"/>
                      <w:sz w:val="18"/>
                      <w:szCs w:val="18"/>
                      <w:lang w:val="en-US" w:eastAsia="zh-CN"/>
                    </w:rPr>
                  </w:pPr>
                  <w:r>
                    <w:rPr>
                      <w:rFonts w:ascii="Times New Roman" w:hAnsi="Times New Roman" w:cs="Times New Roman"/>
                      <w:bCs/>
                      <w:color w:val="auto"/>
                      <w:sz w:val="18"/>
                      <w:szCs w:val="18"/>
                    </w:rPr>
                    <w:t>1</w:t>
                  </w:r>
                </w:p>
              </w:tc>
            </w:tr>
            <w:tr w14:paraId="5D33DF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shd w:val="clear" w:color="auto" w:fill="auto"/>
                  <w:vAlign w:val="center"/>
                </w:tcPr>
                <w:p w14:paraId="629E1596">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cs="Times New Roman"/>
                      <w:bCs/>
                      <w:color w:val="auto"/>
                      <w:sz w:val="18"/>
                      <w:szCs w:val="18"/>
                      <w:lang w:val="en-US" w:eastAsia="zh-CN" w:bidi="ar-SA"/>
                    </w:rPr>
                    <w:t>21</w:t>
                  </w:r>
                </w:p>
              </w:tc>
              <w:tc>
                <w:tcPr>
                  <w:tcW w:w="450" w:type="dxa"/>
                  <w:vMerge w:val="continue"/>
                  <w:shd w:val="clear" w:color="auto" w:fill="auto"/>
                  <w:vAlign w:val="center"/>
                </w:tcPr>
                <w:p w14:paraId="3E6BBD1B">
                  <w:pPr>
                    <w:pStyle w:val="47"/>
                    <w:widowControl/>
                    <w:spacing w:line="360" w:lineRule="auto"/>
                    <w:rPr>
                      <w:rFonts w:hint="eastAsia" w:ascii="Times New Roman" w:hAnsi="Times New Roman" w:eastAsia="宋体" w:cs="Times New Roman"/>
                      <w:bCs/>
                      <w:color w:val="auto"/>
                      <w:sz w:val="18"/>
                      <w:szCs w:val="18"/>
                      <w:lang w:val="en-US" w:eastAsia="zh-CN" w:bidi="ar-SA"/>
                    </w:rPr>
                  </w:pPr>
                </w:p>
              </w:tc>
              <w:tc>
                <w:tcPr>
                  <w:tcW w:w="0" w:type="auto"/>
                  <w:shd w:val="clear" w:color="auto" w:fill="auto"/>
                  <w:vAlign w:val="center"/>
                </w:tcPr>
                <w:p w14:paraId="7058A5F6">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干燥锅</w:t>
                  </w:r>
                </w:p>
              </w:tc>
              <w:tc>
                <w:tcPr>
                  <w:tcW w:w="420" w:type="dxa"/>
                  <w:shd w:val="clear" w:color="auto" w:fill="auto"/>
                  <w:vAlign w:val="center"/>
                </w:tcPr>
                <w:p w14:paraId="7E2E9FBF">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75</w:t>
                  </w:r>
                </w:p>
              </w:tc>
              <w:tc>
                <w:tcPr>
                  <w:tcW w:w="465" w:type="dxa"/>
                  <w:shd w:val="clear" w:color="auto" w:fill="auto"/>
                  <w:vAlign w:val="center"/>
                </w:tcPr>
                <w:p w14:paraId="6C6B9D38">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1</w:t>
                  </w:r>
                </w:p>
              </w:tc>
              <w:tc>
                <w:tcPr>
                  <w:tcW w:w="498" w:type="dxa"/>
                  <w:vMerge w:val="continue"/>
                  <w:shd w:val="clear" w:color="auto" w:fill="auto"/>
                  <w:vAlign w:val="center"/>
                </w:tcPr>
                <w:p w14:paraId="006CCFA2">
                  <w:pPr>
                    <w:widowControl/>
                    <w:spacing w:line="360" w:lineRule="auto"/>
                    <w:jc w:val="center"/>
                    <w:rPr>
                      <w:rFonts w:hint="eastAsia" w:ascii="Times New Roman" w:hAnsi="Times New Roman" w:eastAsia="宋体" w:cs="Times New Roman"/>
                      <w:color w:val="auto"/>
                      <w:sz w:val="18"/>
                      <w:szCs w:val="18"/>
                      <w:lang w:val="en-US" w:eastAsia="zh-CN"/>
                    </w:rPr>
                  </w:pPr>
                </w:p>
              </w:tc>
              <w:tc>
                <w:tcPr>
                  <w:tcW w:w="510" w:type="dxa"/>
                  <w:shd w:val="clear" w:color="auto" w:fill="auto"/>
                  <w:vAlign w:val="center"/>
                </w:tcPr>
                <w:p w14:paraId="10BA378F">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25</w:t>
                  </w:r>
                </w:p>
              </w:tc>
              <w:tc>
                <w:tcPr>
                  <w:tcW w:w="510" w:type="dxa"/>
                  <w:shd w:val="clear" w:color="auto" w:fill="auto"/>
                  <w:vAlign w:val="center"/>
                </w:tcPr>
                <w:p w14:paraId="431EC4F1">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35</w:t>
                  </w:r>
                </w:p>
              </w:tc>
              <w:tc>
                <w:tcPr>
                  <w:tcW w:w="0" w:type="auto"/>
                  <w:shd w:val="clear" w:color="auto" w:fill="auto"/>
                  <w:vAlign w:val="center"/>
                </w:tcPr>
                <w:p w14:paraId="72F44C53">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1.5</w:t>
                  </w:r>
                </w:p>
              </w:tc>
              <w:tc>
                <w:tcPr>
                  <w:tcW w:w="510" w:type="dxa"/>
                  <w:shd w:val="clear" w:color="auto" w:fill="auto"/>
                  <w:vAlign w:val="center"/>
                </w:tcPr>
                <w:p w14:paraId="6FF525F7">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w:t>
                  </w:r>
                </w:p>
              </w:tc>
              <w:tc>
                <w:tcPr>
                  <w:tcW w:w="510" w:type="dxa"/>
                  <w:shd w:val="clear" w:color="auto" w:fill="auto"/>
                  <w:vAlign w:val="center"/>
                </w:tcPr>
                <w:p w14:paraId="73E98011">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69</w:t>
                  </w:r>
                </w:p>
              </w:tc>
              <w:tc>
                <w:tcPr>
                  <w:tcW w:w="510" w:type="dxa"/>
                  <w:vMerge w:val="continue"/>
                  <w:shd w:val="clear" w:color="auto" w:fill="auto"/>
                  <w:vAlign w:val="center"/>
                </w:tcPr>
                <w:p w14:paraId="233E5FB6">
                  <w:pPr>
                    <w:widowControl/>
                    <w:spacing w:line="360" w:lineRule="auto"/>
                    <w:jc w:val="center"/>
                    <w:rPr>
                      <w:rFonts w:hint="eastAsia" w:ascii="Times New Roman" w:hAnsi="Times New Roman" w:eastAsia="宋体" w:cs="Times New Roman"/>
                      <w:color w:val="auto"/>
                      <w:sz w:val="18"/>
                      <w:szCs w:val="18"/>
                      <w:lang w:val="en-US" w:eastAsia="zh-CN"/>
                    </w:rPr>
                  </w:pPr>
                </w:p>
              </w:tc>
              <w:tc>
                <w:tcPr>
                  <w:tcW w:w="0" w:type="auto"/>
                  <w:shd w:val="clear" w:color="auto" w:fill="auto"/>
                  <w:vAlign w:val="center"/>
                </w:tcPr>
                <w:p w14:paraId="282DAC1A">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bCs/>
                      <w:color w:val="auto"/>
                      <w:kern w:val="0"/>
                      <w:sz w:val="18"/>
                      <w:szCs w:val="18"/>
                      <w:lang w:val="en-US" w:eastAsia="zh-CN"/>
                    </w:rPr>
                    <w:t>20</w:t>
                  </w:r>
                </w:p>
              </w:tc>
              <w:tc>
                <w:tcPr>
                  <w:tcW w:w="510" w:type="dxa"/>
                  <w:shd w:val="clear" w:color="auto" w:fill="auto"/>
                  <w:vAlign w:val="center"/>
                </w:tcPr>
                <w:p w14:paraId="4428AB68">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49</w:t>
                  </w:r>
                </w:p>
              </w:tc>
              <w:tc>
                <w:tcPr>
                  <w:tcW w:w="516" w:type="dxa"/>
                  <w:shd w:val="clear" w:color="auto" w:fill="auto"/>
                  <w:vAlign w:val="center"/>
                </w:tcPr>
                <w:p w14:paraId="32B15908">
                  <w:pPr>
                    <w:widowControl/>
                    <w:spacing w:line="360" w:lineRule="auto"/>
                    <w:jc w:val="center"/>
                    <w:rPr>
                      <w:rFonts w:hint="eastAsia" w:ascii="Times New Roman" w:hAnsi="Times New Roman" w:eastAsia="宋体" w:cs="Times New Roman"/>
                      <w:color w:val="auto"/>
                      <w:sz w:val="18"/>
                      <w:szCs w:val="18"/>
                      <w:lang w:val="en-US" w:eastAsia="zh-CN"/>
                    </w:rPr>
                  </w:pPr>
                  <w:r>
                    <w:rPr>
                      <w:rFonts w:ascii="Times New Roman" w:hAnsi="Times New Roman" w:cs="Times New Roman"/>
                      <w:bCs/>
                      <w:color w:val="auto"/>
                      <w:sz w:val="18"/>
                      <w:szCs w:val="18"/>
                    </w:rPr>
                    <w:t>1</w:t>
                  </w:r>
                </w:p>
              </w:tc>
            </w:tr>
            <w:tr w14:paraId="35AD5B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shd w:val="clear" w:color="auto" w:fill="auto"/>
                  <w:vAlign w:val="center"/>
                </w:tcPr>
                <w:p w14:paraId="4E1FCC88">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cs="Times New Roman"/>
                      <w:bCs/>
                      <w:color w:val="auto"/>
                      <w:sz w:val="18"/>
                      <w:szCs w:val="18"/>
                      <w:lang w:val="en-US" w:eastAsia="zh-CN" w:bidi="ar-SA"/>
                    </w:rPr>
                    <w:t>22</w:t>
                  </w:r>
                </w:p>
              </w:tc>
              <w:tc>
                <w:tcPr>
                  <w:tcW w:w="450" w:type="dxa"/>
                  <w:vMerge w:val="continue"/>
                  <w:shd w:val="clear" w:color="auto" w:fill="auto"/>
                  <w:vAlign w:val="center"/>
                </w:tcPr>
                <w:p w14:paraId="62D5C983">
                  <w:pPr>
                    <w:pStyle w:val="47"/>
                    <w:widowControl/>
                    <w:spacing w:line="360" w:lineRule="auto"/>
                    <w:rPr>
                      <w:rFonts w:hint="eastAsia" w:ascii="Times New Roman" w:hAnsi="Times New Roman" w:eastAsia="宋体" w:cs="Times New Roman"/>
                      <w:bCs/>
                      <w:color w:val="auto"/>
                      <w:sz w:val="18"/>
                      <w:szCs w:val="18"/>
                      <w:lang w:val="en-US" w:eastAsia="zh-CN" w:bidi="ar-SA"/>
                    </w:rPr>
                  </w:pPr>
                </w:p>
              </w:tc>
              <w:tc>
                <w:tcPr>
                  <w:tcW w:w="0" w:type="auto"/>
                  <w:shd w:val="clear" w:color="auto" w:fill="auto"/>
                  <w:vAlign w:val="center"/>
                </w:tcPr>
                <w:p w14:paraId="5ED1A800">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滚筒筛</w:t>
                  </w:r>
                </w:p>
              </w:tc>
              <w:tc>
                <w:tcPr>
                  <w:tcW w:w="0" w:type="auto"/>
                  <w:shd w:val="clear" w:color="auto" w:fill="auto"/>
                  <w:vAlign w:val="center"/>
                </w:tcPr>
                <w:p w14:paraId="080E0586">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85</w:t>
                  </w:r>
                </w:p>
              </w:tc>
              <w:tc>
                <w:tcPr>
                  <w:tcW w:w="0" w:type="auto"/>
                  <w:shd w:val="clear" w:color="auto" w:fill="auto"/>
                  <w:vAlign w:val="center"/>
                </w:tcPr>
                <w:p w14:paraId="61764EEB">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w:t>
                  </w:r>
                </w:p>
              </w:tc>
              <w:tc>
                <w:tcPr>
                  <w:tcW w:w="498" w:type="dxa"/>
                  <w:vMerge w:val="continue"/>
                  <w:shd w:val="clear" w:color="auto" w:fill="auto"/>
                  <w:vAlign w:val="center"/>
                </w:tcPr>
                <w:p w14:paraId="7E6EC1CF">
                  <w:pPr>
                    <w:widowControl/>
                    <w:spacing w:line="360" w:lineRule="auto"/>
                    <w:jc w:val="center"/>
                    <w:rPr>
                      <w:rFonts w:hint="eastAsia" w:ascii="Times New Roman" w:hAnsi="Times New Roman" w:eastAsia="宋体" w:cs="Times New Roman"/>
                      <w:color w:val="auto"/>
                      <w:sz w:val="18"/>
                      <w:szCs w:val="18"/>
                      <w:lang w:val="en-US" w:eastAsia="zh-CN"/>
                    </w:rPr>
                  </w:pPr>
                </w:p>
              </w:tc>
              <w:tc>
                <w:tcPr>
                  <w:tcW w:w="510" w:type="dxa"/>
                  <w:shd w:val="clear" w:color="auto" w:fill="auto"/>
                  <w:vAlign w:val="center"/>
                </w:tcPr>
                <w:p w14:paraId="253A9124">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22</w:t>
                  </w:r>
                </w:p>
              </w:tc>
              <w:tc>
                <w:tcPr>
                  <w:tcW w:w="510" w:type="dxa"/>
                  <w:shd w:val="clear" w:color="auto" w:fill="auto"/>
                  <w:vAlign w:val="center"/>
                </w:tcPr>
                <w:p w14:paraId="7710175B">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34</w:t>
                  </w:r>
                </w:p>
              </w:tc>
              <w:tc>
                <w:tcPr>
                  <w:tcW w:w="0" w:type="auto"/>
                  <w:shd w:val="clear" w:color="auto" w:fill="auto"/>
                  <w:vAlign w:val="center"/>
                </w:tcPr>
                <w:p w14:paraId="2A971CD3">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1.5</w:t>
                  </w:r>
                </w:p>
              </w:tc>
              <w:tc>
                <w:tcPr>
                  <w:tcW w:w="510" w:type="dxa"/>
                  <w:shd w:val="clear" w:color="auto" w:fill="auto"/>
                  <w:vAlign w:val="center"/>
                </w:tcPr>
                <w:p w14:paraId="3097C2D0">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w:t>
                  </w:r>
                </w:p>
              </w:tc>
              <w:tc>
                <w:tcPr>
                  <w:tcW w:w="510" w:type="dxa"/>
                  <w:shd w:val="clear" w:color="auto" w:fill="auto"/>
                  <w:vAlign w:val="center"/>
                </w:tcPr>
                <w:p w14:paraId="66B10909">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84</w:t>
                  </w:r>
                </w:p>
              </w:tc>
              <w:tc>
                <w:tcPr>
                  <w:tcW w:w="510" w:type="dxa"/>
                  <w:vMerge w:val="continue"/>
                  <w:shd w:val="clear" w:color="auto" w:fill="auto"/>
                  <w:vAlign w:val="center"/>
                </w:tcPr>
                <w:p w14:paraId="0A92265F">
                  <w:pPr>
                    <w:widowControl/>
                    <w:spacing w:line="360" w:lineRule="auto"/>
                    <w:jc w:val="center"/>
                    <w:rPr>
                      <w:rFonts w:hint="eastAsia" w:ascii="Times New Roman" w:hAnsi="Times New Roman" w:eastAsia="宋体" w:cs="Times New Roman"/>
                      <w:color w:val="auto"/>
                      <w:sz w:val="18"/>
                      <w:szCs w:val="18"/>
                      <w:lang w:val="en-US" w:eastAsia="zh-CN"/>
                    </w:rPr>
                  </w:pPr>
                </w:p>
              </w:tc>
              <w:tc>
                <w:tcPr>
                  <w:tcW w:w="0" w:type="auto"/>
                  <w:shd w:val="clear" w:color="auto" w:fill="auto"/>
                  <w:vAlign w:val="center"/>
                </w:tcPr>
                <w:p w14:paraId="4F129D64">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bCs/>
                      <w:color w:val="auto"/>
                      <w:kern w:val="0"/>
                      <w:sz w:val="18"/>
                      <w:szCs w:val="18"/>
                      <w:lang w:val="en-US" w:eastAsia="zh-CN"/>
                    </w:rPr>
                    <w:t>20</w:t>
                  </w:r>
                </w:p>
              </w:tc>
              <w:tc>
                <w:tcPr>
                  <w:tcW w:w="510" w:type="dxa"/>
                  <w:shd w:val="clear" w:color="auto" w:fill="auto"/>
                  <w:vAlign w:val="center"/>
                </w:tcPr>
                <w:p w14:paraId="1E0A0300">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64</w:t>
                  </w:r>
                </w:p>
              </w:tc>
              <w:tc>
                <w:tcPr>
                  <w:tcW w:w="516" w:type="dxa"/>
                  <w:shd w:val="clear" w:color="auto" w:fill="auto"/>
                  <w:vAlign w:val="center"/>
                </w:tcPr>
                <w:p w14:paraId="14D11E8D">
                  <w:pPr>
                    <w:widowControl/>
                    <w:spacing w:line="360" w:lineRule="auto"/>
                    <w:jc w:val="center"/>
                    <w:rPr>
                      <w:rFonts w:hint="eastAsia" w:ascii="Times New Roman" w:hAnsi="Times New Roman" w:eastAsia="宋体" w:cs="Times New Roman"/>
                      <w:color w:val="auto"/>
                      <w:sz w:val="18"/>
                      <w:szCs w:val="18"/>
                      <w:lang w:val="en-US" w:eastAsia="zh-CN"/>
                    </w:rPr>
                  </w:pPr>
                  <w:r>
                    <w:rPr>
                      <w:rFonts w:ascii="Times New Roman" w:hAnsi="Times New Roman" w:cs="Times New Roman"/>
                      <w:bCs/>
                      <w:color w:val="auto"/>
                      <w:sz w:val="18"/>
                      <w:szCs w:val="18"/>
                    </w:rPr>
                    <w:t>1</w:t>
                  </w:r>
                </w:p>
              </w:tc>
            </w:tr>
            <w:tr w14:paraId="50F3D6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shd w:val="clear" w:color="auto" w:fill="auto"/>
                  <w:vAlign w:val="center"/>
                </w:tcPr>
                <w:p w14:paraId="332752F6">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eastAsia="宋体" w:cs="Times New Roman"/>
                      <w:bCs/>
                      <w:color w:val="auto"/>
                      <w:sz w:val="18"/>
                      <w:szCs w:val="18"/>
                      <w:lang w:val="en-US" w:eastAsia="zh-CN" w:bidi="ar-SA"/>
                    </w:rPr>
                    <w:t>23</w:t>
                  </w:r>
                </w:p>
              </w:tc>
              <w:tc>
                <w:tcPr>
                  <w:tcW w:w="450" w:type="dxa"/>
                  <w:vMerge w:val="continue"/>
                  <w:shd w:val="clear" w:color="auto" w:fill="auto"/>
                  <w:vAlign w:val="center"/>
                </w:tcPr>
                <w:p w14:paraId="26EBC251">
                  <w:pPr>
                    <w:pStyle w:val="47"/>
                    <w:widowControl/>
                    <w:spacing w:line="360" w:lineRule="auto"/>
                    <w:rPr>
                      <w:rFonts w:hint="eastAsia" w:ascii="Times New Roman" w:hAnsi="Times New Roman" w:eastAsia="宋体" w:cs="Times New Roman"/>
                      <w:bCs/>
                      <w:color w:val="auto"/>
                      <w:sz w:val="18"/>
                      <w:szCs w:val="18"/>
                      <w:lang w:val="en-US" w:eastAsia="zh-CN" w:bidi="ar-SA"/>
                    </w:rPr>
                  </w:pPr>
                </w:p>
              </w:tc>
              <w:tc>
                <w:tcPr>
                  <w:tcW w:w="0" w:type="auto"/>
                  <w:shd w:val="clear" w:color="auto" w:fill="auto"/>
                  <w:vAlign w:val="center"/>
                </w:tcPr>
                <w:p w14:paraId="1CF1B3A4">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混料机</w:t>
                  </w:r>
                </w:p>
              </w:tc>
              <w:tc>
                <w:tcPr>
                  <w:tcW w:w="420" w:type="dxa"/>
                  <w:shd w:val="clear" w:color="auto" w:fill="auto"/>
                  <w:vAlign w:val="center"/>
                </w:tcPr>
                <w:p w14:paraId="66686345">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85</w:t>
                  </w:r>
                </w:p>
              </w:tc>
              <w:tc>
                <w:tcPr>
                  <w:tcW w:w="465" w:type="dxa"/>
                  <w:shd w:val="clear" w:color="auto" w:fill="auto"/>
                  <w:vAlign w:val="center"/>
                </w:tcPr>
                <w:p w14:paraId="131641AA">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w:t>
                  </w:r>
                </w:p>
              </w:tc>
              <w:tc>
                <w:tcPr>
                  <w:tcW w:w="498" w:type="dxa"/>
                  <w:vMerge w:val="continue"/>
                  <w:shd w:val="clear" w:color="auto" w:fill="auto"/>
                  <w:vAlign w:val="center"/>
                </w:tcPr>
                <w:p w14:paraId="4D5103B4">
                  <w:pPr>
                    <w:widowControl/>
                    <w:spacing w:line="360" w:lineRule="auto"/>
                    <w:jc w:val="center"/>
                    <w:rPr>
                      <w:rFonts w:hint="eastAsia" w:ascii="Times New Roman" w:hAnsi="Times New Roman" w:eastAsia="宋体" w:cs="Times New Roman"/>
                      <w:color w:val="auto"/>
                      <w:sz w:val="18"/>
                      <w:szCs w:val="18"/>
                      <w:lang w:val="en-US" w:eastAsia="zh-CN"/>
                    </w:rPr>
                  </w:pPr>
                </w:p>
              </w:tc>
              <w:tc>
                <w:tcPr>
                  <w:tcW w:w="510" w:type="dxa"/>
                  <w:shd w:val="clear" w:color="auto" w:fill="auto"/>
                  <w:vAlign w:val="center"/>
                </w:tcPr>
                <w:p w14:paraId="4B71EA37">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20</w:t>
                  </w:r>
                </w:p>
              </w:tc>
              <w:tc>
                <w:tcPr>
                  <w:tcW w:w="510" w:type="dxa"/>
                  <w:shd w:val="clear" w:color="auto" w:fill="auto"/>
                  <w:vAlign w:val="center"/>
                </w:tcPr>
                <w:p w14:paraId="5C69CCE8">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28</w:t>
                  </w:r>
                </w:p>
              </w:tc>
              <w:tc>
                <w:tcPr>
                  <w:tcW w:w="0" w:type="auto"/>
                  <w:shd w:val="clear" w:color="auto" w:fill="auto"/>
                  <w:vAlign w:val="center"/>
                </w:tcPr>
                <w:p w14:paraId="6765EE90">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1.5</w:t>
                  </w:r>
                </w:p>
              </w:tc>
              <w:tc>
                <w:tcPr>
                  <w:tcW w:w="510" w:type="dxa"/>
                  <w:shd w:val="clear" w:color="auto" w:fill="auto"/>
                  <w:vAlign w:val="center"/>
                </w:tcPr>
                <w:p w14:paraId="171DD8DA">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w:t>
                  </w:r>
                </w:p>
              </w:tc>
              <w:tc>
                <w:tcPr>
                  <w:tcW w:w="510" w:type="dxa"/>
                  <w:shd w:val="clear" w:color="auto" w:fill="auto"/>
                  <w:vAlign w:val="center"/>
                </w:tcPr>
                <w:p w14:paraId="14282DC1">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84</w:t>
                  </w:r>
                </w:p>
              </w:tc>
              <w:tc>
                <w:tcPr>
                  <w:tcW w:w="510" w:type="dxa"/>
                  <w:vMerge w:val="continue"/>
                  <w:shd w:val="clear" w:color="auto" w:fill="auto"/>
                  <w:vAlign w:val="center"/>
                </w:tcPr>
                <w:p w14:paraId="611CDA79">
                  <w:pPr>
                    <w:widowControl/>
                    <w:spacing w:line="360" w:lineRule="auto"/>
                    <w:jc w:val="center"/>
                    <w:rPr>
                      <w:rFonts w:hint="eastAsia" w:ascii="Times New Roman" w:hAnsi="Times New Roman" w:eastAsia="宋体" w:cs="Times New Roman"/>
                      <w:color w:val="auto"/>
                      <w:sz w:val="18"/>
                      <w:szCs w:val="18"/>
                      <w:lang w:val="en-US" w:eastAsia="zh-CN"/>
                    </w:rPr>
                  </w:pPr>
                </w:p>
              </w:tc>
              <w:tc>
                <w:tcPr>
                  <w:tcW w:w="0" w:type="auto"/>
                  <w:shd w:val="clear" w:color="auto" w:fill="auto"/>
                  <w:vAlign w:val="center"/>
                </w:tcPr>
                <w:p w14:paraId="5ADD04F4">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bCs/>
                      <w:color w:val="auto"/>
                      <w:kern w:val="0"/>
                      <w:sz w:val="18"/>
                      <w:szCs w:val="18"/>
                      <w:lang w:val="en-US" w:eastAsia="zh-CN"/>
                    </w:rPr>
                    <w:t>20</w:t>
                  </w:r>
                </w:p>
              </w:tc>
              <w:tc>
                <w:tcPr>
                  <w:tcW w:w="510" w:type="dxa"/>
                  <w:shd w:val="clear" w:color="auto" w:fill="auto"/>
                  <w:vAlign w:val="center"/>
                </w:tcPr>
                <w:p w14:paraId="1E6558E0">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64</w:t>
                  </w:r>
                </w:p>
              </w:tc>
              <w:tc>
                <w:tcPr>
                  <w:tcW w:w="516" w:type="dxa"/>
                  <w:shd w:val="clear" w:color="auto" w:fill="auto"/>
                  <w:vAlign w:val="center"/>
                </w:tcPr>
                <w:p w14:paraId="321906DF">
                  <w:pPr>
                    <w:widowControl/>
                    <w:spacing w:line="360" w:lineRule="auto"/>
                    <w:jc w:val="center"/>
                    <w:rPr>
                      <w:rFonts w:hint="eastAsia" w:ascii="Times New Roman" w:hAnsi="Times New Roman" w:eastAsia="宋体" w:cs="Times New Roman"/>
                      <w:color w:val="auto"/>
                      <w:sz w:val="18"/>
                      <w:szCs w:val="18"/>
                      <w:lang w:val="en-US" w:eastAsia="zh-CN"/>
                    </w:rPr>
                  </w:pPr>
                  <w:r>
                    <w:rPr>
                      <w:rFonts w:ascii="Times New Roman" w:hAnsi="Times New Roman" w:cs="Times New Roman"/>
                      <w:bCs/>
                      <w:color w:val="auto"/>
                      <w:sz w:val="18"/>
                      <w:szCs w:val="18"/>
                    </w:rPr>
                    <w:t>1</w:t>
                  </w:r>
                </w:p>
              </w:tc>
            </w:tr>
            <w:tr w14:paraId="7FBB25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shd w:val="clear" w:color="auto" w:fill="auto"/>
                  <w:vAlign w:val="center"/>
                </w:tcPr>
                <w:p w14:paraId="14D3C3C2">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eastAsia="宋体" w:cs="Times New Roman"/>
                      <w:bCs/>
                      <w:color w:val="auto"/>
                      <w:sz w:val="18"/>
                      <w:szCs w:val="18"/>
                      <w:lang w:val="en-US" w:eastAsia="zh-CN" w:bidi="ar-SA"/>
                    </w:rPr>
                    <w:t>24</w:t>
                  </w:r>
                </w:p>
              </w:tc>
              <w:tc>
                <w:tcPr>
                  <w:tcW w:w="450" w:type="dxa"/>
                  <w:vMerge w:val="continue"/>
                  <w:shd w:val="clear" w:color="auto" w:fill="auto"/>
                  <w:vAlign w:val="center"/>
                </w:tcPr>
                <w:p w14:paraId="690882C8">
                  <w:pPr>
                    <w:pStyle w:val="47"/>
                    <w:widowControl/>
                    <w:spacing w:line="360" w:lineRule="auto"/>
                    <w:rPr>
                      <w:rFonts w:hint="eastAsia" w:ascii="Times New Roman" w:hAnsi="Times New Roman" w:eastAsia="宋体" w:cs="Times New Roman"/>
                      <w:bCs/>
                      <w:color w:val="auto"/>
                      <w:sz w:val="18"/>
                      <w:szCs w:val="18"/>
                      <w:lang w:val="en-US" w:eastAsia="zh-CN" w:bidi="ar-SA"/>
                    </w:rPr>
                  </w:pPr>
                </w:p>
              </w:tc>
              <w:tc>
                <w:tcPr>
                  <w:tcW w:w="0" w:type="auto"/>
                  <w:shd w:val="clear" w:color="auto" w:fill="auto"/>
                  <w:vAlign w:val="center"/>
                </w:tcPr>
                <w:p w14:paraId="52A842FC">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布袋除尘器</w:t>
                  </w:r>
                </w:p>
              </w:tc>
              <w:tc>
                <w:tcPr>
                  <w:tcW w:w="420" w:type="dxa"/>
                  <w:shd w:val="clear" w:color="auto" w:fill="auto"/>
                  <w:vAlign w:val="center"/>
                </w:tcPr>
                <w:p w14:paraId="66E06BFA">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75</w:t>
                  </w:r>
                </w:p>
              </w:tc>
              <w:tc>
                <w:tcPr>
                  <w:tcW w:w="465" w:type="dxa"/>
                  <w:shd w:val="clear" w:color="auto" w:fill="auto"/>
                  <w:vAlign w:val="center"/>
                </w:tcPr>
                <w:p w14:paraId="657A743F">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1</w:t>
                  </w:r>
                </w:p>
              </w:tc>
              <w:tc>
                <w:tcPr>
                  <w:tcW w:w="498" w:type="dxa"/>
                  <w:vMerge w:val="continue"/>
                  <w:shd w:val="clear" w:color="auto" w:fill="auto"/>
                  <w:vAlign w:val="center"/>
                </w:tcPr>
                <w:p w14:paraId="4F5414EB">
                  <w:pPr>
                    <w:widowControl/>
                    <w:spacing w:line="360" w:lineRule="auto"/>
                    <w:jc w:val="center"/>
                    <w:rPr>
                      <w:rFonts w:hint="eastAsia" w:ascii="Times New Roman" w:hAnsi="Times New Roman" w:eastAsia="宋体" w:cs="Times New Roman"/>
                      <w:color w:val="auto"/>
                      <w:sz w:val="18"/>
                      <w:szCs w:val="18"/>
                      <w:lang w:val="en-US" w:eastAsia="zh-CN"/>
                    </w:rPr>
                  </w:pPr>
                </w:p>
              </w:tc>
              <w:tc>
                <w:tcPr>
                  <w:tcW w:w="510" w:type="dxa"/>
                  <w:shd w:val="clear" w:color="auto" w:fill="auto"/>
                  <w:vAlign w:val="center"/>
                </w:tcPr>
                <w:p w14:paraId="6F3E491C">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28</w:t>
                  </w:r>
                </w:p>
              </w:tc>
              <w:tc>
                <w:tcPr>
                  <w:tcW w:w="510" w:type="dxa"/>
                  <w:shd w:val="clear" w:color="auto" w:fill="auto"/>
                  <w:vAlign w:val="center"/>
                </w:tcPr>
                <w:p w14:paraId="29D4B2E2">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14</w:t>
                  </w:r>
                </w:p>
              </w:tc>
              <w:tc>
                <w:tcPr>
                  <w:tcW w:w="0" w:type="auto"/>
                  <w:shd w:val="clear" w:color="auto" w:fill="auto"/>
                  <w:vAlign w:val="center"/>
                </w:tcPr>
                <w:p w14:paraId="306DD7C4">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3.0</w:t>
                  </w:r>
                </w:p>
              </w:tc>
              <w:tc>
                <w:tcPr>
                  <w:tcW w:w="510" w:type="dxa"/>
                  <w:shd w:val="clear" w:color="auto" w:fill="auto"/>
                  <w:vAlign w:val="center"/>
                </w:tcPr>
                <w:p w14:paraId="585044D3">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w:t>
                  </w:r>
                </w:p>
              </w:tc>
              <w:tc>
                <w:tcPr>
                  <w:tcW w:w="510" w:type="dxa"/>
                  <w:shd w:val="clear" w:color="auto" w:fill="auto"/>
                  <w:vAlign w:val="center"/>
                </w:tcPr>
                <w:p w14:paraId="79FE29F6">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75</w:t>
                  </w:r>
                </w:p>
              </w:tc>
              <w:tc>
                <w:tcPr>
                  <w:tcW w:w="510" w:type="dxa"/>
                  <w:vMerge w:val="continue"/>
                  <w:shd w:val="clear" w:color="auto" w:fill="auto"/>
                  <w:vAlign w:val="center"/>
                </w:tcPr>
                <w:p w14:paraId="3AD654F4">
                  <w:pPr>
                    <w:widowControl/>
                    <w:spacing w:line="360" w:lineRule="auto"/>
                    <w:jc w:val="center"/>
                    <w:rPr>
                      <w:rFonts w:hint="eastAsia" w:ascii="Times New Roman" w:hAnsi="Times New Roman" w:eastAsia="宋体" w:cs="Times New Roman"/>
                      <w:color w:val="auto"/>
                      <w:sz w:val="18"/>
                      <w:szCs w:val="18"/>
                      <w:lang w:val="en-US" w:eastAsia="zh-CN"/>
                    </w:rPr>
                  </w:pPr>
                </w:p>
              </w:tc>
              <w:tc>
                <w:tcPr>
                  <w:tcW w:w="0" w:type="auto"/>
                  <w:shd w:val="clear" w:color="auto" w:fill="auto"/>
                  <w:vAlign w:val="center"/>
                </w:tcPr>
                <w:p w14:paraId="4D10CA8F">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bCs/>
                      <w:color w:val="auto"/>
                      <w:kern w:val="0"/>
                      <w:sz w:val="18"/>
                      <w:szCs w:val="18"/>
                      <w:lang w:val="en-US" w:eastAsia="zh-CN"/>
                    </w:rPr>
                    <w:t>20</w:t>
                  </w:r>
                </w:p>
              </w:tc>
              <w:tc>
                <w:tcPr>
                  <w:tcW w:w="510" w:type="dxa"/>
                  <w:shd w:val="clear" w:color="auto" w:fill="auto"/>
                  <w:vAlign w:val="center"/>
                </w:tcPr>
                <w:p w14:paraId="5001BF81">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55</w:t>
                  </w:r>
                </w:p>
              </w:tc>
              <w:tc>
                <w:tcPr>
                  <w:tcW w:w="516" w:type="dxa"/>
                  <w:shd w:val="clear" w:color="auto" w:fill="auto"/>
                  <w:vAlign w:val="center"/>
                </w:tcPr>
                <w:p w14:paraId="396DBCAA">
                  <w:pPr>
                    <w:widowControl/>
                    <w:spacing w:line="360" w:lineRule="auto"/>
                    <w:jc w:val="center"/>
                    <w:rPr>
                      <w:rFonts w:hint="eastAsia" w:ascii="Times New Roman" w:hAnsi="Times New Roman" w:eastAsia="宋体" w:cs="Times New Roman"/>
                      <w:color w:val="auto"/>
                      <w:sz w:val="18"/>
                      <w:szCs w:val="18"/>
                      <w:lang w:val="en-US" w:eastAsia="zh-CN"/>
                    </w:rPr>
                  </w:pPr>
                  <w:r>
                    <w:rPr>
                      <w:rFonts w:ascii="Times New Roman" w:hAnsi="Times New Roman" w:cs="Times New Roman"/>
                      <w:bCs/>
                      <w:color w:val="auto"/>
                      <w:sz w:val="18"/>
                      <w:szCs w:val="18"/>
                    </w:rPr>
                    <w:t>1</w:t>
                  </w:r>
                </w:p>
              </w:tc>
            </w:tr>
            <w:tr w14:paraId="2BCD67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shd w:val="clear" w:color="auto" w:fill="auto"/>
                  <w:vAlign w:val="center"/>
                </w:tcPr>
                <w:p w14:paraId="00E5F2E2">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eastAsia="宋体" w:cs="Times New Roman"/>
                      <w:bCs/>
                      <w:color w:val="auto"/>
                      <w:sz w:val="18"/>
                      <w:szCs w:val="18"/>
                      <w:lang w:val="en-US" w:eastAsia="zh-CN" w:bidi="ar-SA"/>
                    </w:rPr>
                    <w:t>25</w:t>
                  </w:r>
                </w:p>
              </w:tc>
              <w:tc>
                <w:tcPr>
                  <w:tcW w:w="450" w:type="dxa"/>
                  <w:vMerge w:val="restart"/>
                  <w:shd w:val="clear" w:color="auto" w:fill="auto"/>
                  <w:vAlign w:val="center"/>
                </w:tcPr>
                <w:p w14:paraId="7F559E56">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eastAsia="宋体" w:cs="Times New Roman"/>
                      <w:bCs/>
                      <w:color w:val="auto"/>
                      <w:sz w:val="18"/>
                      <w:szCs w:val="18"/>
                      <w:lang w:val="en-US" w:eastAsia="zh-CN" w:bidi="ar-SA"/>
                    </w:rPr>
                    <w:t>纳米材料车间</w:t>
                  </w:r>
                </w:p>
              </w:tc>
              <w:tc>
                <w:tcPr>
                  <w:tcW w:w="0" w:type="auto"/>
                  <w:shd w:val="clear" w:color="auto" w:fill="auto"/>
                  <w:vAlign w:val="center"/>
                </w:tcPr>
                <w:p w14:paraId="6820348A">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烘干箱</w:t>
                  </w:r>
                </w:p>
              </w:tc>
              <w:tc>
                <w:tcPr>
                  <w:tcW w:w="420" w:type="dxa"/>
                  <w:shd w:val="clear" w:color="auto" w:fill="auto"/>
                  <w:vAlign w:val="center"/>
                </w:tcPr>
                <w:p w14:paraId="359DFFFE">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75</w:t>
                  </w:r>
                </w:p>
              </w:tc>
              <w:tc>
                <w:tcPr>
                  <w:tcW w:w="465" w:type="dxa"/>
                  <w:shd w:val="clear" w:color="auto" w:fill="auto"/>
                  <w:vAlign w:val="center"/>
                </w:tcPr>
                <w:p w14:paraId="18DA5FEF">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1</w:t>
                  </w:r>
                </w:p>
              </w:tc>
              <w:tc>
                <w:tcPr>
                  <w:tcW w:w="498" w:type="dxa"/>
                  <w:vMerge w:val="continue"/>
                  <w:shd w:val="clear" w:color="auto" w:fill="auto"/>
                  <w:vAlign w:val="center"/>
                </w:tcPr>
                <w:p w14:paraId="705D5734">
                  <w:pPr>
                    <w:widowControl/>
                    <w:spacing w:line="360" w:lineRule="auto"/>
                    <w:jc w:val="center"/>
                    <w:rPr>
                      <w:rFonts w:hint="eastAsia" w:ascii="Times New Roman" w:hAnsi="Times New Roman" w:eastAsia="宋体" w:cs="Times New Roman"/>
                      <w:color w:val="auto"/>
                      <w:sz w:val="18"/>
                      <w:szCs w:val="18"/>
                      <w:lang w:val="en-US" w:eastAsia="zh-CN"/>
                    </w:rPr>
                  </w:pPr>
                </w:p>
              </w:tc>
              <w:tc>
                <w:tcPr>
                  <w:tcW w:w="510" w:type="dxa"/>
                  <w:shd w:val="clear" w:color="auto" w:fill="auto"/>
                  <w:vAlign w:val="center"/>
                </w:tcPr>
                <w:p w14:paraId="615476C6">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-7</w:t>
                  </w:r>
                </w:p>
              </w:tc>
              <w:tc>
                <w:tcPr>
                  <w:tcW w:w="510" w:type="dxa"/>
                  <w:shd w:val="clear" w:color="auto" w:fill="auto"/>
                  <w:vAlign w:val="center"/>
                </w:tcPr>
                <w:p w14:paraId="224A48CC">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25</w:t>
                  </w:r>
                </w:p>
              </w:tc>
              <w:tc>
                <w:tcPr>
                  <w:tcW w:w="0" w:type="auto"/>
                  <w:shd w:val="clear" w:color="auto" w:fill="auto"/>
                  <w:vAlign w:val="center"/>
                </w:tcPr>
                <w:p w14:paraId="7A85DB3B">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1.5</w:t>
                  </w:r>
                </w:p>
              </w:tc>
              <w:tc>
                <w:tcPr>
                  <w:tcW w:w="510" w:type="dxa"/>
                  <w:shd w:val="clear" w:color="auto" w:fill="auto"/>
                  <w:vAlign w:val="center"/>
                </w:tcPr>
                <w:p w14:paraId="13A15FB8">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5</w:t>
                  </w:r>
                </w:p>
              </w:tc>
              <w:tc>
                <w:tcPr>
                  <w:tcW w:w="510" w:type="dxa"/>
                  <w:shd w:val="clear" w:color="auto" w:fill="auto"/>
                  <w:vAlign w:val="center"/>
                </w:tcPr>
                <w:p w14:paraId="75F623D7">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66</w:t>
                  </w:r>
                </w:p>
              </w:tc>
              <w:tc>
                <w:tcPr>
                  <w:tcW w:w="510" w:type="dxa"/>
                  <w:vMerge w:val="continue"/>
                  <w:shd w:val="clear" w:color="auto" w:fill="auto"/>
                  <w:vAlign w:val="center"/>
                </w:tcPr>
                <w:p w14:paraId="262EC9D8">
                  <w:pPr>
                    <w:widowControl/>
                    <w:spacing w:line="360" w:lineRule="auto"/>
                    <w:jc w:val="center"/>
                    <w:rPr>
                      <w:rFonts w:hint="eastAsia" w:ascii="Times New Roman" w:hAnsi="Times New Roman" w:eastAsia="宋体" w:cs="Times New Roman"/>
                      <w:color w:val="auto"/>
                      <w:sz w:val="18"/>
                      <w:szCs w:val="18"/>
                      <w:lang w:val="en-US" w:eastAsia="zh-CN"/>
                    </w:rPr>
                  </w:pPr>
                </w:p>
              </w:tc>
              <w:tc>
                <w:tcPr>
                  <w:tcW w:w="0" w:type="auto"/>
                  <w:shd w:val="clear" w:color="auto" w:fill="auto"/>
                  <w:vAlign w:val="center"/>
                </w:tcPr>
                <w:p w14:paraId="2016E005">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bCs/>
                      <w:color w:val="auto"/>
                      <w:kern w:val="0"/>
                      <w:sz w:val="18"/>
                      <w:szCs w:val="18"/>
                      <w:lang w:val="en-US" w:eastAsia="zh-CN"/>
                    </w:rPr>
                    <w:t>20</w:t>
                  </w:r>
                </w:p>
              </w:tc>
              <w:tc>
                <w:tcPr>
                  <w:tcW w:w="510" w:type="dxa"/>
                  <w:shd w:val="clear" w:color="auto" w:fill="auto"/>
                  <w:vAlign w:val="center"/>
                </w:tcPr>
                <w:p w14:paraId="05732893">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46</w:t>
                  </w:r>
                </w:p>
              </w:tc>
              <w:tc>
                <w:tcPr>
                  <w:tcW w:w="516" w:type="dxa"/>
                  <w:shd w:val="clear" w:color="auto" w:fill="auto"/>
                  <w:vAlign w:val="center"/>
                </w:tcPr>
                <w:p w14:paraId="41DB43AB">
                  <w:pPr>
                    <w:widowControl/>
                    <w:spacing w:line="360" w:lineRule="auto"/>
                    <w:jc w:val="center"/>
                    <w:rPr>
                      <w:rFonts w:hint="eastAsia" w:ascii="Times New Roman" w:hAnsi="Times New Roman" w:eastAsia="宋体" w:cs="Times New Roman"/>
                      <w:color w:val="auto"/>
                      <w:sz w:val="18"/>
                      <w:szCs w:val="18"/>
                      <w:lang w:val="en-US" w:eastAsia="zh-CN"/>
                    </w:rPr>
                  </w:pPr>
                  <w:r>
                    <w:rPr>
                      <w:rFonts w:ascii="Times New Roman" w:hAnsi="Times New Roman" w:cs="Times New Roman"/>
                      <w:bCs/>
                      <w:color w:val="auto"/>
                      <w:sz w:val="18"/>
                      <w:szCs w:val="18"/>
                    </w:rPr>
                    <w:t>1</w:t>
                  </w:r>
                </w:p>
              </w:tc>
            </w:tr>
            <w:tr w14:paraId="682096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shd w:val="clear" w:color="auto" w:fill="auto"/>
                  <w:vAlign w:val="center"/>
                </w:tcPr>
                <w:p w14:paraId="79E269C0">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eastAsia="宋体" w:cs="Times New Roman"/>
                      <w:bCs/>
                      <w:color w:val="auto"/>
                      <w:sz w:val="18"/>
                      <w:szCs w:val="18"/>
                      <w:lang w:val="en-US" w:eastAsia="zh-CN" w:bidi="ar-SA"/>
                    </w:rPr>
                    <w:t>26</w:t>
                  </w:r>
                </w:p>
              </w:tc>
              <w:tc>
                <w:tcPr>
                  <w:tcW w:w="450" w:type="dxa"/>
                  <w:vMerge w:val="continue"/>
                  <w:shd w:val="clear" w:color="auto" w:fill="auto"/>
                  <w:vAlign w:val="center"/>
                </w:tcPr>
                <w:p w14:paraId="29046768">
                  <w:pPr>
                    <w:pStyle w:val="47"/>
                    <w:widowControl/>
                    <w:spacing w:line="360" w:lineRule="auto"/>
                    <w:rPr>
                      <w:rFonts w:hint="eastAsia" w:ascii="Times New Roman" w:hAnsi="Times New Roman" w:eastAsia="宋体" w:cs="Times New Roman"/>
                      <w:bCs/>
                      <w:color w:val="auto"/>
                      <w:sz w:val="18"/>
                      <w:szCs w:val="18"/>
                      <w:lang w:val="en-US" w:eastAsia="zh-CN" w:bidi="ar-SA"/>
                    </w:rPr>
                  </w:pPr>
                </w:p>
              </w:tc>
              <w:tc>
                <w:tcPr>
                  <w:tcW w:w="0" w:type="auto"/>
                  <w:shd w:val="clear" w:color="auto" w:fill="auto"/>
                  <w:vAlign w:val="center"/>
                </w:tcPr>
                <w:p w14:paraId="1AA2BA6B">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烘干箱</w:t>
                  </w:r>
                </w:p>
              </w:tc>
              <w:tc>
                <w:tcPr>
                  <w:tcW w:w="420" w:type="dxa"/>
                  <w:shd w:val="clear" w:color="auto" w:fill="auto"/>
                  <w:vAlign w:val="center"/>
                </w:tcPr>
                <w:p w14:paraId="05897A77">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75</w:t>
                  </w:r>
                </w:p>
              </w:tc>
              <w:tc>
                <w:tcPr>
                  <w:tcW w:w="465" w:type="dxa"/>
                  <w:shd w:val="clear" w:color="auto" w:fill="auto"/>
                  <w:vAlign w:val="center"/>
                </w:tcPr>
                <w:p w14:paraId="0C2F72E9">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1</w:t>
                  </w:r>
                </w:p>
              </w:tc>
              <w:tc>
                <w:tcPr>
                  <w:tcW w:w="498" w:type="dxa"/>
                  <w:vMerge w:val="continue"/>
                  <w:shd w:val="clear" w:color="auto" w:fill="auto"/>
                  <w:vAlign w:val="center"/>
                </w:tcPr>
                <w:p w14:paraId="3935625C">
                  <w:pPr>
                    <w:widowControl/>
                    <w:spacing w:line="360" w:lineRule="auto"/>
                    <w:jc w:val="center"/>
                    <w:rPr>
                      <w:rFonts w:hint="eastAsia" w:ascii="Times New Roman" w:hAnsi="Times New Roman" w:eastAsia="宋体" w:cs="Times New Roman"/>
                      <w:color w:val="auto"/>
                      <w:sz w:val="18"/>
                      <w:szCs w:val="18"/>
                      <w:lang w:val="en-US" w:eastAsia="zh-CN"/>
                    </w:rPr>
                  </w:pPr>
                </w:p>
              </w:tc>
              <w:tc>
                <w:tcPr>
                  <w:tcW w:w="510" w:type="dxa"/>
                  <w:shd w:val="clear" w:color="auto" w:fill="auto"/>
                  <w:vAlign w:val="center"/>
                </w:tcPr>
                <w:p w14:paraId="05D8BFF1">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-7</w:t>
                  </w:r>
                </w:p>
              </w:tc>
              <w:tc>
                <w:tcPr>
                  <w:tcW w:w="510" w:type="dxa"/>
                  <w:shd w:val="clear" w:color="auto" w:fill="auto"/>
                  <w:vAlign w:val="center"/>
                </w:tcPr>
                <w:p w14:paraId="22C7A910">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22</w:t>
                  </w:r>
                </w:p>
              </w:tc>
              <w:tc>
                <w:tcPr>
                  <w:tcW w:w="0" w:type="auto"/>
                  <w:shd w:val="clear" w:color="auto" w:fill="auto"/>
                  <w:vAlign w:val="center"/>
                </w:tcPr>
                <w:p w14:paraId="71CA1C1D">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1.5</w:t>
                  </w:r>
                </w:p>
              </w:tc>
              <w:tc>
                <w:tcPr>
                  <w:tcW w:w="510" w:type="dxa"/>
                  <w:shd w:val="clear" w:color="auto" w:fill="auto"/>
                  <w:vAlign w:val="center"/>
                </w:tcPr>
                <w:p w14:paraId="7B508379">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5</w:t>
                  </w:r>
                </w:p>
              </w:tc>
              <w:tc>
                <w:tcPr>
                  <w:tcW w:w="510" w:type="dxa"/>
                  <w:shd w:val="clear" w:color="auto" w:fill="auto"/>
                  <w:vAlign w:val="center"/>
                </w:tcPr>
                <w:p w14:paraId="063A7143">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66</w:t>
                  </w:r>
                </w:p>
              </w:tc>
              <w:tc>
                <w:tcPr>
                  <w:tcW w:w="510" w:type="dxa"/>
                  <w:vMerge w:val="continue"/>
                  <w:shd w:val="clear" w:color="auto" w:fill="auto"/>
                  <w:vAlign w:val="center"/>
                </w:tcPr>
                <w:p w14:paraId="03DCB114">
                  <w:pPr>
                    <w:widowControl/>
                    <w:spacing w:line="360" w:lineRule="auto"/>
                    <w:jc w:val="center"/>
                    <w:rPr>
                      <w:rFonts w:hint="eastAsia" w:ascii="Times New Roman" w:hAnsi="Times New Roman" w:eastAsia="宋体" w:cs="Times New Roman"/>
                      <w:color w:val="auto"/>
                      <w:sz w:val="18"/>
                      <w:szCs w:val="18"/>
                      <w:lang w:val="en-US" w:eastAsia="zh-CN"/>
                    </w:rPr>
                  </w:pPr>
                </w:p>
              </w:tc>
              <w:tc>
                <w:tcPr>
                  <w:tcW w:w="0" w:type="auto"/>
                  <w:shd w:val="clear" w:color="auto" w:fill="auto"/>
                  <w:vAlign w:val="center"/>
                </w:tcPr>
                <w:p w14:paraId="77EA085C">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bCs/>
                      <w:color w:val="auto"/>
                      <w:kern w:val="0"/>
                      <w:sz w:val="18"/>
                      <w:szCs w:val="18"/>
                      <w:lang w:val="en-US" w:eastAsia="zh-CN"/>
                    </w:rPr>
                    <w:t>20</w:t>
                  </w:r>
                </w:p>
              </w:tc>
              <w:tc>
                <w:tcPr>
                  <w:tcW w:w="510" w:type="dxa"/>
                  <w:shd w:val="clear" w:color="auto" w:fill="auto"/>
                  <w:vAlign w:val="center"/>
                </w:tcPr>
                <w:p w14:paraId="521E5289">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46</w:t>
                  </w:r>
                </w:p>
              </w:tc>
              <w:tc>
                <w:tcPr>
                  <w:tcW w:w="516" w:type="dxa"/>
                  <w:shd w:val="clear" w:color="auto" w:fill="auto"/>
                  <w:vAlign w:val="center"/>
                </w:tcPr>
                <w:p w14:paraId="22CB62E1">
                  <w:pPr>
                    <w:widowControl/>
                    <w:spacing w:line="360" w:lineRule="auto"/>
                    <w:jc w:val="center"/>
                    <w:rPr>
                      <w:rFonts w:hint="eastAsia" w:ascii="Times New Roman" w:hAnsi="Times New Roman" w:eastAsia="宋体" w:cs="Times New Roman"/>
                      <w:color w:val="auto"/>
                      <w:sz w:val="18"/>
                      <w:szCs w:val="18"/>
                      <w:lang w:val="en-US" w:eastAsia="zh-CN"/>
                    </w:rPr>
                  </w:pPr>
                  <w:r>
                    <w:rPr>
                      <w:rFonts w:ascii="Times New Roman" w:hAnsi="Times New Roman" w:cs="Times New Roman"/>
                      <w:bCs/>
                      <w:color w:val="auto"/>
                      <w:sz w:val="18"/>
                      <w:szCs w:val="18"/>
                    </w:rPr>
                    <w:t>1</w:t>
                  </w:r>
                </w:p>
              </w:tc>
            </w:tr>
            <w:tr w14:paraId="67518D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shd w:val="clear" w:color="auto" w:fill="auto"/>
                  <w:vAlign w:val="center"/>
                </w:tcPr>
                <w:p w14:paraId="0BBA8E33">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eastAsia="宋体" w:cs="Times New Roman"/>
                      <w:bCs/>
                      <w:color w:val="auto"/>
                      <w:sz w:val="18"/>
                      <w:szCs w:val="18"/>
                      <w:lang w:val="en-US" w:eastAsia="zh-CN" w:bidi="ar-SA"/>
                    </w:rPr>
                    <w:t>27</w:t>
                  </w:r>
                </w:p>
              </w:tc>
              <w:tc>
                <w:tcPr>
                  <w:tcW w:w="450" w:type="dxa"/>
                  <w:vMerge w:val="continue"/>
                  <w:shd w:val="clear" w:color="auto" w:fill="auto"/>
                  <w:vAlign w:val="center"/>
                </w:tcPr>
                <w:p w14:paraId="5EE75A34">
                  <w:pPr>
                    <w:pStyle w:val="47"/>
                    <w:widowControl/>
                    <w:spacing w:line="360" w:lineRule="auto"/>
                    <w:rPr>
                      <w:rFonts w:hint="eastAsia" w:ascii="Times New Roman" w:hAnsi="Times New Roman" w:eastAsia="宋体" w:cs="Times New Roman"/>
                      <w:bCs/>
                      <w:color w:val="auto"/>
                      <w:sz w:val="18"/>
                      <w:szCs w:val="18"/>
                      <w:lang w:val="en-US" w:eastAsia="zh-CN" w:bidi="ar-SA"/>
                    </w:rPr>
                  </w:pPr>
                </w:p>
              </w:tc>
              <w:tc>
                <w:tcPr>
                  <w:tcW w:w="0" w:type="auto"/>
                  <w:shd w:val="clear" w:color="auto" w:fill="auto"/>
                  <w:vAlign w:val="center"/>
                </w:tcPr>
                <w:p w14:paraId="4F4DF496">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烘干箱</w:t>
                  </w:r>
                </w:p>
              </w:tc>
              <w:tc>
                <w:tcPr>
                  <w:tcW w:w="420" w:type="dxa"/>
                  <w:shd w:val="clear" w:color="auto" w:fill="auto"/>
                  <w:vAlign w:val="center"/>
                </w:tcPr>
                <w:p w14:paraId="69857EDE">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75</w:t>
                  </w:r>
                </w:p>
              </w:tc>
              <w:tc>
                <w:tcPr>
                  <w:tcW w:w="465" w:type="dxa"/>
                  <w:shd w:val="clear" w:color="auto" w:fill="auto"/>
                  <w:vAlign w:val="center"/>
                </w:tcPr>
                <w:p w14:paraId="3C74678C">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1</w:t>
                  </w:r>
                </w:p>
              </w:tc>
              <w:tc>
                <w:tcPr>
                  <w:tcW w:w="498" w:type="dxa"/>
                  <w:vMerge w:val="continue"/>
                  <w:shd w:val="clear" w:color="auto" w:fill="auto"/>
                  <w:vAlign w:val="center"/>
                </w:tcPr>
                <w:p w14:paraId="597B7C57">
                  <w:pPr>
                    <w:widowControl/>
                    <w:spacing w:line="360" w:lineRule="auto"/>
                    <w:jc w:val="center"/>
                    <w:rPr>
                      <w:rFonts w:hint="eastAsia" w:ascii="Times New Roman" w:hAnsi="Times New Roman" w:eastAsia="宋体" w:cs="Times New Roman"/>
                      <w:color w:val="auto"/>
                      <w:sz w:val="18"/>
                      <w:szCs w:val="18"/>
                      <w:lang w:val="en-US" w:eastAsia="zh-CN"/>
                    </w:rPr>
                  </w:pPr>
                </w:p>
              </w:tc>
              <w:tc>
                <w:tcPr>
                  <w:tcW w:w="510" w:type="dxa"/>
                  <w:shd w:val="clear" w:color="auto" w:fill="auto"/>
                  <w:vAlign w:val="center"/>
                </w:tcPr>
                <w:p w14:paraId="7D960727">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-6</w:t>
                  </w:r>
                </w:p>
              </w:tc>
              <w:tc>
                <w:tcPr>
                  <w:tcW w:w="510" w:type="dxa"/>
                  <w:shd w:val="clear" w:color="auto" w:fill="auto"/>
                  <w:vAlign w:val="center"/>
                </w:tcPr>
                <w:p w14:paraId="044E0022">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21</w:t>
                  </w:r>
                </w:p>
              </w:tc>
              <w:tc>
                <w:tcPr>
                  <w:tcW w:w="0" w:type="auto"/>
                  <w:shd w:val="clear" w:color="auto" w:fill="auto"/>
                  <w:vAlign w:val="center"/>
                </w:tcPr>
                <w:p w14:paraId="02170F79">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1.5</w:t>
                  </w:r>
                </w:p>
              </w:tc>
              <w:tc>
                <w:tcPr>
                  <w:tcW w:w="510" w:type="dxa"/>
                  <w:shd w:val="clear" w:color="auto" w:fill="auto"/>
                  <w:vAlign w:val="center"/>
                </w:tcPr>
                <w:p w14:paraId="72049677">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w:t>
                  </w:r>
                </w:p>
              </w:tc>
              <w:tc>
                <w:tcPr>
                  <w:tcW w:w="510" w:type="dxa"/>
                  <w:shd w:val="clear" w:color="auto" w:fill="auto"/>
                  <w:vAlign w:val="center"/>
                </w:tcPr>
                <w:p w14:paraId="024E1F42">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74</w:t>
                  </w:r>
                </w:p>
              </w:tc>
              <w:tc>
                <w:tcPr>
                  <w:tcW w:w="510" w:type="dxa"/>
                  <w:vMerge w:val="continue"/>
                  <w:shd w:val="clear" w:color="auto" w:fill="auto"/>
                  <w:vAlign w:val="center"/>
                </w:tcPr>
                <w:p w14:paraId="4C329A79">
                  <w:pPr>
                    <w:widowControl/>
                    <w:spacing w:line="360" w:lineRule="auto"/>
                    <w:jc w:val="center"/>
                    <w:rPr>
                      <w:rFonts w:hint="eastAsia" w:ascii="Times New Roman" w:hAnsi="Times New Roman" w:eastAsia="宋体" w:cs="Times New Roman"/>
                      <w:color w:val="auto"/>
                      <w:sz w:val="18"/>
                      <w:szCs w:val="18"/>
                      <w:lang w:val="en-US" w:eastAsia="zh-CN"/>
                    </w:rPr>
                  </w:pPr>
                </w:p>
              </w:tc>
              <w:tc>
                <w:tcPr>
                  <w:tcW w:w="0" w:type="auto"/>
                  <w:shd w:val="clear" w:color="auto" w:fill="auto"/>
                  <w:vAlign w:val="center"/>
                </w:tcPr>
                <w:p w14:paraId="033FAAFC">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bCs/>
                      <w:color w:val="auto"/>
                      <w:kern w:val="0"/>
                      <w:sz w:val="18"/>
                      <w:szCs w:val="18"/>
                      <w:lang w:val="en-US" w:eastAsia="zh-CN"/>
                    </w:rPr>
                    <w:t>20</w:t>
                  </w:r>
                </w:p>
              </w:tc>
              <w:tc>
                <w:tcPr>
                  <w:tcW w:w="510" w:type="dxa"/>
                  <w:shd w:val="clear" w:color="auto" w:fill="auto"/>
                  <w:vAlign w:val="center"/>
                </w:tcPr>
                <w:p w14:paraId="504AEE6D">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54</w:t>
                  </w:r>
                </w:p>
              </w:tc>
              <w:tc>
                <w:tcPr>
                  <w:tcW w:w="516" w:type="dxa"/>
                  <w:shd w:val="clear" w:color="auto" w:fill="auto"/>
                  <w:vAlign w:val="center"/>
                </w:tcPr>
                <w:p w14:paraId="23CA5378">
                  <w:pPr>
                    <w:widowControl/>
                    <w:spacing w:line="360" w:lineRule="auto"/>
                    <w:jc w:val="center"/>
                    <w:rPr>
                      <w:rFonts w:hint="eastAsia" w:ascii="Times New Roman" w:hAnsi="Times New Roman" w:eastAsia="宋体" w:cs="Times New Roman"/>
                      <w:color w:val="auto"/>
                      <w:sz w:val="18"/>
                      <w:szCs w:val="18"/>
                      <w:lang w:val="en-US" w:eastAsia="zh-CN"/>
                    </w:rPr>
                  </w:pPr>
                  <w:r>
                    <w:rPr>
                      <w:rFonts w:ascii="Times New Roman" w:hAnsi="Times New Roman" w:cs="Times New Roman"/>
                      <w:bCs/>
                      <w:color w:val="auto"/>
                      <w:sz w:val="18"/>
                      <w:szCs w:val="18"/>
                    </w:rPr>
                    <w:t>1</w:t>
                  </w:r>
                </w:p>
              </w:tc>
            </w:tr>
            <w:tr w14:paraId="4620C7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shd w:val="clear" w:color="auto" w:fill="auto"/>
                  <w:vAlign w:val="center"/>
                </w:tcPr>
                <w:p w14:paraId="6FB3663A">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eastAsia="宋体" w:cs="Times New Roman"/>
                      <w:bCs/>
                      <w:color w:val="auto"/>
                      <w:sz w:val="18"/>
                      <w:szCs w:val="18"/>
                      <w:lang w:val="en-US" w:eastAsia="zh-CN" w:bidi="ar-SA"/>
                    </w:rPr>
                    <w:t>28</w:t>
                  </w:r>
                </w:p>
              </w:tc>
              <w:tc>
                <w:tcPr>
                  <w:tcW w:w="450" w:type="dxa"/>
                  <w:vMerge w:val="continue"/>
                  <w:shd w:val="clear" w:color="auto" w:fill="auto"/>
                  <w:vAlign w:val="center"/>
                </w:tcPr>
                <w:p w14:paraId="58BB1496">
                  <w:pPr>
                    <w:pStyle w:val="47"/>
                    <w:widowControl/>
                    <w:spacing w:line="360" w:lineRule="auto"/>
                    <w:rPr>
                      <w:rFonts w:hint="eastAsia" w:ascii="Times New Roman" w:hAnsi="Times New Roman" w:eastAsia="宋体" w:cs="Times New Roman"/>
                      <w:bCs/>
                      <w:color w:val="auto"/>
                      <w:sz w:val="18"/>
                      <w:szCs w:val="18"/>
                      <w:lang w:val="en-US" w:eastAsia="zh-CN" w:bidi="ar-SA"/>
                    </w:rPr>
                  </w:pPr>
                </w:p>
              </w:tc>
              <w:tc>
                <w:tcPr>
                  <w:tcW w:w="0" w:type="auto"/>
                  <w:shd w:val="clear" w:color="auto" w:fill="auto"/>
                  <w:vAlign w:val="center"/>
                </w:tcPr>
                <w:p w14:paraId="5E1C1652">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烘干箱</w:t>
                  </w:r>
                </w:p>
              </w:tc>
              <w:tc>
                <w:tcPr>
                  <w:tcW w:w="420" w:type="dxa"/>
                  <w:shd w:val="clear" w:color="auto" w:fill="auto"/>
                  <w:vAlign w:val="center"/>
                </w:tcPr>
                <w:p w14:paraId="58D74345">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75</w:t>
                  </w:r>
                </w:p>
              </w:tc>
              <w:tc>
                <w:tcPr>
                  <w:tcW w:w="465" w:type="dxa"/>
                  <w:shd w:val="clear" w:color="auto" w:fill="auto"/>
                  <w:vAlign w:val="center"/>
                </w:tcPr>
                <w:p w14:paraId="37CCB6DB">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snapToGrid w:val="0"/>
                      <w:color w:val="auto"/>
                      <w:sz w:val="18"/>
                      <w:szCs w:val="18"/>
                      <w:lang w:val="en-US" w:eastAsia="zh-CN"/>
                    </w:rPr>
                    <w:t>1</w:t>
                  </w:r>
                </w:p>
              </w:tc>
              <w:tc>
                <w:tcPr>
                  <w:tcW w:w="498" w:type="dxa"/>
                  <w:vMerge w:val="continue"/>
                  <w:shd w:val="clear" w:color="auto" w:fill="auto"/>
                  <w:vAlign w:val="center"/>
                </w:tcPr>
                <w:p w14:paraId="578B418E">
                  <w:pPr>
                    <w:widowControl/>
                    <w:spacing w:line="360" w:lineRule="auto"/>
                    <w:jc w:val="center"/>
                    <w:rPr>
                      <w:rFonts w:hint="eastAsia" w:ascii="Times New Roman" w:hAnsi="Times New Roman" w:eastAsia="宋体" w:cs="Times New Roman"/>
                      <w:color w:val="auto"/>
                      <w:sz w:val="18"/>
                      <w:szCs w:val="18"/>
                      <w:lang w:val="en-US" w:eastAsia="zh-CN"/>
                    </w:rPr>
                  </w:pPr>
                </w:p>
              </w:tc>
              <w:tc>
                <w:tcPr>
                  <w:tcW w:w="510" w:type="dxa"/>
                  <w:shd w:val="clear" w:color="auto" w:fill="auto"/>
                  <w:vAlign w:val="center"/>
                </w:tcPr>
                <w:p w14:paraId="774F5379">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-4</w:t>
                  </w:r>
                </w:p>
              </w:tc>
              <w:tc>
                <w:tcPr>
                  <w:tcW w:w="510" w:type="dxa"/>
                  <w:shd w:val="clear" w:color="auto" w:fill="auto"/>
                  <w:vAlign w:val="center"/>
                </w:tcPr>
                <w:p w14:paraId="5DADBE2E">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20</w:t>
                  </w:r>
                </w:p>
              </w:tc>
              <w:tc>
                <w:tcPr>
                  <w:tcW w:w="0" w:type="auto"/>
                  <w:shd w:val="clear" w:color="auto" w:fill="auto"/>
                  <w:vAlign w:val="center"/>
                </w:tcPr>
                <w:p w14:paraId="073D23F8">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1.5</w:t>
                  </w:r>
                </w:p>
              </w:tc>
              <w:tc>
                <w:tcPr>
                  <w:tcW w:w="510" w:type="dxa"/>
                  <w:shd w:val="clear" w:color="auto" w:fill="auto"/>
                  <w:vAlign w:val="center"/>
                </w:tcPr>
                <w:p w14:paraId="173B70DF">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5</w:t>
                  </w:r>
                </w:p>
              </w:tc>
              <w:tc>
                <w:tcPr>
                  <w:tcW w:w="510" w:type="dxa"/>
                  <w:shd w:val="clear" w:color="auto" w:fill="auto"/>
                  <w:vAlign w:val="center"/>
                </w:tcPr>
                <w:p w14:paraId="25537A10">
                  <w:pPr>
                    <w:widowControl/>
                    <w:spacing w:line="360" w:lineRule="auto"/>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66</w:t>
                  </w:r>
                </w:p>
              </w:tc>
              <w:tc>
                <w:tcPr>
                  <w:tcW w:w="510" w:type="dxa"/>
                  <w:vMerge w:val="continue"/>
                  <w:shd w:val="clear" w:color="auto" w:fill="auto"/>
                  <w:vAlign w:val="center"/>
                </w:tcPr>
                <w:p w14:paraId="4646B04D">
                  <w:pPr>
                    <w:widowControl/>
                    <w:spacing w:line="360" w:lineRule="auto"/>
                    <w:jc w:val="center"/>
                    <w:rPr>
                      <w:rFonts w:hint="eastAsia" w:ascii="Times New Roman" w:hAnsi="Times New Roman" w:eastAsia="宋体" w:cs="Times New Roman"/>
                      <w:color w:val="auto"/>
                      <w:sz w:val="18"/>
                      <w:szCs w:val="18"/>
                      <w:lang w:val="en-US" w:eastAsia="zh-CN"/>
                    </w:rPr>
                  </w:pPr>
                </w:p>
              </w:tc>
              <w:tc>
                <w:tcPr>
                  <w:tcW w:w="0" w:type="auto"/>
                  <w:shd w:val="clear" w:color="auto" w:fill="auto"/>
                  <w:vAlign w:val="center"/>
                </w:tcPr>
                <w:p w14:paraId="777F8585">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bCs/>
                      <w:color w:val="auto"/>
                      <w:kern w:val="0"/>
                      <w:sz w:val="18"/>
                      <w:szCs w:val="18"/>
                      <w:lang w:val="en-US" w:eastAsia="zh-CN"/>
                    </w:rPr>
                    <w:t>20</w:t>
                  </w:r>
                </w:p>
              </w:tc>
              <w:tc>
                <w:tcPr>
                  <w:tcW w:w="510" w:type="dxa"/>
                  <w:shd w:val="clear" w:color="auto" w:fill="auto"/>
                  <w:vAlign w:val="center"/>
                </w:tcPr>
                <w:p w14:paraId="6D683586">
                  <w:pPr>
                    <w:widowControl/>
                    <w:spacing w:line="360" w:lineRule="auto"/>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46</w:t>
                  </w:r>
                </w:p>
              </w:tc>
              <w:tc>
                <w:tcPr>
                  <w:tcW w:w="516" w:type="dxa"/>
                  <w:shd w:val="clear" w:color="auto" w:fill="auto"/>
                  <w:vAlign w:val="center"/>
                </w:tcPr>
                <w:p w14:paraId="766055AD">
                  <w:pPr>
                    <w:widowControl/>
                    <w:spacing w:line="360" w:lineRule="auto"/>
                    <w:jc w:val="center"/>
                    <w:rPr>
                      <w:rFonts w:hint="eastAsia" w:ascii="Times New Roman" w:hAnsi="Times New Roman" w:eastAsia="宋体" w:cs="Times New Roman"/>
                      <w:color w:val="auto"/>
                      <w:sz w:val="18"/>
                      <w:szCs w:val="18"/>
                      <w:lang w:val="en-US" w:eastAsia="zh-CN"/>
                    </w:rPr>
                  </w:pPr>
                  <w:r>
                    <w:rPr>
                      <w:rFonts w:ascii="Times New Roman" w:hAnsi="Times New Roman" w:cs="Times New Roman"/>
                      <w:bCs/>
                      <w:color w:val="auto"/>
                      <w:sz w:val="18"/>
                      <w:szCs w:val="18"/>
                    </w:rPr>
                    <w:t>1</w:t>
                  </w:r>
                </w:p>
              </w:tc>
            </w:tr>
            <w:tr w14:paraId="1D70B1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shd w:val="clear" w:color="auto" w:fill="auto"/>
                  <w:vAlign w:val="center"/>
                </w:tcPr>
                <w:p w14:paraId="4E801A4F">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eastAsia="宋体" w:cs="Times New Roman"/>
                      <w:bCs/>
                      <w:color w:val="auto"/>
                      <w:sz w:val="18"/>
                      <w:szCs w:val="18"/>
                      <w:lang w:val="en-US" w:eastAsia="zh-CN" w:bidi="ar-SA"/>
                    </w:rPr>
                    <w:t>29</w:t>
                  </w:r>
                </w:p>
              </w:tc>
              <w:tc>
                <w:tcPr>
                  <w:tcW w:w="450" w:type="dxa"/>
                  <w:vMerge w:val="continue"/>
                  <w:shd w:val="clear" w:color="auto" w:fill="auto"/>
                  <w:vAlign w:val="center"/>
                </w:tcPr>
                <w:p w14:paraId="2DBA8C88">
                  <w:pPr>
                    <w:pStyle w:val="47"/>
                    <w:widowControl/>
                    <w:spacing w:line="360" w:lineRule="auto"/>
                    <w:rPr>
                      <w:rFonts w:hint="eastAsia" w:ascii="Times New Roman" w:hAnsi="Times New Roman" w:eastAsia="宋体" w:cs="Times New Roman"/>
                      <w:bCs/>
                      <w:color w:val="auto"/>
                      <w:sz w:val="18"/>
                      <w:szCs w:val="18"/>
                      <w:lang w:val="en-US" w:eastAsia="zh-CN" w:bidi="ar-SA"/>
                    </w:rPr>
                  </w:pPr>
                </w:p>
              </w:tc>
              <w:tc>
                <w:tcPr>
                  <w:tcW w:w="1152" w:type="dxa"/>
                  <w:shd w:val="clear" w:color="auto" w:fill="auto"/>
                  <w:vAlign w:val="center"/>
                </w:tcPr>
                <w:p w14:paraId="26D85B6B">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烘干箱</w:t>
                  </w:r>
                </w:p>
              </w:tc>
              <w:tc>
                <w:tcPr>
                  <w:tcW w:w="420" w:type="dxa"/>
                  <w:shd w:val="clear" w:color="auto" w:fill="auto"/>
                  <w:vAlign w:val="center"/>
                </w:tcPr>
                <w:p w14:paraId="2293FE7C">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snapToGrid w:val="0"/>
                      <w:color w:val="auto"/>
                      <w:sz w:val="18"/>
                      <w:szCs w:val="18"/>
                      <w:lang w:val="en-US" w:eastAsia="zh-CN"/>
                    </w:rPr>
                    <w:t>75</w:t>
                  </w:r>
                </w:p>
              </w:tc>
              <w:tc>
                <w:tcPr>
                  <w:tcW w:w="465" w:type="dxa"/>
                  <w:shd w:val="clear" w:color="auto" w:fill="auto"/>
                  <w:vAlign w:val="center"/>
                </w:tcPr>
                <w:p w14:paraId="3922E1A5">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snapToGrid w:val="0"/>
                      <w:color w:val="auto"/>
                      <w:sz w:val="18"/>
                      <w:szCs w:val="18"/>
                      <w:lang w:val="en-US" w:eastAsia="zh-CN"/>
                    </w:rPr>
                    <w:t>1</w:t>
                  </w:r>
                </w:p>
              </w:tc>
              <w:tc>
                <w:tcPr>
                  <w:tcW w:w="498" w:type="dxa"/>
                  <w:vMerge w:val="continue"/>
                  <w:shd w:val="clear" w:color="auto" w:fill="auto"/>
                  <w:vAlign w:val="center"/>
                </w:tcPr>
                <w:p w14:paraId="5ACBD11E">
                  <w:pPr>
                    <w:widowControl/>
                    <w:spacing w:line="360" w:lineRule="auto"/>
                    <w:jc w:val="center"/>
                    <w:rPr>
                      <w:rFonts w:hint="eastAsia" w:ascii="Times New Roman" w:hAnsi="Times New Roman" w:eastAsia="宋体" w:cs="Times New Roman"/>
                      <w:color w:val="auto"/>
                      <w:kern w:val="2"/>
                      <w:sz w:val="18"/>
                      <w:szCs w:val="18"/>
                      <w:lang w:val="en-US" w:eastAsia="zh-CN" w:bidi="ar-SA"/>
                    </w:rPr>
                  </w:pPr>
                </w:p>
              </w:tc>
              <w:tc>
                <w:tcPr>
                  <w:tcW w:w="510" w:type="dxa"/>
                  <w:shd w:val="clear" w:color="auto" w:fill="auto"/>
                  <w:vAlign w:val="center"/>
                </w:tcPr>
                <w:p w14:paraId="66EC71CD">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-8</w:t>
                  </w:r>
                </w:p>
              </w:tc>
              <w:tc>
                <w:tcPr>
                  <w:tcW w:w="510" w:type="dxa"/>
                  <w:shd w:val="clear" w:color="auto" w:fill="auto"/>
                  <w:vAlign w:val="center"/>
                </w:tcPr>
                <w:p w14:paraId="67FDE51D">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17</w:t>
                  </w:r>
                </w:p>
              </w:tc>
              <w:tc>
                <w:tcPr>
                  <w:tcW w:w="510" w:type="dxa"/>
                  <w:shd w:val="clear" w:color="auto" w:fill="auto"/>
                  <w:vAlign w:val="center"/>
                </w:tcPr>
                <w:p w14:paraId="649F9C7A">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1.5</w:t>
                  </w:r>
                </w:p>
              </w:tc>
              <w:tc>
                <w:tcPr>
                  <w:tcW w:w="510" w:type="dxa"/>
                  <w:shd w:val="clear" w:color="auto" w:fill="auto"/>
                  <w:vAlign w:val="center"/>
                </w:tcPr>
                <w:p w14:paraId="0F9D58D3">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4</w:t>
                  </w:r>
                </w:p>
              </w:tc>
              <w:tc>
                <w:tcPr>
                  <w:tcW w:w="510" w:type="dxa"/>
                  <w:shd w:val="clear" w:color="auto" w:fill="auto"/>
                  <w:vAlign w:val="center"/>
                </w:tcPr>
                <w:p w14:paraId="0F3AF240">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67</w:t>
                  </w:r>
                </w:p>
              </w:tc>
              <w:tc>
                <w:tcPr>
                  <w:tcW w:w="510" w:type="dxa"/>
                  <w:vMerge w:val="continue"/>
                  <w:shd w:val="clear" w:color="auto" w:fill="auto"/>
                  <w:vAlign w:val="center"/>
                </w:tcPr>
                <w:p w14:paraId="3D4AAC95">
                  <w:pPr>
                    <w:widowControl/>
                    <w:spacing w:line="360" w:lineRule="auto"/>
                    <w:jc w:val="center"/>
                    <w:rPr>
                      <w:rFonts w:hint="eastAsia" w:ascii="Times New Roman" w:hAnsi="Times New Roman" w:eastAsia="宋体" w:cs="Times New Roman"/>
                      <w:color w:val="auto"/>
                      <w:kern w:val="2"/>
                      <w:sz w:val="18"/>
                      <w:szCs w:val="18"/>
                      <w:lang w:val="en-US" w:eastAsia="zh-CN" w:bidi="ar-SA"/>
                    </w:rPr>
                  </w:pPr>
                </w:p>
              </w:tc>
              <w:tc>
                <w:tcPr>
                  <w:tcW w:w="510" w:type="dxa"/>
                  <w:shd w:val="clear" w:color="auto" w:fill="auto"/>
                  <w:vAlign w:val="center"/>
                </w:tcPr>
                <w:p w14:paraId="71576527">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bCs/>
                      <w:color w:val="auto"/>
                      <w:kern w:val="0"/>
                      <w:sz w:val="18"/>
                      <w:szCs w:val="18"/>
                      <w:lang w:val="en-US" w:eastAsia="zh-CN"/>
                    </w:rPr>
                    <w:t>20</w:t>
                  </w:r>
                </w:p>
              </w:tc>
              <w:tc>
                <w:tcPr>
                  <w:tcW w:w="510" w:type="dxa"/>
                  <w:shd w:val="clear" w:color="auto" w:fill="auto"/>
                  <w:vAlign w:val="center"/>
                </w:tcPr>
                <w:p w14:paraId="7291EFF3">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57</w:t>
                  </w:r>
                </w:p>
              </w:tc>
              <w:tc>
                <w:tcPr>
                  <w:tcW w:w="516" w:type="dxa"/>
                  <w:shd w:val="clear" w:color="auto" w:fill="auto"/>
                  <w:vAlign w:val="center"/>
                </w:tcPr>
                <w:p w14:paraId="122863C8">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ascii="Times New Roman" w:hAnsi="Times New Roman" w:cs="Times New Roman"/>
                      <w:bCs/>
                      <w:color w:val="auto"/>
                      <w:sz w:val="18"/>
                      <w:szCs w:val="18"/>
                    </w:rPr>
                    <w:t>1</w:t>
                  </w:r>
                </w:p>
              </w:tc>
            </w:tr>
            <w:tr w14:paraId="24C2E5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shd w:val="clear" w:color="auto" w:fill="auto"/>
                  <w:vAlign w:val="center"/>
                </w:tcPr>
                <w:p w14:paraId="205DD5A3">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eastAsia="宋体" w:cs="Times New Roman"/>
                      <w:bCs/>
                      <w:color w:val="auto"/>
                      <w:sz w:val="18"/>
                      <w:szCs w:val="18"/>
                      <w:lang w:val="en-US" w:eastAsia="zh-CN" w:bidi="ar-SA"/>
                    </w:rPr>
                    <w:t>30</w:t>
                  </w:r>
                </w:p>
              </w:tc>
              <w:tc>
                <w:tcPr>
                  <w:tcW w:w="450" w:type="dxa"/>
                  <w:vMerge w:val="continue"/>
                  <w:shd w:val="clear" w:color="auto" w:fill="auto"/>
                  <w:vAlign w:val="center"/>
                </w:tcPr>
                <w:p w14:paraId="231E36A7">
                  <w:pPr>
                    <w:pStyle w:val="47"/>
                    <w:widowControl/>
                    <w:spacing w:line="360" w:lineRule="auto"/>
                    <w:rPr>
                      <w:rFonts w:hint="eastAsia" w:ascii="Times New Roman" w:hAnsi="Times New Roman" w:eastAsia="宋体" w:cs="Times New Roman"/>
                      <w:bCs/>
                      <w:color w:val="auto"/>
                      <w:sz w:val="18"/>
                      <w:szCs w:val="18"/>
                      <w:lang w:val="en-US" w:eastAsia="zh-CN" w:bidi="ar-SA"/>
                    </w:rPr>
                  </w:pPr>
                </w:p>
              </w:tc>
              <w:tc>
                <w:tcPr>
                  <w:tcW w:w="1152" w:type="dxa"/>
                  <w:shd w:val="clear" w:color="auto" w:fill="auto"/>
                  <w:vAlign w:val="center"/>
                </w:tcPr>
                <w:p w14:paraId="16C45C16">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烘干箱</w:t>
                  </w:r>
                </w:p>
              </w:tc>
              <w:tc>
                <w:tcPr>
                  <w:tcW w:w="420" w:type="dxa"/>
                  <w:shd w:val="clear" w:color="auto" w:fill="auto"/>
                  <w:vAlign w:val="center"/>
                </w:tcPr>
                <w:p w14:paraId="2CDE95D6">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snapToGrid w:val="0"/>
                      <w:color w:val="auto"/>
                      <w:sz w:val="18"/>
                      <w:szCs w:val="18"/>
                      <w:lang w:val="en-US" w:eastAsia="zh-CN"/>
                    </w:rPr>
                    <w:t>75</w:t>
                  </w:r>
                </w:p>
              </w:tc>
              <w:tc>
                <w:tcPr>
                  <w:tcW w:w="465" w:type="dxa"/>
                  <w:shd w:val="clear" w:color="auto" w:fill="auto"/>
                  <w:vAlign w:val="center"/>
                </w:tcPr>
                <w:p w14:paraId="0E3F0E22">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snapToGrid w:val="0"/>
                      <w:color w:val="auto"/>
                      <w:sz w:val="18"/>
                      <w:szCs w:val="18"/>
                      <w:lang w:val="en-US" w:eastAsia="zh-CN"/>
                    </w:rPr>
                    <w:t>1</w:t>
                  </w:r>
                </w:p>
              </w:tc>
              <w:tc>
                <w:tcPr>
                  <w:tcW w:w="498" w:type="dxa"/>
                  <w:vMerge w:val="continue"/>
                  <w:shd w:val="clear" w:color="auto" w:fill="auto"/>
                  <w:vAlign w:val="center"/>
                </w:tcPr>
                <w:p w14:paraId="4EA1693A">
                  <w:pPr>
                    <w:widowControl/>
                    <w:spacing w:line="360" w:lineRule="auto"/>
                    <w:jc w:val="center"/>
                    <w:rPr>
                      <w:rFonts w:hint="eastAsia" w:ascii="Times New Roman" w:hAnsi="Times New Roman" w:eastAsia="宋体" w:cs="Times New Roman"/>
                      <w:color w:val="auto"/>
                      <w:kern w:val="2"/>
                      <w:sz w:val="18"/>
                      <w:szCs w:val="18"/>
                      <w:lang w:val="en-US" w:eastAsia="zh-CN" w:bidi="ar-SA"/>
                    </w:rPr>
                  </w:pPr>
                </w:p>
              </w:tc>
              <w:tc>
                <w:tcPr>
                  <w:tcW w:w="510" w:type="dxa"/>
                  <w:shd w:val="clear" w:color="auto" w:fill="auto"/>
                  <w:vAlign w:val="center"/>
                </w:tcPr>
                <w:p w14:paraId="162880D8">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-6</w:t>
                  </w:r>
                </w:p>
              </w:tc>
              <w:tc>
                <w:tcPr>
                  <w:tcW w:w="510" w:type="dxa"/>
                  <w:shd w:val="clear" w:color="auto" w:fill="auto"/>
                  <w:vAlign w:val="center"/>
                </w:tcPr>
                <w:p w14:paraId="779D46B7">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15</w:t>
                  </w:r>
                </w:p>
              </w:tc>
              <w:tc>
                <w:tcPr>
                  <w:tcW w:w="510" w:type="dxa"/>
                  <w:shd w:val="clear" w:color="auto" w:fill="auto"/>
                  <w:vAlign w:val="center"/>
                </w:tcPr>
                <w:p w14:paraId="6032EED3">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1.5</w:t>
                  </w:r>
                </w:p>
              </w:tc>
              <w:tc>
                <w:tcPr>
                  <w:tcW w:w="510" w:type="dxa"/>
                  <w:shd w:val="clear" w:color="auto" w:fill="auto"/>
                  <w:vAlign w:val="center"/>
                </w:tcPr>
                <w:p w14:paraId="64BD502D">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3</w:t>
                  </w:r>
                </w:p>
              </w:tc>
              <w:tc>
                <w:tcPr>
                  <w:tcW w:w="510" w:type="dxa"/>
                  <w:shd w:val="clear" w:color="auto" w:fill="auto"/>
                  <w:vAlign w:val="center"/>
                </w:tcPr>
                <w:p w14:paraId="227F397F">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69</w:t>
                  </w:r>
                </w:p>
              </w:tc>
              <w:tc>
                <w:tcPr>
                  <w:tcW w:w="510" w:type="dxa"/>
                  <w:vMerge w:val="continue"/>
                  <w:shd w:val="clear" w:color="auto" w:fill="auto"/>
                  <w:vAlign w:val="center"/>
                </w:tcPr>
                <w:p w14:paraId="0D7A0395">
                  <w:pPr>
                    <w:widowControl/>
                    <w:spacing w:line="360" w:lineRule="auto"/>
                    <w:jc w:val="center"/>
                    <w:rPr>
                      <w:rFonts w:hint="eastAsia" w:ascii="Times New Roman" w:hAnsi="Times New Roman" w:eastAsia="宋体" w:cs="Times New Roman"/>
                      <w:color w:val="auto"/>
                      <w:kern w:val="2"/>
                      <w:sz w:val="18"/>
                      <w:szCs w:val="18"/>
                      <w:lang w:val="en-US" w:eastAsia="zh-CN" w:bidi="ar-SA"/>
                    </w:rPr>
                  </w:pPr>
                </w:p>
              </w:tc>
              <w:tc>
                <w:tcPr>
                  <w:tcW w:w="510" w:type="dxa"/>
                  <w:shd w:val="clear" w:color="auto" w:fill="auto"/>
                  <w:vAlign w:val="center"/>
                </w:tcPr>
                <w:p w14:paraId="74FB7FEC">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bCs/>
                      <w:color w:val="auto"/>
                      <w:kern w:val="0"/>
                      <w:sz w:val="18"/>
                      <w:szCs w:val="18"/>
                      <w:lang w:val="en-US" w:eastAsia="zh-CN"/>
                    </w:rPr>
                    <w:t>20</w:t>
                  </w:r>
                </w:p>
              </w:tc>
              <w:tc>
                <w:tcPr>
                  <w:tcW w:w="510" w:type="dxa"/>
                  <w:shd w:val="clear" w:color="auto" w:fill="auto"/>
                  <w:vAlign w:val="center"/>
                </w:tcPr>
                <w:p w14:paraId="52CF557E">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59</w:t>
                  </w:r>
                </w:p>
              </w:tc>
              <w:tc>
                <w:tcPr>
                  <w:tcW w:w="516" w:type="dxa"/>
                  <w:shd w:val="clear" w:color="auto" w:fill="auto"/>
                  <w:vAlign w:val="center"/>
                </w:tcPr>
                <w:p w14:paraId="601F5296">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ascii="Times New Roman" w:hAnsi="Times New Roman" w:cs="Times New Roman"/>
                      <w:bCs/>
                      <w:color w:val="auto"/>
                      <w:sz w:val="18"/>
                      <w:szCs w:val="18"/>
                    </w:rPr>
                    <w:t>1</w:t>
                  </w:r>
                </w:p>
              </w:tc>
            </w:tr>
            <w:tr w14:paraId="5A5C1E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shd w:val="clear" w:color="auto" w:fill="auto"/>
                  <w:vAlign w:val="center"/>
                </w:tcPr>
                <w:p w14:paraId="7387ADF6">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eastAsia="宋体" w:cs="Times New Roman"/>
                      <w:bCs/>
                      <w:color w:val="auto"/>
                      <w:sz w:val="18"/>
                      <w:szCs w:val="18"/>
                      <w:lang w:val="en-US" w:eastAsia="zh-CN" w:bidi="ar-SA"/>
                    </w:rPr>
                    <w:t>31</w:t>
                  </w:r>
                </w:p>
              </w:tc>
              <w:tc>
                <w:tcPr>
                  <w:tcW w:w="450" w:type="dxa"/>
                  <w:vMerge w:val="continue"/>
                  <w:shd w:val="clear" w:color="auto" w:fill="auto"/>
                  <w:vAlign w:val="center"/>
                </w:tcPr>
                <w:p w14:paraId="73CD71E8">
                  <w:pPr>
                    <w:pStyle w:val="47"/>
                    <w:widowControl/>
                    <w:spacing w:line="360" w:lineRule="auto"/>
                    <w:rPr>
                      <w:rFonts w:hint="eastAsia" w:ascii="Times New Roman" w:hAnsi="Times New Roman" w:eastAsia="宋体" w:cs="Times New Roman"/>
                      <w:bCs/>
                      <w:color w:val="auto"/>
                      <w:sz w:val="18"/>
                      <w:szCs w:val="18"/>
                      <w:lang w:val="en-US" w:eastAsia="zh-CN" w:bidi="ar-SA"/>
                    </w:rPr>
                  </w:pPr>
                </w:p>
              </w:tc>
              <w:tc>
                <w:tcPr>
                  <w:tcW w:w="1152" w:type="dxa"/>
                  <w:shd w:val="clear" w:color="auto" w:fill="auto"/>
                  <w:vAlign w:val="center"/>
                </w:tcPr>
                <w:p w14:paraId="479632EB">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烘干箱</w:t>
                  </w:r>
                </w:p>
              </w:tc>
              <w:tc>
                <w:tcPr>
                  <w:tcW w:w="420" w:type="dxa"/>
                  <w:shd w:val="clear" w:color="auto" w:fill="auto"/>
                  <w:vAlign w:val="center"/>
                </w:tcPr>
                <w:p w14:paraId="554775F5">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snapToGrid w:val="0"/>
                      <w:color w:val="auto"/>
                      <w:sz w:val="18"/>
                      <w:szCs w:val="18"/>
                      <w:lang w:val="en-US" w:eastAsia="zh-CN"/>
                    </w:rPr>
                    <w:t>75</w:t>
                  </w:r>
                </w:p>
              </w:tc>
              <w:tc>
                <w:tcPr>
                  <w:tcW w:w="465" w:type="dxa"/>
                  <w:shd w:val="clear" w:color="auto" w:fill="auto"/>
                  <w:vAlign w:val="center"/>
                </w:tcPr>
                <w:p w14:paraId="5F98E469">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snapToGrid w:val="0"/>
                      <w:color w:val="auto"/>
                      <w:sz w:val="18"/>
                      <w:szCs w:val="18"/>
                      <w:lang w:val="en-US" w:eastAsia="zh-CN"/>
                    </w:rPr>
                    <w:t>1</w:t>
                  </w:r>
                </w:p>
              </w:tc>
              <w:tc>
                <w:tcPr>
                  <w:tcW w:w="498" w:type="dxa"/>
                  <w:vMerge w:val="continue"/>
                  <w:shd w:val="clear" w:color="auto" w:fill="auto"/>
                  <w:vAlign w:val="center"/>
                </w:tcPr>
                <w:p w14:paraId="2C32D9D9">
                  <w:pPr>
                    <w:widowControl/>
                    <w:spacing w:line="360" w:lineRule="auto"/>
                    <w:jc w:val="center"/>
                    <w:rPr>
                      <w:rFonts w:hint="eastAsia" w:ascii="Times New Roman" w:hAnsi="Times New Roman" w:eastAsia="宋体" w:cs="Times New Roman"/>
                      <w:color w:val="auto"/>
                      <w:kern w:val="2"/>
                      <w:sz w:val="18"/>
                      <w:szCs w:val="18"/>
                      <w:lang w:val="en-US" w:eastAsia="zh-CN" w:bidi="ar-SA"/>
                    </w:rPr>
                  </w:pPr>
                </w:p>
              </w:tc>
              <w:tc>
                <w:tcPr>
                  <w:tcW w:w="510" w:type="dxa"/>
                  <w:shd w:val="clear" w:color="auto" w:fill="auto"/>
                  <w:vAlign w:val="center"/>
                </w:tcPr>
                <w:p w14:paraId="6FE89A9D">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-5</w:t>
                  </w:r>
                </w:p>
              </w:tc>
              <w:tc>
                <w:tcPr>
                  <w:tcW w:w="510" w:type="dxa"/>
                  <w:shd w:val="clear" w:color="auto" w:fill="auto"/>
                  <w:vAlign w:val="center"/>
                </w:tcPr>
                <w:p w14:paraId="0AF6A10F">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10</w:t>
                  </w:r>
                </w:p>
              </w:tc>
              <w:tc>
                <w:tcPr>
                  <w:tcW w:w="510" w:type="dxa"/>
                  <w:shd w:val="clear" w:color="auto" w:fill="auto"/>
                  <w:vAlign w:val="center"/>
                </w:tcPr>
                <w:p w14:paraId="1455DF81">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1.5</w:t>
                  </w:r>
                </w:p>
              </w:tc>
              <w:tc>
                <w:tcPr>
                  <w:tcW w:w="510" w:type="dxa"/>
                  <w:shd w:val="clear" w:color="auto" w:fill="auto"/>
                  <w:vAlign w:val="center"/>
                </w:tcPr>
                <w:p w14:paraId="02FAAEAC">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5</w:t>
                  </w:r>
                </w:p>
              </w:tc>
              <w:tc>
                <w:tcPr>
                  <w:tcW w:w="510" w:type="dxa"/>
                  <w:shd w:val="clear" w:color="auto" w:fill="auto"/>
                  <w:vAlign w:val="center"/>
                </w:tcPr>
                <w:p w14:paraId="4DF34E0D">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66</w:t>
                  </w:r>
                </w:p>
              </w:tc>
              <w:tc>
                <w:tcPr>
                  <w:tcW w:w="510" w:type="dxa"/>
                  <w:vMerge w:val="continue"/>
                  <w:shd w:val="clear" w:color="auto" w:fill="auto"/>
                  <w:vAlign w:val="center"/>
                </w:tcPr>
                <w:p w14:paraId="60FB6231">
                  <w:pPr>
                    <w:widowControl/>
                    <w:spacing w:line="360" w:lineRule="auto"/>
                    <w:jc w:val="center"/>
                    <w:rPr>
                      <w:rFonts w:hint="eastAsia" w:ascii="Times New Roman" w:hAnsi="Times New Roman" w:eastAsia="宋体" w:cs="Times New Roman"/>
                      <w:color w:val="auto"/>
                      <w:kern w:val="2"/>
                      <w:sz w:val="18"/>
                      <w:szCs w:val="18"/>
                      <w:lang w:val="en-US" w:eastAsia="zh-CN" w:bidi="ar-SA"/>
                    </w:rPr>
                  </w:pPr>
                </w:p>
              </w:tc>
              <w:tc>
                <w:tcPr>
                  <w:tcW w:w="510" w:type="dxa"/>
                  <w:shd w:val="clear" w:color="auto" w:fill="auto"/>
                  <w:vAlign w:val="center"/>
                </w:tcPr>
                <w:p w14:paraId="15BD149E">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bCs/>
                      <w:color w:val="auto"/>
                      <w:kern w:val="0"/>
                      <w:sz w:val="18"/>
                      <w:szCs w:val="18"/>
                      <w:lang w:val="en-US" w:eastAsia="zh-CN"/>
                    </w:rPr>
                    <w:t>20</w:t>
                  </w:r>
                </w:p>
              </w:tc>
              <w:tc>
                <w:tcPr>
                  <w:tcW w:w="510" w:type="dxa"/>
                  <w:shd w:val="clear" w:color="auto" w:fill="auto"/>
                  <w:vAlign w:val="center"/>
                </w:tcPr>
                <w:p w14:paraId="6BE0FC69">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46</w:t>
                  </w:r>
                </w:p>
              </w:tc>
              <w:tc>
                <w:tcPr>
                  <w:tcW w:w="516" w:type="dxa"/>
                  <w:shd w:val="clear" w:color="auto" w:fill="auto"/>
                  <w:vAlign w:val="center"/>
                </w:tcPr>
                <w:p w14:paraId="52F7ED42">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ascii="Times New Roman" w:hAnsi="Times New Roman" w:cs="Times New Roman"/>
                      <w:bCs/>
                      <w:color w:val="auto"/>
                      <w:sz w:val="18"/>
                      <w:szCs w:val="18"/>
                    </w:rPr>
                    <w:t>1</w:t>
                  </w:r>
                </w:p>
              </w:tc>
            </w:tr>
            <w:tr w14:paraId="7DE7AE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shd w:val="clear" w:color="auto" w:fill="auto"/>
                  <w:vAlign w:val="center"/>
                </w:tcPr>
                <w:p w14:paraId="07EB6A78">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eastAsia="宋体" w:cs="Times New Roman"/>
                      <w:bCs/>
                      <w:color w:val="auto"/>
                      <w:sz w:val="18"/>
                      <w:szCs w:val="18"/>
                      <w:lang w:val="en-US" w:eastAsia="zh-CN" w:bidi="ar-SA"/>
                    </w:rPr>
                    <w:t>32</w:t>
                  </w:r>
                </w:p>
              </w:tc>
              <w:tc>
                <w:tcPr>
                  <w:tcW w:w="450" w:type="dxa"/>
                  <w:vMerge w:val="continue"/>
                  <w:shd w:val="clear" w:color="auto" w:fill="auto"/>
                  <w:vAlign w:val="center"/>
                </w:tcPr>
                <w:p w14:paraId="58B1379D">
                  <w:pPr>
                    <w:pStyle w:val="47"/>
                    <w:widowControl/>
                    <w:spacing w:line="360" w:lineRule="auto"/>
                    <w:rPr>
                      <w:rFonts w:hint="eastAsia" w:ascii="Times New Roman" w:hAnsi="Times New Roman" w:eastAsia="宋体" w:cs="Times New Roman"/>
                      <w:bCs/>
                      <w:color w:val="auto"/>
                      <w:sz w:val="18"/>
                      <w:szCs w:val="18"/>
                      <w:lang w:val="en-US" w:eastAsia="zh-CN" w:bidi="ar-SA"/>
                    </w:rPr>
                  </w:pPr>
                </w:p>
              </w:tc>
              <w:tc>
                <w:tcPr>
                  <w:tcW w:w="1152" w:type="dxa"/>
                  <w:shd w:val="clear" w:color="auto" w:fill="auto"/>
                  <w:vAlign w:val="center"/>
                </w:tcPr>
                <w:p w14:paraId="3CAF87A9">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烘干箱</w:t>
                  </w:r>
                </w:p>
              </w:tc>
              <w:tc>
                <w:tcPr>
                  <w:tcW w:w="420" w:type="dxa"/>
                  <w:shd w:val="clear" w:color="auto" w:fill="auto"/>
                  <w:vAlign w:val="center"/>
                </w:tcPr>
                <w:p w14:paraId="42EA6845">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snapToGrid w:val="0"/>
                      <w:color w:val="auto"/>
                      <w:sz w:val="18"/>
                      <w:szCs w:val="18"/>
                      <w:lang w:val="en-US" w:eastAsia="zh-CN"/>
                    </w:rPr>
                    <w:t>75</w:t>
                  </w:r>
                </w:p>
              </w:tc>
              <w:tc>
                <w:tcPr>
                  <w:tcW w:w="465" w:type="dxa"/>
                  <w:shd w:val="clear" w:color="auto" w:fill="auto"/>
                  <w:vAlign w:val="center"/>
                </w:tcPr>
                <w:p w14:paraId="298E30BD">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snapToGrid w:val="0"/>
                      <w:color w:val="auto"/>
                      <w:sz w:val="18"/>
                      <w:szCs w:val="18"/>
                      <w:lang w:val="en-US" w:eastAsia="zh-CN"/>
                    </w:rPr>
                    <w:t>1</w:t>
                  </w:r>
                </w:p>
              </w:tc>
              <w:tc>
                <w:tcPr>
                  <w:tcW w:w="498" w:type="dxa"/>
                  <w:vMerge w:val="continue"/>
                  <w:shd w:val="clear" w:color="auto" w:fill="auto"/>
                  <w:vAlign w:val="center"/>
                </w:tcPr>
                <w:p w14:paraId="657C1B8D">
                  <w:pPr>
                    <w:widowControl/>
                    <w:spacing w:line="360" w:lineRule="auto"/>
                    <w:jc w:val="center"/>
                    <w:rPr>
                      <w:rFonts w:hint="eastAsia" w:ascii="Times New Roman" w:hAnsi="Times New Roman" w:eastAsia="宋体" w:cs="Times New Roman"/>
                      <w:color w:val="auto"/>
                      <w:kern w:val="2"/>
                      <w:sz w:val="18"/>
                      <w:szCs w:val="18"/>
                      <w:lang w:val="en-US" w:eastAsia="zh-CN" w:bidi="ar-SA"/>
                    </w:rPr>
                  </w:pPr>
                </w:p>
              </w:tc>
              <w:tc>
                <w:tcPr>
                  <w:tcW w:w="510" w:type="dxa"/>
                  <w:shd w:val="clear" w:color="auto" w:fill="auto"/>
                  <w:vAlign w:val="center"/>
                </w:tcPr>
                <w:p w14:paraId="4CF02328">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-22</w:t>
                  </w:r>
                </w:p>
              </w:tc>
              <w:tc>
                <w:tcPr>
                  <w:tcW w:w="510" w:type="dxa"/>
                  <w:shd w:val="clear" w:color="auto" w:fill="auto"/>
                  <w:vAlign w:val="center"/>
                </w:tcPr>
                <w:p w14:paraId="0B87E048">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10</w:t>
                  </w:r>
                </w:p>
              </w:tc>
              <w:tc>
                <w:tcPr>
                  <w:tcW w:w="510" w:type="dxa"/>
                  <w:shd w:val="clear" w:color="auto" w:fill="auto"/>
                  <w:vAlign w:val="center"/>
                </w:tcPr>
                <w:p w14:paraId="48C56AEB">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1.5</w:t>
                  </w:r>
                </w:p>
              </w:tc>
              <w:tc>
                <w:tcPr>
                  <w:tcW w:w="510" w:type="dxa"/>
                  <w:shd w:val="clear" w:color="auto" w:fill="auto"/>
                  <w:vAlign w:val="center"/>
                </w:tcPr>
                <w:p w14:paraId="6077E852">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4</w:t>
                  </w:r>
                </w:p>
              </w:tc>
              <w:tc>
                <w:tcPr>
                  <w:tcW w:w="510" w:type="dxa"/>
                  <w:shd w:val="clear" w:color="auto" w:fill="auto"/>
                  <w:vAlign w:val="center"/>
                </w:tcPr>
                <w:p w14:paraId="62688464">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67</w:t>
                  </w:r>
                </w:p>
              </w:tc>
              <w:tc>
                <w:tcPr>
                  <w:tcW w:w="510" w:type="dxa"/>
                  <w:vMerge w:val="continue"/>
                  <w:shd w:val="clear" w:color="auto" w:fill="auto"/>
                  <w:vAlign w:val="center"/>
                </w:tcPr>
                <w:p w14:paraId="4A77FDB6">
                  <w:pPr>
                    <w:widowControl/>
                    <w:spacing w:line="360" w:lineRule="auto"/>
                    <w:jc w:val="center"/>
                    <w:rPr>
                      <w:rFonts w:hint="eastAsia" w:ascii="Times New Roman" w:hAnsi="Times New Roman" w:eastAsia="宋体" w:cs="Times New Roman"/>
                      <w:color w:val="auto"/>
                      <w:kern w:val="2"/>
                      <w:sz w:val="18"/>
                      <w:szCs w:val="18"/>
                      <w:lang w:val="en-US" w:eastAsia="zh-CN" w:bidi="ar-SA"/>
                    </w:rPr>
                  </w:pPr>
                </w:p>
              </w:tc>
              <w:tc>
                <w:tcPr>
                  <w:tcW w:w="510" w:type="dxa"/>
                  <w:shd w:val="clear" w:color="auto" w:fill="auto"/>
                  <w:vAlign w:val="center"/>
                </w:tcPr>
                <w:p w14:paraId="1270DEEF">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bCs/>
                      <w:color w:val="auto"/>
                      <w:kern w:val="0"/>
                      <w:sz w:val="18"/>
                      <w:szCs w:val="18"/>
                      <w:lang w:val="en-US" w:eastAsia="zh-CN"/>
                    </w:rPr>
                    <w:t>20</w:t>
                  </w:r>
                </w:p>
              </w:tc>
              <w:tc>
                <w:tcPr>
                  <w:tcW w:w="510" w:type="dxa"/>
                  <w:shd w:val="clear" w:color="auto" w:fill="auto"/>
                  <w:vAlign w:val="center"/>
                </w:tcPr>
                <w:p w14:paraId="61D756B8">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57</w:t>
                  </w:r>
                </w:p>
              </w:tc>
              <w:tc>
                <w:tcPr>
                  <w:tcW w:w="516" w:type="dxa"/>
                  <w:shd w:val="clear" w:color="auto" w:fill="auto"/>
                  <w:vAlign w:val="center"/>
                </w:tcPr>
                <w:p w14:paraId="172EA4AE">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ascii="Times New Roman" w:hAnsi="Times New Roman" w:cs="Times New Roman"/>
                      <w:bCs/>
                      <w:color w:val="auto"/>
                      <w:sz w:val="18"/>
                      <w:szCs w:val="18"/>
                    </w:rPr>
                    <w:t>1</w:t>
                  </w:r>
                </w:p>
              </w:tc>
            </w:tr>
            <w:tr w14:paraId="4CC1DB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3" w:type="dxa"/>
                  <w:shd w:val="clear" w:color="auto" w:fill="auto"/>
                  <w:vAlign w:val="center"/>
                </w:tcPr>
                <w:p w14:paraId="3D9ECF00">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eastAsia="宋体" w:cs="Times New Roman"/>
                      <w:bCs/>
                      <w:color w:val="auto"/>
                      <w:sz w:val="18"/>
                      <w:szCs w:val="18"/>
                      <w:lang w:val="en-US" w:eastAsia="zh-CN" w:bidi="ar-SA"/>
                    </w:rPr>
                    <w:t>33</w:t>
                  </w:r>
                </w:p>
              </w:tc>
              <w:tc>
                <w:tcPr>
                  <w:tcW w:w="450" w:type="dxa"/>
                  <w:vMerge w:val="continue"/>
                  <w:shd w:val="clear" w:color="auto" w:fill="auto"/>
                  <w:vAlign w:val="center"/>
                </w:tcPr>
                <w:p w14:paraId="1B759EE1">
                  <w:pPr>
                    <w:pStyle w:val="47"/>
                    <w:widowControl/>
                    <w:spacing w:line="360" w:lineRule="auto"/>
                    <w:rPr>
                      <w:rFonts w:hint="eastAsia" w:ascii="Times New Roman" w:hAnsi="Times New Roman" w:eastAsia="宋体" w:cs="Times New Roman"/>
                      <w:bCs/>
                      <w:color w:val="auto"/>
                      <w:sz w:val="18"/>
                      <w:szCs w:val="18"/>
                      <w:lang w:val="en-US" w:eastAsia="zh-CN" w:bidi="ar-SA"/>
                    </w:rPr>
                  </w:pPr>
                </w:p>
              </w:tc>
              <w:tc>
                <w:tcPr>
                  <w:tcW w:w="1152" w:type="dxa"/>
                  <w:shd w:val="clear" w:color="auto" w:fill="auto"/>
                  <w:vAlign w:val="center"/>
                </w:tcPr>
                <w:p w14:paraId="1B78CC3B">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烘干箱</w:t>
                  </w:r>
                </w:p>
              </w:tc>
              <w:tc>
                <w:tcPr>
                  <w:tcW w:w="420" w:type="dxa"/>
                  <w:shd w:val="clear" w:color="auto" w:fill="auto"/>
                  <w:vAlign w:val="center"/>
                </w:tcPr>
                <w:p w14:paraId="4B09E265">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snapToGrid w:val="0"/>
                      <w:color w:val="auto"/>
                      <w:sz w:val="18"/>
                      <w:szCs w:val="18"/>
                      <w:lang w:val="en-US" w:eastAsia="zh-CN"/>
                    </w:rPr>
                    <w:t>75</w:t>
                  </w:r>
                </w:p>
              </w:tc>
              <w:tc>
                <w:tcPr>
                  <w:tcW w:w="465" w:type="dxa"/>
                  <w:shd w:val="clear" w:color="auto" w:fill="auto"/>
                  <w:vAlign w:val="center"/>
                </w:tcPr>
                <w:p w14:paraId="1BD136A3">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snapToGrid w:val="0"/>
                      <w:color w:val="auto"/>
                      <w:sz w:val="18"/>
                      <w:szCs w:val="18"/>
                      <w:lang w:val="en-US" w:eastAsia="zh-CN"/>
                    </w:rPr>
                    <w:t>1</w:t>
                  </w:r>
                </w:p>
              </w:tc>
              <w:tc>
                <w:tcPr>
                  <w:tcW w:w="498" w:type="dxa"/>
                  <w:vMerge w:val="continue"/>
                  <w:shd w:val="clear" w:color="auto" w:fill="auto"/>
                  <w:vAlign w:val="center"/>
                </w:tcPr>
                <w:p w14:paraId="3135F847">
                  <w:pPr>
                    <w:widowControl/>
                    <w:spacing w:line="360" w:lineRule="auto"/>
                    <w:jc w:val="center"/>
                    <w:rPr>
                      <w:rFonts w:hint="eastAsia" w:ascii="Times New Roman" w:hAnsi="Times New Roman" w:eastAsia="宋体" w:cs="Times New Roman"/>
                      <w:color w:val="auto"/>
                      <w:kern w:val="2"/>
                      <w:sz w:val="18"/>
                      <w:szCs w:val="18"/>
                      <w:lang w:val="en-US" w:eastAsia="zh-CN" w:bidi="ar-SA"/>
                    </w:rPr>
                  </w:pPr>
                </w:p>
              </w:tc>
              <w:tc>
                <w:tcPr>
                  <w:tcW w:w="510" w:type="dxa"/>
                  <w:shd w:val="clear" w:color="auto" w:fill="auto"/>
                  <w:vAlign w:val="center"/>
                </w:tcPr>
                <w:p w14:paraId="17168B93">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-20</w:t>
                  </w:r>
                </w:p>
              </w:tc>
              <w:tc>
                <w:tcPr>
                  <w:tcW w:w="510" w:type="dxa"/>
                  <w:shd w:val="clear" w:color="auto" w:fill="auto"/>
                  <w:vAlign w:val="center"/>
                </w:tcPr>
                <w:p w14:paraId="1B51D814">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6</w:t>
                  </w:r>
                </w:p>
              </w:tc>
              <w:tc>
                <w:tcPr>
                  <w:tcW w:w="510" w:type="dxa"/>
                  <w:shd w:val="clear" w:color="auto" w:fill="auto"/>
                  <w:vAlign w:val="center"/>
                </w:tcPr>
                <w:p w14:paraId="57BA7AC1">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1.5</w:t>
                  </w:r>
                </w:p>
              </w:tc>
              <w:tc>
                <w:tcPr>
                  <w:tcW w:w="510" w:type="dxa"/>
                  <w:shd w:val="clear" w:color="auto" w:fill="auto"/>
                  <w:vAlign w:val="center"/>
                </w:tcPr>
                <w:p w14:paraId="52AD6DA7">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4</w:t>
                  </w:r>
                </w:p>
              </w:tc>
              <w:tc>
                <w:tcPr>
                  <w:tcW w:w="510" w:type="dxa"/>
                  <w:shd w:val="clear" w:color="auto" w:fill="auto"/>
                  <w:vAlign w:val="center"/>
                </w:tcPr>
                <w:p w14:paraId="010F3F3D">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67</w:t>
                  </w:r>
                </w:p>
              </w:tc>
              <w:tc>
                <w:tcPr>
                  <w:tcW w:w="510" w:type="dxa"/>
                  <w:vMerge w:val="continue"/>
                  <w:shd w:val="clear" w:color="auto" w:fill="auto"/>
                  <w:vAlign w:val="center"/>
                </w:tcPr>
                <w:p w14:paraId="19C84E34">
                  <w:pPr>
                    <w:widowControl/>
                    <w:spacing w:line="360" w:lineRule="auto"/>
                    <w:jc w:val="center"/>
                    <w:rPr>
                      <w:rFonts w:hint="eastAsia" w:ascii="Times New Roman" w:hAnsi="Times New Roman" w:eastAsia="宋体" w:cs="Times New Roman"/>
                      <w:color w:val="auto"/>
                      <w:kern w:val="2"/>
                      <w:sz w:val="18"/>
                      <w:szCs w:val="18"/>
                      <w:lang w:val="en-US" w:eastAsia="zh-CN" w:bidi="ar-SA"/>
                    </w:rPr>
                  </w:pPr>
                </w:p>
              </w:tc>
              <w:tc>
                <w:tcPr>
                  <w:tcW w:w="510" w:type="dxa"/>
                  <w:shd w:val="clear" w:color="auto" w:fill="auto"/>
                  <w:vAlign w:val="center"/>
                </w:tcPr>
                <w:p w14:paraId="466026A5">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bCs/>
                      <w:color w:val="auto"/>
                      <w:kern w:val="0"/>
                      <w:sz w:val="18"/>
                      <w:szCs w:val="18"/>
                      <w:lang w:val="en-US" w:eastAsia="zh-CN"/>
                    </w:rPr>
                    <w:t>20</w:t>
                  </w:r>
                </w:p>
              </w:tc>
              <w:tc>
                <w:tcPr>
                  <w:tcW w:w="510" w:type="dxa"/>
                  <w:shd w:val="clear" w:color="auto" w:fill="auto"/>
                  <w:vAlign w:val="center"/>
                </w:tcPr>
                <w:p w14:paraId="5B9AA0E3">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57</w:t>
                  </w:r>
                </w:p>
              </w:tc>
              <w:tc>
                <w:tcPr>
                  <w:tcW w:w="516" w:type="dxa"/>
                  <w:shd w:val="clear" w:color="auto" w:fill="auto"/>
                  <w:vAlign w:val="center"/>
                </w:tcPr>
                <w:p w14:paraId="34A3130C">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ascii="Times New Roman" w:hAnsi="Times New Roman" w:cs="Times New Roman"/>
                      <w:bCs/>
                      <w:color w:val="auto"/>
                      <w:sz w:val="18"/>
                      <w:szCs w:val="18"/>
                    </w:rPr>
                    <w:t>1</w:t>
                  </w:r>
                </w:p>
              </w:tc>
            </w:tr>
            <w:tr w14:paraId="26A544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shd w:val="clear" w:color="auto" w:fill="auto"/>
                  <w:vAlign w:val="center"/>
                </w:tcPr>
                <w:p w14:paraId="5E9FB580">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eastAsia="宋体" w:cs="Times New Roman"/>
                      <w:bCs/>
                      <w:color w:val="auto"/>
                      <w:sz w:val="18"/>
                      <w:szCs w:val="18"/>
                      <w:lang w:val="en-US" w:eastAsia="zh-CN" w:bidi="ar-SA"/>
                    </w:rPr>
                    <w:t>34</w:t>
                  </w:r>
                </w:p>
              </w:tc>
              <w:tc>
                <w:tcPr>
                  <w:tcW w:w="450" w:type="dxa"/>
                  <w:vMerge w:val="continue"/>
                  <w:shd w:val="clear" w:color="auto" w:fill="auto"/>
                  <w:vAlign w:val="center"/>
                </w:tcPr>
                <w:p w14:paraId="166C6E41">
                  <w:pPr>
                    <w:pStyle w:val="47"/>
                    <w:widowControl/>
                    <w:spacing w:line="360" w:lineRule="auto"/>
                    <w:rPr>
                      <w:rFonts w:hint="eastAsia" w:ascii="Times New Roman" w:hAnsi="Times New Roman" w:eastAsia="宋体" w:cs="Times New Roman"/>
                      <w:bCs/>
                      <w:color w:val="auto"/>
                      <w:sz w:val="18"/>
                      <w:szCs w:val="18"/>
                      <w:lang w:val="en-US" w:eastAsia="zh-CN" w:bidi="ar-SA"/>
                    </w:rPr>
                  </w:pPr>
                </w:p>
              </w:tc>
              <w:tc>
                <w:tcPr>
                  <w:tcW w:w="0" w:type="auto"/>
                  <w:shd w:val="clear" w:color="auto" w:fill="auto"/>
                  <w:vAlign w:val="center"/>
                </w:tcPr>
                <w:p w14:paraId="17BC3EBD">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烘干箱</w:t>
                  </w:r>
                </w:p>
              </w:tc>
              <w:tc>
                <w:tcPr>
                  <w:tcW w:w="420" w:type="dxa"/>
                  <w:shd w:val="clear" w:color="auto" w:fill="auto"/>
                  <w:vAlign w:val="center"/>
                </w:tcPr>
                <w:p w14:paraId="3A08B128">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snapToGrid w:val="0"/>
                      <w:color w:val="auto"/>
                      <w:sz w:val="18"/>
                      <w:szCs w:val="18"/>
                      <w:lang w:val="en-US" w:eastAsia="zh-CN"/>
                    </w:rPr>
                    <w:t>75</w:t>
                  </w:r>
                </w:p>
              </w:tc>
              <w:tc>
                <w:tcPr>
                  <w:tcW w:w="465" w:type="dxa"/>
                  <w:shd w:val="clear" w:color="auto" w:fill="auto"/>
                  <w:vAlign w:val="center"/>
                </w:tcPr>
                <w:p w14:paraId="40DC2D72">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snapToGrid w:val="0"/>
                      <w:color w:val="auto"/>
                      <w:sz w:val="18"/>
                      <w:szCs w:val="18"/>
                      <w:lang w:val="en-US" w:eastAsia="zh-CN"/>
                    </w:rPr>
                    <w:t>1</w:t>
                  </w:r>
                </w:p>
              </w:tc>
              <w:tc>
                <w:tcPr>
                  <w:tcW w:w="498" w:type="dxa"/>
                  <w:vMerge w:val="continue"/>
                  <w:shd w:val="clear" w:color="auto" w:fill="auto"/>
                  <w:vAlign w:val="center"/>
                </w:tcPr>
                <w:p w14:paraId="091C5794">
                  <w:pPr>
                    <w:widowControl/>
                    <w:spacing w:line="360" w:lineRule="auto"/>
                    <w:jc w:val="center"/>
                    <w:rPr>
                      <w:rFonts w:hint="eastAsia" w:ascii="Times New Roman" w:hAnsi="Times New Roman" w:eastAsia="宋体" w:cs="Times New Roman"/>
                      <w:color w:val="auto"/>
                      <w:kern w:val="2"/>
                      <w:sz w:val="18"/>
                      <w:szCs w:val="18"/>
                      <w:lang w:val="en-US" w:eastAsia="zh-CN" w:bidi="ar-SA"/>
                    </w:rPr>
                  </w:pPr>
                </w:p>
              </w:tc>
              <w:tc>
                <w:tcPr>
                  <w:tcW w:w="510" w:type="dxa"/>
                  <w:shd w:val="clear" w:color="auto" w:fill="auto"/>
                  <w:vAlign w:val="center"/>
                </w:tcPr>
                <w:p w14:paraId="4AC97007">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-19</w:t>
                  </w:r>
                </w:p>
              </w:tc>
              <w:tc>
                <w:tcPr>
                  <w:tcW w:w="510" w:type="dxa"/>
                  <w:shd w:val="clear" w:color="auto" w:fill="auto"/>
                  <w:vAlign w:val="center"/>
                </w:tcPr>
                <w:p w14:paraId="362AE0BD">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4</w:t>
                  </w:r>
                </w:p>
              </w:tc>
              <w:tc>
                <w:tcPr>
                  <w:tcW w:w="0" w:type="auto"/>
                  <w:shd w:val="clear" w:color="auto" w:fill="auto"/>
                  <w:vAlign w:val="center"/>
                </w:tcPr>
                <w:p w14:paraId="591573F0">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1.5</w:t>
                  </w:r>
                </w:p>
              </w:tc>
              <w:tc>
                <w:tcPr>
                  <w:tcW w:w="510" w:type="dxa"/>
                  <w:shd w:val="clear" w:color="auto" w:fill="auto"/>
                  <w:vAlign w:val="center"/>
                </w:tcPr>
                <w:p w14:paraId="30A10D24">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4</w:t>
                  </w:r>
                </w:p>
              </w:tc>
              <w:tc>
                <w:tcPr>
                  <w:tcW w:w="510" w:type="dxa"/>
                  <w:shd w:val="clear" w:color="auto" w:fill="auto"/>
                  <w:vAlign w:val="center"/>
                </w:tcPr>
                <w:p w14:paraId="0CB86749">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67</w:t>
                  </w:r>
                </w:p>
              </w:tc>
              <w:tc>
                <w:tcPr>
                  <w:tcW w:w="510" w:type="dxa"/>
                  <w:vMerge w:val="continue"/>
                  <w:shd w:val="clear" w:color="auto" w:fill="auto"/>
                  <w:vAlign w:val="center"/>
                </w:tcPr>
                <w:p w14:paraId="255F08AE">
                  <w:pPr>
                    <w:widowControl/>
                    <w:spacing w:line="360" w:lineRule="auto"/>
                    <w:jc w:val="center"/>
                    <w:rPr>
                      <w:rFonts w:hint="eastAsia" w:ascii="Times New Roman" w:hAnsi="Times New Roman" w:eastAsia="宋体" w:cs="Times New Roman"/>
                      <w:color w:val="auto"/>
                      <w:kern w:val="2"/>
                      <w:sz w:val="18"/>
                      <w:szCs w:val="18"/>
                      <w:lang w:val="en-US" w:eastAsia="zh-CN" w:bidi="ar-SA"/>
                    </w:rPr>
                  </w:pPr>
                </w:p>
              </w:tc>
              <w:tc>
                <w:tcPr>
                  <w:tcW w:w="0" w:type="auto"/>
                  <w:shd w:val="clear" w:color="auto" w:fill="auto"/>
                  <w:vAlign w:val="center"/>
                </w:tcPr>
                <w:p w14:paraId="12180CC0">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bCs/>
                      <w:color w:val="auto"/>
                      <w:kern w:val="0"/>
                      <w:sz w:val="18"/>
                      <w:szCs w:val="18"/>
                      <w:lang w:val="en-US" w:eastAsia="zh-CN"/>
                    </w:rPr>
                    <w:t>20</w:t>
                  </w:r>
                </w:p>
              </w:tc>
              <w:tc>
                <w:tcPr>
                  <w:tcW w:w="510" w:type="dxa"/>
                  <w:shd w:val="clear" w:color="auto" w:fill="auto"/>
                  <w:vAlign w:val="center"/>
                </w:tcPr>
                <w:p w14:paraId="63B0ED88">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57</w:t>
                  </w:r>
                </w:p>
              </w:tc>
              <w:tc>
                <w:tcPr>
                  <w:tcW w:w="516" w:type="dxa"/>
                  <w:shd w:val="clear" w:color="auto" w:fill="auto"/>
                  <w:vAlign w:val="center"/>
                </w:tcPr>
                <w:p w14:paraId="71B90C58">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ascii="Times New Roman" w:hAnsi="Times New Roman" w:cs="Times New Roman"/>
                      <w:bCs/>
                      <w:color w:val="auto"/>
                      <w:sz w:val="18"/>
                      <w:szCs w:val="18"/>
                    </w:rPr>
                    <w:t>1</w:t>
                  </w:r>
                </w:p>
              </w:tc>
            </w:tr>
            <w:tr w14:paraId="4313C8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shd w:val="clear" w:color="auto" w:fill="auto"/>
                  <w:vAlign w:val="center"/>
                </w:tcPr>
                <w:p w14:paraId="309DB78B">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eastAsia="宋体" w:cs="Times New Roman"/>
                      <w:bCs/>
                      <w:color w:val="auto"/>
                      <w:sz w:val="18"/>
                      <w:szCs w:val="18"/>
                      <w:lang w:val="en-US" w:eastAsia="zh-CN" w:bidi="ar-SA"/>
                    </w:rPr>
                    <w:t>35</w:t>
                  </w:r>
                </w:p>
              </w:tc>
              <w:tc>
                <w:tcPr>
                  <w:tcW w:w="450" w:type="dxa"/>
                  <w:vMerge w:val="continue"/>
                  <w:shd w:val="clear" w:color="auto" w:fill="auto"/>
                  <w:vAlign w:val="center"/>
                </w:tcPr>
                <w:p w14:paraId="62594F47">
                  <w:pPr>
                    <w:pStyle w:val="47"/>
                    <w:widowControl/>
                    <w:spacing w:line="360" w:lineRule="auto"/>
                    <w:rPr>
                      <w:rFonts w:hint="eastAsia" w:ascii="Times New Roman" w:hAnsi="Times New Roman" w:eastAsia="宋体" w:cs="Times New Roman"/>
                      <w:bCs/>
                      <w:color w:val="auto"/>
                      <w:sz w:val="18"/>
                      <w:szCs w:val="18"/>
                      <w:lang w:val="en-US" w:eastAsia="zh-CN" w:bidi="ar-SA"/>
                    </w:rPr>
                  </w:pPr>
                </w:p>
              </w:tc>
              <w:tc>
                <w:tcPr>
                  <w:tcW w:w="0" w:type="auto"/>
                  <w:shd w:val="clear" w:color="auto" w:fill="auto"/>
                  <w:vAlign w:val="center"/>
                </w:tcPr>
                <w:p w14:paraId="78E1EF4E">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烘干箱</w:t>
                  </w:r>
                </w:p>
              </w:tc>
              <w:tc>
                <w:tcPr>
                  <w:tcW w:w="420" w:type="dxa"/>
                  <w:shd w:val="clear" w:color="auto" w:fill="auto"/>
                  <w:vAlign w:val="center"/>
                </w:tcPr>
                <w:p w14:paraId="72752E49">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snapToGrid w:val="0"/>
                      <w:color w:val="auto"/>
                      <w:sz w:val="18"/>
                      <w:szCs w:val="18"/>
                      <w:lang w:val="en-US" w:eastAsia="zh-CN"/>
                    </w:rPr>
                    <w:t>75</w:t>
                  </w:r>
                </w:p>
              </w:tc>
              <w:tc>
                <w:tcPr>
                  <w:tcW w:w="465" w:type="dxa"/>
                  <w:shd w:val="clear" w:color="auto" w:fill="auto"/>
                  <w:vAlign w:val="center"/>
                </w:tcPr>
                <w:p w14:paraId="34659409">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snapToGrid w:val="0"/>
                      <w:color w:val="auto"/>
                      <w:sz w:val="18"/>
                      <w:szCs w:val="18"/>
                      <w:lang w:val="en-US" w:eastAsia="zh-CN"/>
                    </w:rPr>
                    <w:t>1</w:t>
                  </w:r>
                </w:p>
              </w:tc>
              <w:tc>
                <w:tcPr>
                  <w:tcW w:w="498" w:type="dxa"/>
                  <w:vMerge w:val="continue"/>
                  <w:shd w:val="clear" w:color="auto" w:fill="auto"/>
                  <w:vAlign w:val="center"/>
                </w:tcPr>
                <w:p w14:paraId="0A7D8546">
                  <w:pPr>
                    <w:widowControl/>
                    <w:spacing w:line="360" w:lineRule="auto"/>
                    <w:jc w:val="center"/>
                    <w:rPr>
                      <w:rFonts w:hint="eastAsia" w:ascii="Times New Roman" w:hAnsi="Times New Roman" w:eastAsia="宋体" w:cs="Times New Roman"/>
                      <w:color w:val="auto"/>
                      <w:kern w:val="2"/>
                      <w:sz w:val="18"/>
                      <w:szCs w:val="18"/>
                      <w:lang w:val="en-US" w:eastAsia="zh-CN" w:bidi="ar-SA"/>
                    </w:rPr>
                  </w:pPr>
                </w:p>
              </w:tc>
              <w:tc>
                <w:tcPr>
                  <w:tcW w:w="510" w:type="dxa"/>
                  <w:shd w:val="clear" w:color="auto" w:fill="auto"/>
                  <w:vAlign w:val="center"/>
                </w:tcPr>
                <w:p w14:paraId="190A6904">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-17</w:t>
                  </w:r>
                </w:p>
              </w:tc>
              <w:tc>
                <w:tcPr>
                  <w:tcW w:w="510" w:type="dxa"/>
                  <w:shd w:val="clear" w:color="auto" w:fill="auto"/>
                  <w:vAlign w:val="center"/>
                </w:tcPr>
                <w:p w14:paraId="2173C20F">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1</w:t>
                  </w:r>
                </w:p>
              </w:tc>
              <w:tc>
                <w:tcPr>
                  <w:tcW w:w="0" w:type="auto"/>
                  <w:shd w:val="clear" w:color="auto" w:fill="auto"/>
                  <w:vAlign w:val="center"/>
                </w:tcPr>
                <w:p w14:paraId="58A24C1F">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1.5</w:t>
                  </w:r>
                </w:p>
              </w:tc>
              <w:tc>
                <w:tcPr>
                  <w:tcW w:w="510" w:type="dxa"/>
                  <w:shd w:val="clear" w:color="auto" w:fill="auto"/>
                  <w:vAlign w:val="center"/>
                </w:tcPr>
                <w:p w14:paraId="1C94723F">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1</w:t>
                  </w:r>
                </w:p>
              </w:tc>
              <w:tc>
                <w:tcPr>
                  <w:tcW w:w="510" w:type="dxa"/>
                  <w:shd w:val="clear" w:color="auto" w:fill="auto"/>
                  <w:vAlign w:val="center"/>
                </w:tcPr>
                <w:p w14:paraId="4EB40149">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75</w:t>
                  </w:r>
                </w:p>
              </w:tc>
              <w:tc>
                <w:tcPr>
                  <w:tcW w:w="510" w:type="dxa"/>
                  <w:vMerge w:val="continue"/>
                  <w:shd w:val="clear" w:color="auto" w:fill="auto"/>
                  <w:vAlign w:val="center"/>
                </w:tcPr>
                <w:p w14:paraId="4F5F7A87">
                  <w:pPr>
                    <w:widowControl/>
                    <w:spacing w:line="360" w:lineRule="auto"/>
                    <w:jc w:val="center"/>
                    <w:rPr>
                      <w:rFonts w:hint="eastAsia" w:ascii="Times New Roman" w:hAnsi="Times New Roman" w:eastAsia="宋体" w:cs="Times New Roman"/>
                      <w:color w:val="auto"/>
                      <w:kern w:val="2"/>
                      <w:sz w:val="18"/>
                      <w:szCs w:val="18"/>
                      <w:lang w:val="en-US" w:eastAsia="zh-CN" w:bidi="ar-SA"/>
                    </w:rPr>
                  </w:pPr>
                </w:p>
              </w:tc>
              <w:tc>
                <w:tcPr>
                  <w:tcW w:w="0" w:type="auto"/>
                  <w:shd w:val="clear" w:color="auto" w:fill="auto"/>
                  <w:vAlign w:val="center"/>
                </w:tcPr>
                <w:p w14:paraId="3BC90C97">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bCs/>
                      <w:color w:val="auto"/>
                      <w:kern w:val="0"/>
                      <w:sz w:val="18"/>
                      <w:szCs w:val="18"/>
                      <w:lang w:val="en-US" w:eastAsia="zh-CN"/>
                    </w:rPr>
                    <w:t>20</w:t>
                  </w:r>
                </w:p>
              </w:tc>
              <w:tc>
                <w:tcPr>
                  <w:tcW w:w="510" w:type="dxa"/>
                  <w:shd w:val="clear" w:color="auto" w:fill="auto"/>
                  <w:vAlign w:val="center"/>
                </w:tcPr>
                <w:p w14:paraId="1A82C546">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55</w:t>
                  </w:r>
                </w:p>
              </w:tc>
              <w:tc>
                <w:tcPr>
                  <w:tcW w:w="516" w:type="dxa"/>
                  <w:shd w:val="clear" w:color="auto" w:fill="auto"/>
                  <w:vAlign w:val="center"/>
                </w:tcPr>
                <w:p w14:paraId="0B191439">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ascii="Times New Roman" w:hAnsi="Times New Roman" w:cs="Times New Roman"/>
                      <w:bCs/>
                      <w:color w:val="auto"/>
                      <w:sz w:val="18"/>
                      <w:szCs w:val="18"/>
                    </w:rPr>
                    <w:t>1</w:t>
                  </w:r>
                </w:p>
              </w:tc>
            </w:tr>
            <w:tr w14:paraId="4295AB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shd w:val="clear" w:color="auto" w:fill="auto"/>
                  <w:vAlign w:val="center"/>
                </w:tcPr>
                <w:p w14:paraId="453D0306">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eastAsia="宋体" w:cs="Times New Roman"/>
                      <w:bCs/>
                      <w:color w:val="auto"/>
                      <w:sz w:val="18"/>
                      <w:szCs w:val="18"/>
                      <w:lang w:val="en-US" w:eastAsia="zh-CN" w:bidi="ar-SA"/>
                    </w:rPr>
                    <w:t>36</w:t>
                  </w:r>
                </w:p>
              </w:tc>
              <w:tc>
                <w:tcPr>
                  <w:tcW w:w="450" w:type="dxa"/>
                  <w:vMerge w:val="continue"/>
                  <w:shd w:val="clear" w:color="auto" w:fill="auto"/>
                  <w:vAlign w:val="center"/>
                </w:tcPr>
                <w:p w14:paraId="1E475022">
                  <w:pPr>
                    <w:pStyle w:val="47"/>
                    <w:widowControl/>
                    <w:spacing w:line="360" w:lineRule="auto"/>
                    <w:rPr>
                      <w:rFonts w:hint="eastAsia" w:ascii="Times New Roman" w:hAnsi="Times New Roman" w:eastAsia="宋体" w:cs="Times New Roman"/>
                      <w:bCs/>
                      <w:color w:val="auto"/>
                      <w:sz w:val="18"/>
                      <w:szCs w:val="18"/>
                      <w:lang w:val="en-US" w:eastAsia="zh-CN" w:bidi="ar-SA"/>
                    </w:rPr>
                  </w:pPr>
                </w:p>
              </w:tc>
              <w:tc>
                <w:tcPr>
                  <w:tcW w:w="0" w:type="auto"/>
                  <w:shd w:val="clear" w:color="auto" w:fill="auto"/>
                  <w:vAlign w:val="center"/>
                </w:tcPr>
                <w:p w14:paraId="387C4D7C">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烘干箱</w:t>
                  </w:r>
                </w:p>
              </w:tc>
              <w:tc>
                <w:tcPr>
                  <w:tcW w:w="420" w:type="dxa"/>
                  <w:shd w:val="clear" w:color="auto" w:fill="auto"/>
                  <w:vAlign w:val="center"/>
                </w:tcPr>
                <w:p w14:paraId="39209221">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snapToGrid w:val="0"/>
                      <w:color w:val="auto"/>
                      <w:sz w:val="18"/>
                      <w:szCs w:val="18"/>
                      <w:lang w:val="en-US" w:eastAsia="zh-CN"/>
                    </w:rPr>
                    <w:t>75</w:t>
                  </w:r>
                </w:p>
              </w:tc>
              <w:tc>
                <w:tcPr>
                  <w:tcW w:w="465" w:type="dxa"/>
                  <w:shd w:val="clear" w:color="auto" w:fill="auto"/>
                  <w:vAlign w:val="center"/>
                </w:tcPr>
                <w:p w14:paraId="19A81AEF">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snapToGrid w:val="0"/>
                      <w:color w:val="auto"/>
                      <w:sz w:val="18"/>
                      <w:szCs w:val="18"/>
                      <w:lang w:val="en-US" w:eastAsia="zh-CN"/>
                    </w:rPr>
                    <w:t>1</w:t>
                  </w:r>
                </w:p>
              </w:tc>
              <w:tc>
                <w:tcPr>
                  <w:tcW w:w="498" w:type="dxa"/>
                  <w:vMerge w:val="continue"/>
                  <w:shd w:val="clear" w:color="auto" w:fill="auto"/>
                  <w:vAlign w:val="center"/>
                </w:tcPr>
                <w:p w14:paraId="2370C4B0">
                  <w:pPr>
                    <w:widowControl/>
                    <w:spacing w:line="360" w:lineRule="auto"/>
                    <w:jc w:val="center"/>
                    <w:rPr>
                      <w:rFonts w:hint="eastAsia" w:ascii="Times New Roman" w:hAnsi="Times New Roman" w:eastAsia="宋体" w:cs="Times New Roman"/>
                      <w:color w:val="auto"/>
                      <w:kern w:val="2"/>
                      <w:sz w:val="18"/>
                      <w:szCs w:val="18"/>
                      <w:lang w:val="en-US" w:eastAsia="zh-CN" w:bidi="ar-SA"/>
                    </w:rPr>
                  </w:pPr>
                </w:p>
              </w:tc>
              <w:tc>
                <w:tcPr>
                  <w:tcW w:w="510" w:type="dxa"/>
                  <w:shd w:val="clear" w:color="auto" w:fill="auto"/>
                  <w:vAlign w:val="center"/>
                </w:tcPr>
                <w:p w14:paraId="1FC4CA60">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-18</w:t>
                  </w:r>
                </w:p>
              </w:tc>
              <w:tc>
                <w:tcPr>
                  <w:tcW w:w="510" w:type="dxa"/>
                  <w:shd w:val="clear" w:color="auto" w:fill="auto"/>
                  <w:vAlign w:val="center"/>
                </w:tcPr>
                <w:p w14:paraId="6D55A43B">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-5</w:t>
                  </w:r>
                </w:p>
              </w:tc>
              <w:tc>
                <w:tcPr>
                  <w:tcW w:w="0" w:type="auto"/>
                  <w:shd w:val="clear" w:color="auto" w:fill="auto"/>
                  <w:vAlign w:val="center"/>
                </w:tcPr>
                <w:p w14:paraId="0D619CB0">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1.5</w:t>
                  </w:r>
                </w:p>
              </w:tc>
              <w:tc>
                <w:tcPr>
                  <w:tcW w:w="510" w:type="dxa"/>
                  <w:shd w:val="clear" w:color="auto" w:fill="auto"/>
                  <w:vAlign w:val="center"/>
                </w:tcPr>
                <w:p w14:paraId="577E8F2F">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1</w:t>
                  </w:r>
                </w:p>
              </w:tc>
              <w:tc>
                <w:tcPr>
                  <w:tcW w:w="510" w:type="dxa"/>
                  <w:shd w:val="clear" w:color="auto" w:fill="auto"/>
                  <w:vAlign w:val="center"/>
                </w:tcPr>
                <w:p w14:paraId="20E2BF53">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75</w:t>
                  </w:r>
                </w:p>
              </w:tc>
              <w:tc>
                <w:tcPr>
                  <w:tcW w:w="510" w:type="dxa"/>
                  <w:vMerge w:val="continue"/>
                  <w:shd w:val="clear" w:color="auto" w:fill="auto"/>
                  <w:vAlign w:val="center"/>
                </w:tcPr>
                <w:p w14:paraId="0DB6F17C">
                  <w:pPr>
                    <w:widowControl/>
                    <w:spacing w:line="360" w:lineRule="auto"/>
                    <w:jc w:val="center"/>
                    <w:rPr>
                      <w:rFonts w:hint="eastAsia" w:ascii="Times New Roman" w:hAnsi="Times New Roman" w:eastAsia="宋体" w:cs="Times New Roman"/>
                      <w:color w:val="auto"/>
                      <w:kern w:val="2"/>
                      <w:sz w:val="18"/>
                      <w:szCs w:val="18"/>
                      <w:lang w:val="en-US" w:eastAsia="zh-CN" w:bidi="ar-SA"/>
                    </w:rPr>
                  </w:pPr>
                </w:p>
              </w:tc>
              <w:tc>
                <w:tcPr>
                  <w:tcW w:w="0" w:type="auto"/>
                  <w:shd w:val="clear" w:color="auto" w:fill="auto"/>
                  <w:vAlign w:val="center"/>
                </w:tcPr>
                <w:p w14:paraId="40BE8D45">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bCs/>
                      <w:color w:val="auto"/>
                      <w:kern w:val="0"/>
                      <w:sz w:val="18"/>
                      <w:szCs w:val="18"/>
                      <w:lang w:val="en-US" w:eastAsia="zh-CN"/>
                    </w:rPr>
                    <w:t>20</w:t>
                  </w:r>
                </w:p>
              </w:tc>
              <w:tc>
                <w:tcPr>
                  <w:tcW w:w="510" w:type="dxa"/>
                  <w:shd w:val="clear" w:color="auto" w:fill="auto"/>
                  <w:vAlign w:val="center"/>
                </w:tcPr>
                <w:p w14:paraId="5D061073">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55</w:t>
                  </w:r>
                </w:p>
              </w:tc>
              <w:tc>
                <w:tcPr>
                  <w:tcW w:w="516" w:type="dxa"/>
                  <w:shd w:val="clear" w:color="auto" w:fill="auto"/>
                  <w:vAlign w:val="center"/>
                </w:tcPr>
                <w:p w14:paraId="2E853E8F">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ascii="Times New Roman" w:hAnsi="Times New Roman" w:cs="Times New Roman"/>
                      <w:bCs/>
                      <w:color w:val="auto"/>
                      <w:sz w:val="18"/>
                      <w:szCs w:val="18"/>
                    </w:rPr>
                    <w:t>1</w:t>
                  </w:r>
                </w:p>
              </w:tc>
            </w:tr>
            <w:tr w14:paraId="6B230E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shd w:val="clear" w:color="auto" w:fill="auto"/>
                  <w:vAlign w:val="center"/>
                </w:tcPr>
                <w:p w14:paraId="57B1B346">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eastAsia="宋体" w:cs="Times New Roman"/>
                      <w:bCs/>
                      <w:color w:val="auto"/>
                      <w:sz w:val="18"/>
                      <w:szCs w:val="18"/>
                      <w:lang w:val="en-US" w:eastAsia="zh-CN" w:bidi="ar-SA"/>
                    </w:rPr>
                    <w:t>37</w:t>
                  </w:r>
                </w:p>
              </w:tc>
              <w:tc>
                <w:tcPr>
                  <w:tcW w:w="450" w:type="dxa"/>
                  <w:vMerge w:val="continue"/>
                  <w:shd w:val="clear" w:color="auto" w:fill="auto"/>
                  <w:vAlign w:val="center"/>
                </w:tcPr>
                <w:p w14:paraId="09BF8B37">
                  <w:pPr>
                    <w:pStyle w:val="47"/>
                    <w:widowControl/>
                    <w:spacing w:line="360" w:lineRule="auto"/>
                    <w:rPr>
                      <w:rFonts w:hint="eastAsia" w:ascii="Times New Roman" w:hAnsi="Times New Roman" w:eastAsia="宋体" w:cs="Times New Roman"/>
                      <w:bCs/>
                      <w:color w:val="auto"/>
                      <w:sz w:val="18"/>
                      <w:szCs w:val="18"/>
                      <w:lang w:val="en-US" w:eastAsia="zh-CN" w:bidi="ar-SA"/>
                    </w:rPr>
                  </w:pPr>
                </w:p>
              </w:tc>
              <w:tc>
                <w:tcPr>
                  <w:tcW w:w="0" w:type="auto"/>
                  <w:shd w:val="clear" w:color="auto" w:fill="auto"/>
                  <w:vAlign w:val="center"/>
                </w:tcPr>
                <w:p w14:paraId="433EE094">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烘干箱</w:t>
                  </w:r>
                </w:p>
              </w:tc>
              <w:tc>
                <w:tcPr>
                  <w:tcW w:w="420" w:type="dxa"/>
                  <w:shd w:val="clear" w:color="auto" w:fill="auto"/>
                  <w:vAlign w:val="center"/>
                </w:tcPr>
                <w:p w14:paraId="7BA79F75">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snapToGrid w:val="0"/>
                      <w:color w:val="auto"/>
                      <w:sz w:val="18"/>
                      <w:szCs w:val="18"/>
                      <w:lang w:val="en-US" w:eastAsia="zh-CN"/>
                    </w:rPr>
                    <w:t>75</w:t>
                  </w:r>
                </w:p>
              </w:tc>
              <w:tc>
                <w:tcPr>
                  <w:tcW w:w="465" w:type="dxa"/>
                  <w:shd w:val="clear" w:color="auto" w:fill="auto"/>
                  <w:vAlign w:val="center"/>
                </w:tcPr>
                <w:p w14:paraId="0104C6D7">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snapToGrid w:val="0"/>
                      <w:color w:val="auto"/>
                      <w:sz w:val="18"/>
                      <w:szCs w:val="18"/>
                      <w:lang w:val="en-US" w:eastAsia="zh-CN"/>
                    </w:rPr>
                    <w:t>1</w:t>
                  </w:r>
                </w:p>
              </w:tc>
              <w:tc>
                <w:tcPr>
                  <w:tcW w:w="498" w:type="dxa"/>
                  <w:vMerge w:val="continue"/>
                  <w:shd w:val="clear" w:color="auto" w:fill="auto"/>
                  <w:vAlign w:val="center"/>
                </w:tcPr>
                <w:p w14:paraId="0237A5EC">
                  <w:pPr>
                    <w:widowControl/>
                    <w:spacing w:line="360" w:lineRule="auto"/>
                    <w:jc w:val="center"/>
                    <w:rPr>
                      <w:rFonts w:hint="eastAsia" w:ascii="Times New Roman" w:hAnsi="Times New Roman" w:eastAsia="宋体" w:cs="Times New Roman"/>
                      <w:color w:val="auto"/>
                      <w:kern w:val="2"/>
                      <w:sz w:val="18"/>
                      <w:szCs w:val="18"/>
                      <w:lang w:val="en-US" w:eastAsia="zh-CN" w:bidi="ar-SA"/>
                    </w:rPr>
                  </w:pPr>
                </w:p>
              </w:tc>
              <w:tc>
                <w:tcPr>
                  <w:tcW w:w="510" w:type="dxa"/>
                  <w:shd w:val="clear" w:color="auto" w:fill="auto"/>
                  <w:vAlign w:val="center"/>
                </w:tcPr>
                <w:p w14:paraId="39054AE3">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-19</w:t>
                  </w:r>
                </w:p>
              </w:tc>
              <w:tc>
                <w:tcPr>
                  <w:tcW w:w="510" w:type="dxa"/>
                  <w:shd w:val="clear" w:color="auto" w:fill="auto"/>
                  <w:vAlign w:val="center"/>
                </w:tcPr>
                <w:p w14:paraId="297E802A">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-7</w:t>
                  </w:r>
                </w:p>
              </w:tc>
              <w:tc>
                <w:tcPr>
                  <w:tcW w:w="0" w:type="auto"/>
                  <w:shd w:val="clear" w:color="auto" w:fill="auto"/>
                  <w:vAlign w:val="center"/>
                </w:tcPr>
                <w:p w14:paraId="5C157AC6">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1.5</w:t>
                  </w:r>
                </w:p>
              </w:tc>
              <w:tc>
                <w:tcPr>
                  <w:tcW w:w="510" w:type="dxa"/>
                  <w:shd w:val="clear" w:color="auto" w:fill="auto"/>
                  <w:vAlign w:val="center"/>
                </w:tcPr>
                <w:p w14:paraId="5275133F">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2</w:t>
                  </w:r>
                </w:p>
              </w:tc>
              <w:tc>
                <w:tcPr>
                  <w:tcW w:w="510" w:type="dxa"/>
                  <w:shd w:val="clear" w:color="auto" w:fill="auto"/>
                  <w:vAlign w:val="center"/>
                </w:tcPr>
                <w:p w14:paraId="7D23AA2B">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74</w:t>
                  </w:r>
                </w:p>
              </w:tc>
              <w:tc>
                <w:tcPr>
                  <w:tcW w:w="510" w:type="dxa"/>
                  <w:vMerge w:val="continue"/>
                  <w:shd w:val="clear" w:color="auto" w:fill="auto"/>
                  <w:vAlign w:val="center"/>
                </w:tcPr>
                <w:p w14:paraId="2ECD0706">
                  <w:pPr>
                    <w:widowControl/>
                    <w:spacing w:line="360" w:lineRule="auto"/>
                    <w:jc w:val="center"/>
                    <w:rPr>
                      <w:rFonts w:hint="eastAsia" w:ascii="Times New Roman" w:hAnsi="Times New Roman" w:eastAsia="宋体" w:cs="Times New Roman"/>
                      <w:color w:val="auto"/>
                      <w:kern w:val="2"/>
                      <w:sz w:val="18"/>
                      <w:szCs w:val="18"/>
                      <w:lang w:val="en-US" w:eastAsia="zh-CN" w:bidi="ar-SA"/>
                    </w:rPr>
                  </w:pPr>
                </w:p>
              </w:tc>
              <w:tc>
                <w:tcPr>
                  <w:tcW w:w="0" w:type="auto"/>
                  <w:shd w:val="clear" w:color="auto" w:fill="auto"/>
                  <w:vAlign w:val="center"/>
                </w:tcPr>
                <w:p w14:paraId="276D0302">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bCs/>
                      <w:color w:val="auto"/>
                      <w:kern w:val="0"/>
                      <w:sz w:val="18"/>
                      <w:szCs w:val="18"/>
                      <w:lang w:val="en-US" w:eastAsia="zh-CN"/>
                    </w:rPr>
                    <w:t>20</w:t>
                  </w:r>
                </w:p>
              </w:tc>
              <w:tc>
                <w:tcPr>
                  <w:tcW w:w="510" w:type="dxa"/>
                  <w:shd w:val="clear" w:color="auto" w:fill="auto"/>
                  <w:vAlign w:val="center"/>
                </w:tcPr>
                <w:p w14:paraId="4997628A">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54</w:t>
                  </w:r>
                </w:p>
              </w:tc>
              <w:tc>
                <w:tcPr>
                  <w:tcW w:w="516" w:type="dxa"/>
                  <w:shd w:val="clear" w:color="auto" w:fill="auto"/>
                  <w:vAlign w:val="center"/>
                </w:tcPr>
                <w:p w14:paraId="4FF7BF87">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ascii="Times New Roman" w:hAnsi="Times New Roman" w:cs="Times New Roman"/>
                      <w:bCs/>
                      <w:color w:val="auto"/>
                      <w:sz w:val="18"/>
                      <w:szCs w:val="18"/>
                    </w:rPr>
                    <w:t>1</w:t>
                  </w:r>
                </w:p>
              </w:tc>
            </w:tr>
            <w:tr w14:paraId="0B6ACA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shd w:val="clear" w:color="auto" w:fill="auto"/>
                  <w:vAlign w:val="center"/>
                </w:tcPr>
                <w:p w14:paraId="47B436A2">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eastAsia="宋体" w:cs="Times New Roman"/>
                      <w:bCs/>
                      <w:color w:val="auto"/>
                      <w:sz w:val="18"/>
                      <w:szCs w:val="18"/>
                      <w:lang w:val="en-US" w:eastAsia="zh-CN" w:bidi="ar-SA"/>
                    </w:rPr>
                    <w:t>38</w:t>
                  </w:r>
                </w:p>
              </w:tc>
              <w:tc>
                <w:tcPr>
                  <w:tcW w:w="450" w:type="dxa"/>
                  <w:vMerge w:val="continue"/>
                  <w:shd w:val="clear" w:color="auto" w:fill="auto"/>
                  <w:vAlign w:val="center"/>
                </w:tcPr>
                <w:p w14:paraId="5072A4E2">
                  <w:pPr>
                    <w:pStyle w:val="47"/>
                    <w:widowControl/>
                    <w:spacing w:line="360" w:lineRule="auto"/>
                    <w:rPr>
                      <w:rFonts w:hint="eastAsia" w:ascii="Times New Roman" w:hAnsi="Times New Roman" w:eastAsia="宋体" w:cs="Times New Roman"/>
                      <w:bCs/>
                      <w:color w:val="auto"/>
                      <w:sz w:val="18"/>
                      <w:szCs w:val="18"/>
                      <w:lang w:val="en-US" w:eastAsia="zh-CN" w:bidi="ar-SA"/>
                    </w:rPr>
                  </w:pPr>
                </w:p>
              </w:tc>
              <w:tc>
                <w:tcPr>
                  <w:tcW w:w="0" w:type="auto"/>
                  <w:shd w:val="clear" w:color="auto" w:fill="auto"/>
                  <w:vAlign w:val="center"/>
                </w:tcPr>
                <w:p w14:paraId="2AEFF4D7">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烘干箱</w:t>
                  </w:r>
                </w:p>
              </w:tc>
              <w:tc>
                <w:tcPr>
                  <w:tcW w:w="420" w:type="dxa"/>
                  <w:shd w:val="clear" w:color="auto" w:fill="auto"/>
                  <w:vAlign w:val="center"/>
                </w:tcPr>
                <w:p w14:paraId="037FE316">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snapToGrid w:val="0"/>
                      <w:color w:val="auto"/>
                      <w:sz w:val="18"/>
                      <w:szCs w:val="18"/>
                      <w:lang w:val="en-US" w:eastAsia="zh-CN"/>
                    </w:rPr>
                    <w:t>75</w:t>
                  </w:r>
                </w:p>
              </w:tc>
              <w:tc>
                <w:tcPr>
                  <w:tcW w:w="465" w:type="dxa"/>
                  <w:shd w:val="clear" w:color="auto" w:fill="auto"/>
                  <w:vAlign w:val="center"/>
                </w:tcPr>
                <w:p w14:paraId="717524B6">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snapToGrid w:val="0"/>
                      <w:color w:val="auto"/>
                      <w:sz w:val="18"/>
                      <w:szCs w:val="18"/>
                      <w:lang w:val="en-US" w:eastAsia="zh-CN"/>
                    </w:rPr>
                    <w:t>1</w:t>
                  </w:r>
                </w:p>
              </w:tc>
              <w:tc>
                <w:tcPr>
                  <w:tcW w:w="498" w:type="dxa"/>
                  <w:vMerge w:val="continue"/>
                  <w:shd w:val="clear" w:color="auto" w:fill="auto"/>
                  <w:vAlign w:val="center"/>
                </w:tcPr>
                <w:p w14:paraId="01C4DE54">
                  <w:pPr>
                    <w:widowControl/>
                    <w:spacing w:line="360" w:lineRule="auto"/>
                    <w:jc w:val="center"/>
                    <w:rPr>
                      <w:rFonts w:hint="eastAsia" w:ascii="Times New Roman" w:hAnsi="Times New Roman" w:eastAsia="宋体" w:cs="Times New Roman"/>
                      <w:color w:val="auto"/>
                      <w:kern w:val="2"/>
                      <w:sz w:val="18"/>
                      <w:szCs w:val="18"/>
                      <w:lang w:val="en-US" w:eastAsia="zh-CN" w:bidi="ar-SA"/>
                    </w:rPr>
                  </w:pPr>
                </w:p>
              </w:tc>
              <w:tc>
                <w:tcPr>
                  <w:tcW w:w="510" w:type="dxa"/>
                  <w:shd w:val="clear" w:color="auto" w:fill="auto"/>
                  <w:vAlign w:val="center"/>
                </w:tcPr>
                <w:p w14:paraId="05A95457">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-22</w:t>
                  </w:r>
                </w:p>
              </w:tc>
              <w:tc>
                <w:tcPr>
                  <w:tcW w:w="510" w:type="dxa"/>
                  <w:shd w:val="clear" w:color="auto" w:fill="auto"/>
                  <w:vAlign w:val="center"/>
                </w:tcPr>
                <w:p w14:paraId="2091085F">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-8</w:t>
                  </w:r>
                </w:p>
              </w:tc>
              <w:tc>
                <w:tcPr>
                  <w:tcW w:w="0" w:type="auto"/>
                  <w:shd w:val="clear" w:color="auto" w:fill="auto"/>
                  <w:vAlign w:val="center"/>
                </w:tcPr>
                <w:p w14:paraId="668497F4">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1.5</w:t>
                  </w:r>
                </w:p>
              </w:tc>
              <w:tc>
                <w:tcPr>
                  <w:tcW w:w="510" w:type="dxa"/>
                  <w:shd w:val="clear" w:color="auto" w:fill="auto"/>
                  <w:vAlign w:val="center"/>
                </w:tcPr>
                <w:p w14:paraId="04940ADA">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5</w:t>
                  </w:r>
                </w:p>
              </w:tc>
              <w:tc>
                <w:tcPr>
                  <w:tcW w:w="510" w:type="dxa"/>
                  <w:shd w:val="clear" w:color="auto" w:fill="auto"/>
                  <w:vAlign w:val="center"/>
                </w:tcPr>
                <w:p w14:paraId="3151E36A">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66</w:t>
                  </w:r>
                </w:p>
              </w:tc>
              <w:tc>
                <w:tcPr>
                  <w:tcW w:w="510" w:type="dxa"/>
                  <w:vMerge w:val="continue"/>
                  <w:shd w:val="clear" w:color="auto" w:fill="auto"/>
                  <w:vAlign w:val="center"/>
                </w:tcPr>
                <w:p w14:paraId="2EB0A15C">
                  <w:pPr>
                    <w:widowControl/>
                    <w:spacing w:line="360" w:lineRule="auto"/>
                    <w:jc w:val="center"/>
                    <w:rPr>
                      <w:rFonts w:hint="eastAsia" w:ascii="Times New Roman" w:hAnsi="Times New Roman" w:eastAsia="宋体" w:cs="Times New Roman"/>
                      <w:color w:val="auto"/>
                      <w:kern w:val="2"/>
                      <w:sz w:val="18"/>
                      <w:szCs w:val="18"/>
                      <w:lang w:val="en-US" w:eastAsia="zh-CN" w:bidi="ar-SA"/>
                    </w:rPr>
                  </w:pPr>
                </w:p>
              </w:tc>
              <w:tc>
                <w:tcPr>
                  <w:tcW w:w="0" w:type="auto"/>
                  <w:shd w:val="clear" w:color="auto" w:fill="auto"/>
                  <w:vAlign w:val="center"/>
                </w:tcPr>
                <w:p w14:paraId="0D4336EA">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bCs/>
                      <w:color w:val="auto"/>
                      <w:kern w:val="0"/>
                      <w:sz w:val="18"/>
                      <w:szCs w:val="18"/>
                      <w:lang w:val="en-US" w:eastAsia="zh-CN"/>
                    </w:rPr>
                    <w:t>20</w:t>
                  </w:r>
                </w:p>
              </w:tc>
              <w:tc>
                <w:tcPr>
                  <w:tcW w:w="510" w:type="dxa"/>
                  <w:shd w:val="clear" w:color="auto" w:fill="auto"/>
                  <w:vAlign w:val="center"/>
                </w:tcPr>
                <w:p w14:paraId="6D9B1295">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46</w:t>
                  </w:r>
                </w:p>
              </w:tc>
              <w:tc>
                <w:tcPr>
                  <w:tcW w:w="516" w:type="dxa"/>
                  <w:shd w:val="clear" w:color="auto" w:fill="auto"/>
                  <w:vAlign w:val="center"/>
                </w:tcPr>
                <w:p w14:paraId="6A00F595">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ascii="Times New Roman" w:hAnsi="Times New Roman" w:cs="Times New Roman"/>
                      <w:bCs/>
                      <w:color w:val="auto"/>
                      <w:sz w:val="18"/>
                      <w:szCs w:val="18"/>
                    </w:rPr>
                    <w:t>1</w:t>
                  </w:r>
                </w:p>
              </w:tc>
            </w:tr>
            <w:tr w14:paraId="307E13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shd w:val="clear" w:color="auto" w:fill="auto"/>
                  <w:vAlign w:val="center"/>
                </w:tcPr>
                <w:p w14:paraId="1391A254">
                  <w:pPr>
                    <w:pStyle w:val="47"/>
                    <w:widowControl/>
                    <w:spacing w:line="360" w:lineRule="auto"/>
                    <w:rPr>
                      <w:rFonts w:hint="default" w:ascii="Times New Roman" w:hAnsi="Times New Roman" w:eastAsia="宋体" w:cs="Times New Roman"/>
                      <w:bCs/>
                      <w:color w:val="auto"/>
                      <w:sz w:val="18"/>
                      <w:szCs w:val="18"/>
                      <w:lang w:val="en-US" w:eastAsia="zh-CN" w:bidi="ar-SA"/>
                    </w:rPr>
                  </w:pPr>
                  <w:r>
                    <w:rPr>
                      <w:rFonts w:hint="eastAsia" w:ascii="Times New Roman" w:hAnsi="Times New Roman" w:eastAsia="宋体" w:cs="Times New Roman"/>
                      <w:bCs/>
                      <w:color w:val="auto"/>
                      <w:sz w:val="18"/>
                      <w:szCs w:val="18"/>
                      <w:lang w:val="en-US" w:eastAsia="zh-CN" w:bidi="ar-SA"/>
                    </w:rPr>
                    <w:t>39</w:t>
                  </w:r>
                </w:p>
              </w:tc>
              <w:tc>
                <w:tcPr>
                  <w:tcW w:w="450" w:type="dxa"/>
                  <w:vMerge w:val="continue"/>
                  <w:shd w:val="clear" w:color="auto" w:fill="auto"/>
                  <w:vAlign w:val="center"/>
                </w:tcPr>
                <w:p w14:paraId="7FE13BBC">
                  <w:pPr>
                    <w:pStyle w:val="47"/>
                    <w:widowControl/>
                    <w:spacing w:line="360" w:lineRule="auto"/>
                    <w:rPr>
                      <w:rFonts w:hint="eastAsia" w:ascii="Times New Roman" w:hAnsi="Times New Roman" w:eastAsia="宋体" w:cs="Times New Roman"/>
                      <w:bCs/>
                      <w:color w:val="auto"/>
                      <w:sz w:val="18"/>
                      <w:szCs w:val="18"/>
                      <w:lang w:val="en-US" w:eastAsia="zh-CN" w:bidi="ar-SA"/>
                    </w:rPr>
                  </w:pPr>
                </w:p>
              </w:tc>
              <w:tc>
                <w:tcPr>
                  <w:tcW w:w="0" w:type="auto"/>
                  <w:shd w:val="clear" w:color="auto" w:fill="auto"/>
                  <w:vAlign w:val="center"/>
                </w:tcPr>
                <w:p w14:paraId="011F095C">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烘干箱</w:t>
                  </w:r>
                </w:p>
              </w:tc>
              <w:tc>
                <w:tcPr>
                  <w:tcW w:w="420" w:type="dxa"/>
                  <w:shd w:val="clear" w:color="auto" w:fill="auto"/>
                  <w:vAlign w:val="center"/>
                </w:tcPr>
                <w:p w14:paraId="507D493D">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snapToGrid w:val="0"/>
                      <w:color w:val="auto"/>
                      <w:sz w:val="18"/>
                      <w:szCs w:val="18"/>
                      <w:lang w:val="en-US" w:eastAsia="zh-CN"/>
                    </w:rPr>
                    <w:t>75</w:t>
                  </w:r>
                </w:p>
              </w:tc>
              <w:tc>
                <w:tcPr>
                  <w:tcW w:w="465" w:type="dxa"/>
                  <w:shd w:val="clear" w:color="auto" w:fill="auto"/>
                  <w:vAlign w:val="center"/>
                </w:tcPr>
                <w:p w14:paraId="2DBF551A">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snapToGrid w:val="0"/>
                      <w:color w:val="auto"/>
                      <w:sz w:val="18"/>
                      <w:szCs w:val="18"/>
                      <w:lang w:val="en-US" w:eastAsia="zh-CN"/>
                    </w:rPr>
                    <w:t>1</w:t>
                  </w:r>
                </w:p>
              </w:tc>
              <w:tc>
                <w:tcPr>
                  <w:tcW w:w="498" w:type="dxa"/>
                  <w:vMerge w:val="continue"/>
                  <w:shd w:val="clear" w:color="auto" w:fill="auto"/>
                  <w:vAlign w:val="center"/>
                </w:tcPr>
                <w:p w14:paraId="51ACCED5">
                  <w:pPr>
                    <w:widowControl/>
                    <w:spacing w:line="360" w:lineRule="auto"/>
                    <w:jc w:val="center"/>
                    <w:rPr>
                      <w:rFonts w:hint="eastAsia" w:ascii="Times New Roman" w:hAnsi="Times New Roman" w:eastAsia="宋体" w:cs="Times New Roman"/>
                      <w:color w:val="auto"/>
                      <w:kern w:val="2"/>
                      <w:sz w:val="18"/>
                      <w:szCs w:val="18"/>
                      <w:lang w:val="en-US" w:eastAsia="zh-CN" w:bidi="ar-SA"/>
                    </w:rPr>
                  </w:pPr>
                </w:p>
              </w:tc>
              <w:tc>
                <w:tcPr>
                  <w:tcW w:w="510" w:type="dxa"/>
                  <w:shd w:val="clear" w:color="auto" w:fill="auto"/>
                  <w:vAlign w:val="center"/>
                </w:tcPr>
                <w:p w14:paraId="5334C1AC">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-23</w:t>
                  </w:r>
                </w:p>
              </w:tc>
              <w:tc>
                <w:tcPr>
                  <w:tcW w:w="510" w:type="dxa"/>
                  <w:shd w:val="clear" w:color="auto" w:fill="auto"/>
                  <w:vAlign w:val="center"/>
                </w:tcPr>
                <w:p w14:paraId="29D62DD2">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-10</w:t>
                  </w:r>
                </w:p>
              </w:tc>
              <w:tc>
                <w:tcPr>
                  <w:tcW w:w="0" w:type="auto"/>
                  <w:shd w:val="clear" w:color="auto" w:fill="auto"/>
                  <w:vAlign w:val="center"/>
                </w:tcPr>
                <w:p w14:paraId="15A12288">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1.5</w:t>
                  </w:r>
                </w:p>
              </w:tc>
              <w:tc>
                <w:tcPr>
                  <w:tcW w:w="510" w:type="dxa"/>
                  <w:shd w:val="clear" w:color="auto" w:fill="auto"/>
                  <w:vAlign w:val="center"/>
                </w:tcPr>
                <w:p w14:paraId="238E8F29">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6</w:t>
                  </w:r>
                </w:p>
              </w:tc>
              <w:tc>
                <w:tcPr>
                  <w:tcW w:w="510" w:type="dxa"/>
                  <w:shd w:val="clear" w:color="auto" w:fill="auto"/>
                  <w:vAlign w:val="center"/>
                </w:tcPr>
                <w:p w14:paraId="2F9AD5F2">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63</w:t>
                  </w:r>
                </w:p>
              </w:tc>
              <w:tc>
                <w:tcPr>
                  <w:tcW w:w="510" w:type="dxa"/>
                  <w:vMerge w:val="continue"/>
                  <w:shd w:val="clear" w:color="auto" w:fill="auto"/>
                  <w:vAlign w:val="center"/>
                </w:tcPr>
                <w:p w14:paraId="29277291">
                  <w:pPr>
                    <w:widowControl/>
                    <w:spacing w:line="360" w:lineRule="auto"/>
                    <w:jc w:val="center"/>
                    <w:rPr>
                      <w:rFonts w:hint="eastAsia" w:ascii="Times New Roman" w:hAnsi="Times New Roman" w:eastAsia="宋体" w:cs="Times New Roman"/>
                      <w:color w:val="auto"/>
                      <w:kern w:val="2"/>
                      <w:sz w:val="18"/>
                      <w:szCs w:val="18"/>
                      <w:lang w:val="en-US" w:eastAsia="zh-CN" w:bidi="ar-SA"/>
                    </w:rPr>
                  </w:pPr>
                </w:p>
              </w:tc>
              <w:tc>
                <w:tcPr>
                  <w:tcW w:w="0" w:type="auto"/>
                  <w:shd w:val="clear" w:color="auto" w:fill="auto"/>
                  <w:vAlign w:val="center"/>
                </w:tcPr>
                <w:p w14:paraId="1B716777">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hint="eastAsia"/>
                      <w:bCs/>
                      <w:color w:val="auto"/>
                      <w:kern w:val="0"/>
                      <w:sz w:val="18"/>
                      <w:szCs w:val="18"/>
                      <w:lang w:val="en-US" w:eastAsia="zh-CN"/>
                    </w:rPr>
                    <w:t>20</w:t>
                  </w:r>
                </w:p>
              </w:tc>
              <w:tc>
                <w:tcPr>
                  <w:tcW w:w="510" w:type="dxa"/>
                  <w:shd w:val="clear" w:color="auto" w:fill="auto"/>
                  <w:vAlign w:val="center"/>
                </w:tcPr>
                <w:p w14:paraId="4700F6B6">
                  <w:pPr>
                    <w:widowControl/>
                    <w:spacing w:line="360" w:lineRule="auto"/>
                    <w:jc w:val="center"/>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43</w:t>
                  </w:r>
                </w:p>
              </w:tc>
              <w:tc>
                <w:tcPr>
                  <w:tcW w:w="516" w:type="dxa"/>
                  <w:shd w:val="clear" w:color="auto" w:fill="auto"/>
                  <w:vAlign w:val="center"/>
                </w:tcPr>
                <w:p w14:paraId="0B5FB3D7">
                  <w:pPr>
                    <w:widowControl/>
                    <w:spacing w:line="360" w:lineRule="auto"/>
                    <w:jc w:val="center"/>
                    <w:rPr>
                      <w:rFonts w:hint="eastAsia" w:ascii="Times New Roman" w:hAnsi="Times New Roman" w:eastAsia="宋体" w:cs="Times New Roman"/>
                      <w:color w:val="auto"/>
                      <w:kern w:val="2"/>
                      <w:sz w:val="18"/>
                      <w:szCs w:val="18"/>
                      <w:lang w:val="en-US" w:eastAsia="zh-CN" w:bidi="ar-SA"/>
                    </w:rPr>
                  </w:pPr>
                  <w:r>
                    <w:rPr>
                      <w:rFonts w:ascii="Times New Roman" w:hAnsi="Times New Roman" w:cs="Times New Roman"/>
                      <w:bCs/>
                      <w:color w:val="auto"/>
                      <w:sz w:val="18"/>
                      <w:szCs w:val="18"/>
                    </w:rPr>
                    <w:t>1</w:t>
                  </w:r>
                </w:p>
              </w:tc>
            </w:tr>
          </w:tbl>
          <w:p w14:paraId="1E2C83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lang w:val="en-US" w:eastAsia="zh-CN" w:bidi="ar"/>
              </w:rPr>
            </w:pPr>
            <w:r>
              <w:rPr>
                <w:rFonts w:hint="eastAsia" w:cs="Times New Roman"/>
                <w:color w:val="auto"/>
                <w:sz w:val="24"/>
                <w:highlight w:val="none"/>
                <w:lang w:val="en-US" w:eastAsia="zh-CN" w:bidi="ar"/>
              </w:rPr>
              <w:t>2、</w:t>
            </w:r>
            <w:r>
              <w:rPr>
                <w:rFonts w:hint="default" w:ascii="Times New Roman" w:hAnsi="Times New Roman" w:eastAsia="宋体" w:cs="Times New Roman"/>
                <w:color w:val="auto"/>
                <w:sz w:val="24"/>
                <w:highlight w:val="none"/>
                <w:lang w:val="en-US" w:eastAsia="zh-CN" w:bidi="ar"/>
              </w:rPr>
              <w:t>噪声</w:t>
            </w:r>
            <w:r>
              <w:rPr>
                <w:rFonts w:hint="eastAsia" w:ascii="Times New Roman" w:hAnsi="Times New Roman" w:eastAsia="宋体" w:cs="Times New Roman"/>
                <w:color w:val="auto"/>
                <w:sz w:val="24"/>
                <w:highlight w:val="none"/>
                <w:lang w:val="en-US" w:eastAsia="zh-CN" w:bidi="ar"/>
              </w:rPr>
              <w:t>敏感点预测</w:t>
            </w:r>
          </w:p>
          <w:p w14:paraId="5CBEE27C">
            <w:pPr>
              <w:pStyle w:val="47"/>
              <w:adjustRightInd/>
              <w:spacing w:line="360" w:lineRule="auto"/>
              <w:ind w:firstLine="480" w:firstLineChars="200"/>
              <w:jc w:val="both"/>
              <w:textAlignment w:val="auto"/>
              <w:rPr>
                <w:rFonts w:ascii="Times New Roman" w:hAnsi="Times New Roman"/>
                <w:color w:val="auto"/>
                <w:szCs w:val="24"/>
              </w:rPr>
            </w:pPr>
            <w:r>
              <w:rPr>
                <w:rFonts w:ascii="Times New Roman" w:hAnsi="Times New Roman"/>
                <w:color w:val="auto"/>
                <w:szCs w:val="24"/>
              </w:rPr>
              <w:t>本评价采用《环境影响评价技术导则-声环境》（HJ2.4-2021）中的工业噪声模式预测本项目各噪声源对周围环境的影响。</w:t>
            </w:r>
          </w:p>
          <w:p w14:paraId="4FFF1649">
            <w:pPr>
              <w:widowControl/>
              <w:adjustRightInd w:val="0"/>
              <w:spacing w:line="360" w:lineRule="auto"/>
              <w:ind w:firstLine="480" w:firstLineChars="200"/>
              <w:jc w:val="left"/>
              <w:rPr>
                <w:rFonts w:eastAsiaTheme="minorEastAsia"/>
                <w:color w:val="auto"/>
                <w:sz w:val="24"/>
              </w:rPr>
            </w:pPr>
            <w:r>
              <w:rPr>
                <w:color w:val="auto"/>
                <w:sz w:val="24"/>
              </w:rPr>
              <w:t>根据《环境影响评价技术导则 声环境》（HJ2.4—2021）的要求</w:t>
            </w:r>
            <w:r>
              <w:rPr>
                <w:rFonts w:hint="eastAsia"/>
                <w:color w:val="auto"/>
                <w:sz w:val="24"/>
              </w:rPr>
              <w:t>，</w:t>
            </w:r>
            <w:r>
              <w:rPr>
                <w:color w:val="auto"/>
                <w:sz w:val="24"/>
              </w:rPr>
              <w:t>并结合建设项目声源的噪声排放特点</w:t>
            </w:r>
            <w:r>
              <w:rPr>
                <w:rFonts w:hint="eastAsia"/>
                <w:color w:val="auto"/>
                <w:sz w:val="24"/>
              </w:rPr>
              <w:t>，</w:t>
            </w:r>
            <w:r>
              <w:rPr>
                <w:color w:val="auto"/>
                <w:sz w:val="24"/>
              </w:rPr>
              <w:t>选择点声源预测模式</w:t>
            </w:r>
            <w:r>
              <w:rPr>
                <w:rFonts w:hint="eastAsia"/>
                <w:color w:val="auto"/>
                <w:sz w:val="24"/>
              </w:rPr>
              <w:t>，</w:t>
            </w:r>
            <w:r>
              <w:rPr>
                <w:color w:val="auto"/>
                <w:sz w:val="24"/>
              </w:rPr>
              <w:t>预测本项目运营期设备噪声对</w:t>
            </w:r>
            <w:r>
              <w:rPr>
                <w:rFonts w:hint="eastAsia"/>
                <w:color w:val="auto"/>
                <w:sz w:val="24"/>
                <w:lang w:bidi="ar"/>
              </w:rPr>
              <w:t>环境</w:t>
            </w:r>
            <w:r>
              <w:rPr>
                <w:color w:val="auto"/>
                <w:sz w:val="24"/>
              </w:rPr>
              <w:t>的影响</w:t>
            </w:r>
            <w:r>
              <w:rPr>
                <w:rFonts w:hint="eastAsia"/>
                <w:color w:val="auto"/>
                <w:sz w:val="24"/>
              </w:rPr>
              <w:t>，</w:t>
            </w:r>
            <w:r>
              <w:rPr>
                <w:rFonts w:hAnsiTheme="minorEastAsia" w:eastAsiaTheme="minorEastAsia"/>
                <w:color w:val="auto"/>
                <w:sz w:val="24"/>
              </w:rPr>
              <w:t>具体模式如下</w:t>
            </w:r>
            <w:r>
              <w:rPr>
                <w:rFonts w:hint="eastAsia" w:hAnsiTheme="minorEastAsia" w:eastAsiaTheme="minorEastAsia"/>
                <w:color w:val="auto"/>
                <w:sz w:val="24"/>
              </w:rPr>
              <w:t>：</w:t>
            </w:r>
          </w:p>
          <w:p w14:paraId="7D882A19">
            <w:pPr>
              <w:spacing w:line="360" w:lineRule="auto"/>
              <w:ind w:firstLine="480" w:firstLineChars="200"/>
              <w:rPr>
                <w:rFonts w:eastAsiaTheme="minorEastAsia"/>
                <w:color w:val="auto"/>
                <w:sz w:val="24"/>
              </w:rPr>
            </w:pPr>
            <w:r>
              <w:rPr>
                <w:rFonts w:hAnsiTheme="minorEastAsia" w:eastAsiaTheme="minorEastAsia"/>
                <w:color w:val="auto"/>
                <w:sz w:val="24"/>
              </w:rPr>
              <w:t>（</w:t>
            </w:r>
            <w:r>
              <w:rPr>
                <w:rFonts w:eastAsiaTheme="minorEastAsia"/>
                <w:color w:val="auto"/>
                <w:sz w:val="24"/>
              </w:rPr>
              <w:t>1</w:t>
            </w:r>
            <w:r>
              <w:rPr>
                <w:rFonts w:hAnsiTheme="minorEastAsia" w:eastAsiaTheme="minorEastAsia"/>
                <w:color w:val="auto"/>
                <w:sz w:val="24"/>
              </w:rPr>
              <w:t>）由建设项目自身声源在预测点产生的声级计算公式：</w:t>
            </w:r>
          </w:p>
          <w:p w14:paraId="27D4910D">
            <w:pPr>
              <w:spacing w:line="360" w:lineRule="auto"/>
              <w:jc w:val="center"/>
              <w:rPr>
                <w:rFonts w:eastAsiaTheme="minorEastAsia"/>
                <w:color w:val="auto"/>
                <w:sz w:val="24"/>
              </w:rPr>
            </w:pPr>
            <w:r>
              <w:rPr>
                <w:rFonts w:eastAsiaTheme="minorEastAsia"/>
                <w:color w:val="auto"/>
                <w:sz w:val="24"/>
              </w:rPr>
              <w:drawing>
                <wp:inline distT="0" distB="0" distL="0" distR="0">
                  <wp:extent cx="1837690" cy="466090"/>
                  <wp:effectExtent l="0" t="0" r="0" b="10795"/>
                  <wp:docPr id="9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61"/>
                          <pic:cNvPicPr>
                            <a:picLocks noChangeAspect="1" noChangeArrowheads="1"/>
                          </pic:cNvPicPr>
                        </pic:nvPicPr>
                        <pic:blipFill>
                          <a:blip r:embed="rId21" cstate="print"/>
                          <a:srcRect/>
                          <a:stretch>
                            <a:fillRect/>
                          </a:stretch>
                        </pic:blipFill>
                        <pic:spPr>
                          <a:xfrm>
                            <a:off x="0" y="0"/>
                            <a:ext cx="1837690" cy="466090"/>
                          </a:xfrm>
                          <a:prstGeom prst="rect">
                            <a:avLst/>
                          </a:prstGeom>
                          <a:noFill/>
                          <a:ln w="9525">
                            <a:noFill/>
                            <a:miter lim="800000"/>
                            <a:headEnd/>
                            <a:tailEnd/>
                          </a:ln>
                        </pic:spPr>
                      </pic:pic>
                    </a:graphicData>
                  </a:graphic>
                </wp:inline>
              </w:drawing>
            </w:r>
          </w:p>
          <w:p w14:paraId="5E9E19A4">
            <w:pPr>
              <w:spacing w:line="360" w:lineRule="auto"/>
              <w:ind w:firstLine="480" w:firstLineChars="200"/>
              <w:rPr>
                <w:rFonts w:eastAsiaTheme="minorEastAsia"/>
                <w:color w:val="auto"/>
                <w:sz w:val="24"/>
              </w:rPr>
            </w:pPr>
            <w:r>
              <w:rPr>
                <w:rFonts w:hAnsiTheme="minorEastAsia" w:eastAsiaTheme="minorEastAsia"/>
                <w:color w:val="auto"/>
                <w:sz w:val="24"/>
              </w:rPr>
              <w:t>式中：</w:t>
            </w:r>
            <w:r>
              <w:rPr>
                <w:rFonts w:eastAsiaTheme="minorEastAsia"/>
                <w:color w:val="auto"/>
                <w:sz w:val="24"/>
              </w:rPr>
              <w:t>L</w:t>
            </w:r>
            <w:r>
              <w:rPr>
                <w:rFonts w:eastAsiaTheme="minorEastAsia"/>
                <w:color w:val="auto"/>
                <w:sz w:val="24"/>
                <w:vertAlign w:val="subscript"/>
              </w:rPr>
              <w:t>eqg</w:t>
            </w:r>
            <w:r>
              <w:rPr>
                <w:rFonts w:eastAsiaTheme="minorEastAsia"/>
                <w:color w:val="auto"/>
                <w:sz w:val="24"/>
              </w:rPr>
              <w:t>——</w:t>
            </w:r>
            <w:r>
              <w:rPr>
                <w:rFonts w:hAnsiTheme="minorEastAsia" w:eastAsiaTheme="minorEastAsia"/>
                <w:color w:val="auto"/>
                <w:sz w:val="24"/>
              </w:rPr>
              <w:t>噪声贡献值</w:t>
            </w:r>
            <w:r>
              <w:rPr>
                <w:rFonts w:hint="eastAsia" w:hAnsiTheme="minorEastAsia" w:eastAsiaTheme="minorEastAsia"/>
                <w:color w:val="auto"/>
                <w:sz w:val="24"/>
              </w:rPr>
              <w:t>，</w:t>
            </w:r>
            <w:r>
              <w:rPr>
                <w:rFonts w:eastAsiaTheme="minorEastAsia"/>
                <w:color w:val="auto"/>
                <w:sz w:val="24"/>
              </w:rPr>
              <w:t>dB</w:t>
            </w:r>
            <w:r>
              <w:rPr>
                <w:rFonts w:hAnsiTheme="minorEastAsia" w:eastAsiaTheme="minorEastAsia"/>
                <w:color w:val="auto"/>
                <w:sz w:val="24"/>
              </w:rPr>
              <w:t>；</w:t>
            </w:r>
          </w:p>
          <w:p w14:paraId="5B9232FE">
            <w:pPr>
              <w:spacing w:line="360" w:lineRule="auto"/>
              <w:ind w:firstLine="1200" w:firstLineChars="500"/>
              <w:rPr>
                <w:rFonts w:eastAsiaTheme="minorEastAsia"/>
                <w:color w:val="auto"/>
                <w:sz w:val="24"/>
              </w:rPr>
            </w:pPr>
            <w:r>
              <w:rPr>
                <w:rFonts w:eastAsiaTheme="minorEastAsia"/>
                <w:color w:val="auto"/>
                <w:sz w:val="24"/>
              </w:rPr>
              <w:t>T——</w:t>
            </w:r>
            <w:r>
              <w:rPr>
                <w:rFonts w:hAnsiTheme="minorEastAsia" w:eastAsiaTheme="minorEastAsia"/>
                <w:color w:val="auto"/>
                <w:sz w:val="24"/>
              </w:rPr>
              <w:t>预测计算的时间段</w:t>
            </w:r>
            <w:r>
              <w:rPr>
                <w:rFonts w:hint="eastAsia" w:hAnsiTheme="minorEastAsia" w:eastAsiaTheme="minorEastAsia"/>
                <w:color w:val="auto"/>
                <w:sz w:val="24"/>
              </w:rPr>
              <w:t>，</w:t>
            </w:r>
            <w:r>
              <w:rPr>
                <w:rFonts w:eastAsiaTheme="minorEastAsia"/>
                <w:color w:val="auto"/>
                <w:sz w:val="24"/>
              </w:rPr>
              <w:t>s</w:t>
            </w:r>
            <w:r>
              <w:rPr>
                <w:rFonts w:hAnsiTheme="minorEastAsia" w:eastAsiaTheme="minorEastAsia"/>
                <w:color w:val="auto"/>
                <w:sz w:val="24"/>
              </w:rPr>
              <w:t>；</w:t>
            </w:r>
          </w:p>
          <w:p w14:paraId="3EA2E968">
            <w:pPr>
              <w:spacing w:line="360" w:lineRule="auto"/>
              <w:ind w:firstLine="1200" w:firstLineChars="500"/>
              <w:rPr>
                <w:rFonts w:eastAsiaTheme="minorEastAsia"/>
                <w:color w:val="auto"/>
                <w:sz w:val="24"/>
              </w:rPr>
            </w:pPr>
            <w:r>
              <w:rPr>
                <w:rFonts w:eastAsiaTheme="minorEastAsia"/>
                <w:color w:val="auto"/>
                <w:sz w:val="24"/>
              </w:rPr>
              <w:t>t</w:t>
            </w:r>
            <w:r>
              <w:rPr>
                <w:rFonts w:eastAsiaTheme="minorEastAsia"/>
                <w:color w:val="auto"/>
                <w:sz w:val="24"/>
                <w:vertAlign w:val="subscript"/>
              </w:rPr>
              <w:t>i</w:t>
            </w:r>
            <w:r>
              <w:rPr>
                <w:rFonts w:eastAsiaTheme="minorEastAsia"/>
                <w:color w:val="auto"/>
                <w:sz w:val="24"/>
              </w:rPr>
              <w:t>——i</w:t>
            </w:r>
            <w:r>
              <w:rPr>
                <w:rFonts w:hAnsiTheme="minorEastAsia" w:eastAsiaTheme="minorEastAsia"/>
                <w:color w:val="auto"/>
                <w:sz w:val="24"/>
              </w:rPr>
              <w:t>声源在</w:t>
            </w:r>
            <w:r>
              <w:rPr>
                <w:rFonts w:eastAsiaTheme="minorEastAsia"/>
                <w:color w:val="auto"/>
                <w:sz w:val="24"/>
              </w:rPr>
              <w:t>T</w:t>
            </w:r>
            <w:r>
              <w:rPr>
                <w:rFonts w:hAnsiTheme="minorEastAsia" w:eastAsiaTheme="minorEastAsia"/>
                <w:color w:val="auto"/>
                <w:sz w:val="24"/>
              </w:rPr>
              <w:t>时段内的运行时间</w:t>
            </w:r>
            <w:r>
              <w:rPr>
                <w:rFonts w:hint="eastAsia" w:hAnsiTheme="minorEastAsia" w:eastAsiaTheme="minorEastAsia"/>
                <w:color w:val="auto"/>
                <w:sz w:val="24"/>
              </w:rPr>
              <w:t>，</w:t>
            </w:r>
            <w:r>
              <w:rPr>
                <w:rFonts w:eastAsiaTheme="minorEastAsia"/>
                <w:color w:val="auto"/>
                <w:sz w:val="24"/>
              </w:rPr>
              <w:t>s</w:t>
            </w:r>
            <w:r>
              <w:rPr>
                <w:rFonts w:hAnsiTheme="minorEastAsia" w:eastAsiaTheme="minorEastAsia"/>
                <w:color w:val="auto"/>
                <w:sz w:val="24"/>
              </w:rPr>
              <w:t>；</w:t>
            </w:r>
          </w:p>
          <w:p w14:paraId="2B85B792">
            <w:pPr>
              <w:spacing w:line="360" w:lineRule="auto"/>
              <w:ind w:firstLine="1200" w:firstLineChars="500"/>
              <w:rPr>
                <w:rFonts w:eastAsiaTheme="minorEastAsia"/>
                <w:color w:val="auto"/>
                <w:sz w:val="24"/>
              </w:rPr>
            </w:pPr>
            <w:r>
              <w:rPr>
                <w:rFonts w:eastAsiaTheme="minorEastAsia"/>
                <w:color w:val="auto"/>
                <w:sz w:val="24"/>
              </w:rPr>
              <w:t>L</w:t>
            </w:r>
            <w:r>
              <w:rPr>
                <w:rFonts w:eastAsiaTheme="minorEastAsia"/>
                <w:color w:val="auto"/>
                <w:sz w:val="24"/>
                <w:vertAlign w:val="subscript"/>
              </w:rPr>
              <w:t>Ai</w:t>
            </w:r>
            <w:r>
              <w:rPr>
                <w:rFonts w:eastAsiaTheme="minorEastAsia"/>
                <w:color w:val="auto"/>
                <w:sz w:val="24"/>
              </w:rPr>
              <w:t>——i</w:t>
            </w:r>
            <w:r>
              <w:rPr>
                <w:rFonts w:hAnsiTheme="minorEastAsia" w:eastAsiaTheme="minorEastAsia"/>
                <w:color w:val="auto"/>
                <w:sz w:val="24"/>
              </w:rPr>
              <w:t>声源在预测点产生的等效连续</w:t>
            </w:r>
            <w:r>
              <w:rPr>
                <w:rFonts w:eastAsiaTheme="minorEastAsia"/>
                <w:color w:val="auto"/>
                <w:sz w:val="24"/>
              </w:rPr>
              <w:t>A</w:t>
            </w:r>
            <w:r>
              <w:rPr>
                <w:rFonts w:hAnsiTheme="minorEastAsia" w:eastAsiaTheme="minorEastAsia"/>
                <w:color w:val="auto"/>
                <w:sz w:val="24"/>
              </w:rPr>
              <w:t>声级</w:t>
            </w:r>
            <w:r>
              <w:rPr>
                <w:rFonts w:hint="eastAsia" w:hAnsiTheme="minorEastAsia" w:eastAsiaTheme="minorEastAsia"/>
                <w:color w:val="auto"/>
                <w:sz w:val="24"/>
              </w:rPr>
              <w:t>，</w:t>
            </w:r>
            <w:r>
              <w:rPr>
                <w:rFonts w:eastAsiaTheme="minorEastAsia"/>
                <w:color w:val="auto"/>
                <w:sz w:val="24"/>
              </w:rPr>
              <w:t>dB</w:t>
            </w:r>
            <w:r>
              <w:rPr>
                <w:rFonts w:hAnsiTheme="minorEastAsia" w:eastAsiaTheme="minorEastAsia"/>
                <w:color w:val="auto"/>
                <w:sz w:val="24"/>
              </w:rPr>
              <w:t>。</w:t>
            </w:r>
          </w:p>
          <w:p w14:paraId="6C6DE8EC">
            <w:pPr>
              <w:spacing w:line="360" w:lineRule="auto"/>
              <w:ind w:firstLine="480" w:firstLineChars="200"/>
              <w:rPr>
                <w:rFonts w:eastAsiaTheme="minorEastAsia"/>
                <w:color w:val="auto"/>
                <w:sz w:val="24"/>
              </w:rPr>
            </w:pPr>
            <w:r>
              <w:rPr>
                <w:rFonts w:hAnsiTheme="minorEastAsia" w:eastAsiaTheme="minorEastAsia"/>
                <w:color w:val="auto"/>
                <w:sz w:val="24"/>
              </w:rPr>
              <w:t>（</w:t>
            </w:r>
            <w:r>
              <w:rPr>
                <w:rFonts w:eastAsiaTheme="minorEastAsia"/>
                <w:color w:val="auto"/>
                <w:sz w:val="24"/>
              </w:rPr>
              <w:t>2</w:t>
            </w:r>
            <w:r>
              <w:rPr>
                <w:rFonts w:hAnsiTheme="minorEastAsia" w:eastAsiaTheme="minorEastAsia"/>
                <w:color w:val="auto"/>
                <w:sz w:val="24"/>
              </w:rPr>
              <w:t>）预测点的贡献值和背景值按能量叠加方法计算得到的声级计算公式：</w:t>
            </w:r>
          </w:p>
          <w:p w14:paraId="52B0BA3C">
            <w:pPr>
              <w:spacing w:line="360" w:lineRule="auto"/>
              <w:ind w:firstLine="480" w:firstLineChars="200"/>
              <w:jc w:val="center"/>
              <w:rPr>
                <w:rFonts w:eastAsiaTheme="minorEastAsia"/>
                <w:color w:val="auto"/>
                <w:sz w:val="24"/>
              </w:rPr>
            </w:pPr>
            <w:r>
              <w:rPr>
                <w:rFonts w:eastAsiaTheme="minorEastAsia"/>
                <w:color w:val="auto"/>
                <w:sz w:val="24"/>
              </w:rPr>
              <w:drawing>
                <wp:inline distT="0" distB="0" distL="0" distR="0">
                  <wp:extent cx="2087880" cy="284480"/>
                  <wp:effectExtent l="0" t="0" r="0" b="1270"/>
                  <wp:docPr id="94"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62"/>
                          <pic:cNvPicPr>
                            <a:picLocks noChangeAspect="1" noChangeArrowheads="1"/>
                          </pic:cNvPicPr>
                        </pic:nvPicPr>
                        <pic:blipFill>
                          <a:blip r:embed="rId22" cstate="print"/>
                          <a:srcRect/>
                          <a:stretch>
                            <a:fillRect/>
                          </a:stretch>
                        </pic:blipFill>
                        <pic:spPr>
                          <a:xfrm>
                            <a:off x="0" y="0"/>
                            <a:ext cx="2087880" cy="284480"/>
                          </a:xfrm>
                          <a:prstGeom prst="rect">
                            <a:avLst/>
                          </a:prstGeom>
                          <a:noFill/>
                          <a:ln w="9525">
                            <a:noFill/>
                            <a:miter lim="800000"/>
                            <a:headEnd/>
                            <a:tailEnd/>
                          </a:ln>
                        </pic:spPr>
                      </pic:pic>
                    </a:graphicData>
                  </a:graphic>
                </wp:inline>
              </w:drawing>
            </w:r>
          </w:p>
          <w:p w14:paraId="54C04F5A">
            <w:pPr>
              <w:spacing w:line="360" w:lineRule="auto"/>
              <w:ind w:firstLine="480" w:firstLineChars="200"/>
              <w:rPr>
                <w:rFonts w:eastAsiaTheme="minorEastAsia"/>
                <w:color w:val="auto"/>
                <w:sz w:val="24"/>
              </w:rPr>
            </w:pPr>
            <w:r>
              <w:rPr>
                <w:rFonts w:hAnsiTheme="minorEastAsia" w:eastAsiaTheme="minorEastAsia"/>
                <w:color w:val="auto"/>
                <w:sz w:val="24"/>
              </w:rPr>
              <w:t>式中：</w:t>
            </w:r>
            <w:r>
              <w:rPr>
                <w:rFonts w:eastAsiaTheme="minorEastAsia"/>
                <w:color w:val="auto"/>
                <w:sz w:val="24"/>
              </w:rPr>
              <w:t>L</w:t>
            </w:r>
            <w:r>
              <w:rPr>
                <w:rFonts w:eastAsiaTheme="minorEastAsia"/>
                <w:color w:val="auto"/>
                <w:sz w:val="24"/>
                <w:vertAlign w:val="subscript"/>
              </w:rPr>
              <w:t>eq</w:t>
            </w:r>
            <w:r>
              <w:rPr>
                <w:rFonts w:eastAsiaTheme="minorEastAsia"/>
                <w:color w:val="auto"/>
                <w:sz w:val="24"/>
              </w:rPr>
              <w:t>——</w:t>
            </w:r>
            <w:r>
              <w:rPr>
                <w:rFonts w:hAnsiTheme="minorEastAsia" w:eastAsiaTheme="minorEastAsia"/>
                <w:color w:val="auto"/>
                <w:sz w:val="24"/>
              </w:rPr>
              <w:t>预测点的噪声预测值</w:t>
            </w:r>
            <w:r>
              <w:rPr>
                <w:rFonts w:hint="eastAsia" w:hAnsiTheme="minorEastAsia" w:eastAsiaTheme="minorEastAsia"/>
                <w:color w:val="auto"/>
                <w:sz w:val="24"/>
              </w:rPr>
              <w:t>，</w:t>
            </w:r>
            <w:r>
              <w:rPr>
                <w:rFonts w:eastAsiaTheme="minorEastAsia"/>
                <w:color w:val="auto"/>
                <w:sz w:val="24"/>
              </w:rPr>
              <w:t>dB</w:t>
            </w:r>
            <w:r>
              <w:rPr>
                <w:rFonts w:hAnsiTheme="minorEastAsia" w:eastAsiaTheme="minorEastAsia"/>
                <w:color w:val="auto"/>
                <w:sz w:val="24"/>
              </w:rPr>
              <w:t>；</w:t>
            </w:r>
          </w:p>
          <w:p w14:paraId="7774358C">
            <w:pPr>
              <w:spacing w:line="360" w:lineRule="auto"/>
              <w:ind w:firstLine="1200" w:firstLineChars="500"/>
              <w:rPr>
                <w:rFonts w:eastAsiaTheme="minorEastAsia"/>
                <w:color w:val="auto"/>
                <w:sz w:val="24"/>
              </w:rPr>
            </w:pPr>
            <w:r>
              <w:rPr>
                <w:rFonts w:eastAsiaTheme="minorEastAsia"/>
                <w:color w:val="auto"/>
                <w:sz w:val="24"/>
              </w:rPr>
              <w:t>L</w:t>
            </w:r>
            <w:r>
              <w:rPr>
                <w:rFonts w:eastAsiaTheme="minorEastAsia"/>
                <w:color w:val="auto"/>
                <w:sz w:val="24"/>
                <w:vertAlign w:val="subscript"/>
              </w:rPr>
              <w:t>eqg</w:t>
            </w:r>
            <w:r>
              <w:rPr>
                <w:rFonts w:eastAsiaTheme="minorEastAsia"/>
                <w:color w:val="auto"/>
                <w:sz w:val="24"/>
              </w:rPr>
              <w:t>——</w:t>
            </w:r>
            <w:r>
              <w:rPr>
                <w:rFonts w:hAnsiTheme="minorEastAsia" w:eastAsiaTheme="minorEastAsia"/>
                <w:color w:val="auto"/>
                <w:sz w:val="24"/>
              </w:rPr>
              <w:t>建设项目声源</w:t>
            </w:r>
            <w:r>
              <w:rPr>
                <w:rFonts w:hint="eastAsia" w:hAnsiTheme="minorEastAsia" w:eastAsiaTheme="minorEastAsia"/>
                <w:color w:val="auto"/>
                <w:sz w:val="24"/>
              </w:rPr>
              <w:t>在</w:t>
            </w:r>
            <w:r>
              <w:rPr>
                <w:rFonts w:hAnsiTheme="minorEastAsia" w:eastAsiaTheme="minorEastAsia"/>
                <w:color w:val="auto"/>
                <w:sz w:val="24"/>
              </w:rPr>
              <w:t>预测点产生的噪声贡献值</w:t>
            </w:r>
            <w:r>
              <w:rPr>
                <w:rFonts w:hint="eastAsia" w:hAnsiTheme="minorEastAsia" w:eastAsiaTheme="minorEastAsia"/>
                <w:color w:val="auto"/>
                <w:sz w:val="24"/>
              </w:rPr>
              <w:t>，</w:t>
            </w:r>
            <w:r>
              <w:rPr>
                <w:rFonts w:eastAsiaTheme="minorEastAsia"/>
                <w:color w:val="auto"/>
                <w:sz w:val="24"/>
              </w:rPr>
              <w:t>dB</w:t>
            </w:r>
            <w:r>
              <w:rPr>
                <w:rFonts w:hAnsiTheme="minorEastAsia" w:eastAsiaTheme="minorEastAsia"/>
                <w:color w:val="auto"/>
                <w:sz w:val="24"/>
              </w:rPr>
              <w:t>。</w:t>
            </w:r>
          </w:p>
          <w:p w14:paraId="6C495D10">
            <w:pPr>
              <w:spacing w:line="360" w:lineRule="auto"/>
              <w:ind w:firstLine="1200" w:firstLineChars="500"/>
              <w:rPr>
                <w:rFonts w:eastAsiaTheme="minorEastAsia"/>
                <w:color w:val="auto"/>
                <w:sz w:val="24"/>
              </w:rPr>
            </w:pPr>
            <w:r>
              <w:rPr>
                <w:rFonts w:eastAsiaTheme="minorEastAsia"/>
                <w:color w:val="auto"/>
                <w:sz w:val="24"/>
              </w:rPr>
              <w:t>L</w:t>
            </w:r>
            <w:r>
              <w:rPr>
                <w:rFonts w:eastAsiaTheme="minorEastAsia"/>
                <w:color w:val="auto"/>
                <w:sz w:val="24"/>
                <w:vertAlign w:val="subscript"/>
              </w:rPr>
              <w:t>eqb</w:t>
            </w:r>
            <w:r>
              <w:rPr>
                <w:rFonts w:eastAsiaTheme="minorEastAsia"/>
                <w:color w:val="auto"/>
                <w:sz w:val="24"/>
              </w:rPr>
              <w:t>——</w:t>
            </w:r>
            <w:r>
              <w:rPr>
                <w:rFonts w:hAnsiTheme="minorEastAsia" w:eastAsiaTheme="minorEastAsia"/>
                <w:color w:val="auto"/>
                <w:sz w:val="24"/>
              </w:rPr>
              <w:t>预测点的背景噪声值</w:t>
            </w:r>
            <w:r>
              <w:rPr>
                <w:rFonts w:hint="eastAsia" w:hAnsiTheme="minorEastAsia" w:eastAsiaTheme="minorEastAsia"/>
                <w:color w:val="auto"/>
                <w:sz w:val="24"/>
              </w:rPr>
              <w:t>，</w:t>
            </w:r>
            <w:r>
              <w:rPr>
                <w:rFonts w:eastAsiaTheme="minorEastAsia"/>
                <w:color w:val="auto"/>
                <w:sz w:val="24"/>
              </w:rPr>
              <w:t>dB</w:t>
            </w:r>
            <w:r>
              <w:rPr>
                <w:rFonts w:hAnsiTheme="minorEastAsia" w:eastAsiaTheme="minorEastAsia"/>
                <w:color w:val="auto"/>
                <w:sz w:val="24"/>
              </w:rPr>
              <w:t>。</w:t>
            </w:r>
          </w:p>
          <w:p w14:paraId="084289E8">
            <w:pPr>
              <w:spacing w:line="360" w:lineRule="auto"/>
              <w:ind w:firstLine="480" w:firstLineChars="200"/>
              <w:rPr>
                <w:rFonts w:eastAsiaTheme="minorEastAsia"/>
                <w:color w:val="auto"/>
                <w:sz w:val="24"/>
              </w:rPr>
            </w:pPr>
            <w:r>
              <w:rPr>
                <w:rFonts w:hAnsiTheme="minorEastAsia" w:eastAsiaTheme="minorEastAsia"/>
                <w:color w:val="auto"/>
                <w:sz w:val="24"/>
              </w:rPr>
              <w:t>（</w:t>
            </w:r>
            <w:r>
              <w:rPr>
                <w:rFonts w:eastAsiaTheme="minorEastAsia"/>
                <w:color w:val="auto"/>
                <w:sz w:val="24"/>
              </w:rPr>
              <w:t>3</w:t>
            </w:r>
            <w:r>
              <w:rPr>
                <w:rFonts w:hAnsiTheme="minorEastAsia" w:eastAsiaTheme="minorEastAsia"/>
                <w:color w:val="auto"/>
                <w:sz w:val="24"/>
              </w:rPr>
              <w:t>）室内声源等效室外声源功率级计算</w:t>
            </w:r>
          </w:p>
          <w:p w14:paraId="1CDD6216">
            <w:pPr>
              <w:spacing w:line="360" w:lineRule="auto"/>
              <w:jc w:val="center"/>
              <w:rPr>
                <w:rFonts w:eastAsiaTheme="minorEastAsia"/>
                <w:color w:val="auto"/>
                <w:sz w:val="24"/>
              </w:rPr>
            </w:pPr>
            <w:r>
              <w:rPr>
                <w:rFonts w:eastAsiaTheme="minorEastAsia"/>
                <w:color w:val="auto"/>
                <w:sz w:val="24"/>
              </w:rPr>
              <w:drawing>
                <wp:inline distT="0" distB="0" distL="0" distR="0">
                  <wp:extent cx="2225040" cy="382270"/>
                  <wp:effectExtent l="0" t="0" r="3810" b="17780"/>
                  <wp:docPr id="95"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40"/>
                          <pic:cNvPicPr>
                            <a:picLocks noChangeAspect="1" noChangeArrowheads="1"/>
                          </pic:cNvPicPr>
                        </pic:nvPicPr>
                        <pic:blipFill>
                          <a:blip r:embed="rId23" cstate="print"/>
                          <a:srcRect/>
                          <a:stretch>
                            <a:fillRect/>
                          </a:stretch>
                        </pic:blipFill>
                        <pic:spPr>
                          <a:xfrm>
                            <a:off x="0" y="0"/>
                            <a:ext cx="2264320" cy="389060"/>
                          </a:xfrm>
                          <a:prstGeom prst="rect">
                            <a:avLst/>
                          </a:prstGeom>
                          <a:noFill/>
                          <a:ln w="9525">
                            <a:noFill/>
                            <a:miter lim="800000"/>
                            <a:headEnd/>
                            <a:tailEnd/>
                          </a:ln>
                        </pic:spPr>
                      </pic:pic>
                    </a:graphicData>
                  </a:graphic>
                </wp:inline>
              </w:drawing>
            </w:r>
          </w:p>
          <w:p w14:paraId="0F0D3F2D">
            <w:pPr>
              <w:spacing w:line="360" w:lineRule="auto"/>
              <w:ind w:firstLine="480" w:firstLineChars="200"/>
              <w:rPr>
                <w:rFonts w:eastAsiaTheme="minorEastAsia"/>
                <w:color w:val="auto"/>
                <w:sz w:val="24"/>
              </w:rPr>
            </w:pPr>
            <w:r>
              <w:rPr>
                <w:rFonts w:hAnsiTheme="minorEastAsia" w:eastAsiaTheme="minorEastAsia"/>
                <w:color w:val="auto"/>
                <w:sz w:val="24"/>
              </w:rPr>
              <w:t>式中：</w:t>
            </w:r>
            <w:r>
              <w:rPr>
                <w:rFonts w:eastAsiaTheme="minorEastAsia"/>
                <w:color w:val="auto"/>
                <w:sz w:val="24"/>
              </w:rPr>
              <w:t>L</w:t>
            </w:r>
            <w:r>
              <w:rPr>
                <w:rFonts w:eastAsiaTheme="minorEastAsia"/>
                <w:color w:val="auto"/>
                <w:sz w:val="24"/>
                <w:vertAlign w:val="subscript"/>
              </w:rPr>
              <w:t>p1</w:t>
            </w:r>
            <w:r>
              <w:rPr>
                <w:rFonts w:eastAsiaTheme="minorEastAsia"/>
                <w:color w:val="auto"/>
                <w:sz w:val="24"/>
              </w:rPr>
              <w:t>—</w:t>
            </w:r>
            <w:r>
              <w:rPr>
                <w:rFonts w:hAnsiTheme="minorEastAsia" w:eastAsiaTheme="minorEastAsia"/>
                <w:color w:val="auto"/>
                <w:sz w:val="24"/>
              </w:rPr>
              <w:t>靠近开口处（或窗户）室内某倍频带的声压级或</w:t>
            </w:r>
            <w:r>
              <w:rPr>
                <w:rFonts w:eastAsiaTheme="minorEastAsia"/>
                <w:color w:val="auto"/>
                <w:sz w:val="24"/>
              </w:rPr>
              <w:t>A</w:t>
            </w:r>
            <w:r>
              <w:rPr>
                <w:rFonts w:hAnsiTheme="minorEastAsia" w:eastAsiaTheme="minorEastAsia"/>
                <w:color w:val="auto"/>
                <w:sz w:val="24"/>
              </w:rPr>
              <w:t>声级</w:t>
            </w:r>
            <w:r>
              <w:rPr>
                <w:rFonts w:hint="eastAsia" w:hAnsiTheme="minorEastAsia" w:eastAsiaTheme="minorEastAsia"/>
                <w:color w:val="auto"/>
                <w:sz w:val="24"/>
              </w:rPr>
              <w:t>，</w:t>
            </w:r>
            <w:r>
              <w:rPr>
                <w:rFonts w:eastAsiaTheme="minorEastAsia"/>
                <w:color w:val="auto"/>
                <w:sz w:val="24"/>
              </w:rPr>
              <w:t>dB</w:t>
            </w:r>
            <w:r>
              <w:rPr>
                <w:rFonts w:hAnsiTheme="minorEastAsia" w:eastAsiaTheme="minorEastAsia"/>
                <w:color w:val="auto"/>
                <w:sz w:val="24"/>
              </w:rPr>
              <w:t>；</w:t>
            </w:r>
          </w:p>
          <w:p w14:paraId="337EBAEB">
            <w:pPr>
              <w:spacing w:line="360" w:lineRule="auto"/>
              <w:ind w:firstLine="1200" w:firstLineChars="500"/>
              <w:rPr>
                <w:rFonts w:eastAsiaTheme="minorEastAsia"/>
                <w:color w:val="auto"/>
                <w:sz w:val="24"/>
              </w:rPr>
            </w:pPr>
            <w:r>
              <w:rPr>
                <w:rFonts w:eastAsiaTheme="minorEastAsia"/>
                <w:color w:val="auto"/>
                <w:sz w:val="24"/>
              </w:rPr>
              <w:t>L</w:t>
            </w:r>
            <w:r>
              <w:rPr>
                <w:rFonts w:eastAsiaTheme="minorEastAsia"/>
                <w:color w:val="auto"/>
                <w:sz w:val="24"/>
                <w:vertAlign w:val="subscript"/>
              </w:rPr>
              <w:t>p2</w:t>
            </w:r>
            <w:r>
              <w:rPr>
                <w:rFonts w:eastAsiaTheme="minorEastAsia"/>
                <w:color w:val="auto"/>
                <w:sz w:val="24"/>
              </w:rPr>
              <w:t>——</w:t>
            </w:r>
            <w:r>
              <w:rPr>
                <w:rFonts w:hAnsiTheme="minorEastAsia" w:eastAsiaTheme="minorEastAsia"/>
                <w:color w:val="auto"/>
                <w:sz w:val="24"/>
              </w:rPr>
              <w:t>靠近开口处（或窗户）室外某倍频带的声压级或</w:t>
            </w:r>
            <w:r>
              <w:rPr>
                <w:rFonts w:eastAsiaTheme="minorEastAsia"/>
                <w:color w:val="auto"/>
                <w:sz w:val="24"/>
              </w:rPr>
              <w:t>A</w:t>
            </w:r>
            <w:r>
              <w:rPr>
                <w:rFonts w:hAnsiTheme="minorEastAsia" w:eastAsiaTheme="minorEastAsia"/>
                <w:color w:val="auto"/>
                <w:sz w:val="24"/>
              </w:rPr>
              <w:t>声级</w:t>
            </w:r>
            <w:r>
              <w:rPr>
                <w:rFonts w:hint="eastAsia" w:hAnsiTheme="minorEastAsia" w:eastAsiaTheme="minorEastAsia"/>
                <w:color w:val="auto"/>
                <w:sz w:val="24"/>
              </w:rPr>
              <w:t>，</w:t>
            </w:r>
            <w:r>
              <w:rPr>
                <w:rFonts w:eastAsiaTheme="minorEastAsia"/>
                <w:color w:val="auto"/>
                <w:sz w:val="24"/>
              </w:rPr>
              <w:t>dB</w:t>
            </w:r>
            <w:r>
              <w:rPr>
                <w:rFonts w:hAnsiTheme="minorEastAsia" w:eastAsiaTheme="minorEastAsia"/>
                <w:color w:val="auto"/>
                <w:sz w:val="24"/>
              </w:rPr>
              <w:t>；</w:t>
            </w:r>
          </w:p>
          <w:p w14:paraId="68052204">
            <w:pPr>
              <w:spacing w:line="360" w:lineRule="auto"/>
              <w:ind w:firstLine="1200" w:firstLineChars="500"/>
              <w:rPr>
                <w:rFonts w:eastAsiaTheme="minorEastAsia"/>
                <w:color w:val="auto"/>
                <w:sz w:val="24"/>
              </w:rPr>
            </w:pPr>
            <w:r>
              <w:rPr>
                <w:rFonts w:eastAsiaTheme="minorEastAsia"/>
                <w:color w:val="auto"/>
                <w:sz w:val="24"/>
              </w:rPr>
              <w:t>TL——</w:t>
            </w:r>
            <w:r>
              <w:rPr>
                <w:rFonts w:hAnsiTheme="minorEastAsia" w:eastAsiaTheme="minorEastAsia"/>
                <w:color w:val="auto"/>
                <w:sz w:val="24"/>
              </w:rPr>
              <w:t>隔墙（或窗户）倍频带或</w:t>
            </w:r>
            <w:r>
              <w:rPr>
                <w:rFonts w:eastAsiaTheme="minorEastAsia"/>
                <w:color w:val="auto"/>
                <w:sz w:val="24"/>
              </w:rPr>
              <w:t xml:space="preserve"> A </w:t>
            </w:r>
            <w:r>
              <w:rPr>
                <w:rFonts w:hAnsiTheme="minorEastAsia" w:eastAsiaTheme="minorEastAsia"/>
                <w:color w:val="auto"/>
                <w:sz w:val="24"/>
              </w:rPr>
              <w:t>声级的隔声量</w:t>
            </w:r>
            <w:r>
              <w:rPr>
                <w:rFonts w:hint="eastAsia" w:hAnsiTheme="minorEastAsia" w:eastAsiaTheme="minorEastAsia"/>
                <w:color w:val="auto"/>
                <w:sz w:val="24"/>
              </w:rPr>
              <w:t>，</w:t>
            </w:r>
            <w:r>
              <w:rPr>
                <w:rFonts w:eastAsiaTheme="minorEastAsia"/>
                <w:color w:val="auto"/>
                <w:sz w:val="24"/>
              </w:rPr>
              <w:t>dB</w:t>
            </w:r>
            <w:r>
              <w:rPr>
                <w:rFonts w:hAnsiTheme="minorEastAsia" w:eastAsiaTheme="minorEastAsia"/>
                <w:color w:val="auto"/>
                <w:sz w:val="24"/>
              </w:rPr>
              <w:t>。</w:t>
            </w:r>
          </w:p>
          <w:p w14:paraId="549AAA2E">
            <w:pPr>
              <w:spacing w:line="360" w:lineRule="auto"/>
              <w:ind w:firstLine="480" w:firstLineChars="200"/>
              <w:rPr>
                <w:rFonts w:eastAsiaTheme="minorEastAsia"/>
                <w:color w:val="auto"/>
                <w:sz w:val="24"/>
              </w:rPr>
            </w:pPr>
            <w:r>
              <w:rPr>
                <w:rFonts w:hAnsiTheme="minorEastAsia" w:eastAsiaTheme="minorEastAsia"/>
                <w:color w:val="auto"/>
                <w:sz w:val="24"/>
              </w:rPr>
              <w:t>然后计算出所有室内声源在围护结构处产生的</w:t>
            </w:r>
            <w:r>
              <w:rPr>
                <w:rFonts w:eastAsiaTheme="minorEastAsia"/>
                <w:color w:val="auto"/>
                <w:sz w:val="24"/>
              </w:rPr>
              <w:t>i</w:t>
            </w:r>
            <w:r>
              <w:rPr>
                <w:rFonts w:hAnsiTheme="minorEastAsia" w:eastAsiaTheme="minorEastAsia"/>
                <w:color w:val="auto"/>
                <w:sz w:val="24"/>
              </w:rPr>
              <w:t>倍频带叠加声压级：</w:t>
            </w:r>
          </w:p>
          <w:p w14:paraId="2FDFB604">
            <w:pPr>
              <w:spacing w:line="360" w:lineRule="auto"/>
              <w:ind w:firstLine="480" w:firstLineChars="200"/>
              <w:jc w:val="center"/>
              <w:rPr>
                <w:rFonts w:eastAsiaTheme="minorEastAsia"/>
                <w:color w:val="auto"/>
                <w:sz w:val="24"/>
              </w:rPr>
            </w:pPr>
            <w:r>
              <w:rPr>
                <w:rFonts w:eastAsiaTheme="minorEastAsia"/>
                <w:color w:val="auto"/>
                <w:sz w:val="24"/>
              </w:rPr>
              <w:drawing>
                <wp:inline distT="0" distB="0" distL="0" distR="0">
                  <wp:extent cx="2548890" cy="582295"/>
                  <wp:effectExtent l="0" t="0" r="3810" b="8255"/>
                  <wp:docPr id="96"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41"/>
                          <pic:cNvPicPr>
                            <a:picLocks noChangeAspect="1" noChangeArrowheads="1"/>
                          </pic:cNvPicPr>
                        </pic:nvPicPr>
                        <pic:blipFill>
                          <a:blip r:embed="rId24" cstate="print"/>
                          <a:srcRect/>
                          <a:stretch>
                            <a:fillRect/>
                          </a:stretch>
                        </pic:blipFill>
                        <pic:spPr>
                          <a:xfrm>
                            <a:off x="0" y="0"/>
                            <a:ext cx="2575642" cy="588795"/>
                          </a:xfrm>
                          <a:prstGeom prst="rect">
                            <a:avLst/>
                          </a:prstGeom>
                          <a:noFill/>
                          <a:ln w="9525">
                            <a:noFill/>
                            <a:miter lim="800000"/>
                            <a:headEnd/>
                            <a:tailEnd/>
                          </a:ln>
                        </pic:spPr>
                      </pic:pic>
                    </a:graphicData>
                  </a:graphic>
                </wp:inline>
              </w:drawing>
            </w:r>
          </w:p>
          <w:p w14:paraId="79F33D11">
            <w:pPr>
              <w:spacing w:line="360" w:lineRule="auto"/>
              <w:ind w:firstLine="480" w:firstLineChars="200"/>
              <w:rPr>
                <w:rFonts w:eastAsiaTheme="minorEastAsia"/>
                <w:color w:val="auto"/>
                <w:sz w:val="24"/>
              </w:rPr>
            </w:pPr>
            <w:r>
              <w:rPr>
                <w:rFonts w:hAnsiTheme="minorEastAsia" w:eastAsiaTheme="minorEastAsia"/>
                <w:color w:val="auto"/>
                <w:sz w:val="24"/>
              </w:rPr>
              <w:t>式中：</w:t>
            </w:r>
            <w:r>
              <w:rPr>
                <w:rFonts w:eastAsiaTheme="minorEastAsia"/>
                <w:color w:val="auto"/>
                <w:sz w:val="24"/>
              </w:rPr>
              <w:t>L</w:t>
            </w:r>
            <w:r>
              <w:rPr>
                <w:rFonts w:eastAsiaTheme="minorEastAsia"/>
                <w:color w:val="auto"/>
                <w:sz w:val="24"/>
                <w:vertAlign w:val="subscript"/>
              </w:rPr>
              <w:t>p1i</w:t>
            </w:r>
            <w:r>
              <w:rPr>
                <w:rFonts w:hAnsiTheme="minorEastAsia" w:eastAsiaTheme="minorEastAsia"/>
                <w:color w:val="auto"/>
                <w:sz w:val="24"/>
              </w:rPr>
              <w:t>（</w:t>
            </w:r>
            <w:r>
              <w:rPr>
                <w:rFonts w:eastAsiaTheme="minorEastAsia"/>
                <w:color w:val="auto"/>
                <w:sz w:val="24"/>
              </w:rPr>
              <w:t>T</w:t>
            </w:r>
            <w:r>
              <w:rPr>
                <w:rFonts w:hAnsiTheme="minorEastAsia" w:eastAsiaTheme="minorEastAsia"/>
                <w:color w:val="auto"/>
                <w:sz w:val="24"/>
              </w:rPr>
              <w:t>）</w:t>
            </w:r>
            <w:r>
              <w:rPr>
                <w:rFonts w:eastAsiaTheme="minorEastAsia"/>
                <w:color w:val="auto"/>
                <w:sz w:val="24"/>
              </w:rPr>
              <w:t>—</w:t>
            </w:r>
            <w:r>
              <w:rPr>
                <w:rFonts w:hAnsiTheme="minorEastAsia" w:eastAsiaTheme="minorEastAsia"/>
                <w:color w:val="auto"/>
                <w:sz w:val="24"/>
              </w:rPr>
              <w:t>靠近围护结构处室内</w:t>
            </w:r>
            <w:r>
              <w:rPr>
                <w:rFonts w:eastAsiaTheme="minorEastAsia"/>
                <w:color w:val="auto"/>
                <w:sz w:val="24"/>
              </w:rPr>
              <w:t>N</w:t>
            </w:r>
            <w:r>
              <w:rPr>
                <w:rFonts w:hAnsiTheme="minorEastAsia" w:eastAsiaTheme="minorEastAsia"/>
                <w:color w:val="auto"/>
                <w:sz w:val="24"/>
              </w:rPr>
              <w:t>个声源</w:t>
            </w:r>
            <w:r>
              <w:rPr>
                <w:rFonts w:eastAsiaTheme="minorEastAsia"/>
                <w:color w:val="auto"/>
                <w:sz w:val="24"/>
              </w:rPr>
              <w:t>i</w:t>
            </w:r>
            <w:r>
              <w:rPr>
                <w:rFonts w:hAnsiTheme="minorEastAsia" w:eastAsiaTheme="minorEastAsia"/>
                <w:color w:val="auto"/>
                <w:sz w:val="24"/>
              </w:rPr>
              <w:t>倍频带的叠加声压级</w:t>
            </w:r>
            <w:r>
              <w:rPr>
                <w:rFonts w:hint="eastAsia" w:hAnsiTheme="minorEastAsia" w:eastAsiaTheme="minorEastAsia"/>
                <w:color w:val="auto"/>
                <w:sz w:val="24"/>
              </w:rPr>
              <w:t>，</w:t>
            </w:r>
            <w:r>
              <w:rPr>
                <w:rFonts w:eastAsiaTheme="minorEastAsia"/>
                <w:color w:val="auto"/>
                <w:sz w:val="24"/>
              </w:rPr>
              <w:t>dB</w:t>
            </w:r>
            <w:r>
              <w:rPr>
                <w:rFonts w:hAnsiTheme="minorEastAsia" w:eastAsiaTheme="minorEastAsia"/>
                <w:color w:val="auto"/>
                <w:sz w:val="24"/>
              </w:rPr>
              <w:t>；</w:t>
            </w:r>
          </w:p>
          <w:p w14:paraId="32E584AF">
            <w:pPr>
              <w:spacing w:line="360" w:lineRule="auto"/>
              <w:ind w:firstLine="1200" w:firstLineChars="500"/>
              <w:rPr>
                <w:rFonts w:eastAsiaTheme="minorEastAsia"/>
                <w:color w:val="auto"/>
                <w:sz w:val="24"/>
              </w:rPr>
            </w:pPr>
            <w:r>
              <w:rPr>
                <w:rFonts w:eastAsiaTheme="minorEastAsia"/>
                <w:color w:val="auto"/>
                <w:sz w:val="24"/>
              </w:rPr>
              <w:t>L</w:t>
            </w:r>
            <w:r>
              <w:rPr>
                <w:rFonts w:eastAsiaTheme="minorEastAsia"/>
                <w:color w:val="auto"/>
                <w:sz w:val="24"/>
                <w:vertAlign w:val="subscript"/>
              </w:rPr>
              <w:t>p1ij</w:t>
            </w:r>
            <w:r>
              <w:rPr>
                <w:rFonts w:eastAsiaTheme="minorEastAsia"/>
                <w:color w:val="auto"/>
                <w:sz w:val="24"/>
              </w:rPr>
              <w:t>—</w:t>
            </w:r>
            <w:r>
              <w:rPr>
                <w:rFonts w:hAnsiTheme="minorEastAsia" w:eastAsiaTheme="minorEastAsia"/>
                <w:color w:val="auto"/>
                <w:sz w:val="24"/>
              </w:rPr>
              <w:t>室内</w:t>
            </w:r>
            <w:r>
              <w:rPr>
                <w:rFonts w:eastAsiaTheme="minorEastAsia"/>
                <w:color w:val="auto"/>
                <w:sz w:val="24"/>
              </w:rPr>
              <w:t>j</w:t>
            </w:r>
            <w:r>
              <w:rPr>
                <w:rFonts w:hAnsiTheme="minorEastAsia" w:eastAsiaTheme="minorEastAsia"/>
                <w:color w:val="auto"/>
                <w:sz w:val="24"/>
              </w:rPr>
              <w:t>声源</w:t>
            </w:r>
            <w:r>
              <w:rPr>
                <w:rFonts w:eastAsiaTheme="minorEastAsia"/>
                <w:color w:val="auto"/>
                <w:sz w:val="24"/>
              </w:rPr>
              <w:t>i</w:t>
            </w:r>
            <w:r>
              <w:rPr>
                <w:rFonts w:hAnsiTheme="minorEastAsia" w:eastAsiaTheme="minorEastAsia"/>
                <w:color w:val="auto"/>
                <w:sz w:val="24"/>
              </w:rPr>
              <w:t>倍频带的声压级</w:t>
            </w:r>
            <w:r>
              <w:rPr>
                <w:rFonts w:hint="eastAsia" w:hAnsiTheme="minorEastAsia" w:eastAsiaTheme="minorEastAsia"/>
                <w:color w:val="auto"/>
                <w:sz w:val="24"/>
              </w:rPr>
              <w:t>，</w:t>
            </w:r>
            <w:r>
              <w:rPr>
                <w:rFonts w:eastAsiaTheme="minorEastAsia"/>
                <w:color w:val="auto"/>
                <w:sz w:val="24"/>
              </w:rPr>
              <w:t>dB</w:t>
            </w:r>
            <w:r>
              <w:rPr>
                <w:rFonts w:hAnsiTheme="minorEastAsia" w:eastAsiaTheme="minorEastAsia"/>
                <w:color w:val="auto"/>
                <w:sz w:val="24"/>
              </w:rPr>
              <w:t>；</w:t>
            </w:r>
          </w:p>
          <w:p w14:paraId="2E32046C">
            <w:pPr>
              <w:spacing w:line="360" w:lineRule="auto"/>
              <w:ind w:firstLine="1200" w:firstLineChars="500"/>
              <w:rPr>
                <w:rFonts w:eastAsiaTheme="minorEastAsia"/>
                <w:color w:val="auto"/>
                <w:sz w:val="24"/>
              </w:rPr>
            </w:pPr>
            <w:r>
              <w:rPr>
                <w:rFonts w:eastAsiaTheme="minorEastAsia"/>
                <w:color w:val="auto"/>
                <w:sz w:val="24"/>
              </w:rPr>
              <w:t>N—</w:t>
            </w:r>
            <w:r>
              <w:rPr>
                <w:rFonts w:hAnsiTheme="minorEastAsia" w:eastAsiaTheme="minorEastAsia"/>
                <w:color w:val="auto"/>
                <w:sz w:val="24"/>
              </w:rPr>
              <w:t>室内声源总数。</w:t>
            </w:r>
          </w:p>
          <w:p w14:paraId="438BFB19">
            <w:pPr>
              <w:spacing w:line="360" w:lineRule="auto"/>
              <w:ind w:firstLine="480" w:firstLineChars="200"/>
              <w:rPr>
                <w:rFonts w:eastAsiaTheme="minorEastAsia"/>
                <w:color w:val="auto"/>
                <w:sz w:val="24"/>
              </w:rPr>
            </w:pPr>
            <w:r>
              <w:rPr>
                <w:rFonts w:hAnsiTheme="minorEastAsia" w:eastAsiaTheme="minorEastAsia"/>
                <w:color w:val="auto"/>
                <w:sz w:val="24"/>
              </w:rPr>
              <w:t>在室内近似为扩散声场时</w:t>
            </w:r>
            <w:r>
              <w:rPr>
                <w:rFonts w:hint="eastAsia" w:hAnsiTheme="minorEastAsia" w:eastAsiaTheme="minorEastAsia"/>
                <w:color w:val="auto"/>
                <w:sz w:val="24"/>
              </w:rPr>
              <w:t>，</w:t>
            </w:r>
            <w:r>
              <w:rPr>
                <w:rFonts w:hAnsiTheme="minorEastAsia" w:eastAsiaTheme="minorEastAsia"/>
                <w:color w:val="auto"/>
                <w:sz w:val="24"/>
              </w:rPr>
              <w:t>计算出靠近室外围护结构处的声压级：</w:t>
            </w:r>
          </w:p>
          <w:p w14:paraId="410C6980">
            <w:pPr>
              <w:spacing w:line="360" w:lineRule="auto"/>
              <w:ind w:firstLine="480" w:firstLineChars="200"/>
              <w:jc w:val="center"/>
              <w:rPr>
                <w:rFonts w:eastAsiaTheme="minorEastAsia"/>
                <w:color w:val="auto"/>
                <w:sz w:val="24"/>
              </w:rPr>
            </w:pPr>
            <w:r>
              <w:rPr>
                <w:rFonts w:eastAsiaTheme="minorEastAsia"/>
                <w:color w:val="auto"/>
                <w:sz w:val="24"/>
              </w:rPr>
              <w:drawing>
                <wp:inline distT="0" distB="0" distL="0" distR="0">
                  <wp:extent cx="2339340" cy="269875"/>
                  <wp:effectExtent l="0" t="0" r="3810" b="15875"/>
                  <wp:docPr id="97"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42"/>
                          <pic:cNvPicPr>
                            <a:picLocks noChangeAspect="1" noChangeArrowheads="1"/>
                          </pic:cNvPicPr>
                        </pic:nvPicPr>
                        <pic:blipFill>
                          <a:blip r:embed="rId25" cstate="print"/>
                          <a:srcRect/>
                          <a:stretch>
                            <a:fillRect/>
                          </a:stretch>
                        </pic:blipFill>
                        <pic:spPr>
                          <a:xfrm>
                            <a:off x="0" y="0"/>
                            <a:ext cx="2378245" cy="274492"/>
                          </a:xfrm>
                          <a:prstGeom prst="rect">
                            <a:avLst/>
                          </a:prstGeom>
                          <a:noFill/>
                          <a:ln w="9525">
                            <a:noFill/>
                            <a:miter lim="800000"/>
                            <a:headEnd/>
                            <a:tailEnd/>
                          </a:ln>
                        </pic:spPr>
                      </pic:pic>
                    </a:graphicData>
                  </a:graphic>
                </wp:inline>
              </w:drawing>
            </w:r>
          </w:p>
          <w:p w14:paraId="6F4003BE">
            <w:pPr>
              <w:spacing w:line="360" w:lineRule="auto"/>
              <w:ind w:firstLine="480" w:firstLineChars="200"/>
              <w:rPr>
                <w:rFonts w:eastAsiaTheme="minorEastAsia"/>
                <w:color w:val="auto"/>
                <w:sz w:val="24"/>
              </w:rPr>
            </w:pPr>
            <w:r>
              <w:rPr>
                <w:rFonts w:hAnsiTheme="minorEastAsia" w:eastAsiaTheme="minorEastAsia"/>
                <w:color w:val="auto"/>
                <w:sz w:val="24"/>
              </w:rPr>
              <w:t>式中：</w:t>
            </w:r>
            <w:r>
              <w:rPr>
                <w:rFonts w:eastAsiaTheme="minorEastAsia"/>
                <w:color w:val="auto"/>
                <w:sz w:val="24"/>
              </w:rPr>
              <w:t>L</w:t>
            </w:r>
            <w:r>
              <w:rPr>
                <w:rFonts w:eastAsiaTheme="minorEastAsia"/>
                <w:color w:val="auto"/>
                <w:sz w:val="24"/>
                <w:vertAlign w:val="subscript"/>
              </w:rPr>
              <w:t>2pi</w:t>
            </w:r>
            <w:r>
              <w:rPr>
                <w:rFonts w:hAnsiTheme="minorEastAsia" w:eastAsiaTheme="minorEastAsia"/>
                <w:color w:val="auto"/>
                <w:sz w:val="24"/>
              </w:rPr>
              <w:t>（</w:t>
            </w:r>
            <w:r>
              <w:rPr>
                <w:rFonts w:eastAsiaTheme="minorEastAsia"/>
                <w:color w:val="auto"/>
                <w:sz w:val="24"/>
              </w:rPr>
              <w:t>T</w:t>
            </w:r>
            <w:r>
              <w:rPr>
                <w:rFonts w:hAnsiTheme="minorEastAsia" w:eastAsiaTheme="minorEastAsia"/>
                <w:color w:val="auto"/>
                <w:sz w:val="24"/>
              </w:rPr>
              <w:t>）</w:t>
            </w:r>
            <w:r>
              <w:rPr>
                <w:rFonts w:eastAsiaTheme="minorEastAsia"/>
                <w:color w:val="auto"/>
                <w:sz w:val="24"/>
              </w:rPr>
              <w:t>—</w:t>
            </w:r>
            <w:r>
              <w:rPr>
                <w:rFonts w:hAnsiTheme="minorEastAsia" w:eastAsiaTheme="minorEastAsia"/>
                <w:color w:val="auto"/>
                <w:sz w:val="24"/>
              </w:rPr>
              <w:t>靠近围护结构处室外</w:t>
            </w:r>
            <w:r>
              <w:rPr>
                <w:rFonts w:eastAsiaTheme="minorEastAsia"/>
                <w:color w:val="auto"/>
                <w:sz w:val="24"/>
              </w:rPr>
              <w:t>N</w:t>
            </w:r>
            <w:r>
              <w:rPr>
                <w:rFonts w:hAnsiTheme="minorEastAsia" w:eastAsiaTheme="minorEastAsia"/>
                <w:color w:val="auto"/>
                <w:sz w:val="24"/>
              </w:rPr>
              <w:t>个声源</w:t>
            </w:r>
            <w:r>
              <w:rPr>
                <w:rFonts w:eastAsiaTheme="minorEastAsia"/>
                <w:color w:val="auto"/>
                <w:sz w:val="24"/>
              </w:rPr>
              <w:t>i</w:t>
            </w:r>
            <w:r>
              <w:rPr>
                <w:rFonts w:hAnsiTheme="minorEastAsia" w:eastAsiaTheme="minorEastAsia"/>
                <w:color w:val="auto"/>
                <w:sz w:val="24"/>
              </w:rPr>
              <w:t>倍频带的叠加声压级</w:t>
            </w:r>
            <w:r>
              <w:rPr>
                <w:rFonts w:hint="eastAsia" w:hAnsiTheme="minorEastAsia" w:eastAsiaTheme="minorEastAsia"/>
                <w:color w:val="auto"/>
                <w:sz w:val="24"/>
              </w:rPr>
              <w:t>，</w:t>
            </w:r>
            <w:r>
              <w:rPr>
                <w:rFonts w:eastAsiaTheme="minorEastAsia"/>
                <w:color w:val="auto"/>
                <w:sz w:val="24"/>
              </w:rPr>
              <w:t>dB</w:t>
            </w:r>
            <w:r>
              <w:rPr>
                <w:rFonts w:hAnsiTheme="minorEastAsia" w:eastAsiaTheme="minorEastAsia"/>
                <w:color w:val="auto"/>
                <w:sz w:val="24"/>
              </w:rPr>
              <w:t>；</w:t>
            </w:r>
          </w:p>
          <w:p w14:paraId="02F37D59">
            <w:pPr>
              <w:spacing w:line="360" w:lineRule="auto"/>
              <w:ind w:firstLine="1080" w:firstLineChars="450"/>
              <w:rPr>
                <w:rFonts w:eastAsiaTheme="minorEastAsia"/>
                <w:color w:val="auto"/>
                <w:sz w:val="24"/>
              </w:rPr>
            </w:pPr>
            <w:r>
              <w:rPr>
                <w:rFonts w:eastAsiaTheme="minorEastAsia"/>
                <w:color w:val="auto"/>
                <w:sz w:val="24"/>
              </w:rPr>
              <w:t>TL</w:t>
            </w:r>
            <w:r>
              <w:rPr>
                <w:rFonts w:eastAsiaTheme="minorEastAsia"/>
                <w:color w:val="auto"/>
                <w:sz w:val="24"/>
                <w:vertAlign w:val="subscript"/>
              </w:rPr>
              <w:t>i</w:t>
            </w:r>
            <w:r>
              <w:rPr>
                <w:rFonts w:eastAsiaTheme="minorEastAsia"/>
                <w:color w:val="auto"/>
                <w:sz w:val="24"/>
              </w:rPr>
              <w:t>—</w:t>
            </w:r>
            <w:r>
              <w:rPr>
                <w:rFonts w:hAnsiTheme="minorEastAsia" w:eastAsiaTheme="minorEastAsia"/>
                <w:color w:val="auto"/>
                <w:sz w:val="24"/>
              </w:rPr>
              <w:t>围护结构</w:t>
            </w:r>
            <w:r>
              <w:rPr>
                <w:rFonts w:eastAsiaTheme="minorEastAsia"/>
                <w:color w:val="auto"/>
                <w:sz w:val="24"/>
              </w:rPr>
              <w:t>i</w:t>
            </w:r>
            <w:r>
              <w:rPr>
                <w:rFonts w:hAnsiTheme="minorEastAsia" w:eastAsiaTheme="minorEastAsia"/>
                <w:color w:val="auto"/>
                <w:sz w:val="24"/>
              </w:rPr>
              <w:t>倍频带的隔声量</w:t>
            </w:r>
            <w:r>
              <w:rPr>
                <w:rFonts w:hint="eastAsia" w:hAnsiTheme="minorEastAsia" w:eastAsiaTheme="minorEastAsia"/>
                <w:color w:val="auto"/>
                <w:sz w:val="24"/>
              </w:rPr>
              <w:t>，</w:t>
            </w:r>
            <w:r>
              <w:rPr>
                <w:rFonts w:eastAsiaTheme="minorEastAsia"/>
                <w:color w:val="auto"/>
                <w:sz w:val="24"/>
              </w:rPr>
              <w:t>dB</w:t>
            </w:r>
            <w:r>
              <w:rPr>
                <w:rFonts w:hAnsiTheme="minorEastAsia" w:eastAsiaTheme="minorEastAsia"/>
                <w:color w:val="auto"/>
                <w:sz w:val="24"/>
              </w:rPr>
              <w:t>。</w:t>
            </w:r>
          </w:p>
          <w:p w14:paraId="72D1420D">
            <w:pPr>
              <w:spacing w:line="360" w:lineRule="auto"/>
              <w:ind w:firstLine="480" w:firstLineChars="200"/>
              <w:rPr>
                <w:rFonts w:eastAsiaTheme="minorEastAsia"/>
                <w:color w:val="auto"/>
                <w:sz w:val="24"/>
              </w:rPr>
            </w:pPr>
            <w:r>
              <w:rPr>
                <w:rFonts w:hAnsiTheme="minorEastAsia" w:eastAsiaTheme="minorEastAsia"/>
                <w:color w:val="auto"/>
                <w:sz w:val="24"/>
              </w:rPr>
              <w:t>然后将室外声源的声压级和透过面积换算成等效的室外声源</w:t>
            </w:r>
            <w:r>
              <w:rPr>
                <w:rFonts w:hint="eastAsia" w:hAnsiTheme="minorEastAsia" w:eastAsiaTheme="minorEastAsia"/>
                <w:color w:val="auto"/>
                <w:sz w:val="24"/>
              </w:rPr>
              <w:t>，</w:t>
            </w:r>
            <w:r>
              <w:rPr>
                <w:rFonts w:hAnsiTheme="minorEastAsia" w:eastAsiaTheme="minorEastAsia"/>
                <w:color w:val="auto"/>
                <w:sz w:val="24"/>
              </w:rPr>
              <w:t>计算出中心位置位于透声面积（</w:t>
            </w:r>
            <w:r>
              <w:rPr>
                <w:rFonts w:eastAsiaTheme="minorEastAsia"/>
                <w:color w:val="auto"/>
                <w:sz w:val="24"/>
              </w:rPr>
              <w:t>S</w:t>
            </w:r>
            <w:r>
              <w:rPr>
                <w:rFonts w:hAnsiTheme="minorEastAsia" w:eastAsiaTheme="minorEastAsia"/>
                <w:color w:val="auto"/>
                <w:sz w:val="24"/>
              </w:rPr>
              <w:t>）处的等效声源的倍频带声功率级。</w:t>
            </w:r>
          </w:p>
          <w:p w14:paraId="305ECCC6">
            <w:pPr>
              <w:spacing w:line="360" w:lineRule="auto"/>
              <w:jc w:val="center"/>
              <w:rPr>
                <w:rFonts w:eastAsiaTheme="minorEastAsia"/>
                <w:color w:val="auto"/>
                <w:sz w:val="24"/>
              </w:rPr>
            </w:pPr>
            <w:r>
              <w:rPr>
                <w:rFonts w:eastAsiaTheme="minorEastAsia"/>
                <w:color w:val="auto"/>
                <w:sz w:val="24"/>
              </w:rPr>
              <w:drawing>
                <wp:inline distT="0" distB="0" distL="0" distR="0">
                  <wp:extent cx="2023745" cy="279400"/>
                  <wp:effectExtent l="0" t="0" r="14605" b="6350"/>
                  <wp:docPr id="98"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43"/>
                          <pic:cNvPicPr>
                            <a:picLocks noChangeAspect="1" noChangeArrowheads="1"/>
                          </pic:cNvPicPr>
                        </pic:nvPicPr>
                        <pic:blipFill>
                          <a:blip r:embed="rId26" cstate="print"/>
                          <a:srcRect/>
                          <a:stretch>
                            <a:fillRect/>
                          </a:stretch>
                        </pic:blipFill>
                        <pic:spPr>
                          <a:xfrm>
                            <a:off x="0" y="0"/>
                            <a:ext cx="2035101" cy="281333"/>
                          </a:xfrm>
                          <a:prstGeom prst="rect">
                            <a:avLst/>
                          </a:prstGeom>
                          <a:noFill/>
                          <a:ln w="9525">
                            <a:noFill/>
                            <a:miter lim="800000"/>
                            <a:headEnd/>
                            <a:tailEnd/>
                          </a:ln>
                        </pic:spPr>
                      </pic:pic>
                    </a:graphicData>
                  </a:graphic>
                </wp:inline>
              </w:drawing>
            </w:r>
          </w:p>
          <w:p w14:paraId="36954624">
            <w:pPr>
              <w:spacing w:line="360" w:lineRule="auto"/>
              <w:rPr>
                <w:rFonts w:eastAsiaTheme="minorEastAsia"/>
                <w:color w:val="auto"/>
                <w:sz w:val="24"/>
              </w:rPr>
            </w:pPr>
            <w:r>
              <w:rPr>
                <w:rFonts w:hAnsiTheme="minorEastAsia" w:eastAsiaTheme="minorEastAsia"/>
                <w:color w:val="auto"/>
                <w:sz w:val="24"/>
              </w:rPr>
              <w:t>式中：</w:t>
            </w:r>
            <w:r>
              <w:rPr>
                <w:rFonts w:eastAsiaTheme="minorEastAsia"/>
                <w:color w:val="auto"/>
                <w:sz w:val="24"/>
              </w:rPr>
              <w:t>L</w:t>
            </w:r>
            <w:r>
              <w:rPr>
                <w:rFonts w:eastAsiaTheme="minorEastAsia"/>
                <w:color w:val="auto"/>
                <w:sz w:val="24"/>
                <w:vertAlign w:val="subscript"/>
              </w:rPr>
              <w:t>w</w:t>
            </w:r>
            <w:r>
              <w:rPr>
                <w:rFonts w:eastAsiaTheme="minorEastAsia"/>
                <w:color w:val="auto"/>
                <w:sz w:val="24"/>
              </w:rPr>
              <w:t>—</w:t>
            </w:r>
            <w:r>
              <w:rPr>
                <w:rFonts w:hAnsiTheme="minorEastAsia" w:eastAsiaTheme="minorEastAsia"/>
                <w:color w:val="auto"/>
                <w:sz w:val="24"/>
              </w:rPr>
              <w:t>中心位置位于透声面积（</w:t>
            </w:r>
            <w:r>
              <w:rPr>
                <w:rFonts w:eastAsiaTheme="minorEastAsia"/>
                <w:color w:val="auto"/>
                <w:sz w:val="24"/>
              </w:rPr>
              <w:t>S</w:t>
            </w:r>
            <w:r>
              <w:rPr>
                <w:rFonts w:hAnsiTheme="minorEastAsia" w:eastAsiaTheme="minorEastAsia"/>
                <w:color w:val="auto"/>
                <w:sz w:val="24"/>
              </w:rPr>
              <w:t>）处的等效声源的倍频带声功率级</w:t>
            </w:r>
            <w:r>
              <w:rPr>
                <w:rFonts w:hint="eastAsia" w:hAnsiTheme="minorEastAsia" w:eastAsiaTheme="minorEastAsia"/>
                <w:color w:val="auto"/>
                <w:sz w:val="24"/>
              </w:rPr>
              <w:t>，</w:t>
            </w:r>
            <w:r>
              <w:rPr>
                <w:rFonts w:eastAsiaTheme="minorEastAsia"/>
                <w:color w:val="auto"/>
                <w:sz w:val="24"/>
              </w:rPr>
              <w:t>dB</w:t>
            </w:r>
            <w:r>
              <w:rPr>
                <w:rFonts w:hAnsiTheme="minorEastAsia" w:eastAsiaTheme="minorEastAsia"/>
                <w:color w:val="auto"/>
                <w:sz w:val="24"/>
              </w:rPr>
              <w:t>；</w:t>
            </w:r>
          </w:p>
          <w:p w14:paraId="57353F5A">
            <w:pPr>
              <w:spacing w:line="360" w:lineRule="auto"/>
              <w:ind w:firstLine="720" w:firstLineChars="300"/>
              <w:rPr>
                <w:rFonts w:eastAsiaTheme="minorEastAsia"/>
                <w:color w:val="auto"/>
                <w:sz w:val="24"/>
              </w:rPr>
            </w:pPr>
            <w:r>
              <w:rPr>
                <w:rFonts w:eastAsiaTheme="minorEastAsia"/>
                <w:color w:val="auto"/>
                <w:sz w:val="24"/>
              </w:rPr>
              <w:t>L</w:t>
            </w:r>
            <w:r>
              <w:rPr>
                <w:rFonts w:eastAsiaTheme="minorEastAsia"/>
                <w:color w:val="auto"/>
                <w:sz w:val="24"/>
                <w:vertAlign w:val="subscript"/>
              </w:rPr>
              <w:t>p2</w:t>
            </w:r>
            <w:r>
              <w:rPr>
                <w:rFonts w:hAnsiTheme="minorEastAsia" w:eastAsiaTheme="minorEastAsia"/>
                <w:color w:val="auto"/>
                <w:sz w:val="24"/>
              </w:rPr>
              <w:t>（</w:t>
            </w:r>
            <w:r>
              <w:rPr>
                <w:rFonts w:eastAsiaTheme="minorEastAsia"/>
                <w:color w:val="auto"/>
                <w:sz w:val="24"/>
              </w:rPr>
              <w:t>T</w:t>
            </w:r>
            <w:r>
              <w:rPr>
                <w:rFonts w:hAnsiTheme="minorEastAsia" w:eastAsiaTheme="minorEastAsia"/>
                <w:color w:val="auto"/>
                <w:sz w:val="24"/>
              </w:rPr>
              <w:t>）</w:t>
            </w:r>
            <w:r>
              <w:rPr>
                <w:rFonts w:eastAsiaTheme="minorEastAsia"/>
                <w:color w:val="auto"/>
                <w:sz w:val="24"/>
              </w:rPr>
              <w:t>—</w:t>
            </w:r>
            <w:r>
              <w:rPr>
                <w:rFonts w:hAnsiTheme="minorEastAsia" w:eastAsiaTheme="minorEastAsia"/>
                <w:color w:val="auto"/>
                <w:sz w:val="24"/>
              </w:rPr>
              <w:t>靠近围护结构处室外声源的声压级</w:t>
            </w:r>
            <w:r>
              <w:rPr>
                <w:rFonts w:hint="eastAsia" w:hAnsiTheme="minorEastAsia" w:eastAsiaTheme="minorEastAsia"/>
                <w:color w:val="auto"/>
                <w:sz w:val="24"/>
              </w:rPr>
              <w:t>，</w:t>
            </w:r>
            <w:r>
              <w:rPr>
                <w:rFonts w:eastAsiaTheme="minorEastAsia"/>
                <w:color w:val="auto"/>
                <w:sz w:val="24"/>
              </w:rPr>
              <w:t>dB</w:t>
            </w:r>
            <w:r>
              <w:rPr>
                <w:rFonts w:hAnsiTheme="minorEastAsia" w:eastAsiaTheme="minorEastAsia"/>
                <w:color w:val="auto"/>
                <w:sz w:val="24"/>
              </w:rPr>
              <w:t>；</w:t>
            </w:r>
          </w:p>
          <w:p w14:paraId="7DDE10DE">
            <w:pPr>
              <w:spacing w:line="360" w:lineRule="auto"/>
              <w:ind w:firstLine="720" w:firstLineChars="300"/>
              <w:rPr>
                <w:rFonts w:eastAsiaTheme="minorEastAsia"/>
                <w:color w:val="auto"/>
                <w:sz w:val="24"/>
              </w:rPr>
            </w:pPr>
            <w:r>
              <w:rPr>
                <w:rFonts w:eastAsiaTheme="minorEastAsia"/>
                <w:color w:val="auto"/>
                <w:sz w:val="24"/>
              </w:rPr>
              <w:t>S—</w:t>
            </w:r>
            <w:r>
              <w:rPr>
                <w:rFonts w:hAnsiTheme="minorEastAsia" w:eastAsiaTheme="minorEastAsia"/>
                <w:color w:val="auto"/>
                <w:sz w:val="24"/>
              </w:rPr>
              <w:t>透声面积</w:t>
            </w:r>
            <w:r>
              <w:rPr>
                <w:rFonts w:hint="eastAsia" w:hAnsiTheme="minorEastAsia" w:eastAsiaTheme="minorEastAsia"/>
                <w:color w:val="auto"/>
                <w:sz w:val="24"/>
              </w:rPr>
              <w:t>，</w:t>
            </w:r>
            <w:r>
              <w:rPr>
                <w:rFonts w:eastAsiaTheme="minorEastAsia"/>
                <w:color w:val="auto"/>
                <w:sz w:val="24"/>
              </w:rPr>
              <w:t>m</w:t>
            </w:r>
            <w:r>
              <w:rPr>
                <w:rFonts w:eastAsiaTheme="minorEastAsia"/>
                <w:color w:val="auto"/>
                <w:sz w:val="24"/>
                <w:vertAlign w:val="superscript"/>
              </w:rPr>
              <w:t>2</w:t>
            </w:r>
            <w:r>
              <w:rPr>
                <w:rFonts w:hAnsiTheme="minorEastAsia" w:eastAsiaTheme="minorEastAsia"/>
                <w:color w:val="auto"/>
                <w:sz w:val="24"/>
              </w:rPr>
              <w:t>。</w:t>
            </w:r>
          </w:p>
          <w:p w14:paraId="07A1AC0D">
            <w:pPr>
              <w:spacing w:line="360" w:lineRule="auto"/>
              <w:ind w:firstLine="480" w:firstLineChars="200"/>
              <w:rPr>
                <w:rFonts w:eastAsiaTheme="minorEastAsia"/>
                <w:color w:val="auto"/>
                <w:sz w:val="24"/>
              </w:rPr>
            </w:pPr>
            <w:r>
              <w:rPr>
                <w:rFonts w:hAnsiTheme="minorEastAsia" w:eastAsiaTheme="minorEastAsia"/>
                <w:color w:val="auto"/>
                <w:sz w:val="24"/>
              </w:rPr>
              <w:t>（</w:t>
            </w:r>
            <w:r>
              <w:rPr>
                <w:rFonts w:eastAsiaTheme="minorEastAsia"/>
                <w:color w:val="auto"/>
                <w:sz w:val="24"/>
              </w:rPr>
              <w:t>4</w:t>
            </w:r>
            <w:r>
              <w:rPr>
                <w:rFonts w:hAnsiTheme="minorEastAsia" w:eastAsiaTheme="minorEastAsia"/>
                <w:color w:val="auto"/>
                <w:sz w:val="24"/>
              </w:rPr>
              <w:t>）户外声传播衰减计算</w:t>
            </w:r>
          </w:p>
          <w:p w14:paraId="4AD5A41C">
            <w:pPr>
              <w:spacing w:line="360" w:lineRule="auto"/>
              <w:ind w:firstLine="480" w:firstLineChars="200"/>
              <w:rPr>
                <w:rFonts w:eastAsiaTheme="minorEastAsia"/>
                <w:color w:val="auto"/>
                <w:sz w:val="24"/>
              </w:rPr>
            </w:pPr>
            <w:r>
              <w:rPr>
                <w:rFonts w:hAnsiTheme="minorEastAsia" w:eastAsiaTheme="minorEastAsia"/>
                <w:color w:val="auto"/>
                <w:sz w:val="24"/>
              </w:rPr>
              <w:t>户外声传播衰减包括几何发散（</w:t>
            </w:r>
            <w:r>
              <w:rPr>
                <w:rFonts w:eastAsiaTheme="minorEastAsia"/>
                <w:color w:val="auto"/>
                <w:sz w:val="24"/>
              </w:rPr>
              <w:t>A</w:t>
            </w:r>
            <w:r>
              <w:rPr>
                <w:rFonts w:eastAsiaTheme="minorEastAsia"/>
                <w:color w:val="auto"/>
                <w:sz w:val="24"/>
                <w:vertAlign w:val="subscript"/>
              </w:rPr>
              <w:t>div</w:t>
            </w:r>
            <w:r>
              <w:rPr>
                <w:rFonts w:hAnsiTheme="minorEastAsia" w:eastAsiaTheme="minorEastAsia"/>
                <w:color w:val="auto"/>
                <w:sz w:val="24"/>
              </w:rPr>
              <w:t>）、大气吸收（</w:t>
            </w:r>
            <w:r>
              <w:rPr>
                <w:rFonts w:eastAsiaTheme="minorEastAsia"/>
                <w:color w:val="auto"/>
                <w:sz w:val="24"/>
              </w:rPr>
              <w:t>A</w:t>
            </w:r>
            <w:r>
              <w:rPr>
                <w:rFonts w:eastAsiaTheme="minorEastAsia"/>
                <w:color w:val="auto"/>
                <w:sz w:val="24"/>
                <w:vertAlign w:val="subscript"/>
              </w:rPr>
              <w:t>atm</w:t>
            </w:r>
            <w:r>
              <w:rPr>
                <w:rFonts w:hAnsiTheme="minorEastAsia" w:eastAsiaTheme="minorEastAsia"/>
                <w:color w:val="auto"/>
                <w:sz w:val="24"/>
              </w:rPr>
              <w:t>）、地面效应（</w:t>
            </w:r>
            <w:r>
              <w:rPr>
                <w:rFonts w:eastAsiaTheme="minorEastAsia"/>
                <w:color w:val="auto"/>
                <w:sz w:val="24"/>
              </w:rPr>
              <w:t>A</w:t>
            </w:r>
            <w:r>
              <w:rPr>
                <w:rFonts w:eastAsiaTheme="minorEastAsia"/>
                <w:color w:val="auto"/>
                <w:sz w:val="24"/>
                <w:vertAlign w:val="subscript"/>
              </w:rPr>
              <w:t>gr</w:t>
            </w:r>
            <w:r>
              <w:rPr>
                <w:rFonts w:hAnsiTheme="minorEastAsia" w:eastAsiaTheme="minorEastAsia"/>
                <w:color w:val="auto"/>
                <w:sz w:val="24"/>
              </w:rPr>
              <w:t>）、屏障屏蔽（</w:t>
            </w:r>
            <w:r>
              <w:rPr>
                <w:rFonts w:eastAsiaTheme="minorEastAsia"/>
                <w:color w:val="auto"/>
                <w:sz w:val="24"/>
              </w:rPr>
              <w:t>A</w:t>
            </w:r>
            <w:r>
              <w:rPr>
                <w:rFonts w:eastAsiaTheme="minorEastAsia"/>
                <w:color w:val="auto"/>
                <w:sz w:val="24"/>
                <w:vertAlign w:val="subscript"/>
              </w:rPr>
              <w:t>bar</w:t>
            </w:r>
            <w:r>
              <w:rPr>
                <w:rFonts w:hAnsiTheme="minorEastAsia" w:eastAsiaTheme="minorEastAsia"/>
                <w:color w:val="auto"/>
                <w:sz w:val="24"/>
              </w:rPr>
              <w:t>）、其他多方面效应（</w:t>
            </w:r>
            <w:r>
              <w:rPr>
                <w:rFonts w:eastAsiaTheme="minorEastAsia"/>
                <w:color w:val="auto"/>
                <w:sz w:val="24"/>
              </w:rPr>
              <w:t>A</w:t>
            </w:r>
            <w:r>
              <w:rPr>
                <w:rFonts w:eastAsiaTheme="minorEastAsia"/>
                <w:color w:val="auto"/>
                <w:sz w:val="24"/>
                <w:vertAlign w:val="subscript"/>
              </w:rPr>
              <w:t>misc</w:t>
            </w:r>
            <w:r>
              <w:rPr>
                <w:rFonts w:hAnsiTheme="minorEastAsia" w:eastAsiaTheme="minorEastAsia"/>
                <w:color w:val="auto"/>
                <w:sz w:val="24"/>
              </w:rPr>
              <w:t>）引起的衰减。</w:t>
            </w:r>
          </w:p>
          <w:p w14:paraId="4BFBEE46">
            <w:pPr>
              <w:spacing w:line="360" w:lineRule="auto"/>
              <w:ind w:firstLine="480" w:firstLineChars="200"/>
              <w:rPr>
                <w:rFonts w:eastAsiaTheme="minorEastAsia"/>
                <w:color w:val="auto"/>
                <w:sz w:val="24"/>
              </w:rPr>
            </w:pPr>
            <w:r>
              <w:rPr>
                <w:rFonts w:hAnsiTheme="minorEastAsia" w:eastAsiaTheme="minorEastAsia"/>
                <w:color w:val="auto"/>
                <w:sz w:val="24"/>
              </w:rPr>
              <w:t>距声源点</w:t>
            </w:r>
            <w:r>
              <w:rPr>
                <w:rFonts w:eastAsiaTheme="minorEastAsia"/>
                <w:color w:val="auto"/>
                <w:sz w:val="24"/>
              </w:rPr>
              <w:t>r</w:t>
            </w:r>
            <w:r>
              <w:rPr>
                <w:rFonts w:hAnsiTheme="minorEastAsia" w:eastAsiaTheme="minorEastAsia"/>
                <w:color w:val="auto"/>
                <w:sz w:val="24"/>
              </w:rPr>
              <w:t>处的</w:t>
            </w:r>
            <w:r>
              <w:rPr>
                <w:rFonts w:eastAsiaTheme="minorEastAsia"/>
                <w:color w:val="auto"/>
                <w:sz w:val="24"/>
              </w:rPr>
              <w:t>A</w:t>
            </w:r>
            <w:r>
              <w:rPr>
                <w:rFonts w:hAnsiTheme="minorEastAsia" w:eastAsiaTheme="minorEastAsia"/>
                <w:color w:val="auto"/>
                <w:sz w:val="24"/>
              </w:rPr>
              <w:t>声级按下式计算：</w:t>
            </w:r>
          </w:p>
          <w:p w14:paraId="79C44E13">
            <w:pPr>
              <w:spacing w:line="360" w:lineRule="auto"/>
              <w:jc w:val="center"/>
              <w:rPr>
                <w:rFonts w:eastAsiaTheme="minorEastAsia"/>
                <w:color w:val="auto"/>
                <w:sz w:val="24"/>
              </w:rPr>
            </w:pPr>
            <w:r>
              <w:rPr>
                <w:rFonts w:eastAsiaTheme="minorEastAsia"/>
                <w:color w:val="auto"/>
                <w:sz w:val="24"/>
              </w:rPr>
              <w:drawing>
                <wp:inline distT="0" distB="0" distL="0" distR="0">
                  <wp:extent cx="3924935" cy="336550"/>
                  <wp:effectExtent l="0" t="0" r="18415" b="6350"/>
                  <wp:docPr id="99" name="图片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144"/>
                          <pic:cNvPicPr>
                            <a:picLocks noChangeAspect="1" noChangeArrowheads="1"/>
                          </pic:cNvPicPr>
                        </pic:nvPicPr>
                        <pic:blipFill>
                          <a:blip r:embed="rId27" cstate="print"/>
                          <a:srcRect/>
                          <a:stretch>
                            <a:fillRect/>
                          </a:stretch>
                        </pic:blipFill>
                        <pic:spPr>
                          <a:xfrm>
                            <a:off x="0" y="0"/>
                            <a:ext cx="3924935" cy="336550"/>
                          </a:xfrm>
                          <a:prstGeom prst="rect">
                            <a:avLst/>
                          </a:prstGeom>
                          <a:noFill/>
                          <a:ln w="9525">
                            <a:noFill/>
                            <a:miter lim="800000"/>
                            <a:headEnd/>
                            <a:tailEnd/>
                          </a:ln>
                        </pic:spPr>
                      </pic:pic>
                    </a:graphicData>
                  </a:graphic>
                </wp:inline>
              </w:drawing>
            </w:r>
          </w:p>
          <w:p w14:paraId="1B0398A4">
            <w:pPr>
              <w:spacing w:line="360" w:lineRule="auto"/>
              <w:ind w:firstLine="480" w:firstLineChars="200"/>
              <w:rPr>
                <w:rFonts w:eastAsiaTheme="minorEastAsia"/>
                <w:color w:val="auto"/>
                <w:sz w:val="24"/>
              </w:rPr>
            </w:pPr>
            <w:r>
              <w:rPr>
                <w:rFonts w:hAnsiTheme="minorEastAsia" w:eastAsiaTheme="minorEastAsia"/>
                <w:color w:val="auto"/>
                <w:sz w:val="24"/>
              </w:rPr>
              <w:t>（</w:t>
            </w:r>
            <w:r>
              <w:rPr>
                <w:rFonts w:eastAsiaTheme="minorEastAsia"/>
                <w:color w:val="auto"/>
                <w:sz w:val="24"/>
              </w:rPr>
              <w:t>5</w:t>
            </w:r>
            <w:r>
              <w:rPr>
                <w:rFonts w:hAnsiTheme="minorEastAsia" w:eastAsiaTheme="minorEastAsia"/>
                <w:color w:val="auto"/>
                <w:sz w:val="24"/>
              </w:rPr>
              <w:t>）拟建工程声源对预测点产生的贡献值计算</w:t>
            </w:r>
          </w:p>
          <w:p w14:paraId="168320A2">
            <w:pPr>
              <w:autoSpaceDE w:val="0"/>
              <w:autoSpaceDN w:val="0"/>
              <w:spacing w:line="360" w:lineRule="auto"/>
              <w:ind w:firstLine="1200" w:firstLineChars="500"/>
              <w:contextualSpacing/>
              <w:rPr>
                <w:rFonts w:eastAsiaTheme="minorEastAsia"/>
                <w:color w:val="auto"/>
                <w:sz w:val="24"/>
              </w:rPr>
            </w:pPr>
            <w:r>
              <w:rPr>
                <w:rFonts w:eastAsiaTheme="minorEastAsia"/>
                <w:color w:val="auto"/>
                <w:sz w:val="24"/>
              </w:rPr>
              <w:drawing>
                <wp:inline distT="0" distB="0" distL="0" distR="0">
                  <wp:extent cx="3336290" cy="727075"/>
                  <wp:effectExtent l="0" t="0" r="16510" b="1587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noChangeArrowheads="1"/>
                          </pic:cNvPicPr>
                        </pic:nvPicPr>
                        <pic:blipFill>
                          <a:blip r:embed="rId28"/>
                          <a:srcRect/>
                          <a:stretch>
                            <a:fillRect/>
                          </a:stretch>
                        </pic:blipFill>
                        <pic:spPr>
                          <a:xfrm>
                            <a:off x="0" y="0"/>
                            <a:ext cx="3334168" cy="727179"/>
                          </a:xfrm>
                          <a:prstGeom prst="rect">
                            <a:avLst/>
                          </a:prstGeom>
                          <a:noFill/>
                          <a:ln w="9525">
                            <a:noFill/>
                            <a:miter lim="800000"/>
                            <a:headEnd/>
                            <a:tailEnd/>
                          </a:ln>
                        </pic:spPr>
                      </pic:pic>
                    </a:graphicData>
                  </a:graphic>
                </wp:inline>
              </w:drawing>
            </w:r>
          </w:p>
          <w:p w14:paraId="24F42BFF">
            <w:pPr>
              <w:spacing w:line="360" w:lineRule="auto"/>
              <w:ind w:firstLine="480" w:firstLineChars="200"/>
              <w:rPr>
                <w:rFonts w:eastAsiaTheme="minorEastAsia"/>
                <w:color w:val="auto"/>
                <w:sz w:val="24"/>
              </w:rPr>
            </w:pPr>
            <w:r>
              <w:rPr>
                <w:rFonts w:hAnsiTheme="minorEastAsia" w:eastAsiaTheme="minorEastAsia"/>
                <w:color w:val="auto"/>
                <w:sz w:val="24"/>
              </w:rPr>
              <w:t>式中：</w:t>
            </w:r>
            <w:r>
              <w:rPr>
                <w:rFonts w:eastAsiaTheme="minorEastAsia"/>
                <w:color w:val="auto"/>
                <w:sz w:val="24"/>
              </w:rPr>
              <w:t>L</w:t>
            </w:r>
            <w:r>
              <w:rPr>
                <w:rFonts w:eastAsiaTheme="minorEastAsia"/>
                <w:color w:val="auto"/>
                <w:sz w:val="24"/>
                <w:vertAlign w:val="subscript"/>
              </w:rPr>
              <w:t>eqg</w:t>
            </w:r>
            <w:r>
              <w:rPr>
                <w:rFonts w:eastAsiaTheme="minorEastAsia"/>
                <w:color w:val="auto"/>
                <w:sz w:val="24"/>
              </w:rPr>
              <w:t>—</w:t>
            </w:r>
            <w:r>
              <w:rPr>
                <w:rFonts w:hAnsiTheme="minorEastAsia" w:eastAsiaTheme="minorEastAsia"/>
                <w:color w:val="auto"/>
                <w:sz w:val="24"/>
              </w:rPr>
              <w:t>建设项目声源</w:t>
            </w:r>
            <w:r>
              <w:rPr>
                <w:rFonts w:hint="eastAsia" w:hAnsiTheme="minorEastAsia" w:eastAsiaTheme="minorEastAsia"/>
                <w:color w:val="auto"/>
                <w:sz w:val="24"/>
              </w:rPr>
              <w:t>在</w:t>
            </w:r>
            <w:r>
              <w:rPr>
                <w:rFonts w:hAnsiTheme="minorEastAsia" w:eastAsiaTheme="minorEastAsia"/>
                <w:color w:val="auto"/>
                <w:sz w:val="24"/>
              </w:rPr>
              <w:t>预测点产生的噪声贡献值</w:t>
            </w:r>
            <w:r>
              <w:rPr>
                <w:rFonts w:hint="eastAsia" w:hAnsiTheme="minorEastAsia" w:eastAsiaTheme="minorEastAsia"/>
                <w:color w:val="auto"/>
                <w:sz w:val="24"/>
              </w:rPr>
              <w:t>，</w:t>
            </w:r>
            <w:r>
              <w:rPr>
                <w:rFonts w:eastAsiaTheme="minorEastAsia"/>
                <w:color w:val="auto"/>
                <w:sz w:val="24"/>
              </w:rPr>
              <w:t>dB</w:t>
            </w:r>
            <w:r>
              <w:rPr>
                <w:rFonts w:hAnsiTheme="minorEastAsia" w:eastAsiaTheme="minorEastAsia"/>
                <w:color w:val="auto"/>
                <w:sz w:val="24"/>
              </w:rPr>
              <w:t>；</w:t>
            </w:r>
          </w:p>
          <w:p w14:paraId="7E76DA02">
            <w:pPr>
              <w:spacing w:line="360" w:lineRule="auto"/>
              <w:ind w:firstLine="1200" w:firstLineChars="500"/>
              <w:rPr>
                <w:rFonts w:eastAsiaTheme="minorEastAsia"/>
                <w:color w:val="auto"/>
                <w:sz w:val="24"/>
              </w:rPr>
            </w:pPr>
            <w:r>
              <w:rPr>
                <w:rFonts w:eastAsiaTheme="minorEastAsia"/>
                <w:color w:val="auto"/>
                <w:sz w:val="24"/>
              </w:rPr>
              <w:t>T—</w:t>
            </w:r>
            <w:r>
              <w:rPr>
                <w:rFonts w:hAnsiTheme="minorEastAsia" w:eastAsiaTheme="minorEastAsia"/>
                <w:color w:val="auto"/>
                <w:sz w:val="24"/>
              </w:rPr>
              <w:t>用于计算</w:t>
            </w:r>
            <w:r>
              <w:rPr>
                <w:rFonts w:hint="eastAsia" w:hAnsiTheme="minorEastAsia" w:eastAsiaTheme="minorEastAsia"/>
                <w:color w:val="auto"/>
                <w:sz w:val="24"/>
              </w:rPr>
              <w:t>等效声级</w:t>
            </w:r>
            <w:r>
              <w:rPr>
                <w:rFonts w:hAnsiTheme="minorEastAsia" w:eastAsiaTheme="minorEastAsia"/>
                <w:color w:val="auto"/>
                <w:sz w:val="24"/>
              </w:rPr>
              <w:t>的时间</w:t>
            </w:r>
            <w:r>
              <w:rPr>
                <w:rFonts w:hint="eastAsia" w:hAnsiTheme="minorEastAsia" w:eastAsiaTheme="minorEastAsia"/>
                <w:color w:val="auto"/>
                <w:sz w:val="24"/>
              </w:rPr>
              <w:t>，</w:t>
            </w:r>
            <w:r>
              <w:rPr>
                <w:rFonts w:eastAsiaTheme="minorEastAsia"/>
                <w:color w:val="auto"/>
                <w:sz w:val="24"/>
              </w:rPr>
              <w:t>s</w:t>
            </w:r>
            <w:r>
              <w:rPr>
                <w:rFonts w:hAnsiTheme="minorEastAsia" w:eastAsiaTheme="minorEastAsia"/>
                <w:color w:val="auto"/>
                <w:sz w:val="24"/>
              </w:rPr>
              <w:t>；</w:t>
            </w:r>
          </w:p>
          <w:p w14:paraId="45FF558A">
            <w:pPr>
              <w:spacing w:line="360" w:lineRule="auto"/>
              <w:ind w:firstLine="1200" w:firstLineChars="500"/>
              <w:rPr>
                <w:rFonts w:eastAsiaTheme="minorEastAsia"/>
                <w:color w:val="auto"/>
                <w:sz w:val="24"/>
              </w:rPr>
            </w:pPr>
            <w:r>
              <w:rPr>
                <w:rFonts w:eastAsiaTheme="minorEastAsia"/>
                <w:color w:val="auto"/>
                <w:sz w:val="24"/>
              </w:rPr>
              <w:t>N—</w:t>
            </w:r>
            <w:r>
              <w:rPr>
                <w:rFonts w:hAnsiTheme="minorEastAsia" w:eastAsiaTheme="minorEastAsia"/>
                <w:color w:val="auto"/>
                <w:sz w:val="24"/>
              </w:rPr>
              <w:t>室外声源个数；</w:t>
            </w:r>
          </w:p>
          <w:p w14:paraId="46AF9EF4">
            <w:pPr>
              <w:spacing w:line="360" w:lineRule="auto"/>
              <w:ind w:firstLine="1200" w:firstLineChars="500"/>
              <w:rPr>
                <w:rFonts w:eastAsiaTheme="minorEastAsia"/>
                <w:color w:val="auto"/>
                <w:sz w:val="24"/>
              </w:rPr>
            </w:pPr>
            <w:r>
              <w:rPr>
                <w:rFonts w:eastAsiaTheme="minorEastAsia"/>
                <w:color w:val="auto"/>
                <w:sz w:val="24"/>
              </w:rPr>
              <w:t>t</w:t>
            </w:r>
            <w:r>
              <w:rPr>
                <w:rFonts w:eastAsiaTheme="minorEastAsia"/>
                <w:color w:val="auto"/>
                <w:sz w:val="24"/>
                <w:vertAlign w:val="subscript"/>
              </w:rPr>
              <w:t>i</w:t>
            </w:r>
            <w:r>
              <w:rPr>
                <w:rFonts w:eastAsiaTheme="minorEastAsia"/>
                <w:color w:val="auto"/>
                <w:sz w:val="24"/>
              </w:rPr>
              <w:t>—</w:t>
            </w:r>
            <w:r>
              <w:rPr>
                <w:rFonts w:hAnsiTheme="minorEastAsia" w:eastAsiaTheme="minorEastAsia"/>
                <w:color w:val="auto"/>
                <w:sz w:val="24"/>
              </w:rPr>
              <w:t>在</w:t>
            </w:r>
            <w:r>
              <w:rPr>
                <w:rFonts w:eastAsiaTheme="minorEastAsia"/>
                <w:color w:val="auto"/>
                <w:sz w:val="24"/>
              </w:rPr>
              <w:t>T</w:t>
            </w:r>
            <w:r>
              <w:rPr>
                <w:rFonts w:hAnsiTheme="minorEastAsia" w:eastAsiaTheme="minorEastAsia"/>
                <w:color w:val="auto"/>
                <w:sz w:val="24"/>
              </w:rPr>
              <w:t>时间内</w:t>
            </w:r>
            <w:r>
              <w:rPr>
                <w:rFonts w:eastAsiaTheme="minorEastAsia"/>
                <w:color w:val="auto"/>
                <w:sz w:val="24"/>
              </w:rPr>
              <w:t>i</w:t>
            </w:r>
            <w:r>
              <w:rPr>
                <w:rFonts w:hAnsiTheme="minorEastAsia" w:eastAsiaTheme="minorEastAsia"/>
                <w:color w:val="auto"/>
                <w:sz w:val="24"/>
              </w:rPr>
              <w:t>声源工作时间</w:t>
            </w:r>
            <w:r>
              <w:rPr>
                <w:rFonts w:hint="eastAsia" w:hAnsiTheme="minorEastAsia" w:eastAsiaTheme="minorEastAsia"/>
                <w:color w:val="auto"/>
                <w:sz w:val="24"/>
              </w:rPr>
              <w:t>，</w:t>
            </w:r>
            <w:r>
              <w:rPr>
                <w:rFonts w:eastAsiaTheme="minorEastAsia"/>
                <w:color w:val="auto"/>
                <w:sz w:val="24"/>
              </w:rPr>
              <w:t>s</w:t>
            </w:r>
            <w:r>
              <w:rPr>
                <w:rFonts w:hAnsiTheme="minorEastAsia" w:eastAsiaTheme="minorEastAsia"/>
                <w:color w:val="auto"/>
                <w:sz w:val="24"/>
              </w:rPr>
              <w:t>；</w:t>
            </w:r>
          </w:p>
          <w:p w14:paraId="7D772B11">
            <w:pPr>
              <w:spacing w:line="360" w:lineRule="auto"/>
              <w:ind w:firstLine="1200" w:firstLineChars="500"/>
              <w:rPr>
                <w:rFonts w:eastAsiaTheme="minorEastAsia"/>
                <w:color w:val="auto"/>
                <w:sz w:val="24"/>
              </w:rPr>
            </w:pPr>
            <w:r>
              <w:rPr>
                <w:rFonts w:eastAsiaTheme="minorEastAsia"/>
                <w:color w:val="auto"/>
                <w:sz w:val="24"/>
              </w:rPr>
              <w:t>M—</w:t>
            </w:r>
            <w:r>
              <w:rPr>
                <w:rFonts w:hAnsiTheme="minorEastAsia" w:eastAsiaTheme="minorEastAsia"/>
                <w:color w:val="auto"/>
                <w:sz w:val="24"/>
              </w:rPr>
              <w:t>等效室外声源个数；</w:t>
            </w:r>
          </w:p>
          <w:p w14:paraId="7458304D">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jc w:val="left"/>
              <w:textAlignment w:val="auto"/>
              <w:rPr>
                <w:rFonts w:hAnsiTheme="minorEastAsia" w:eastAsiaTheme="minorEastAsia"/>
                <w:color w:val="auto"/>
                <w:sz w:val="24"/>
              </w:rPr>
            </w:pPr>
            <w:r>
              <w:rPr>
                <w:rFonts w:eastAsiaTheme="minorEastAsia"/>
                <w:color w:val="auto"/>
                <w:sz w:val="24"/>
              </w:rPr>
              <w:t>tj—</w:t>
            </w:r>
            <w:r>
              <w:rPr>
                <w:rFonts w:hAnsiTheme="minorEastAsia" w:eastAsiaTheme="minorEastAsia"/>
                <w:color w:val="auto"/>
                <w:sz w:val="24"/>
              </w:rPr>
              <w:t>在</w:t>
            </w:r>
            <w:r>
              <w:rPr>
                <w:rFonts w:eastAsiaTheme="minorEastAsia"/>
                <w:color w:val="auto"/>
                <w:sz w:val="24"/>
              </w:rPr>
              <w:t>T</w:t>
            </w:r>
            <w:r>
              <w:rPr>
                <w:rFonts w:hAnsiTheme="minorEastAsia" w:eastAsiaTheme="minorEastAsia"/>
                <w:color w:val="auto"/>
                <w:sz w:val="24"/>
              </w:rPr>
              <w:t>时间内</w:t>
            </w:r>
            <w:r>
              <w:rPr>
                <w:rFonts w:eastAsiaTheme="minorEastAsia"/>
                <w:color w:val="auto"/>
                <w:sz w:val="24"/>
              </w:rPr>
              <w:t>j</w:t>
            </w:r>
            <w:r>
              <w:rPr>
                <w:rFonts w:hAnsiTheme="minorEastAsia" w:eastAsiaTheme="minorEastAsia"/>
                <w:color w:val="auto"/>
                <w:sz w:val="24"/>
              </w:rPr>
              <w:t>声源工作时间</w:t>
            </w:r>
            <w:r>
              <w:rPr>
                <w:rFonts w:hint="eastAsia" w:hAnsiTheme="minorEastAsia" w:eastAsiaTheme="minorEastAsia"/>
                <w:color w:val="auto"/>
                <w:sz w:val="24"/>
              </w:rPr>
              <w:t>，</w:t>
            </w:r>
            <w:r>
              <w:rPr>
                <w:rFonts w:eastAsiaTheme="minorEastAsia"/>
                <w:color w:val="auto"/>
                <w:sz w:val="24"/>
              </w:rPr>
              <w:t>s</w:t>
            </w:r>
            <w:r>
              <w:rPr>
                <w:rFonts w:hAnsiTheme="minorEastAsia" w:eastAsiaTheme="minorEastAsia"/>
                <w:color w:val="auto"/>
                <w:sz w:val="24"/>
              </w:rPr>
              <w:t>。</w:t>
            </w:r>
          </w:p>
          <w:p w14:paraId="757E80E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jc w:val="left"/>
              <w:textAlignment w:val="auto"/>
              <w:rPr>
                <w:rFonts w:hint="default" w:ascii="Times New Roman" w:cs="Times New Roman" w:hAnsiTheme="minorEastAsia" w:eastAsiaTheme="minorEastAsia"/>
                <w:color w:val="auto"/>
                <w:sz w:val="24"/>
              </w:rPr>
            </w:pPr>
            <w:r>
              <w:rPr>
                <w:rFonts w:hint="eastAsia" w:ascii="Times New Roman" w:cs="Times New Roman" w:hAnsiTheme="minorEastAsia" w:eastAsiaTheme="minorEastAsia"/>
                <w:color w:val="auto"/>
                <w:sz w:val="24"/>
              </w:rPr>
              <w:t>预测</w:t>
            </w:r>
            <w:r>
              <w:rPr>
                <w:rFonts w:hint="eastAsia" w:ascii="Times New Roman" w:cs="Times New Roman" w:hAnsiTheme="minorEastAsia" w:eastAsiaTheme="minorEastAsia"/>
                <w:color w:val="auto"/>
                <w:sz w:val="24"/>
                <w:lang w:val="en-US" w:eastAsia="zh-CN"/>
              </w:rPr>
              <w:t>结果</w:t>
            </w:r>
            <w:r>
              <w:rPr>
                <w:rFonts w:hint="eastAsia" w:ascii="Times New Roman" w:cs="Times New Roman" w:hAnsiTheme="minorEastAsia" w:eastAsiaTheme="minorEastAsia"/>
                <w:color w:val="auto"/>
                <w:sz w:val="24"/>
              </w:rPr>
              <w:t>见表4-</w:t>
            </w:r>
            <w:r>
              <w:rPr>
                <w:rFonts w:hint="eastAsia" w:cs="Times New Roman" w:hAnsiTheme="minorEastAsia" w:eastAsiaTheme="minorEastAsia"/>
                <w:color w:val="auto"/>
                <w:sz w:val="24"/>
                <w:lang w:val="en-US" w:eastAsia="zh-CN"/>
              </w:rPr>
              <w:t>8</w:t>
            </w:r>
            <w:r>
              <w:rPr>
                <w:rFonts w:hint="eastAsia" w:ascii="Times New Roman" w:cs="Times New Roman" w:hAnsiTheme="minorEastAsia" w:eastAsiaTheme="minorEastAsia"/>
                <w:color w:val="auto"/>
                <w:sz w:val="24"/>
              </w:rPr>
              <w:t>。</w:t>
            </w:r>
          </w:p>
          <w:p w14:paraId="3E1DE240">
            <w:pPr>
              <w:pStyle w:val="81"/>
              <w:keepLines w:val="0"/>
              <w:pageBreakBefore w:val="0"/>
              <w:kinsoku w:val="0"/>
              <w:overflowPunct w:val="0"/>
              <w:topLinePunct w:val="0"/>
              <w:autoSpaceDE w:val="0"/>
              <w:autoSpaceDN w:val="0"/>
              <w:bidi w:val="0"/>
              <w:adjustRightInd/>
              <w:snapToGrid/>
              <w:spacing w:beforeAutospacing="0" w:afterAutospacing="0" w:line="240" w:lineRule="auto"/>
              <w:ind w:left="0" w:leftChars="0" w:right="0" w:rightChars="0" w:firstLine="422" w:firstLineChars="200"/>
              <w:rPr>
                <w:rFonts w:hint="default" w:ascii="Times New Roman" w:hAnsi="Times New Roman" w:eastAsia="宋体" w:cs="Times New Roman"/>
                <w:b/>
                <w:bCs/>
                <w:iCs/>
                <w:color w:val="auto"/>
                <w:kern w:val="0"/>
                <w:sz w:val="21"/>
                <w:szCs w:val="21"/>
                <w:highlight w:val="none"/>
                <w:lang w:val="en-US" w:eastAsia="zh-CN" w:bidi="ar-SA"/>
              </w:rPr>
            </w:pPr>
            <w:r>
              <w:rPr>
                <w:rFonts w:hint="default" w:ascii="Times New Roman" w:hAnsi="Times New Roman" w:eastAsia="宋体" w:cs="Times New Roman"/>
                <w:b/>
                <w:bCs/>
                <w:iCs/>
                <w:color w:val="auto"/>
                <w:kern w:val="0"/>
                <w:sz w:val="21"/>
                <w:szCs w:val="21"/>
                <w:highlight w:val="none"/>
                <w:lang w:val="en-US" w:eastAsia="zh-CN" w:bidi="ar-SA"/>
              </w:rPr>
              <w:t>表4-</w:t>
            </w:r>
            <w:r>
              <w:rPr>
                <w:rFonts w:hint="eastAsia" w:ascii="Times New Roman" w:cs="Times New Roman"/>
                <w:b/>
                <w:bCs/>
                <w:iCs/>
                <w:color w:val="auto"/>
                <w:kern w:val="0"/>
                <w:sz w:val="21"/>
                <w:szCs w:val="21"/>
                <w:highlight w:val="none"/>
                <w:lang w:val="en-US" w:eastAsia="zh-CN" w:bidi="ar-SA"/>
              </w:rPr>
              <w:t>8</w:t>
            </w:r>
            <w:r>
              <w:rPr>
                <w:rFonts w:hint="default" w:ascii="Times New Roman" w:hAnsi="Times New Roman" w:eastAsia="宋体" w:cs="Times New Roman"/>
                <w:b/>
                <w:bCs/>
                <w:iCs/>
                <w:color w:val="auto"/>
                <w:kern w:val="0"/>
                <w:sz w:val="21"/>
                <w:szCs w:val="21"/>
                <w:highlight w:val="none"/>
                <w:lang w:val="en-US" w:eastAsia="zh-CN" w:bidi="ar-SA"/>
              </w:rPr>
              <w:t xml:space="preserve">  运营期间厂界噪声预测结果    单位：dB（A）</w:t>
            </w:r>
          </w:p>
          <w:tbl>
            <w:tblPr>
              <w:tblStyle w:val="39"/>
              <w:tblW w:w="496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641"/>
              <w:gridCol w:w="1297"/>
              <w:gridCol w:w="1297"/>
              <w:gridCol w:w="1297"/>
              <w:gridCol w:w="1297"/>
              <w:gridCol w:w="1299"/>
            </w:tblGrid>
            <w:tr w14:paraId="2525A2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609" w:hRule="atLeast"/>
                <w:jc w:val="center"/>
              </w:trPr>
              <w:tc>
                <w:tcPr>
                  <w:tcW w:w="1009" w:type="pct"/>
                  <w:vMerge w:val="restart"/>
                  <w:tcBorders>
                    <w:tl2br w:val="nil"/>
                    <w:tr2bl w:val="nil"/>
                  </w:tcBorders>
                  <w:noWrap w:val="0"/>
                  <w:vAlign w:val="center"/>
                </w:tcPr>
                <w:p w14:paraId="0C542C31">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default" w:ascii="Times New Roman" w:hAnsi="Times New Roman" w:cs="Times New Roman"/>
                      <w:snapToGrid w:val="0"/>
                      <w:color w:val="auto"/>
                      <w:kern w:val="0"/>
                      <w:highlight w:val="none"/>
                    </w:rPr>
                  </w:pPr>
                  <w:r>
                    <w:rPr>
                      <w:rFonts w:hint="default" w:ascii="Times New Roman" w:hAnsi="Times New Roman" w:cs="Times New Roman"/>
                      <w:snapToGrid w:val="0"/>
                      <w:color w:val="auto"/>
                      <w:kern w:val="0"/>
                      <w:highlight w:val="none"/>
                    </w:rPr>
                    <w:t>预测点</w:t>
                  </w:r>
                </w:p>
              </w:tc>
              <w:tc>
                <w:tcPr>
                  <w:tcW w:w="1595" w:type="pct"/>
                  <w:gridSpan w:val="2"/>
                  <w:tcBorders>
                    <w:tl2br w:val="nil"/>
                    <w:tr2bl w:val="nil"/>
                  </w:tcBorders>
                  <w:noWrap w:val="0"/>
                  <w:vAlign w:val="center"/>
                </w:tcPr>
                <w:p w14:paraId="5F70FD65">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default" w:ascii="Times New Roman" w:hAnsi="Times New Roman" w:cs="Times New Roman"/>
                      <w:snapToGrid w:val="0"/>
                      <w:color w:val="auto"/>
                      <w:kern w:val="0"/>
                      <w:highlight w:val="none"/>
                      <w:lang w:val="en-US" w:eastAsia="zh-CN"/>
                    </w:rPr>
                  </w:pPr>
                  <w:r>
                    <w:rPr>
                      <w:rFonts w:hint="eastAsia" w:cs="Times New Roman"/>
                      <w:snapToGrid w:val="0"/>
                      <w:color w:val="auto"/>
                      <w:kern w:val="0"/>
                      <w:highlight w:val="none"/>
                      <w:lang w:val="en-US" w:eastAsia="zh-CN"/>
                    </w:rPr>
                    <w:t>贡献值</w:t>
                  </w:r>
                </w:p>
              </w:tc>
              <w:tc>
                <w:tcPr>
                  <w:tcW w:w="1595" w:type="pct"/>
                  <w:gridSpan w:val="2"/>
                  <w:tcBorders>
                    <w:tl2br w:val="nil"/>
                    <w:tr2bl w:val="nil"/>
                  </w:tcBorders>
                  <w:noWrap w:val="0"/>
                  <w:vAlign w:val="center"/>
                </w:tcPr>
                <w:p w14:paraId="00C0AD47">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eastAsia" w:ascii="Times New Roman" w:hAnsi="Times New Roman" w:cs="Times New Roman"/>
                      <w:snapToGrid w:val="0"/>
                      <w:color w:val="auto"/>
                      <w:kern w:val="0"/>
                      <w:highlight w:val="none"/>
                      <w:lang w:val="en-US" w:eastAsia="zh-CN"/>
                    </w:rPr>
                  </w:pPr>
                  <w:r>
                    <w:rPr>
                      <w:rFonts w:hint="eastAsia" w:ascii="Times New Roman" w:hAnsi="Times New Roman" w:cs="Times New Roman"/>
                      <w:snapToGrid w:val="0"/>
                      <w:color w:val="auto"/>
                      <w:kern w:val="0"/>
                      <w:highlight w:val="none"/>
                      <w:lang w:val="en-US" w:eastAsia="zh-CN"/>
                    </w:rPr>
                    <w:t>评价结果</w:t>
                  </w:r>
                </w:p>
              </w:tc>
              <w:tc>
                <w:tcPr>
                  <w:tcW w:w="799" w:type="pct"/>
                  <w:vMerge w:val="restart"/>
                  <w:tcBorders>
                    <w:tl2br w:val="nil"/>
                    <w:tr2bl w:val="nil"/>
                  </w:tcBorders>
                  <w:noWrap w:val="0"/>
                  <w:vAlign w:val="center"/>
                </w:tcPr>
                <w:p w14:paraId="5C73DDA5">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eastAsia" w:ascii="Times New Roman" w:hAnsi="Times New Roman" w:cs="Times New Roman"/>
                      <w:snapToGrid w:val="0"/>
                      <w:color w:val="auto"/>
                      <w:kern w:val="0"/>
                      <w:highlight w:val="none"/>
                      <w:lang w:val="en-US" w:eastAsia="zh-CN"/>
                    </w:rPr>
                  </w:pPr>
                  <w:r>
                    <w:rPr>
                      <w:rFonts w:hint="eastAsia" w:cs="Times New Roman"/>
                      <w:snapToGrid w:val="0"/>
                      <w:color w:val="auto"/>
                      <w:kern w:val="0"/>
                      <w:highlight w:val="none"/>
                      <w:lang w:val="en-US" w:eastAsia="zh-CN"/>
                    </w:rPr>
                    <w:t>超标和达标情况</w:t>
                  </w:r>
                </w:p>
              </w:tc>
            </w:tr>
            <w:tr w14:paraId="20165D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71" w:hRule="atLeast"/>
                <w:jc w:val="center"/>
              </w:trPr>
              <w:tc>
                <w:tcPr>
                  <w:tcW w:w="1009" w:type="pct"/>
                  <w:vMerge w:val="continue"/>
                  <w:tcBorders>
                    <w:tl2br w:val="nil"/>
                    <w:tr2bl w:val="nil"/>
                  </w:tcBorders>
                  <w:noWrap w:val="0"/>
                  <w:vAlign w:val="center"/>
                </w:tcPr>
                <w:p w14:paraId="5BD19E2F">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color w:val="auto"/>
                    </w:rPr>
                  </w:pPr>
                </w:p>
              </w:tc>
              <w:tc>
                <w:tcPr>
                  <w:tcW w:w="797" w:type="pct"/>
                  <w:tcBorders>
                    <w:tl2br w:val="nil"/>
                    <w:tr2bl w:val="nil"/>
                  </w:tcBorders>
                  <w:noWrap w:val="0"/>
                  <w:vAlign w:val="center"/>
                </w:tcPr>
                <w:p w14:paraId="50F16D12">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eastAsia" w:ascii="Times New Roman" w:hAnsi="Times New Roman" w:cs="Times New Roman"/>
                      <w:snapToGrid w:val="0"/>
                      <w:color w:val="auto"/>
                      <w:kern w:val="0"/>
                      <w:highlight w:val="none"/>
                      <w:lang w:val="en-US" w:eastAsia="zh-CN"/>
                    </w:rPr>
                  </w:pPr>
                  <w:r>
                    <w:rPr>
                      <w:rFonts w:hint="eastAsia" w:cs="Times New Roman"/>
                      <w:snapToGrid w:val="0"/>
                      <w:color w:val="auto"/>
                      <w:kern w:val="0"/>
                      <w:highlight w:val="none"/>
                      <w:lang w:val="en-US" w:eastAsia="zh-CN"/>
                    </w:rPr>
                    <w:t>昼间</w:t>
                  </w:r>
                </w:p>
              </w:tc>
              <w:tc>
                <w:tcPr>
                  <w:tcW w:w="797" w:type="pct"/>
                  <w:tcBorders>
                    <w:tl2br w:val="nil"/>
                    <w:tr2bl w:val="nil"/>
                  </w:tcBorders>
                  <w:noWrap w:val="0"/>
                  <w:vAlign w:val="center"/>
                </w:tcPr>
                <w:p w14:paraId="608B94B0">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eastAsia" w:ascii="Times New Roman" w:hAnsi="Times New Roman" w:cs="Times New Roman"/>
                      <w:snapToGrid w:val="0"/>
                      <w:color w:val="auto"/>
                      <w:kern w:val="0"/>
                      <w:highlight w:val="none"/>
                      <w:lang w:val="en-US" w:eastAsia="zh-CN"/>
                    </w:rPr>
                  </w:pPr>
                  <w:r>
                    <w:rPr>
                      <w:rFonts w:hint="eastAsia" w:cs="Times New Roman"/>
                      <w:snapToGrid w:val="0"/>
                      <w:color w:val="auto"/>
                      <w:kern w:val="0"/>
                      <w:highlight w:val="none"/>
                      <w:lang w:val="en-US" w:eastAsia="zh-CN"/>
                    </w:rPr>
                    <w:t>夜间</w:t>
                  </w:r>
                </w:p>
              </w:tc>
              <w:tc>
                <w:tcPr>
                  <w:tcW w:w="797" w:type="pct"/>
                  <w:tcBorders>
                    <w:tl2br w:val="nil"/>
                    <w:tr2bl w:val="nil"/>
                  </w:tcBorders>
                  <w:noWrap w:val="0"/>
                  <w:vAlign w:val="center"/>
                </w:tcPr>
                <w:p w14:paraId="3FEE2FE3">
                  <w:pPr>
                    <w:keepNext w:val="0"/>
                    <w:keepLines w:val="0"/>
                    <w:pageBreakBefore w:val="0"/>
                    <w:suppressLineNumbers w:val="0"/>
                    <w:kinsoku/>
                    <w:wordWrap/>
                    <w:overflowPunct/>
                    <w:topLinePunct w:val="0"/>
                    <w:bidi w:val="0"/>
                    <w:snapToGrid/>
                    <w:spacing w:before="0" w:beforeAutospacing="0" w:after="0" w:afterAutospacing="0" w:line="360" w:lineRule="auto"/>
                    <w:ind w:left="0" w:leftChars="0" w:right="0" w:rightChars="0"/>
                    <w:jc w:val="center"/>
                    <w:textAlignment w:val="auto"/>
                    <w:rPr>
                      <w:rFonts w:hint="eastAsia" w:ascii="Times New Roman" w:hAnsi="Times New Roman" w:cs="Times New Roman"/>
                      <w:snapToGrid w:val="0"/>
                      <w:color w:val="auto"/>
                      <w:kern w:val="0"/>
                      <w:highlight w:val="none"/>
                      <w:lang w:val="en-US" w:eastAsia="zh-CN"/>
                    </w:rPr>
                  </w:pPr>
                  <w:r>
                    <w:rPr>
                      <w:rFonts w:hint="eastAsia" w:cs="Times New Roman"/>
                      <w:snapToGrid w:val="0"/>
                      <w:color w:val="auto"/>
                      <w:kern w:val="0"/>
                      <w:highlight w:val="none"/>
                      <w:lang w:val="en-US" w:eastAsia="zh-CN"/>
                    </w:rPr>
                    <w:t>昼间</w:t>
                  </w:r>
                </w:p>
              </w:tc>
              <w:tc>
                <w:tcPr>
                  <w:tcW w:w="797" w:type="pct"/>
                  <w:tcBorders>
                    <w:tl2br w:val="nil"/>
                    <w:tr2bl w:val="nil"/>
                  </w:tcBorders>
                  <w:noWrap w:val="0"/>
                  <w:vAlign w:val="center"/>
                </w:tcPr>
                <w:p w14:paraId="4C621395">
                  <w:pPr>
                    <w:keepNext w:val="0"/>
                    <w:keepLines w:val="0"/>
                    <w:pageBreakBefore w:val="0"/>
                    <w:suppressLineNumbers w:val="0"/>
                    <w:kinsoku/>
                    <w:wordWrap/>
                    <w:overflowPunct/>
                    <w:topLinePunct w:val="0"/>
                    <w:bidi w:val="0"/>
                    <w:snapToGrid/>
                    <w:spacing w:before="0" w:beforeAutospacing="0" w:after="0" w:afterAutospacing="0" w:line="360" w:lineRule="auto"/>
                    <w:ind w:left="0" w:leftChars="0" w:right="0" w:rightChars="0"/>
                    <w:jc w:val="center"/>
                    <w:textAlignment w:val="auto"/>
                    <w:rPr>
                      <w:rFonts w:hint="eastAsia" w:ascii="Times New Roman" w:hAnsi="Times New Roman" w:cs="Times New Roman"/>
                      <w:snapToGrid w:val="0"/>
                      <w:color w:val="auto"/>
                      <w:kern w:val="0"/>
                      <w:highlight w:val="none"/>
                      <w:lang w:val="en-US" w:eastAsia="zh-CN"/>
                    </w:rPr>
                  </w:pPr>
                  <w:r>
                    <w:rPr>
                      <w:rFonts w:hint="eastAsia" w:cs="Times New Roman"/>
                      <w:snapToGrid w:val="0"/>
                      <w:color w:val="auto"/>
                      <w:kern w:val="0"/>
                      <w:highlight w:val="none"/>
                      <w:lang w:val="en-US" w:eastAsia="zh-CN"/>
                    </w:rPr>
                    <w:t>夜间</w:t>
                  </w:r>
                </w:p>
              </w:tc>
              <w:tc>
                <w:tcPr>
                  <w:tcW w:w="799" w:type="pct"/>
                  <w:vMerge w:val="continue"/>
                  <w:tcBorders>
                    <w:tl2br w:val="nil"/>
                    <w:tr2bl w:val="nil"/>
                  </w:tcBorders>
                  <w:noWrap w:val="0"/>
                  <w:vAlign w:val="center"/>
                </w:tcPr>
                <w:p w14:paraId="0AD85722">
                  <w:pPr>
                    <w:keepNext w:val="0"/>
                    <w:keepLines w:val="0"/>
                    <w:pageBreakBefore w:val="0"/>
                    <w:suppressLineNumbers w:val="0"/>
                    <w:kinsoku/>
                    <w:wordWrap/>
                    <w:overflowPunct/>
                    <w:topLinePunct w:val="0"/>
                    <w:bidi w:val="0"/>
                    <w:snapToGrid/>
                    <w:spacing w:before="0" w:beforeAutospacing="0" w:after="0" w:afterAutospacing="0" w:line="360" w:lineRule="auto"/>
                    <w:ind w:left="0" w:leftChars="0" w:right="0" w:rightChars="0"/>
                    <w:jc w:val="center"/>
                    <w:textAlignment w:val="auto"/>
                    <w:rPr>
                      <w:rFonts w:hint="eastAsia" w:cs="Times New Roman"/>
                      <w:snapToGrid w:val="0"/>
                      <w:color w:val="auto"/>
                      <w:kern w:val="0"/>
                      <w:highlight w:val="none"/>
                      <w:lang w:val="en-US" w:eastAsia="zh-CN"/>
                    </w:rPr>
                  </w:pPr>
                </w:p>
              </w:tc>
            </w:tr>
            <w:tr w14:paraId="023AAB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19" w:hRule="atLeast"/>
                <w:jc w:val="center"/>
              </w:trPr>
              <w:tc>
                <w:tcPr>
                  <w:tcW w:w="1009" w:type="pct"/>
                  <w:tcBorders>
                    <w:tl2br w:val="nil"/>
                    <w:tr2bl w:val="nil"/>
                  </w:tcBorders>
                  <w:noWrap w:val="0"/>
                  <w:vAlign w:val="center"/>
                </w:tcPr>
                <w:p w14:paraId="53473C34">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default" w:ascii="Times New Roman" w:hAnsi="Times New Roman" w:eastAsia="宋体" w:cs="Times New Roman"/>
                      <w:bCs/>
                      <w:snapToGrid w:val="0"/>
                      <w:color w:val="auto"/>
                      <w:kern w:val="0"/>
                      <w:highlight w:val="none"/>
                      <w:lang w:val="en-US" w:eastAsia="zh-CN"/>
                    </w:rPr>
                  </w:pPr>
                  <w:bookmarkStart w:id="15" w:name="OLE_LINK50" w:colFirst="3" w:colLast="4"/>
                  <w:r>
                    <w:rPr>
                      <w:rFonts w:hint="default" w:ascii="Times New Roman" w:hAnsi="Times New Roman" w:eastAsia="宋体"/>
                      <w:color w:val="auto"/>
                      <w:szCs w:val="21"/>
                      <w:highlight w:val="none"/>
                    </w:rPr>
                    <w:t>厂界</w:t>
                  </w:r>
                  <w:r>
                    <w:rPr>
                      <w:rFonts w:hint="default"/>
                      <w:color w:val="auto"/>
                      <w:szCs w:val="21"/>
                      <w:highlight w:val="none"/>
                    </w:rPr>
                    <w:t>东侧</w:t>
                  </w:r>
                </w:p>
              </w:tc>
              <w:tc>
                <w:tcPr>
                  <w:tcW w:w="797" w:type="pct"/>
                  <w:tcBorders>
                    <w:tl2br w:val="nil"/>
                    <w:tr2bl w:val="nil"/>
                  </w:tcBorders>
                  <w:noWrap w:val="0"/>
                  <w:vAlign w:val="center"/>
                </w:tcPr>
                <w:p w14:paraId="22F773FA">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default" w:ascii="Times New Roman" w:hAnsi="Times New Roman"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38.21</w:t>
                  </w:r>
                </w:p>
              </w:tc>
              <w:tc>
                <w:tcPr>
                  <w:tcW w:w="1297" w:type="dxa"/>
                  <w:tcBorders>
                    <w:tl2br w:val="nil"/>
                    <w:tr2bl w:val="nil"/>
                  </w:tcBorders>
                  <w:noWrap w:val="0"/>
                  <w:vAlign w:val="center"/>
                </w:tcPr>
                <w:p w14:paraId="65E30192">
                  <w:pPr>
                    <w:keepNext w:val="0"/>
                    <w:keepLines w:val="0"/>
                    <w:pageBreakBefore w:val="0"/>
                    <w:suppressLineNumbers w:val="0"/>
                    <w:kinsoku/>
                    <w:wordWrap/>
                    <w:overflowPunct/>
                    <w:topLinePunct w:val="0"/>
                    <w:bidi w:val="0"/>
                    <w:snapToGrid/>
                    <w:spacing w:before="0" w:beforeAutospacing="0" w:after="0" w:afterAutospacing="0" w:line="360" w:lineRule="auto"/>
                    <w:ind w:left="0" w:leftChars="0" w:right="0" w:rightChars="0"/>
                    <w:jc w:val="center"/>
                    <w:textAlignment w:val="auto"/>
                    <w:rPr>
                      <w:rFonts w:hint="default" w:cs="Times New Roman"/>
                      <w:color w:val="auto"/>
                      <w:highlight w:val="none"/>
                      <w:lang w:val="en-US" w:eastAsia="zh-CN"/>
                    </w:rPr>
                  </w:pPr>
                  <w:r>
                    <w:rPr>
                      <w:rFonts w:hint="eastAsia" w:cs="Times New Roman"/>
                      <w:color w:val="auto"/>
                      <w:kern w:val="2"/>
                      <w:sz w:val="21"/>
                      <w:szCs w:val="24"/>
                      <w:highlight w:val="none"/>
                      <w:lang w:val="en-US" w:eastAsia="zh-CN" w:bidi="ar-SA"/>
                    </w:rPr>
                    <w:t>38.21</w:t>
                  </w:r>
                </w:p>
              </w:tc>
              <w:tc>
                <w:tcPr>
                  <w:tcW w:w="797" w:type="pct"/>
                  <w:tcBorders>
                    <w:tl2br w:val="nil"/>
                    <w:tr2bl w:val="nil"/>
                  </w:tcBorders>
                  <w:noWrap w:val="0"/>
                  <w:vAlign w:val="center"/>
                </w:tcPr>
                <w:p w14:paraId="02148270">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eastAsia="宋体" w:cs="Times New Roman"/>
                      <w:bCs/>
                      <w:snapToGrid w:val="0"/>
                      <w:color w:val="auto"/>
                      <w:kern w:val="0"/>
                      <w:highlight w:val="none"/>
                      <w:lang w:val="en-US" w:eastAsia="zh-CN"/>
                    </w:rPr>
                  </w:pPr>
                  <w:r>
                    <w:rPr>
                      <w:rFonts w:hint="eastAsia" w:cs="Times New Roman"/>
                      <w:color w:val="auto"/>
                      <w:sz w:val="20"/>
                      <w:szCs w:val="20"/>
                      <w:highlight w:val="none"/>
                      <w:vertAlign w:val="baseline"/>
                      <w:lang w:val="en-US" w:eastAsia="zh-CN"/>
                    </w:rPr>
                    <w:t>60</w:t>
                  </w:r>
                </w:p>
              </w:tc>
              <w:tc>
                <w:tcPr>
                  <w:tcW w:w="797" w:type="pct"/>
                  <w:tcBorders>
                    <w:tl2br w:val="nil"/>
                    <w:tr2bl w:val="nil"/>
                  </w:tcBorders>
                  <w:noWrap w:val="0"/>
                  <w:vAlign w:val="center"/>
                </w:tcPr>
                <w:p w14:paraId="3F0399D1">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eastAsia="宋体" w:cs="Times New Roman"/>
                      <w:bCs/>
                      <w:snapToGrid w:val="0"/>
                      <w:color w:val="auto"/>
                      <w:kern w:val="0"/>
                      <w:highlight w:val="none"/>
                      <w:lang w:val="en-US" w:eastAsia="zh-CN"/>
                    </w:rPr>
                  </w:pPr>
                  <w:r>
                    <w:rPr>
                      <w:rFonts w:hint="eastAsia" w:cs="Times New Roman"/>
                      <w:color w:val="auto"/>
                      <w:sz w:val="20"/>
                      <w:szCs w:val="20"/>
                      <w:highlight w:val="none"/>
                      <w:vertAlign w:val="baseline"/>
                      <w:lang w:val="en-US" w:eastAsia="zh-CN"/>
                    </w:rPr>
                    <w:t>50</w:t>
                  </w:r>
                </w:p>
              </w:tc>
              <w:tc>
                <w:tcPr>
                  <w:tcW w:w="799" w:type="pct"/>
                  <w:tcBorders>
                    <w:tl2br w:val="nil"/>
                    <w:tr2bl w:val="nil"/>
                  </w:tcBorders>
                  <w:noWrap w:val="0"/>
                  <w:vAlign w:val="center"/>
                </w:tcPr>
                <w:p w14:paraId="215F987F">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eastAsia" w:cs="Times New Roman"/>
                      <w:bCs/>
                      <w:snapToGrid w:val="0"/>
                      <w:color w:val="auto"/>
                      <w:kern w:val="0"/>
                      <w:highlight w:val="none"/>
                      <w:lang w:val="en-US" w:eastAsia="zh-CN"/>
                    </w:rPr>
                  </w:pPr>
                  <w:r>
                    <w:rPr>
                      <w:rFonts w:hint="eastAsia" w:cs="Times New Roman"/>
                      <w:bCs/>
                      <w:snapToGrid w:val="0"/>
                      <w:color w:val="auto"/>
                      <w:kern w:val="0"/>
                      <w:highlight w:val="none"/>
                      <w:lang w:val="en-US" w:eastAsia="zh-CN"/>
                    </w:rPr>
                    <w:t>达标</w:t>
                  </w:r>
                </w:p>
              </w:tc>
            </w:tr>
            <w:bookmarkEnd w:id="15"/>
            <w:tr w14:paraId="6EF519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19" w:hRule="atLeast"/>
                <w:jc w:val="center"/>
              </w:trPr>
              <w:tc>
                <w:tcPr>
                  <w:tcW w:w="1009" w:type="pct"/>
                  <w:tcBorders>
                    <w:tl2br w:val="nil"/>
                    <w:tr2bl w:val="nil"/>
                  </w:tcBorders>
                  <w:noWrap w:val="0"/>
                  <w:vAlign w:val="center"/>
                </w:tcPr>
                <w:p w14:paraId="767D81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jc w:val="center"/>
                    <w:textAlignment w:val="auto"/>
                    <w:rPr>
                      <w:rFonts w:hint="eastAsia" w:ascii="Times New Roman" w:hAnsi="Times New Roman" w:cs="Times New Roman"/>
                      <w:color w:val="auto"/>
                      <w:highlight w:val="none"/>
                      <w:lang w:val="en-US" w:eastAsia="zh-CN"/>
                    </w:rPr>
                  </w:pPr>
                  <w:r>
                    <w:rPr>
                      <w:rFonts w:hint="default" w:ascii="Times New Roman" w:hAnsi="Times New Roman" w:eastAsia="宋体"/>
                      <w:color w:val="auto"/>
                      <w:szCs w:val="21"/>
                      <w:highlight w:val="none"/>
                    </w:rPr>
                    <w:t>厂界</w:t>
                  </w:r>
                  <w:r>
                    <w:rPr>
                      <w:rFonts w:hint="eastAsia" w:ascii="Times New Roman" w:hAnsi="Times New Roman" w:eastAsia="宋体"/>
                      <w:color w:val="auto"/>
                      <w:szCs w:val="21"/>
                      <w:highlight w:val="none"/>
                      <w:lang w:eastAsia="zh-CN"/>
                    </w:rPr>
                    <w:t>南侧</w:t>
                  </w:r>
                </w:p>
              </w:tc>
              <w:tc>
                <w:tcPr>
                  <w:tcW w:w="797" w:type="pct"/>
                  <w:tcBorders>
                    <w:tl2br w:val="nil"/>
                    <w:tr2bl w:val="nil"/>
                  </w:tcBorders>
                  <w:noWrap w:val="0"/>
                  <w:vAlign w:val="center"/>
                </w:tcPr>
                <w:p w14:paraId="0800CE92">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3</w:t>
                  </w:r>
                  <w:r>
                    <w:rPr>
                      <w:rFonts w:hint="eastAsia" w:ascii="Times New Roman" w:hAnsi="Times New Roman" w:cs="Times New Roman"/>
                      <w:color w:val="auto"/>
                      <w:highlight w:val="none"/>
                      <w:lang w:val="en-US" w:eastAsia="zh-CN"/>
                    </w:rPr>
                    <w:t>1.</w:t>
                  </w:r>
                  <w:r>
                    <w:rPr>
                      <w:rFonts w:hint="eastAsia" w:cs="Times New Roman"/>
                      <w:color w:val="auto"/>
                      <w:highlight w:val="none"/>
                      <w:lang w:val="en-US" w:eastAsia="zh-CN"/>
                    </w:rPr>
                    <w:t>45</w:t>
                  </w:r>
                </w:p>
              </w:tc>
              <w:tc>
                <w:tcPr>
                  <w:tcW w:w="1297" w:type="dxa"/>
                  <w:tcBorders>
                    <w:tl2br w:val="nil"/>
                    <w:tr2bl w:val="nil"/>
                  </w:tcBorders>
                  <w:noWrap w:val="0"/>
                  <w:vAlign w:val="center"/>
                </w:tcPr>
                <w:p w14:paraId="520E381A">
                  <w:pPr>
                    <w:keepNext w:val="0"/>
                    <w:keepLines w:val="0"/>
                    <w:pageBreakBefore w:val="0"/>
                    <w:suppressLineNumbers w:val="0"/>
                    <w:kinsoku/>
                    <w:wordWrap/>
                    <w:overflowPunct/>
                    <w:topLinePunct w:val="0"/>
                    <w:bidi w:val="0"/>
                    <w:snapToGrid/>
                    <w:spacing w:before="0" w:beforeAutospacing="0" w:after="0" w:afterAutospacing="0" w:line="360" w:lineRule="auto"/>
                    <w:ind w:left="0" w:leftChars="0" w:right="0" w:rightChars="0"/>
                    <w:jc w:val="center"/>
                    <w:textAlignment w:val="auto"/>
                    <w:rPr>
                      <w:rFonts w:hint="default" w:cs="Times New Roman"/>
                      <w:color w:val="auto"/>
                      <w:highlight w:val="none"/>
                      <w:lang w:val="en-US" w:eastAsia="zh-CN"/>
                    </w:rPr>
                  </w:pPr>
                  <w:r>
                    <w:rPr>
                      <w:rFonts w:hint="eastAsia" w:cs="Times New Roman"/>
                      <w:color w:val="auto"/>
                      <w:highlight w:val="none"/>
                      <w:lang w:val="en-US" w:eastAsia="zh-CN"/>
                    </w:rPr>
                    <w:t>3</w:t>
                  </w:r>
                  <w:r>
                    <w:rPr>
                      <w:rFonts w:hint="eastAsia" w:ascii="Times New Roman" w:hAnsi="Times New Roman" w:cs="Times New Roman"/>
                      <w:color w:val="auto"/>
                      <w:highlight w:val="none"/>
                      <w:lang w:val="en-US" w:eastAsia="zh-CN"/>
                    </w:rPr>
                    <w:t>1.</w:t>
                  </w:r>
                  <w:r>
                    <w:rPr>
                      <w:rFonts w:hint="eastAsia" w:cs="Times New Roman"/>
                      <w:color w:val="auto"/>
                      <w:highlight w:val="none"/>
                      <w:lang w:val="en-US" w:eastAsia="zh-CN"/>
                    </w:rPr>
                    <w:t>45</w:t>
                  </w:r>
                </w:p>
              </w:tc>
              <w:tc>
                <w:tcPr>
                  <w:tcW w:w="797" w:type="pct"/>
                  <w:tcBorders>
                    <w:tl2br w:val="nil"/>
                    <w:tr2bl w:val="nil"/>
                  </w:tcBorders>
                  <w:noWrap w:val="0"/>
                  <w:vAlign w:val="center"/>
                </w:tcPr>
                <w:p w14:paraId="6FDAF338">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snapToGrid w:val="0"/>
                      <w:color w:val="auto"/>
                      <w:kern w:val="0"/>
                      <w:highlight w:val="none"/>
                    </w:rPr>
                  </w:pPr>
                  <w:r>
                    <w:rPr>
                      <w:rFonts w:hint="eastAsia" w:cs="Times New Roman"/>
                      <w:color w:val="auto"/>
                      <w:sz w:val="20"/>
                      <w:szCs w:val="20"/>
                      <w:highlight w:val="none"/>
                      <w:vertAlign w:val="baseline"/>
                      <w:lang w:val="en-US" w:eastAsia="zh-CN"/>
                    </w:rPr>
                    <w:t>60</w:t>
                  </w:r>
                </w:p>
              </w:tc>
              <w:tc>
                <w:tcPr>
                  <w:tcW w:w="797" w:type="pct"/>
                  <w:tcBorders>
                    <w:tl2br w:val="nil"/>
                    <w:tr2bl w:val="nil"/>
                  </w:tcBorders>
                  <w:noWrap w:val="0"/>
                  <w:vAlign w:val="center"/>
                </w:tcPr>
                <w:p w14:paraId="48922200">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snapToGrid w:val="0"/>
                      <w:color w:val="auto"/>
                      <w:kern w:val="0"/>
                      <w:highlight w:val="none"/>
                    </w:rPr>
                  </w:pPr>
                  <w:r>
                    <w:rPr>
                      <w:rFonts w:hint="eastAsia" w:cs="Times New Roman"/>
                      <w:color w:val="auto"/>
                      <w:sz w:val="20"/>
                      <w:szCs w:val="20"/>
                      <w:highlight w:val="none"/>
                      <w:vertAlign w:val="baseline"/>
                      <w:lang w:val="en-US" w:eastAsia="zh-CN"/>
                    </w:rPr>
                    <w:t>50</w:t>
                  </w:r>
                </w:p>
              </w:tc>
              <w:tc>
                <w:tcPr>
                  <w:tcW w:w="799" w:type="pct"/>
                  <w:tcBorders>
                    <w:tl2br w:val="nil"/>
                    <w:tr2bl w:val="nil"/>
                  </w:tcBorders>
                  <w:noWrap w:val="0"/>
                  <w:vAlign w:val="center"/>
                </w:tcPr>
                <w:p w14:paraId="34683EAC">
                  <w:pPr>
                    <w:keepNext w:val="0"/>
                    <w:keepLines w:val="0"/>
                    <w:pageBreakBefore w:val="0"/>
                    <w:suppressLineNumbers w:val="0"/>
                    <w:kinsoku/>
                    <w:wordWrap/>
                    <w:overflowPunct/>
                    <w:topLinePunct w:val="0"/>
                    <w:bidi w:val="0"/>
                    <w:snapToGrid/>
                    <w:spacing w:before="0" w:beforeAutospacing="0" w:after="0" w:afterAutospacing="0" w:line="360" w:lineRule="auto"/>
                    <w:ind w:left="0" w:leftChars="0" w:right="0" w:rightChars="0"/>
                    <w:jc w:val="center"/>
                    <w:textAlignment w:val="auto"/>
                    <w:rPr>
                      <w:rFonts w:hint="eastAsia" w:cs="Times New Roman"/>
                      <w:bCs/>
                      <w:snapToGrid w:val="0"/>
                      <w:color w:val="auto"/>
                      <w:kern w:val="0"/>
                      <w:highlight w:val="none"/>
                      <w:lang w:val="en-US" w:eastAsia="zh-CN"/>
                    </w:rPr>
                  </w:pPr>
                  <w:r>
                    <w:rPr>
                      <w:rFonts w:hint="eastAsia" w:cs="Times New Roman"/>
                      <w:bCs/>
                      <w:snapToGrid w:val="0"/>
                      <w:color w:val="auto"/>
                      <w:kern w:val="0"/>
                      <w:highlight w:val="none"/>
                      <w:lang w:val="en-US" w:eastAsia="zh-CN"/>
                    </w:rPr>
                    <w:t>达标</w:t>
                  </w:r>
                </w:p>
              </w:tc>
            </w:tr>
            <w:tr w14:paraId="4BBF9E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19" w:hRule="atLeast"/>
                <w:jc w:val="center"/>
              </w:trPr>
              <w:tc>
                <w:tcPr>
                  <w:tcW w:w="1009" w:type="pct"/>
                  <w:tcBorders>
                    <w:tl2br w:val="nil"/>
                    <w:tr2bl w:val="nil"/>
                  </w:tcBorders>
                  <w:noWrap w:val="0"/>
                  <w:vAlign w:val="center"/>
                </w:tcPr>
                <w:p w14:paraId="5FC6D0F5">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eastAsia" w:ascii="Times New Roman" w:hAnsi="Times New Roman" w:eastAsia="宋体"/>
                      <w:color w:val="auto"/>
                      <w:szCs w:val="21"/>
                      <w:highlight w:val="none"/>
                    </w:rPr>
                  </w:pPr>
                  <w:r>
                    <w:rPr>
                      <w:rFonts w:hint="eastAsia"/>
                      <w:color w:val="auto"/>
                      <w:szCs w:val="21"/>
                      <w:highlight w:val="none"/>
                      <w:lang w:eastAsia="zh-CN"/>
                    </w:rPr>
                    <w:t>厂界西侧</w:t>
                  </w:r>
                </w:p>
              </w:tc>
              <w:tc>
                <w:tcPr>
                  <w:tcW w:w="797" w:type="pct"/>
                  <w:tcBorders>
                    <w:tl2br w:val="nil"/>
                    <w:tr2bl w:val="nil"/>
                  </w:tcBorders>
                  <w:shd w:val="clear" w:color="auto" w:fill="auto"/>
                  <w:noWrap w:val="0"/>
                  <w:vAlign w:val="center"/>
                </w:tcPr>
                <w:p w14:paraId="2DB15DE8">
                  <w:pPr>
                    <w:keepNext w:val="0"/>
                    <w:keepLines w:val="0"/>
                    <w:pageBreakBefore w:val="0"/>
                    <w:suppressLineNumbers w:val="0"/>
                    <w:kinsoku/>
                    <w:wordWrap/>
                    <w:overflowPunct/>
                    <w:topLinePunct w:val="0"/>
                    <w:bidi w:val="0"/>
                    <w:snapToGrid/>
                    <w:spacing w:before="0" w:beforeAutospacing="0" w:after="0" w:afterAutospacing="0" w:line="360" w:lineRule="auto"/>
                    <w:ind w:left="0" w:leftChars="0" w:right="0" w:rightChars="0"/>
                    <w:jc w:val="center"/>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3</w:t>
                  </w:r>
                  <w:r>
                    <w:rPr>
                      <w:rFonts w:hint="eastAsia" w:ascii="Times New Roman" w:hAnsi="Times New Roman" w:eastAsia="宋体" w:cs="Times New Roman"/>
                      <w:color w:val="auto"/>
                      <w:kern w:val="2"/>
                      <w:sz w:val="21"/>
                      <w:szCs w:val="24"/>
                      <w:highlight w:val="none"/>
                      <w:lang w:val="en-US" w:eastAsia="zh-CN" w:bidi="ar-SA"/>
                    </w:rPr>
                    <w:t>4.</w:t>
                  </w:r>
                  <w:r>
                    <w:rPr>
                      <w:rFonts w:hint="eastAsia" w:cs="Times New Roman"/>
                      <w:color w:val="auto"/>
                      <w:kern w:val="2"/>
                      <w:sz w:val="21"/>
                      <w:szCs w:val="24"/>
                      <w:highlight w:val="none"/>
                      <w:lang w:val="en-US" w:eastAsia="zh-CN" w:bidi="ar-SA"/>
                    </w:rPr>
                    <w:t>76</w:t>
                  </w:r>
                </w:p>
              </w:tc>
              <w:tc>
                <w:tcPr>
                  <w:tcW w:w="1297" w:type="dxa"/>
                  <w:tcBorders>
                    <w:tl2br w:val="nil"/>
                    <w:tr2bl w:val="nil"/>
                  </w:tcBorders>
                  <w:shd w:val="clear" w:color="auto" w:fill="auto"/>
                  <w:noWrap w:val="0"/>
                  <w:vAlign w:val="center"/>
                </w:tcPr>
                <w:p w14:paraId="31EE71DB">
                  <w:pPr>
                    <w:keepNext w:val="0"/>
                    <w:keepLines w:val="0"/>
                    <w:pageBreakBefore w:val="0"/>
                    <w:suppressLineNumbers w:val="0"/>
                    <w:kinsoku/>
                    <w:wordWrap/>
                    <w:overflowPunct/>
                    <w:topLinePunct w:val="0"/>
                    <w:bidi w:val="0"/>
                    <w:snapToGrid/>
                    <w:spacing w:before="0" w:beforeAutospacing="0" w:after="0" w:afterAutospacing="0" w:line="360" w:lineRule="auto"/>
                    <w:ind w:left="0" w:leftChars="0" w:right="0" w:rightChars="0"/>
                    <w:jc w:val="center"/>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3</w:t>
                  </w:r>
                  <w:r>
                    <w:rPr>
                      <w:rFonts w:hint="eastAsia" w:ascii="Times New Roman" w:hAnsi="Times New Roman" w:eastAsia="宋体" w:cs="Times New Roman"/>
                      <w:color w:val="auto"/>
                      <w:kern w:val="2"/>
                      <w:sz w:val="21"/>
                      <w:szCs w:val="24"/>
                      <w:highlight w:val="none"/>
                      <w:lang w:val="en-US" w:eastAsia="zh-CN" w:bidi="ar-SA"/>
                    </w:rPr>
                    <w:t>4.</w:t>
                  </w:r>
                  <w:r>
                    <w:rPr>
                      <w:rFonts w:hint="eastAsia" w:cs="Times New Roman"/>
                      <w:color w:val="auto"/>
                      <w:kern w:val="2"/>
                      <w:sz w:val="21"/>
                      <w:szCs w:val="24"/>
                      <w:highlight w:val="none"/>
                      <w:lang w:val="en-US" w:eastAsia="zh-CN" w:bidi="ar-SA"/>
                    </w:rPr>
                    <w:t>76</w:t>
                  </w:r>
                </w:p>
              </w:tc>
              <w:tc>
                <w:tcPr>
                  <w:tcW w:w="797" w:type="pct"/>
                  <w:tcBorders>
                    <w:tl2br w:val="nil"/>
                    <w:tr2bl w:val="nil"/>
                  </w:tcBorders>
                  <w:noWrap w:val="0"/>
                  <w:vAlign w:val="center"/>
                </w:tcPr>
                <w:p w14:paraId="7CA55EE5">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snapToGrid w:val="0"/>
                      <w:color w:val="auto"/>
                      <w:kern w:val="0"/>
                      <w:highlight w:val="none"/>
                    </w:rPr>
                  </w:pPr>
                  <w:r>
                    <w:rPr>
                      <w:rFonts w:hint="eastAsia" w:cs="Times New Roman"/>
                      <w:color w:val="auto"/>
                      <w:sz w:val="20"/>
                      <w:szCs w:val="20"/>
                      <w:highlight w:val="none"/>
                      <w:vertAlign w:val="baseline"/>
                      <w:lang w:val="en-US" w:eastAsia="zh-CN"/>
                    </w:rPr>
                    <w:t>60</w:t>
                  </w:r>
                </w:p>
              </w:tc>
              <w:tc>
                <w:tcPr>
                  <w:tcW w:w="797" w:type="pct"/>
                  <w:tcBorders>
                    <w:tl2br w:val="nil"/>
                    <w:tr2bl w:val="nil"/>
                  </w:tcBorders>
                  <w:noWrap w:val="0"/>
                  <w:vAlign w:val="center"/>
                </w:tcPr>
                <w:p w14:paraId="0A5811CC">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snapToGrid w:val="0"/>
                      <w:color w:val="auto"/>
                      <w:kern w:val="0"/>
                      <w:highlight w:val="none"/>
                    </w:rPr>
                  </w:pPr>
                  <w:r>
                    <w:rPr>
                      <w:rFonts w:hint="eastAsia" w:cs="Times New Roman"/>
                      <w:color w:val="auto"/>
                      <w:sz w:val="20"/>
                      <w:szCs w:val="20"/>
                      <w:highlight w:val="none"/>
                      <w:vertAlign w:val="baseline"/>
                      <w:lang w:val="en-US" w:eastAsia="zh-CN"/>
                    </w:rPr>
                    <w:t>50</w:t>
                  </w:r>
                </w:p>
              </w:tc>
              <w:tc>
                <w:tcPr>
                  <w:tcW w:w="799" w:type="pct"/>
                  <w:tcBorders>
                    <w:tl2br w:val="nil"/>
                    <w:tr2bl w:val="nil"/>
                  </w:tcBorders>
                  <w:noWrap w:val="0"/>
                  <w:vAlign w:val="center"/>
                </w:tcPr>
                <w:p w14:paraId="16E7DEED">
                  <w:pPr>
                    <w:keepNext w:val="0"/>
                    <w:keepLines w:val="0"/>
                    <w:pageBreakBefore w:val="0"/>
                    <w:suppressLineNumbers w:val="0"/>
                    <w:kinsoku/>
                    <w:wordWrap/>
                    <w:overflowPunct/>
                    <w:topLinePunct w:val="0"/>
                    <w:bidi w:val="0"/>
                    <w:snapToGrid/>
                    <w:spacing w:before="0" w:beforeAutospacing="0" w:after="0" w:afterAutospacing="0" w:line="360" w:lineRule="auto"/>
                    <w:ind w:left="0" w:leftChars="0" w:right="0" w:rightChars="0"/>
                    <w:jc w:val="center"/>
                    <w:textAlignment w:val="auto"/>
                    <w:rPr>
                      <w:rFonts w:hint="eastAsia" w:cs="Times New Roman"/>
                      <w:bCs/>
                      <w:snapToGrid w:val="0"/>
                      <w:color w:val="auto"/>
                      <w:kern w:val="0"/>
                      <w:highlight w:val="none"/>
                      <w:lang w:val="en-US" w:eastAsia="zh-CN"/>
                    </w:rPr>
                  </w:pPr>
                  <w:r>
                    <w:rPr>
                      <w:rFonts w:hint="eastAsia" w:cs="Times New Roman"/>
                      <w:bCs/>
                      <w:snapToGrid w:val="0"/>
                      <w:color w:val="auto"/>
                      <w:kern w:val="0"/>
                      <w:highlight w:val="none"/>
                      <w:lang w:val="en-US" w:eastAsia="zh-CN"/>
                    </w:rPr>
                    <w:t>达标</w:t>
                  </w:r>
                </w:p>
              </w:tc>
            </w:tr>
            <w:tr w14:paraId="5F8A04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75" w:hRule="atLeast"/>
                <w:jc w:val="center"/>
              </w:trPr>
              <w:tc>
                <w:tcPr>
                  <w:tcW w:w="1009" w:type="pct"/>
                  <w:tcBorders>
                    <w:tl2br w:val="nil"/>
                    <w:tr2bl w:val="nil"/>
                  </w:tcBorders>
                  <w:noWrap w:val="0"/>
                  <w:vAlign w:val="center"/>
                </w:tcPr>
                <w:p w14:paraId="138573C5">
                  <w:pPr>
                    <w:keepNext w:val="0"/>
                    <w:keepLines w:val="0"/>
                    <w:pageBreakBefore w:val="0"/>
                    <w:suppressLineNumbers w:val="0"/>
                    <w:kinsoku/>
                    <w:wordWrap/>
                    <w:overflowPunct/>
                    <w:topLinePunct w:val="0"/>
                    <w:bidi w:val="0"/>
                    <w:snapToGrid/>
                    <w:spacing w:before="0" w:beforeAutospacing="0" w:after="0" w:afterAutospacing="0" w:line="360" w:lineRule="auto"/>
                    <w:ind w:left="0" w:right="0"/>
                    <w:jc w:val="center"/>
                    <w:textAlignment w:val="auto"/>
                    <w:rPr>
                      <w:rFonts w:hint="eastAsia" w:ascii="Times New Roman" w:hAnsi="Times New Roman" w:eastAsia="宋体"/>
                      <w:color w:val="auto"/>
                      <w:szCs w:val="21"/>
                      <w:highlight w:val="none"/>
                    </w:rPr>
                  </w:pPr>
                  <w:r>
                    <w:rPr>
                      <w:rFonts w:hint="eastAsia"/>
                      <w:color w:val="auto"/>
                      <w:szCs w:val="21"/>
                      <w:highlight w:val="none"/>
                      <w:lang w:eastAsia="zh-CN"/>
                    </w:rPr>
                    <w:t>厂界</w:t>
                  </w:r>
                  <w:r>
                    <w:rPr>
                      <w:rFonts w:hint="default"/>
                      <w:color w:val="auto"/>
                      <w:szCs w:val="21"/>
                      <w:highlight w:val="none"/>
                    </w:rPr>
                    <w:t>北侧</w:t>
                  </w:r>
                </w:p>
              </w:tc>
              <w:tc>
                <w:tcPr>
                  <w:tcW w:w="797" w:type="pct"/>
                  <w:tcBorders>
                    <w:tl2br w:val="nil"/>
                    <w:tr2bl w:val="nil"/>
                  </w:tcBorders>
                  <w:shd w:val="clear" w:color="auto" w:fill="auto"/>
                  <w:noWrap w:val="0"/>
                  <w:vAlign w:val="center"/>
                </w:tcPr>
                <w:p w14:paraId="31360648">
                  <w:pPr>
                    <w:keepNext w:val="0"/>
                    <w:keepLines w:val="0"/>
                    <w:pageBreakBefore w:val="0"/>
                    <w:suppressLineNumbers w:val="0"/>
                    <w:kinsoku/>
                    <w:wordWrap/>
                    <w:overflowPunct/>
                    <w:topLinePunct w:val="0"/>
                    <w:bidi w:val="0"/>
                    <w:snapToGrid/>
                    <w:spacing w:before="0" w:beforeAutospacing="0" w:after="0" w:afterAutospacing="0" w:line="360" w:lineRule="auto"/>
                    <w:ind w:left="0" w:leftChars="0" w:right="0" w:rightChars="0"/>
                    <w:jc w:val="center"/>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3</w:t>
                  </w:r>
                  <w:r>
                    <w:rPr>
                      <w:rFonts w:hint="eastAsia" w:ascii="Times New Roman" w:hAnsi="Times New Roman" w:eastAsia="宋体" w:cs="Times New Roman"/>
                      <w:color w:val="auto"/>
                      <w:kern w:val="2"/>
                      <w:sz w:val="21"/>
                      <w:szCs w:val="24"/>
                      <w:highlight w:val="none"/>
                      <w:lang w:val="en-US" w:eastAsia="zh-CN" w:bidi="ar-SA"/>
                    </w:rPr>
                    <w:t>7.</w:t>
                  </w:r>
                  <w:r>
                    <w:rPr>
                      <w:rFonts w:hint="eastAsia" w:cs="Times New Roman"/>
                      <w:color w:val="auto"/>
                      <w:kern w:val="2"/>
                      <w:sz w:val="21"/>
                      <w:szCs w:val="24"/>
                      <w:highlight w:val="none"/>
                      <w:lang w:val="en-US" w:eastAsia="zh-CN" w:bidi="ar-SA"/>
                    </w:rPr>
                    <w:t>47</w:t>
                  </w:r>
                </w:p>
              </w:tc>
              <w:tc>
                <w:tcPr>
                  <w:tcW w:w="1297" w:type="dxa"/>
                  <w:tcBorders>
                    <w:tl2br w:val="nil"/>
                    <w:tr2bl w:val="nil"/>
                  </w:tcBorders>
                  <w:shd w:val="clear" w:color="auto" w:fill="auto"/>
                  <w:noWrap w:val="0"/>
                  <w:vAlign w:val="center"/>
                </w:tcPr>
                <w:p w14:paraId="6D93413A">
                  <w:pPr>
                    <w:keepNext w:val="0"/>
                    <w:keepLines w:val="0"/>
                    <w:pageBreakBefore w:val="0"/>
                    <w:suppressLineNumbers w:val="0"/>
                    <w:kinsoku/>
                    <w:wordWrap/>
                    <w:overflowPunct/>
                    <w:topLinePunct w:val="0"/>
                    <w:bidi w:val="0"/>
                    <w:snapToGrid/>
                    <w:spacing w:before="0" w:beforeAutospacing="0" w:after="0" w:afterAutospacing="0" w:line="360" w:lineRule="auto"/>
                    <w:ind w:left="0" w:leftChars="0" w:right="0" w:rightChars="0"/>
                    <w:jc w:val="center"/>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3</w:t>
                  </w:r>
                  <w:r>
                    <w:rPr>
                      <w:rFonts w:hint="eastAsia" w:ascii="Times New Roman" w:hAnsi="Times New Roman" w:eastAsia="宋体" w:cs="Times New Roman"/>
                      <w:color w:val="auto"/>
                      <w:kern w:val="2"/>
                      <w:sz w:val="21"/>
                      <w:szCs w:val="24"/>
                      <w:highlight w:val="none"/>
                      <w:lang w:val="en-US" w:eastAsia="zh-CN" w:bidi="ar-SA"/>
                    </w:rPr>
                    <w:t>7.</w:t>
                  </w:r>
                  <w:r>
                    <w:rPr>
                      <w:rFonts w:hint="eastAsia" w:cs="Times New Roman"/>
                      <w:color w:val="auto"/>
                      <w:kern w:val="2"/>
                      <w:sz w:val="21"/>
                      <w:szCs w:val="24"/>
                      <w:highlight w:val="none"/>
                      <w:lang w:val="en-US" w:eastAsia="zh-CN" w:bidi="ar-SA"/>
                    </w:rPr>
                    <w:t>47</w:t>
                  </w:r>
                </w:p>
              </w:tc>
              <w:tc>
                <w:tcPr>
                  <w:tcW w:w="1292" w:type="dxa"/>
                  <w:tcBorders>
                    <w:tl2br w:val="nil"/>
                    <w:tr2bl w:val="nil"/>
                  </w:tcBorders>
                  <w:noWrap w:val="0"/>
                  <w:vAlign w:val="center"/>
                </w:tcPr>
                <w:p w14:paraId="243E6396">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snapToGrid w:val="0"/>
                      <w:color w:val="auto"/>
                      <w:kern w:val="0"/>
                      <w:highlight w:val="none"/>
                      <w:lang w:val="en-US"/>
                    </w:rPr>
                  </w:pPr>
                  <w:r>
                    <w:rPr>
                      <w:rFonts w:hint="eastAsia" w:cs="Times New Roman"/>
                      <w:color w:val="auto"/>
                      <w:sz w:val="20"/>
                      <w:szCs w:val="20"/>
                      <w:highlight w:val="none"/>
                      <w:vertAlign w:val="baseline"/>
                      <w:lang w:val="en-US" w:eastAsia="zh-CN"/>
                    </w:rPr>
                    <w:t>60</w:t>
                  </w:r>
                </w:p>
              </w:tc>
              <w:tc>
                <w:tcPr>
                  <w:tcW w:w="1292" w:type="dxa"/>
                  <w:tcBorders>
                    <w:tl2br w:val="nil"/>
                    <w:tr2bl w:val="nil"/>
                  </w:tcBorders>
                  <w:noWrap w:val="0"/>
                  <w:vAlign w:val="center"/>
                </w:tcPr>
                <w:p w14:paraId="7315B779">
                  <w:pPr>
                    <w:keepLines w:val="0"/>
                    <w:pageBreakBefore w:val="0"/>
                    <w:kinsoku w:val="0"/>
                    <w:overflowPunct w:val="0"/>
                    <w:topLinePunct w:val="0"/>
                    <w:autoSpaceDE w:val="0"/>
                    <w:autoSpaceDN w:val="0"/>
                    <w:bidi w:val="0"/>
                    <w:spacing w:beforeAutospacing="0" w:afterAutospacing="0" w:line="360" w:lineRule="auto"/>
                    <w:ind w:right="0" w:rightChars="0"/>
                    <w:jc w:val="center"/>
                    <w:rPr>
                      <w:rFonts w:hint="default" w:ascii="Times New Roman" w:hAnsi="Times New Roman" w:cs="Times New Roman"/>
                      <w:snapToGrid w:val="0"/>
                      <w:color w:val="auto"/>
                      <w:kern w:val="0"/>
                      <w:highlight w:val="none"/>
                      <w:lang w:val="en-US"/>
                    </w:rPr>
                  </w:pPr>
                  <w:r>
                    <w:rPr>
                      <w:rFonts w:hint="eastAsia" w:cs="Times New Roman"/>
                      <w:color w:val="auto"/>
                      <w:sz w:val="20"/>
                      <w:szCs w:val="20"/>
                      <w:highlight w:val="none"/>
                      <w:vertAlign w:val="baseline"/>
                      <w:lang w:val="en-US" w:eastAsia="zh-CN"/>
                    </w:rPr>
                    <w:t>50</w:t>
                  </w:r>
                </w:p>
              </w:tc>
              <w:tc>
                <w:tcPr>
                  <w:tcW w:w="799" w:type="pct"/>
                  <w:tcBorders>
                    <w:tl2br w:val="nil"/>
                    <w:tr2bl w:val="nil"/>
                  </w:tcBorders>
                  <w:noWrap w:val="0"/>
                  <w:vAlign w:val="center"/>
                </w:tcPr>
                <w:p w14:paraId="589123C0">
                  <w:pPr>
                    <w:keepNext w:val="0"/>
                    <w:keepLines w:val="0"/>
                    <w:pageBreakBefore w:val="0"/>
                    <w:suppressLineNumbers w:val="0"/>
                    <w:kinsoku/>
                    <w:wordWrap/>
                    <w:overflowPunct/>
                    <w:topLinePunct w:val="0"/>
                    <w:bidi w:val="0"/>
                    <w:snapToGrid/>
                    <w:spacing w:before="0" w:beforeAutospacing="0" w:after="0" w:afterAutospacing="0" w:line="360" w:lineRule="auto"/>
                    <w:ind w:left="0" w:leftChars="0" w:right="0" w:rightChars="0"/>
                    <w:jc w:val="center"/>
                    <w:textAlignment w:val="auto"/>
                    <w:rPr>
                      <w:rFonts w:hint="eastAsia" w:cs="Times New Roman"/>
                      <w:bCs/>
                      <w:snapToGrid w:val="0"/>
                      <w:color w:val="auto"/>
                      <w:kern w:val="0"/>
                      <w:highlight w:val="none"/>
                      <w:lang w:val="en-US" w:eastAsia="zh-CN"/>
                    </w:rPr>
                  </w:pPr>
                  <w:r>
                    <w:rPr>
                      <w:rFonts w:hint="eastAsia" w:cs="Times New Roman"/>
                      <w:bCs/>
                      <w:snapToGrid w:val="0"/>
                      <w:color w:val="auto"/>
                      <w:kern w:val="0"/>
                      <w:highlight w:val="none"/>
                      <w:lang w:val="en-US" w:eastAsia="zh-CN"/>
                    </w:rPr>
                    <w:t>达标</w:t>
                  </w:r>
                </w:p>
              </w:tc>
            </w:tr>
          </w:tbl>
          <w:p w14:paraId="48DCADDE">
            <w:pPr>
              <w:spacing w:line="360" w:lineRule="auto"/>
              <w:ind w:firstLine="480" w:firstLineChars="200"/>
              <w:rPr>
                <w:color w:val="auto"/>
                <w:sz w:val="24"/>
              </w:rPr>
            </w:pPr>
            <w:r>
              <w:rPr>
                <w:rFonts w:hint="eastAsia" w:cs="Times New Roman" w:eastAsiaTheme="minorEastAsia"/>
                <w:color w:val="auto"/>
                <w:kern w:val="0"/>
                <w:sz w:val="24"/>
                <w:lang w:val="en-US" w:eastAsia="zh-CN"/>
              </w:rPr>
              <w:t>根据预测结果，</w:t>
            </w:r>
            <w:r>
              <w:rPr>
                <w:rFonts w:hint="default" w:ascii="Times New Roman" w:hAnsi="Times New Roman" w:cs="Times New Roman" w:eastAsiaTheme="minorEastAsia"/>
                <w:color w:val="auto"/>
                <w:kern w:val="0"/>
                <w:sz w:val="24"/>
              </w:rPr>
              <w:t>本工程选用低噪声设备，经减振、消声、隔声处理</w:t>
            </w:r>
            <w:r>
              <w:rPr>
                <w:rFonts w:hint="eastAsia" w:cs="Times New Roman" w:eastAsiaTheme="minorEastAsia"/>
                <w:color w:val="auto"/>
                <w:kern w:val="0"/>
                <w:sz w:val="24"/>
                <w:lang w:eastAsia="zh-CN"/>
              </w:rPr>
              <w:t>等</w:t>
            </w:r>
            <w:r>
              <w:rPr>
                <w:rFonts w:hint="default" w:ascii="Times New Roman" w:hAnsi="Times New Roman" w:cs="Times New Roman" w:eastAsiaTheme="minorEastAsia"/>
                <w:color w:val="auto"/>
                <w:kern w:val="0"/>
                <w:sz w:val="24"/>
              </w:rPr>
              <w:t>降噪措施后，厂界</w:t>
            </w:r>
            <w:r>
              <w:rPr>
                <w:rFonts w:hint="eastAsia" w:cs="Times New Roman" w:eastAsiaTheme="minorEastAsia"/>
                <w:color w:val="auto"/>
                <w:kern w:val="0"/>
                <w:sz w:val="24"/>
                <w:lang w:val="en-US" w:eastAsia="zh-CN"/>
              </w:rPr>
              <w:t>噪声</w:t>
            </w:r>
            <w:r>
              <w:rPr>
                <w:rFonts w:hint="default" w:ascii="Times New Roman" w:hAnsi="Times New Roman" w:cs="Times New Roman" w:eastAsiaTheme="minorEastAsia"/>
                <w:color w:val="auto"/>
                <w:kern w:val="0"/>
                <w:sz w:val="24"/>
              </w:rPr>
              <w:t>可满足《工业企业厂界环境噪声排放标准》（GB</w:t>
            </w:r>
            <w:r>
              <w:rPr>
                <w:rFonts w:hint="eastAsia" w:ascii="Times New Roman" w:hAnsi="Times New Roman" w:cs="Times New Roman" w:eastAsiaTheme="minorEastAsia"/>
                <w:color w:val="auto"/>
                <w:kern w:val="0"/>
                <w:sz w:val="24"/>
                <w:lang w:val="en-US" w:eastAsia="zh-CN"/>
              </w:rPr>
              <w:t xml:space="preserve"> </w:t>
            </w:r>
            <w:r>
              <w:rPr>
                <w:rFonts w:hint="default" w:ascii="Times New Roman" w:hAnsi="Times New Roman" w:cs="Times New Roman" w:eastAsiaTheme="minorEastAsia"/>
                <w:color w:val="auto"/>
                <w:kern w:val="0"/>
                <w:sz w:val="24"/>
              </w:rPr>
              <w:t>12348-2008）表1中2类标准要求</w:t>
            </w:r>
            <w:r>
              <w:rPr>
                <w:rFonts w:hint="default" w:ascii="Times New Roman" w:hAnsi="Times New Roman" w:cs="Times New Roman" w:eastAsiaTheme="minorEastAsia"/>
                <w:color w:val="auto"/>
                <w:kern w:val="0"/>
                <w:sz w:val="24"/>
                <w:lang w:val="en-US" w:eastAsia="zh-CN"/>
              </w:rPr>
              <w:t>。</w:t>
            </w:r>
            <w:r>
              <w:rPr>
                <w:rFonts w:hint="eastAsia" w:ascii="Times New Roman" w:hAnsi="Times New Roman" w:cs="Times New Roman" w:eastAsiaTheme="minorEastAsia"/>
                <w:color w:val="auto"/>
                <w:kern w:val="0"/>
                <w:sz w:val="24"/>
                <w:lang w:val="en-US" w:eastAsia="zh-CN"/>
              </w:rPr>
              <w:t>本项目建成后对周围声环境影响较小。</w:t>
            </w:r>
          </w:p>
          <w:p w14:paraId="470C0C3A">
            <w:pPr>
              <w:spacing w:line="360" w:lineRule="auto"/>
              <w:ind w:firstLine="480" w:firstLineChars="200"/>
              <w:rPr>
                <w:color w:val="auto"/>
                <w:sz w:val="24"/>
              </w:rPr>
            </w:pPr>
            <w:r>
              <w:rPr>
                <w:rFonts w:hint="eastAsia"/>
                <w:color w:val="auto"/>
                <w:sz w:val="24"/>
                <w:lang w:val="en-US" w:eastAsia="zh-CN" w:bidi="ar"/>
              </w:rPr>
              <w:t>3</w:t>
            </w:r>
            <w:r>
              <w:rPr>
                <w:rFonts w:hint="eastAsia"/>
                <w:color w:val="auto"/>
                <w:sz w:val="24"/>
                <w:lang w:bidi="ar"/>
              </w:rPr>
              <w:t>、污染防治措施及环境影响分析</w:t>
            </w:r>
          </w:p>
          <w:p w14:paraId="580EA6DC">
            <w:pPr>
              <w:spacing w:line="360" w:lineRule="auto"/>
              <w:ind w:firstLine="480"/>
              <w:rPr>
                <w:bCs/>
                <w:color w:val="auto"/>
                <w:sz w:val="24"/>
              </w:rPr>
            </w:pPr>
            <w:r>
              <w:rPr>
                <w:bCs/>
                <w:color w:val="auto"/>
                <w:sz w:val="24"/>
              </w:rPr>
              <w:t>本项目选用低噪声设备，厂房封闭、加装减振、安装消声器等措施，优化厂区布置，采取降噪措施后本项目</w:t>
            </w:r>
            <w:r>
              <w:rPr>
                <w:rFonts w:hint="eastAsia"/>
                <w:color w:val="auto"/>
                <w:sz w:val="24"/>
              </w:rPr>
              <w:t>厂界四周</w:t>
            </w:r>
            <w:r>
              <w:rPr>
                <w:color w:val="auto"/>
                <w:sz w:val="24"/>
              </w:rPr>
              <w:t>噪声能够满足</w:t>
            </w:r>
            <w:r>
              <w:rPr>
                <w:rFonts w:hint="default" w:ascii="Times New Roman" w:hAnsi="Times New Roman" w:cs="Times New Roman" w:eastAsiaTheme="minorEastAsia"/>
                <w:color w:val="auto"/>
                <w:kern w:val="0"/>
                <w:sz w:val="24"/>
              </w:rPr>
              <w:t>《工业企业厂界环境噪声排放标准》（GB</w:t>
            </w:r>
            <w:r>
              <w:rPr>
                <w:rFonts w:hint="eastAsia" w:ascii="Times New Roman" w:hAnsi="Times New Roman" w:cs="Times New Roman" w:eastAsiaTheme="minorEastAsia"/>
                <w:color w:val="auto"/>
                <w:kern w:val="0"/>
                <w:sz w:val="24"/>
                <w:lang w:val="en-US" w:eastAsia="zh-CN"/>
              </w:rPr>
              <w:t xml:space="preserve"> </w:t>
            </w:r>
            <w:r>
              <w:rPr>
                <w:rFonts w:hint="default" w:ascii="Times New Roman" w:hAnsi="Times New Roman" w:cs="Times New Roman" w:eastAsiaTheme="minorEastAsia"/>
                <w:color w:val="auto"/>
                <w:kern w:val="0"/>
                <w:sz w:val="24"/>
              </w:rPr>
              <w:t>12348-2008）表1中</w:t>
            </w:r>
            <w:r>
              <w:rPr>
                <w:rFonts w:hint="eastAsia" w:cs="Times New Roman" w:eastAsiaTheme="minorEastAsia"/>
                <w:color w:val="auto"/>
                <w:kern w:val="0"/>
                <w:sz w:val="24"/>
                <w:lang w:val="en-US" w:eastAsia="zh-CN"/>
              </w:rPr>
              <w:t>2</w:t>
            </w:r>
            <w:r>
              <w:rPr>
                <w:rFonts w:hint="default" w:ascii="Times New Roman" w:hAnsi="Times New Roman" w:cs="Times New Roman" w:eastAsiaTheme="minorEastAsia"/>
                <w:color w:val="auto"/>
                <w:kern w:val="0"/>
                <w:sz w:val="24"/>
              </w:rPr>
              <w:t>类标准要求</w:t>
            </w:r>
            <w:r>
              <w:rPr>
                <w:bCs/>
                <w:color w:val="auto"/>
                <w:sz w:val="24"/>
              </w:rPr>
              <w:t>。采取措施后本项目噪声对周围声环境造成的不利影响较小，可被环境接受。</w:t>
            </w:r>
          </w:p>
          <w:p w14:paraId="291926A7">
            <w:pPr>
              <w:spacing w:line="360" w:lineRule="auto"/>
              <w:ind w:firstLine="480"/>
              <w:rPr>
                <w:bCs/>
                <w:color w:val="auto"/>
                <w:sz w:val="24"/>
              </w:rPr>
            </w:pPr>
            <w:r>
              <w:rPr>
                <w:bCs/>
                <w:color w:val="auto"/>
                <w:sz w:val="24"/>
              </w:rPr>
              <w:t>针对本项目噪声源的特点，本次评价提出以下措施：</w:t>
            </w:r>
          </w:p>
          <w:p w14:paraId="3B47DC86">
            <w:pPr>
              <w:spacing w:line="360" w:lineRule="auto"/>
              <w:ind w:firstLine="480"/>
              <w:rPr>
                <w:bCs/>
                <w:color w:val="auto"/>
                <w:sz w:val="24"/>
              </w:rPr>
            </w:pPr>
            <w:r>
              <w:rPr>
                <w:bCs/>
                <w:color w:val="auto"/>
                <w:sz w:val="24"/>
              </w:rPr>
              <w:t>①选用低噪声设备：在满足项目生产工艺的前提下选择低噪声设备，从源头上降低噪声。</w:t>
            </w:r>
          </w:p>
          <w:p w14:paraId="6EF9560B">
            <w:pPr>
              <w:keepNext w:val="0"/>
              <w:keepLines w:val="0"/>
              <w:suppressLineNumbers w:val="0"/>
              <w:spacing w:before="0" w:beforeAutospacing="0" w:after="0" w:afterAutospacing="0" w:line="360" w:lineRule="auto"/>
              <w:ind w:left="0" w:right="0" w:firstLine="480"/>
              <w:rPr>
                <w:bCs/>
                <w:color w:val="auto"/>
                <w:sz w:val="24"/>
              </w:rPr>
            </w:pPr>
            <w:r>
              <w:rPr>
                <w:rFonts w:hint="default" w:ascii="Times New Roman" w:hAnsi="Times New Roman" w:eastAsia="宋体"/>
                <w:bCs/>
                <w:color w:val="auto"/>
                <w:sz w:val="24"/>
                <w:highlight w:val="none"/>
              </w:rPr>
              <w:t>②车间内合理布局：将设备全部安置在封闭车间内，在满足生产的前提下综合考虑，车间设备布置时考虑声源方向性和车间噪声强弱等因素，进行合理布局，进一步降低厂界噪声，将设备安置在车间中部及远离厂界的位置，充分利用厂内建筑物的隔声作用，减轻各类声源对周围环境的影响。</w:t>
            </w:r>
          </w:p>
          <w:p w14:paraId="7263A679">
            <w:pPr>
              <w:spacing w:line="360" w:lineRule="auto"/>
              <w:ind w:firstLine="480"/>
              <w:rPr>
                <w:bCs/>
                <w:color w:val="auto"/>
                <w:sz w:val="24"/>
              </w:rPr>
            </w:pPr>
            <w:r>
              <w:rPr>
                <w:bCs/>
                <w:color w:val="auto"/>
                <w:sz w:val="24"/>
              </w:rPr>
              <w:t>③加强设备的维护：确保设备处于良好的运转状态，杜绝因设备不正常运转时产生的高噪声现象。</w:t>
            </w:r>
          </w:p>
          <w:p w14:paraId="113EEA10">
            <w:pPr>
              <w:spacing w:line="360" w:lineRule="auto"/>
              <w:ind w:firstLine="480" w:firstLineChars="200"/>
              <w:rPr>
                <w:color w:val="auto"/>
                <w:sz w:val="24"/>
              </w:rPr>
            </w:pPr>
            <w:r>
              <w:rPr>
                <w:bCs/>
                <w:color w:val="auto"/>
                <w:sz w:val="24"/>
              </w:rPr>
              <w:t>④对高噪声设备加装</w:t>
            </w:r>
            <w:r>
              <w:rPr>
                <w:rFonts w:hint="eastAsia"/>
                <w:bCs/>
                <w:color w:val="auto"/>
                <w:sz w:val="24"/>
              </w:rPr>
              <w:t>减振</w:t>
            </w:r>
            <w:r>
              <w:rPr>
                <w:bCs/>
                <w:color w:val="auto"/>
                <w:sz w:val="24"/>
              </w:rPr>
              <w:t>基础</w:t>
            </w:r>
            <w:r>
              <w:rPr>
                <w:rFonts w:hint="eastAsia"/>
                <w:color w:val="auto"/>
                <w:sz w:val="24"/>
              </w:rPr>
              <w:t>。</w:t>
            </w:r>
          </w:p>
          <w:p w14:paraId="6878D735">
            <w:pPr>
              <w:spacing w:line="360" w:lineRule="auto"/>
              <w:ind w:firstLine="480" w:firstLineChars="200"/>
              <w:rPr>
                <w:color w:val="auto"/>
                <w:sz w:val="24"/>
              </w:rPr>
            </w:pPr>
            <w:r>
              <w:rPr>
                <w:rFonts w:hint="eastAsia"/>
                <w:color w:val="auto"/>
                <w:sz w:val="24"/>
              </w:rPr>
              <w:t>综上所述，从噪声影响角度，本项目建设是可行的。</w:t>
            </w:r>
          </w:p>
          <w:p w14:paraId="58F7748F">
            <w:pPr>
              <w:numPr>
                <w:ilvl w:val="0"/>
                <w:numId w:val="0"/>
              </w:numPr>
              <w:spacing w:line="360" w:lineRule="auto"/>
              <w:ind w:leftChars="200"/>
              <w:rPr>
                <w:rFonts w:hint="eastAsia"/>
                <w:color w:val="auto"/>
                <w:sz w:val="24"/>
              </w:rPr>
            </w:pPr>
            <w:r>
              <w:rPr>
                <w:rFonts w:hint="eastAsia"/>
                <w:color w:val="auto"/>
                <w:sz w:val="24"/>
                <w:lang w:val="en-US" w:eastAsia="zh-CN"/>
              </w:rPr>
              <w:t>4、</w:t>
            </w:r>
            <w:r>
              <w:rPr>
                <w:rFonts w:hint="eastAsia"/>
                <w:color w:val="auto"/>
                <w:sz w:val="24"/>
              </w:rPr>
              <w:t>监测计划</w:t>
            </w:r>
          </w:p>
          <w:p w14:paraId="6E9C3149">
            <w:pPr>
              <w:spacing w:line="360" w:lineRule="auto"/>
              <w:ind w:firstLine="480" w:firstLineChars="200"/>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根据</w:t>
            </w:r>
            <w:r>
              <w:rPr>
                <w:rFonts w:hint="default" w:ascii="Times New Roman" w:hAnsi="Times New Roman" w:eastAsia="宋体" w:cs="Times New Roman"/>
                <w:color w:val="auto"/>
                <w:sz w:val="24"/>
              </w:rPr>
              <w:t>《排污单位自行监测技术指南 总则》（HJ819-2017）</w:t>
            </w:r>
            <w:r>
              <w:rPr>
                <w:rFonts w:hint="eastAsia" w:ascii="Times New Roman" w:hAnsi="Times New Roman" w:eastAsia="宋体" w:cs="Times New Roman"/>
                <w:color w:val="auto"/>
                <w:sz w:val="24"/>
                <w:lang w:val="en-US" w:eastAsia="zh-CN"/>
              </w:rPr>
              <w:t>结合项目特点，噪声监测计划见表4-</w:t>
            </w:r>
            <w:r>
              <w:rPr>
                <w:rFonts w:hint="eastAsia" w:cs="Times New Roman"/>
                <w:color w:val="auto"/>
                <w:sz w:val="24"/>
                <w:lang w:val="en-US" w:eastAsia="zh-CN"/>
              </w:rPr>
              <w:t>9</w:t>
            </w:r>
            <w:r>
              <w:rPr>
                <w:rFonts w:hint="eastAsia" w:ascii="Times New Roman" w:hAnsi="Times New Roman" w:eastAsia="宋体" w:cs="Times New Roman"/>
                <w:color w:val="auto"/>
                <w:sz w:val="24"/>
                <w:lang w:val="en-US" w:eastAsia="zh-CN"/>
              </w:rPr>
              <w:t>。</w:t>
            </w:r>
          </w:p>
          <w:p w14:paraId="391A2356">
            <w:pPr>
              <w:jc w:val="center"/>
              <w:rPr>
                <w:b/>
                <w:bCs/>
                <w:iCs/>
                <w:color w:val="auto"/>
                <w:kern w:val="0"/>
                <w:szCs w:val="21"/>
              </w:rPr>
            </w:pPr>
            <w:r>
              <w:rPr>
                <w:b/>
                <w:bCs/>
                <w:iCs/>
                <w:color w:val="auto"/>
                <w:kern w:val="0"/>
                <w:szCs w:val="21"/>
              </w:rPr>
              <w:t>表</w:t>
            </w:r>
            <w:r>
              <w:rPr>
                <w:rFonts w:hint="eastAsia"/>
                <w:b/>
                <w:bCs/>
                <w:iCs/>
                <w:color w:val="auto"/>
                <w:kern w:val="0"/>
                <w:szCs w:val="21"/>
              </w:rPr>
              <w:t>4-</w:t>
            </w:r>
            <w:r>
              <w:rPr>
                <w:rFonts w:hint="eastAsia"/>
                <w:b/>
                <w:bCs/>
                <w:iCs/>
                <w:color w:val="auto"/>
                <w:kern w:val="0"/>
                <w:szCs w:val="21"/>
                <w:lang w:val="en-US" w:eastAsia="zh-CN"/>
              </w:rPr>
              <w:t>9</w:t>
            </w:r>
            <w:r>
              <w:rPr>
                <w:rFonts w:hint="eastAsia"/>
                <w:b/>
                <w:bCs/>
                <w:iCs/>
                <w:color w:val="auto"/>
                <w:kern w:val="0"/>
                <w:szCs w:val="21"/>
              </w:rPr>
              <w:t xml:space="preserve">  </w:t>
            </w:r>
            <w:r>
              <w:rPr>
                <w:b/>
                <w:bCs/>
                <w:iCs/>
                <w:color w:val="auto"/>
                <w:kern w:val="0"/>
                <w:szCs w:val="21"/>
              </w:rPr>
              <w:t>本项目</w:t>
            </w:r>
            <w:r>
              <w:rPr>
                <w:rFonts w:hint="eastAsia"/>
                <w:b/>
                <w:bCs/>
                <w:iCs/>
                <w:color w:val="auto"/>
                <w:kern w:val="0"/>
                <w:szCs w:val="21"/>
              </w:rPr>
              <w:t>噪声</w:t>
            </w:r>
            <w:r>
              <w:rPr>
                <w:b/>
                <w:bCs/>
                <w:iCs/>
                <w:color w:val="auto"/>
                <w:kern w:val="0"/>
                <w:szCs w:val="21"/>
              </w:rPr>
              <w:t>污染源监测计划</w:t>
            </w:r>
          </w:p>
          <w:tbl>
            <w:tblPr>
              <w:tblStyle w:val="3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126"/>
              <w:gridCol w:w="1219"/>
              <w:gridCol w:w="1219"/>
              <w:gridCol w:w="1399"/>
              <w:gridCol w:w="3215"/>
            </w:tblGrid>
            <w:tr w14:paraId="52C30D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53" w:hRule="atLeast"/>
                <w:jc w:val="center"/>
              </w:trPr>
              <w:tc>
                <w:tcPr>
                  <w:tcW w:w="688" w:type="pct"/>
                  <w:tcBorders>
                    <w:tl2br w:val="nil"/>
                    <w:tr2bl w:val="nil"/>
                  </w:tcBorders>
                  <w:vAlign w:val="center"/>
                </w:tcPr>
                <w:p w14:paraId="41E70D24">
                  <w:pPr>
                    <w:spacing w:line="360" w:lineRule="auto"/>
                    <w:jc w:val="center"/>
                    <w:rPr>
                      <w:color w:val="auto"/>
                      <w:szCs w:val="21"/>
                    </w:rPr>
                  </w:pPr>
                  <w:r>
                    <w:rPr>
                      <w:color w:val="auto"/>
                      <w:szCs w:val="21"/>
                    </w:rPr>
                    <w:t>监测项目</w:t>
                  </w:r>
                </w:p>
              </w:tc>
              <w:tc>
                <w:tcPr>
                  <w:tcW w:w="745" w:type="pct"/>
                  <w:tcBorders>
                    <w:tl2br w:val="nil"/>
                    <w:tr2bl w:val="nil"/>
                  </w:tcBorders>
                  <w:vAlign w:val="center"/>
                </w:tcPr>
                <w:p w14:paraId="3263B7A3">
                  <w:pPr>
                    <w:spacing w:line="360" w:lineRule="auto"/>
                    <w:jc w:val="center"/>
                    <w:rPr>
                      <w:color w:val="auto"/>
                      <w:szCs w:val="21"/>
                    </w:rPr>
                  </w:pPr>
                  <w:r>
                    <w:rPr>
                      <w:color w:val="auto"/>
                      <w:szCs w:val="21"/>
                    </w:rPr>
                    <w:t>监测因子</w:t>
                  </w:r>
                </w:p>
              </w:tc>
              <w:tc>
                <w:tcPr>
                  <w:tcW w:w="745" w:type="pct"/>
                  <w:tcBorders>
                    <w:tl2br w:val="nil"/>
                    <w:tr2bl w:val="nil"/>
                  </w:tcBorders>
                  <w:vAlign w:val="center"/>
                </w:tcPr>
                <w:p w14:paraId="6426FD6B">
                  <w:pPr>
                    <w:spacing w:line="360" w:lineRule="auto"/>
                    <w:jc w:val="center"/>
                    <w:rPr>
                      <w:color w:val="auto"/>
                      <w:szCs w:val="21"/>
                    </w:rPr>
                  </w:pPr>
                  <w:r>
                    <w:rPr>
                      <w:color w:val="auto"/>
                      <w:szCs w:val="21"/>
                    </w:rPr>
                    <w:t>监测点位置</w:t>
                  </w:r>
                </w:p>
              </w:tc>
              <w:tc>
                <w:tcPr>
                  <w:tcW w:w="855" w:type="pct"/>
                  <w:tcBorders>
                    <w:tl2br w:val="nil"/>
                    <w:tr2bl w:val="nil"/>
                  </w:tcBorders>
                  <w:vAlign w:val="center"/>
                </w:tcPr>
                <w:p w14:paraId="15A32330">
                  <w:pPr>
                    <w:spacing w:line="360" w:lineRule="auto"/>
                    <w:jc w:val="center"/>
                    <w:rPr>
                      <w:color w:val="auto"/>
                      <w:szCs w:val="21"/>
                    </w:rPr>
                  </w:pPr>
                  <w:r>
                    <w:rPr>
                      <w:color w:val="auto"/>
                      <w:szCs w:val="21"/>
                    </w:rPr>
                    <w:t>最低监测频率</w:t>
                  </w:r>
                </w:p>
              </w:tc>
              <w:tc>
                <w:tcPr>
                  <w:tcW w:w="1965" w:type="pct"/>
                  <w:tcBorders>
                    <w:tl2br w:val="nil"/>
                    <w:tr2bl w:val="nil"/>
                  </w:tcBorders>
                  <w:vAlign w:val="center"/>
                </w:tcPr>
                <w:p w14:paraId="0348CD78">
                  <w:pPr>
                    <w:spacing w:line="360" w:lineRule="auto"/>
                    <w:jc w:val="center"/>
                    <w:rPr>
                      <w:color w:val="auto"/>
                      <w:szCs w:val="21"/>
                    </w:rPr>
                  </w:pPr>
                  <w:r>
                    <w:rPr>
                      <w:color w:val="auto"/>
                      <w:szCs w:val="21"/>
                    </w:rPr>
                    <w:t>执行标准</w:t>
                  </w:r>
                </w:p>
              </w:tc>
            </w:tr>
            <w:tr w14:paraId="503F78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155" w:hRule="atLeast"/>
                <w:jc w:val="center"/>
              </w:trPr>
              <w:tc>
                <w:tcPr>
                  <w:tcW w:w="688" w:type="pct"/>
                  <w:tcBorders>
                    <w:tl2br w:val="nil"/>
                    <w:tr2bl w:val="nil"/>
                  </w:tcBorders>
                  <w:vAlign w:val="center"/>
                </w:tcPr>
                <w:p w14:paraId="5346640F">
                  <w:pPr>
                    <w:spacing w:line="360" w:lineRule="auto"/>
                    <w:jc w:val="center"/>
                    <w:rPr>
                      <w:color w:val="auto"/>
                      <w:szCs w:val="21"/>
                    </w:rPr>
                  </w:pPr>
                  <w:r>
                    <w:rPr>
                      <w:color w:val="auto"/>
                      <w:szCs w:val="21"/>
                    </w:rPr>
                    <w:t>厂界</w:t>
                  </w:r>
                  <w:r>
                    <w:rPr>
                      <w:rFonts w:hint="eastAsia"/>
                      <w:color w:val="auto"/>
                      <w:szCs w:val="21"/>
                    </w:rPr>
                    <w:t>四周噪声</w:t>
                  </w:r>
                </w:p>
              </w:tc>
              <w:tc>
                <w:tcPr>
                  <w:tcW w:w="745" w:type="pct"/>
                  <w:tcBorders>
                    <w:tl2br w:val="nil"/>
                    <w:tr2bl w:val="nil"/>
                  </w:tcBorders>
                  <w:vAlign w:val="center"/>
                </w:tcPr>
                <w:p w14:paraId="48E5C106">
                  <w:pPr>
                    <w:spacing w:line="360" w:lineRule="auto"/>
                    <w:jc w:val="center"/>
                    <w:rPr>
                      <w:color w:val="auto"/>
                      <w:szCs w:val="21"/>
                    </w:rPr>
                  </w:pPr>
                  <w:r>
                    <w:rPr>
                      <w:color w:val="auto"/>
                      <w:szCs w:val="21"/>
                    </w:rPr>
                    <w:t>Leq（A）</w:t>
                  </w:r>
                </w:p>
              </w:tc>
              <w:tc>
                <w:tcPr>
                  <w:tcW w:w="745" w:type="pct"/>
                  <w:tcBorders>
                    <w:tl2br w:val="nil"/>
                    <w:tr2bl w:val="nil"/>
                  </w:tcBorders>
                  <w:vAlign w:val="center"/>
                </w:tcPr>
                <w:p w14:paraId="0C5D518A">
                  <w:pPr>
                    <w:spacing w:line="360" w:lineRule="auto"/>
                    <w:jc w:val="center"/>
                    <w:rPr>
                      <w:color w:val="auto"/>
                      <w:szCs w:val="21"/>
                    </w:rPr>
                  </w:pPr>
                  <w:r>
                    <w:rPr>
                      <w:color w:val="auto"/>
                      <w:szCs w:val="21"/>
                    </w:rPr>
                    <w:t>厂界</w:t>
                  </w:r>
                </w:p>
              </w:tc>
              <w:tc>
                <w:tcPr>
                  <w:tcW w:w="855" w:type="pct"/>
                  <w:tcBorders>
                    <w:tl2br w:val="nil"/>
                    <w:tr2bl w:val="nil"/>
                  </w:tcBorders>
                  <w:vAlign w:val="center"/>
                </w:tcPr>
                <w:p w14:paraId="080F71E2">
                  <w:pPr>
                    <w:spacing w:line="360" w:lineRule="auto"/>
                    <w:jc w:val="center"/>
                    <w:rPr>
                      <w:color w:val="auto"/>
                      <w:szCs w:val="21"/>
                    </w:rPr>
                  </w:pPr>
                  <w:r>
                    <w:rPr>
                      <w:color w:val="auto"/>
                      <w:szCs w:val="21"/>
                    </w:rPr>
                    <w:t>1次/季度</w:t>
                  </w:r>
                </w:p>
              </w:tc>
              <w:tc>
                <w:tcPr>
                  <w:tcW w:w="1965" w:type="pct"/>
                  <w:tcBorders>
                    <w:tl2br w:val="nil"/>
                    <w:tr2bl w:val="nil"/>
                  </w:tcBorders>
                  <w:vAlign w:val="center"/>
                </w:tcPr>
                <w:p w14:paraId="462D5DFC">
                  <w:pPr>
                    <w:spacing w:line="360" w:lineRule="auto"/>
                    <w:jc w:val="center"/>
                    <w:rPr>
                      <w:color w:val="auto"/>
                      <w:szCs w:val="21"/>
                    </w:rPr>
                  </w:pPr>
                  <w:r>
                    <w:rPr>
                      <w:color w:val="auto"/>
                      <w:szCs w:val="21"/>
                    </w:rPr>
                    <w:t>《工业企业厂界环境噪声排放标准》（GB12348-2008）</w:t>
                  </w:r>
                  <w:r>
                    <w:rPr>
                      <w:rFonts w:hint="eastAsia"/>
                      <w:color w:val="auto"/>
                      <w:szCs w:val="21"/>
                      <w:lang w:val="en-US" w:eastAsia="zh-CN"/>
                    </w:rPr>
                    <w:t>2</w:t>
                  </w:r>
                  <w:r>
                    <w:rPr>
                      <w:color w:val="auto"/>
                      <w:szCs w:val="21"/>
                    </w:rPr>
                    <w:t>类标准</w:t>
                  </w:r>
                </w:p>
              </w:tc>
            </w:tr>
          </w:tbl>
          <w:p w14:paraId="5245FEB3">
            <w:pPr>
              <w:pStyle w:val="35"/>
              <w:spacing w:before="0" w:beforeAutospacing="0" w:after="0" w:afterAutospacing="0" w:line="360" w:lineRule="auto"/>
              <w:ind w:firstLine="482" w:firstLineChars="200"/>
              <w:rPr>
                <w:rFonts w:hint="eastAsia" w:ascii="Times New Roman" w:hAnsi="Times New Roman" w:eastAsia="宋体"/>
                <w:b/>
                <w:bCs/>
                <w:color w:val="auto"/>
                <w:szCs w:val="24"/>
                <w:lang w:eastAsia="zh-CN"/>
              </w:rPr>
            </w:pPr>
            <w:r>
              <w:rPr>
                <w:rFonts w:hint="eastAsia" w:ascii="Times New Roman" w:hAnsi="Times New Roman"/>
                <w:b/>
                <w:bCs/>
                <w:color w:val="auto"/>
                <w:szCs w:val="24"/>
              </w:rPr>
              <w:t>四、</w:t>
            </w:r>
            <w:r>
              <w:rPr>
                <w:rFonts w:ascii="Times New Roman" w:hAnsi="Times New Roman"/>
                <w:b/>
                <w:bCs/>
                <w:color w:val="auto"/>
                <w:szCs w:val="24"/>
              </w:rPr>
              <w:t>固体废物</w:t>
            </w:r>
          </w:p>
          <w:p w14:paraId="7C4EA2E2">
            <w:pPr>
              <w:pStyle w:val="58"/>
              <w:adjustRightInd w:val="0"/>
              <w:snapToGrid w:val="0"/>
              <w:spacing w:line="360" w:lineRule="auto"/>
              <w:ind w:firstLine="480"/>
              <w:rPr>
                <w:color w:val="auto"/>
              </w:rPr>
            </w:pPr>
            <w:r>
              <w:rPr>
                <w:color w:val="auto"/>
              </w:rPr>
              <w:t>本项目产生的固体废弃物主要为</w:t>
            </w:r>
            <w:r>
              <w:rPr>
                <w:rFonts w:hint="eastAsia"/>
                <w:color w:val="auto"/>
                <w:lang w:val="en-US" w:eastAsia="zh-CN"/>
              </w:rPr>
              <w:t>锅炉除尘灰及锅炉灰渣、废布袋、废导热油</w:t>
            </w:r>
            <w:r>
              <w:rPr>
                <w:color w:val="auto"/>
              </w:rPr>
              <w:t>。</w:t>
            </w:r>
          </w:p>
          <w:p w14:paraId="1ADC43C3">
            <w:pPr>
              <w:pStyle w:val="58"/>
              <w:adjustRightInd w:val="0"/>
              <w:snapToGrid w:val="0"/>
              <w:spacing w:line="360" w:lineRule="auto"/>
              <w:ind w:firstLine="480"/>
              <w:rPr>
                <w:color w:val="auto"/>
              </w:rPr>
            </w:pPr>
            <w:r>
              <w:rPr>
                <w:rFonts w:hint="eastAsia"/>
                <w:color w:val="auto"/>
              </w:rPr>
              <w:t>1、固废产生情况</w:t>
            </w:r>
          </w:p>
          <w:p w14:paraId="0A003AE2">
            <w:pPr>
              <w:pStyle w:val="58"/>
              <w:adjustRightInd w:val="0"/>
              <w:snapToGrid w:val="0"/>
              <w:spacing w:line="360" w:lineRule="auto"/>
              <w:ind w:firstLine="480"/>
              <w:rPr>
                <w:rFonts w:ascii="Times New Roman" w:hAnsi="Times New Roman" w:eastAsia="宋体" w:cs="Times New Roman"/>
                <w:color w:val="auto"/>
              </w:rPr>
            </w:pPr>
            <w:r>
              <w:rPr>
                <w:rFonts w:hint="eastAsia" w:ascii="Times New Roman" w:hAnsi="Times New Roman" w:eastAsia="宋体" w:cs="Times New Roman"/>
                <w:color w:val="auto"/>
              </w:rPr>
              <w:t>a.</w:t>
            </w:r>
            <w:r>
              <w:rPr>
                <w:rFonts w:hint="eastAsia" w:ascii="Times New Roman" w:hAnsi="Times New Roman" w:eastAsia="宋体" w:cs="Times New Roman"/>
                <w:color w:val="auto"/>
                <w:lang w:val="en-US" w:eastAsia="zh-CN"/>
              </w:rPr>
              <w:t>锅炉除尘灰及锅炉灰渣</w:t>
            </w:r>
          </w:p>
          <w:p w14:paraId="625EC42E">
            <w:pPr>
              <w:pStyle w:val="58"/>
              <w:adjustRightInd w:val="0"/>
              <w:snapToGrid w:val="0"/>
              <w:spacing w:line="360" w:lineRule="auto"/>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本项目采用的</w:t>
            </w:r>
            <w:r>
              <w:rPr>
                <w:rFonts w:hint="eastAsia"/>
                <w:color w:val="auto"/>
                <w:spacing w:val="4"/>
                <w:sz w:val="24"/>
                <w:lang w:val="en-US" w:eastAsia="zh-CN"/>
              </w:rPr>
              <w:t>燃生物质</w:t>
            </w:r>
            <w:r>
              <w:rPr>
                <w:rFonts w:hint="eastAsia"/>
                <w:color w:val="auto"/>
                <w:spacing w:val="4"/>
                <w:sz w:val="24"/>
              </w:rPr>
              <w:t>导热油炉</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燃烧过程中产生的固体废为灰渣</w:t>
            </w:r>
            <w:r>
              <w:rPr>
                <w:rFonts w:hint="eastAsia" w:ascii="Times New Roman" w:hAnsi="Times New Roman" w:eastAsia="宋体" w:cs="Times New Roman"/>
                <w:color w:val="auto"/>
                <w:lang w:eastAsia="zh-CN"/>
              </w:rPr>
              <w:t>。</w:t>
            </w:r>
            <w:r>
              <w:rPr>
                <w:rFonts w:hint="eastAsia"/>
                <w:color w:val="auto"/>
                <w:spacing w:val="4"/>
                <w:sz w:val="24"/>
                <w:lang w:val="en-US" w:eastAsia="zh-CN"/>
              </w:rPr>
              <w:t>燃生物质</w:t>
            </w:r>
            <w:r>
              <w:rPr>
                <w:rFonts w:hint="eastAsia"/>
                <w:color w:val="auto"/>
                <w:spacing w:val="4"/>
                <w:sz w:val="24"/>
              </w:rPr>
              <w:t>导热油炉</w:t>
            </w:r>
            <w:r>
              <w:rPr>
                <w:rFonts w:hint="default" w:ascii="Times New Roman" w:hAnsi="Times New Roman" w:eastAsia="宋体" w:cs="Times New Roman"/>
                <w:color w:val="auto"/>
                <w:lang w:eastAsia="zh-CN"/>
              </w:rPr>
              <w:t>灰</w:t>
            </w:r>
            <w:r>
              <w:rPr>
                <w:rFonts w:hint="default" w:ascii="Times New Roman" w:hAnsi="Times New Roman" w:eastAsia="宋体" w:cs="Times New Roman"/>
                <w:color w:val="auto"/>
              </w:rPr>
              <w:t>渣</w:t>
            </w:r>
            <w:r>
              <w:rPr>
                <w:rFonts w:hint="default" w:ascii="Times New Roman" w:hAnsi="Times New Roman" w:eastAsia="宋体" w:cs="Times New Roman"/>
                <w:color w:val="auto"/>
                <w:lang w:eastAsia="zh-CN"/>
              </w:rPr>
              <w:t>产生量参考《污染源源强核算技术指南</w:t>
            </w:r>
            <w:r>
              <w:rPr>
                <w:rFonts w:hint="default" w:ascii="Times New Roman" w:hAnsi="Times New Roman" w:eastAsia="宋体" w:cs="Times New Roman"/>
                <w:color w:val="auto"/>
                <w:lang w:val="en-US" w:eastAsia="zh-CN"/>
              </w:rPr>
              <w:t xml:space="preserve"> 锅炉</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HJ 991-2018</w:t>
            </w:r>
            <w:r>
              <w:rPr>
                <w:rFonts w:hint="default" w:ascii="Times New Roman" w:hAnsi="Times New Roman" w:eastAsia="宋体" w:cs="Times New Roman"/>
                <w:color w:val="auto"/>
                <w:lang w:eastAsia="zh-CN"/>
              </w:rPr>
              <w:t>）中</w:t>
            </w:r>
            <w:r>
              <w:rPr>
                <w:rFonts w:hint="default" w:ascii="Times New Roman" w:hAnsi="Times New Roman" w:eastAsia="宋体" w:cs="Times New Roman"/>
                <w:color w:val="auto"/>
                <w:lang w:val="en-US" w:eastAsia="zh-CN"/>
              </w:rPr>
              <w:t>8.1生物质锅炉灰渣产生量计算方法进行核算。</w:t>
            </w:r>
          </w:p>
          <w:p w14:paraId="5B2F7641">
            <w:pPr>
              <w:pStyle w:val="85"/>
              <w:keepNext w:val="0"/>
              <w:keepLines w:val="0"/>
              <w:pageBreakBefore w:val="0"/>
              <w:suppressLineNumbers w:val="0"/>
              <w:wordWrap/>
              <w:topLinePunct w:val="0"/>
              <w:bidi w:val="0"/>
              <w:spacing w:before="0" w:beforeAutospacing="0" w:after="0" w:afterAutospacing="0" w:line="360" w:lineRule="auto"/>
              <w:ind w:left="0" w:leftChars="0" w:right="0" w:rightChars="0" w:firstLine="480" w:firstLineChars="200"/>
              <w:jc w:val="center"/>
              <w:rPr>
                <w:rFonts w:hint="default"/>
                <w:color w:val="auto"/>
                <w:sz w:val="24"/>
                <w:highlight w:val="none"/>
                <w:lang w:eastAsia="en-US"/>
              </w:rPr>
            </w:pPr>
            <w:r>
              <w:rPr>
                <w:rFonts w:hint="default"/>
                <w:color w:val="auto"/>
                <w:position w:val="-28"/>
                <w:sz w:val="24"/>
                <w:highlight w:val="none"/>
              </w:rPr>
              <w:object>
                <v:shape id="_x0000_i1025" o:spt="75" type="#_x0000_t75" style="height:33.75pt;width:146.25pt;" o:ole="t" filled="f" o:preferrelative="t" stroked="f" coordsize="21600,21600">
                  <v:path/>
                  <v:fill on="f" focussize="0,0"/>
                  <v:stroke on="f"/>
                  <v:imagedata r:id="rId30" o:title=""/>
                  <o:lock v:ext="edit" aspectratio="t"/>
                  <w10:wrap type="none"/>
                  <w10:anchorlock/>
                </v:shape>
                <o:OLEObject Type="Embed" ProgID="Equation.3" ShapeID="_x0000_i1025" DrawAspect="Content" ObjectID="_1468075725" r:id="rId29">
                  <o:LockedField>false</o:LockedField>
                </o:OLEObject>
              </w:object>
            </w:r>
          </w:p>
          <w:p w14:paraId="1CF4713B">
            <w:pPr>
              <w:keepNext w:val="0"/>
              <w:keepLines w:val="0"/>
              <w:pageBreakBefore w:val="0"/>
              <w:suppressLineNumbers w:val="0"/>
              <w:wordWrap/>
              <w:topLinePunct w:val="0"/>
              <w:bidi w:val="0"/>
              <w:adjustRightInd w:val="0"/>
              <w:snapToGrid w:val="0"/>
              <w:spacing w:before="0" w:beforeAutospacing="0" w:after="0" w:afterAutospacing="0" w:line="360" w:lineRule="auto"/>
              <w:ind w:left="0" w:leftChars="0" w:right="0" w:rightChars="0" w:firstLine="480" w:firstLineChars="200"/>
              <w:rPr>
                <w:rFonts w:hint="default"/>
                <w:bCs/>
                <w:color w:val="auto"/>
                <w:sz w:val="24"/>
                <w:highlight w:val="none"/>
              </w:rPr>
            </w:pPr>
            <w:r>
              <w:rPr>
                <w:rFonts w:hint="default"/>
                <w:bCs/>
                <w:color w:val="auto"/>
                <w:sz w:val="24"/>
                <w:highlight w:val="none"/>
              </w:rPr>
              <w:t>式中：E</w:t>
            </w:r>
            <w:r>
              <w:rPr>
                <w:rFonts w:hint="default"/>
                <w:bCs/>
                <w:color w:val="auto"/>
                <w:sz w:val="24"/>
                <w:highlight w:val="none"/>
                <w:vertAlign w:val="subscript"/>
              </w:rPr>
              <w:t>hz</w:t>
            </w:r>
            <w:r>
              <w:rPr>
                <w:rFonts w:hint="default"/>
                <w:bCs/>
                <w:color w:val="auto"/>
                <w:sz w:val="24"/>
                <w:highlight w:val="none"/>
              </w:rPr>
              <w:t>—核算时段内灰渣产生量，t</w:t>
            </w:r>
          </w:p>
          <w:p w14:paraId="33A40694">
            <w:pPr>
              <w:keepNext w:val="0"/>
              <w:keepLines w:val="0"/>
              <w:pageBreakBefore w:val="0"/>
              <w:suppressLineNumbers w:val="0"/>
              <w:wordWrap/>
              <w:topLinePunct w:val="0"/>
              <w:bidi w:val="0"/>
              <w:adjustRightInd w:val="0"/>
              <w:snapToGrid w:val="0"/>
              <w:spacing w:before="0" w:beforeAutospacing="0" w:after="0" w:afterAutospacing="0" w:line="360" w:lineRule="auto"/>
              <w:ind w:left="0" w:leftChars="0" w:right="0" w:rightChars="0" w:firstLine="480" w:firstLineChars="200"/>
              <w:rPr>
                <w:rFonts w:hint="default"/>
                <w:bCs/>
                <w:color w:val="auto"/>
                <w:sz w:val="24"/>
                <w:highlight w:val="none"/>
              </w:rPr>
            </w:pPr>
            <w:r>
              <w:rPr>
                <w:rFonts w:hint="default"/>
                <w:bCs/>
                <w:color w:val="auto"/>
                <w:sz w:val="24"/>
                <w:highlight w:val="none"/>
              </w:rPr>
              <w:t>R—核算时段内锅炉燃料耗量，</w:t>
            </w:r>
            <w:r>
              <w:rPr>
                <w:rFonts w:hint="eastAsia" w:ascii="Times New Roman" w:hAnsi="Times New Roman" w:eastAsia="宋体" w:cs="Times New Roman"/>
                <w:color w:val="auto"/>
                <w:sz w:val="24"/>
                <w:szCs w:val="24"/>
                <w:highlight w:val="none"/>
                <w:lang w:val="en-US" w:eastAsia="zh-CN"/>
              </w:rPr>
              <w:t>6091.2</w:t>
            </w:r>
            <w:r>
              <w:rPr>
                <w:rFonts w:hint="default"/>
                <w:bCs/>
                <w:color w:val="auto"/>
                <w:sz w:val="24"/>
                <w:highlight w:val="none"/>
                <w:lang w:val="en-US" w:eastAsia="zh-CN"/>
              </w:rPr>
              <w:t>t</w:t>
            </w:r>
            <w:r>
              <w:rPr>
                <w:rFonts w:hint="default"/>
                <w:bCs/>
                <w:color w:val="auto"/>
                <w:sz w:val="24"/>
                <w:highlight w:val="none"/>
              </w:rPr>
              <w:t>；</w:t>
            </w:r>
          </w:p>
          <w:p w14:paraId="3520C779">
            <w:pPr>
              <w:keepNext w:val="0"/>
              <w:keepLines w:val="0"/>
              <w:pageBreakBefore w:val="0"/>
              <w:suppressLineNumbers w:val="0"/>
              <w:wordWrap/>
              <w:topLinePunct w:val="0"/>
              <w:bidi w:val="0"/>
              <w:adjustRightInd w:val="0"/>
              <w:snapToGrid w:val="0"/>
              <w:spacing w:before="0" w:beforeAutospacing="0" w:after="0" w:afterAutospacing="0" w:line="360" w:lineRule="auto"/>
              <w:ind w:left="0" w:leftChars="0" w:right="0" w:rightChars="0" w:firstLine="480" w:firstLineChars="200"/>
              <w:rPr>
                <w:rFonts w:hint="eastAsia" w:ascii="Times New Roman" w:hAnsi="Times New Roman" w:cs="Times New Roman"/>
                <w:bCs/>
                <w:color w:val="auto"/>
                <w:sz w:val="24"/>
                <w:highlight w:val="none"/>
              </w:rPr>
            </w:pPr>
            <w:r>
              <w:rPr>
                <w:rFonts w:hint="default"/>
                <w:bCs/>
                <w:color w:val="auto"/>
                <w:sz w:val="24"/>
                <w:highlight w:val="none"/>
              </w:rPr>
              <w:t>A</w:t>
            </w:r>
            <w:r>
              <w:rPr>
                <w:rFonts w:hint="default"/>
                <w:bCs/>
                <w:color w:val="auto"/>
                <w:sz w:val="24"/>
                <w:highlight w:val="none"/>
                <w:vertAlign w:val="subscript"/>
              </w:rPr>
              <w:t>ar</w:t>
            </w:r>
            <w:r>
              <w:rPr>
                <w:rFonts w:hint="default"/>
                <w:bCs/>
                <w:color w:val="auto"/>
                <w:sz w:val="24"/>
                <w:highlight w:val="none"/>
              </w:rPr>
              <w:t>—收到基灰分的质量分数，</w:t>
            </w:r>
            <w:r>
              <w:rPr>
                <w:rFonts w:hint="eastAsia"/>
                <w:color w:val="auto"/>
                <w:sz w:val="24"/>
                <w:szCs w:val="24"/>
                <w:highlight w:val="none"/>
                <w:lang w:val="en-US" w:eastAsia="zh-CN"/>
              </w:rPr>
              <w:t>3.06</w:t>
            </w:r>
            <w:r>
              <w:rPr>
                <w:rFonts w:hint="eastAsia" w:ascii="Times New Roman" w:hAnsi="Times New Roman" w:cs="Times New Roman"/>
                <w:bCs/>
                <w:color w:val="auto"/>
                <w:sz w:val="24"/>
                <w:highlight w:val="none"/>
              </w:rPr>
              <w:t>%</w:t>
            </w:r>
          </w:p>
          <w:p w14:paraId="07585F86">
            <w:pPr>
              <w:keepNext w:val="0"/>
              <w:keepLines w:val="0"/>
              <w:pageBreakBefore w:val="0"/>
              <w:suppressLineNumbers w:val="0"/>
              <w:wordWrap/>
              <w:topLinePunct w:val="0"/>
              <w:bidi w:val="0"/>
              <w:adjustRightInd w:val="0"/>
              <w:snapToGrid w:val="0"/>
              <w:spacing w:before="0" w:beforeAutospacing="0" w:after="0" w:afterAutospacing="0" w:line="360" w:lineRule="auto"/>
              <w:ind w:left="0" w:leftChars="0" w:right="0" w:rightChars="0" w:firstLine="480" w:firstLineChars="200"/>
              <w:rPr>
                <w:rFonts w:hint="default"/>
                <w:bCs/>
                <w:color w:val="auto"/>
                <w:sz w:val="24"/>
                <w:highlight w:val="none"/>
              </w:rPr>
            </w:pPr>
            <w:r>
              <w:rPr>
                <w:rFonts w:hint="default"/>
                <w:bCs/>
                <w:color w:val="auto"/>
                <w:sz w:val="24"/>
                <w:highlight w:val="none"/>
              </w:rPr>
              <w:t>Q</w:t>
            </w:r>
            <w:r>
              <w:rPr>
                <w:rFonts w:hint="default"/>
                <w:bCs/>
                <w:color w:val="auto"/>
                <w:sz w:val="24"/>
                <w:highlight w:val="none"/>
                <w:vertAlign w:val="subscript"/>
              </w:rPr>
              <w:t>net，ar</w:t>
            </w:r>
            <w:r>
              <w:rPr>
                <w:rFonts w:hint="default"/>
                <w:bCs/>
                <w:color w:val="auto"/>
                <w:sz w:val="24"/>
                <w:highlight w:val="none"/>
              </w:rPr>
              <w:t>—燃料收到基低位发热量</w:t>
            </w:r>
            <w:r>
              <w:rPr>
                <w:rFonts w:hint="default"/>
                <w:color w:val="auto"/>
                <w:sz w:val="24"/>
                <w:szCs w:val="24"/>
                <w:highlight w:val="none"/>
                <w:lang w:val="en-US" w:eastAsia="zh-CN"/>
              </w:rPr>
              <w:t>，</w:t>
            </w:r>
            <w:r>
              <w:rPr>
                <w:rFonts w:hint="eastAsia" w:eastAsia="宋体"/>
                <w:color w:val="auto"/>
                <w:sz w:val="24"/>
                <w:highlight w:val="none"/>
                <w:lang w:val="en-US" w:eastAsia="zh-CN"/>
              </w:rPr>
              <w:t>2289.62</w:t>
            </w:r>
            <w:r>
              <w:rPr>
                <w:rFonts w:hint="eastAsia"/>
                <w:color w:val="auto"/>
                <w:sz w:val="24"/>
                <w:szCs w:val="24"/>
                <w:highlight w:val="none"/>
                <w:lang w:val="en-US" w:eastAsia="zh-CN"/>
              </w:rPr>
              <w:t>kJ/kg</w:t>
            </w:r>
          </w:p>
          <w:p w14:paraId="7D8C48C8">
            <w:pPr>
              <w:keepNext w:val="0"/>
              <w:keepLines w:val="0"/>
              <w:pageBreakBefore w:val="0"/>
              <w:suppressLineNumbers w:val="0"/>
              <w:wordWrap/>
              <w:topLinePunct w:val="0"/>
              <w:bidi w:val="0"/>
              <w:adjustRightInd w:val="0"/>
              <w:snapToGrid w:val="0"/>
              <w:spacing w:before="0" w:beforeAutospacing="0" w:after="0" w:afterAutospacing="0" w:line="360" w:lineRule="auto"/>
              <w:ind w:left="0" w:leftChars="0" w:right="0" w:rightChars="0" w:firstLine="480" w:firstLineChars="200"/>
              <w:rPr>
                <w:rFonts w:hint="default"/>
                <w:bCs/>
                <w:color w:val="auto"/>
                <w:sz w:val="24"/>
                <w:highlight w:val="none"/>
              </w:rPr>
            </w:pPr>
            <w:r>
              <w:rPr>
                <w:rFonts w:hint="default"/>
                <w:bCs/>
                <w:color w:val="auto"/>
                <w:sz w:val="24"/>
                <w:highlight w:val="none"/>
              </w:rPr>
              <w:t>q</w:t>
            </w:r>
            <w:r>
              <w:rPr>
                <w:rFonts w:hint="default"/>
                <w:bCs/>
                <w:color w:val="auto"/>
                <w:sz w:val="24"/>
                <w:highlight w:val="none"/>
                <w:vertAlign w:val="subscript"/>
              </w:rPr>
              <w:t>4</w:t>
            </w:r>
            <w:r>
              <w:rPr>
                <w:rFonts w:hint="default"/>
                <w:bCs/>
                <w:color w:val="auto"/>
                <w:sz w:val="24"/>
                <w:highlight w:val="none"/>
              </w:rPr>
              <w:t>—锅炉机械不完全燃烧热损失，</w:t>
            </w:r>
            <w:r>
              <w:rPr>
                <w:rFonts w:hint="eastAsia"/>
                <w:bCs/>
                <w:color w:val="auto"/>
                <w:sz w:val="24"/>
                <w:highlight w:val="none"/>
                <w:lang w:val="en-US" w:eastAsia="zh-CN"/>
              </w:rPr>
              <w:t>15</w:t>
            </w:r>
            <w:r>
              <w:rPr>
                <w:rFonts w:hint="default"/>
                <w:bCs/>
                <w:color w:val="auto"/>
                <w:sz w:val="24"/>
                <w:highlight w:val="none"/>
              </w:rPr>
              <w:t>%</w:t>
            </w:r>
          </w:p>
          <w:p w14:paraId="56C7EFAA">
            <w:pPr>
              <w:pStyle w:val="58"/>
              <w:adjustRightInd w:val="0"/>
              <w:snapToGrid w:val="0"/>
              <w:spacing w:line="360" w:lineRule="auto"/>
              <w:ind w:firstLine="480"/>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经计算得出年</w:t>
            </w:r>
            <w:r>
              <w:rPr>
                <w:rFonts w:hint="eastAsia" w:cs="Times New Roman"/>
                <w:color w:val="auto"/>
                <w:lang w:val="en-US" w:eastAsia="zh-CN"/>
              </w:rPr>
              <w:t>锅炉</w:t>
            </w:r>
            <w:r>
              <w:rPr>
                <w:rFonts w:hint="eastAsia" w:ascii="Times New Roman" w:hAnsi="Times New Roman" w:eastAsia="宋体" w:cs="Times New Roman"/>
                <w:color w:val="auto"/>
                <w:lang w:eastAsia="zh-CN"/>
              </w:rPr>
              <w:t>灰渣量E</w:t>
            </w:r>
            <w:r>
              <w:rPr>
                <w:rFonts w:hint="eastAsia" w:ascii="Times New Roman" w:hAnsi="Times New Roman" w:eastAsia="宋体" w:cs="Times New Roman"/>
                <w:color w:val="auto"/>
                <w:vertAlign w:val="subscript"/>
                <w:lang w:eastAsia="zh-CN"/>
              </w:rPr>
              <w:t>hz</w:t>
            </w: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sz w:val="24"/>
                <w:szCs w:val="24"/>
                <w:highlight w:val="none"/>
                <w:lang w:val="en-US" w:eastAsia="zh-CN"/>
              </w:rPr>
              <w:t>6091.2</w:t>
            </w:r>
            <w:r>
              <w:rPr>
                <w:rFonts w:hint="eastAsia" w:ascii="Times New Roman" w:hAnsi="Times New Roman" w:eastAsia="宋体" w:cs="Times New Roman"/>
                <w:color w:val="auto"/>
                <w:lang w:val="en-US" w:eastAsia="zh-CN"/>
              </w:rPr>
              <w:t>×（0.0306+15×</w:t>
            </w:r>
            <w:r>
              <w:rPr>
                <w:rFonts w:hint="eastAsia" w:eastAsia="宋体"/>
                <w:color w:val="auto"/>
                <w:sz w:val="24"/>
                <w:highlight w:val="none"/>
                <w:lang w:val="en-US" w:eastAsia="zh-CN"/>
              </w:rPr>
              <w:t>2289.62</w:t>
            </w:r>
            <w:r>
              <w:rPr>
                <w:rFonts w:hint="eastAsia" w:ascii="Times New Roman" w:hAnsi="Times New Roman" w:eastAsia="宋体" w:cs="Times New Roman"/>
                <w:color w:val="auto"/>
                <w:lang w:val="en-US" w:eastAsia="zh-CN"/>
              </w:rPr>
              <w:t>÷100÷33870）=</w:t>
            </w:r>
            <w:r>
              <w:rPr>
                <w:rFonts w:hint="eastAsia" w:eastAsia="宋体"/>
                <w:color w:val="auto"/>
                <w:sz w:val="24"/>
                <w:highlight w:val="none"/>
                <w:lang w:val="en-US" w:eastAsia="zh-CN"/>
              </w:rPr>
              <w:t>248.15</w:t>
            </w:r>
            <w:r>
              <w:rPr>
                <w:rFonts w:hint="eastAsia"/>
                <w:color w:val="auto"/>
                <w:sz w:val="24"/>
                <w:highlight w:val="none"/>
                <w:lang w:val="en-US" w:eastAsia="zh-CN"/>
              </w:rPr>
              <w:t>6</w:t>
            </w:r>
            <w:r>
              <w:rPr>
                <w:rFonts w:hint="eastAsia" w:ascii="Times New Roman" w:hAnsi="Times New Roman" w:eastAsia="宋体" w:cs="Times New Roman"/>
                <w:color w:val="auto"/>
                <w:lang w:eastAsia="zh-CN"/>
              </w:rPr>
              <w:t>t/a</w:t>
            </w:r>
          </w:p>
          <w:p w14:paraId="19BE16EE">
            <w:pPr>
              <w:pStyle w:val="58"/>
              <w:adjustRightInd w:val="0"/>
              <w:snapToGrid w:val="0"/>
              <w:spacing w:line="360" w:lineRule="auto"/>
              <w:ind w:firstLine="480"/>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锅炉燃烧产生的灰渣量为</w:t>
            </w:r>
            <w:r>
              <w:rPr>
                <w:rFonts w:hint="eastAsia" w:eastAsia="宋体"/>
                <w:color w:val="auto"/>
                <w:sz w:val="24"/>
                <w:highlight w:val="none"/>
                <w:lang w:val="en-US" w:eastAsia="zh-CN"/>
              </w:rPr>
              <w:t>248.15</w:t>
            </w:r>
            <w:r>
              <w:rPr>
                <w:rFonts w:hint="eastAsia"/>
                <w:color w:val="auto"/>
                <w:sz w:val="24"/>
                <w:highlight w:val="none"/>
                <w:lang w:val="en-US" w:eastAsia="zh-CN"/>
              </w:rPr>
              <w:t>6</w:t>
            </w:r>
            <w:r>
              <w:rPr>
                <w:rFonts w:hint="eastAsia" w:ascii="Times New Roman" w:hAnsi="Times New Roman" w:eastAsia="宋体" w:cs="Times New Roman"/>
                <w:color w:val="auto"/>
                <w:lang w:eastAsia="zh-CN"/>
              </w:rPr>
              <w:t>t/a，</w:t>
            </w:r>
            <w:r>
              <w:rPr>
                <w:rFonts w:hint="eastAsia" w:eastAsia="宋体"/>
                <w:color w:val="auto"/>
                <w:sz w:val="24"/>
                <w:szCs w:val="24"/>
                <w:highlight w:val="none"/>
              </w:rPr>
              <w:t>d</w:t>
            </w:r>
            <w:r>
              <w:rPr>
                <w:rFonts w:hint="eastAsia"/>
                <w:color w:val="auto"/>
                <w:sz w:val="24"/>
                <w:szCs w:val="24"/>
                <w:highlight w:val="none"/>
                <w:vertAlign w:val="subscript"/>
                <w:lang w:val="en-US" w:eastAsia="zh-CN"/>
              </w:rPr>
              <w:t>fh</w:t>
            </w:r>
            <w:r>
              <w:rPr>
                <w:rFonts w:hint="eastAsia" w:eastAsia="宋体"/>
                <w:color w:val="auto"/>
                <w:sz w:val="24"/>
                <w:szCs w:val="24"/>
                <w:highlight w:val="none"/>
              </w:rPr>
              <w:t>锅炉烟气带出的飞灰份额</w:t>
            </w:r>
            <w:r>
              <w:rPr>
                <w:rFonts w:hint="eastAsia" w:eastAsia="宋体"/>
                <w:color w:val="auto"/>
                <w:sz w:val="24"/>
                <w:szCs w:val="24"/>
                <w:highlight w:val="none"/>
                <w:lang w:val="en-US" w:eastAsia="zh-CN"/>
              </w:rPr>
              <w:t>取</w:t>
            </w:r>
            <w:r>
              <w:rPr>
                <w:rFonts w:hint="eastAsia"/>
                <w:color w:val="auto"/>
                <w:sz w:val="24"/>
                <w:szCs w:val="24"/>
                <w:highlight w:val="none"/>
                <w:lang w:val="en-US" w:eastAsia="zh-CN"/>
              </w:rPr>
              <w:t>50</w:t>
            </w:r>
            <w:r>
              <w:rPr>
                <w:rFonts w:hint="eastAsia" w:eastAsia="宋体"/>
                <w:color w:val="auto"/>
                <w:sz w:val="24"/>
                <w:szCs w:val="24"/>
                <w:highlight w:val="none"/>
              </w:rPr>
              <w:t>%</w:t>
            </w:r>
            <w:r>
              <w:rPr>
                <w:rFonts w:hint="eastAsia" w:eastAsia="宋体"/>
                <w:color w:val="auto"/>
                <w:sz w:val="24"/>
                <w:szCs w:val="24"/>
                <w:highlight w:val="none"/>
                <w:lang w:eastAsia="zh-CN"/>
              </w:rPr>
              <w:t>，</w:t>
            </w:r>
            <w:r>
              <w:rPr>
                <w:rFonts w:hint="eastAsia" w:eastAsia="宋体"/>
                <w:color w:val="auto"/>
                <w:sz w:val="24"/>
                <w:szCs w:val="24"/>
                <w:highlight w:val="none"/>
                <w:lang w:val="en-US" w:eastAsia="zh-CN"/>
              </w:rPr>
              <w:t>则飞灰产生量为124.078t/a，</w:t>
            </w:r>
            <w:r>
              <w:rPr>
                <w:rFonts w:hint="eastAsia" w:ascii="Times New Roman" w:hAnsi="Times New Roman" w:eastAsia="宋体" w:cs="Times New Roman"/>
                <w:color w:val="auto"/>
                <w:lang w:eastAsia="zh-CN"/>
              </w:rPr>
              <w:t>灰渣中随烟气排放的飞灰（即颗粒物）</w:t>
            </w:r>
            <w:r>
              <w:rPr>
                <w:rFonts w:hint="eastAsia"/>
                <w:color w:val="auto"/>
                <w:sz w:val="24"/>
                <w:szCs w:val="24"/>
                <w:highlight w:val="none"/>
                <w:vertAlign w:val="baseline"/>
                <w:lang w:val="en-US" w:eastAsia="zh-CN"/>
              </w:rPr>
              <w:t>1.109</w:t>
            </w:r>
            <w:r>
              <w:rPr>
                <w:rFonts w:hint="eastAsia" w:ascii="Times New Roman" w:hAnsi="Times New Roman" w:eastAsia="宋体" w:cs="Times New Roman"/>
                <w:color w:val="auto"/>
                <w:lang w:eastAsia="zh-CN"/>
              </w:rPr>
              <w:t>t/a，由布袋除尘器收集的飞灰为</w:t>
            </w:r>
            <w:r>
              <w:rPr>
                <w:rFonts w:hint="eastAsia" w:cs="Times New Roman"/>
                <w:color w:val="auto"/>
                <w:lang w:val="en-US" w:eastAsia="zh-CN"/>
              </w:rPr>
              <w:t>122.969</w:t>
            </w:r>
            <w:r>
              <w:rPr>
                <w:rFonts w:hint="eastAsia" w:ascii="Times New Roman" w:hAnsi="Times New Roman" w:eastAsia="宋体" w:cs="Times New Roman"/>
                <w:color w:val="auto"/>
                <w:lang w:eastAsia="zh-CN"/>
              </w:rPr>
              <w:t>t/a，则剩余</w:t>
            </w:r>
            <w:r>
              <w:rPr>
                <w:rFonts w:hint="eastAsia" w:ascii="Times New Roman" w:hAnsi="Times New Roman" w:eastAsia="宋体" w:cs="Times New Roman"/>
                <w:color w:val="auto"/>
                <w:lang w:val="en-US" w:eastAsia="zh-CN"/>
              </w:rPr>
              <w:t>锅炉</w:t>
            </w:r>
            <w:r>
              <w:rPr>
                <w:rFonts w:hint="eastAsia" w:ascii="Times New Roman" w:hAnsi="Times New Roman" w:eastAsia="宋体" w:cs="Times New Roman"/>
                <w:color w:val="auto"/>
                <w:lang w:eastAsia="zh-CN"/>
              </w:rPr>
              <w:t>炉渣量为</w:t>
            </w:r>
            <w:r>
              <w:rPr>
                <w:rFonts w:hint="eastAsia" w:eastAsia="宋体"/>
                <w:color w:val="auto"/>
                <w:sz w:val="24"/>
                <w:szCs w:val="24"/>
                <w:highlight w:val="none"/>
                <w:lang w:val="en-US" w:eastAsia="zh-CN"/>
              </w:rPr>
              <w:t>124.078</w:t>
            </w:r>
            <w:r>
              <w:rPr>
                <w:rFonts w:hint="eastAsia" w:ascii="Times New Roman" w:hAnsi="Times New Roman" w:eastAsia="宋体" w:cs="Times New Roman"/>
                <w:color w:val="auto"/>
                <w:lang w:eastAsia="zh-CN"/>
              </w:rPr>
              <w:t>t/a。</w:t>
            </w:r>
            <w:r>
              <w:rPr>
                <w:rFonts w:hint="eastAsia" w:cs="Times New Roman"/>
                <w:color w:val="auto"/>
                <w:lang w:val="en-US" w:eastAsia="zh-CN"/>
              </w:rPr>
              <w:t>锅炉炉渣暂存在灰渣库中，定期外售综合利用</w:t>
            </w:r>
            <w:r>
              <w:rPr>
                <w:rFonts w:hint="eastAsia" w:ascii="Times New Roman" w:hAnsi="Times New Roman" w:eastAsia="宋体" w:cs="Times New Roman"/>
                <w:color w:val="auto"/>
                <w:lang w:eastAsia="zh-CN"/>
              </w:rPr>
              <w:t>。</w:t>
            </w:r>
          </w:p>
          <w:p w14:paraId="5EE08F49">
            <w:pPr>
              <w:pStyle w:val="58"/>
              <w:adjustRightInd w:val="0"/>
              <w:snapToGrid w:val="0"/>
              <w:spacing w:line="360" w:lineRule="auto"/>
              <w:ind w:firstLine="480"/>
              <w:rPr>
                <w:color w:val="auto"/>
              </w:rPr>
            </w:pPr>
            <w:r>
              <w:rPr>
                <w:rFonts w:hint="eastAsia"/>
                <w:color w:val="auto"/>
                <w:szCs w:val="24"/>
              </w:rPr>
              <w:t>b.</w:t>
            </w:r>
            <w:r>
              <w:rPr>
                <w:rFonts w:hint="eastAsia"/>
                <w:color w:val="auto"/>
                <w:lang w:val="en-US" w:eastAsia="zh-CN"/>
              </w:rPr>
              <w:t>废布袋</w:t>
            </w:r>
          </w:p>
          <w:p w14:paraId="7CDE4E03">
            <w:pPr>
              <w:pStyle w:val="58"/>
              <w:adjustRightInd w:val="0"/>
              <w:snapToGrid w:val="0"/>
              <w:spacing w:line="360" w:lineRule="auto"/>
              <w:ind w:firstLine="480"/>
              <w:rPr>
                <w:color w:val="auto"/>
              </w:rPr>
            </w:pPr>
            <w:r>
              <w:rPr>
                <w:rFonts w:hint="eastAsia" w:ascii="Times New Roman" w:hAnsi="Times New Roman" w:eastAsia="宋体" w:cs="Times New Roman"/>
                <w:color w:val="auto"/>
                <w:highlight w:val="none"/>
                <w:lang w:val="en-US" w:eastAsia="zh-CN"/>
              </w:rPr>
              <w:t>本项目</w:t>
            </w:r>
            <w:r>
              <w:rPr>
                <w:rFonts w:hint="eastAsia" w:cs="Times New Roman"/>
                <w:color w:val="auto"/>
                <w:highlight w:val="none"/>
                <w:lang w:val="en-US" w:eastAsia="zh-CN"/>
              </w:rPr>
              <w:t>燃生物质</w:t>
            </w:r>
            <w:r>
              <w:rPr>
                <w:rFonts w:hint="eastAsia" w:ascii="Times New Roman" w:hAnsi="Times New Roman" w:eastAsia="宋体" w:cs="Times New Roman"/>
                <w:color w:val="auto"/>
                <w:highlight w:val="none"/>
                <w:lang w:val="en-US" w:eastAsia="zh-CN"/>
              </w:rPr>
              <w:t>锅炉环保措施采用布袋除尘器，布袋两年换一次，产生废布袋0.</w:t>
            </w:r>
            <w:r>
              <w:rPr>
                <w:rFonts w:hint="eastAsia" w:cs="Times New Roman"/>
                <w:color w:val="auto"/>
                <w:highlight w:val="none"/>
                <w:lang w:val="en-US" w:eastAsia="zh-CN"/>
              </w:rPr>
              <w:t>1</w:t>
            </w:r>
            <w:r>
              <w:rPr>
                <w:rFonts w:hint="eastAsia" w:ascii="Times New Roman" w:hAnsi="Times New Roman" w:eastAsia="宋体" w:cs="Times New Roman"/>
                <w:color w:val="auto"/>
                <w:highlight w:val="none"/>
                <w:lang w:val="en-US" w:eastAsia="zh-CN"/>
              </w:rPr>
              <w:t>t/2a，由除尘器厂家检修后直接带走。</w:t>
            </w:r>
          </w:p>
          <w:p w14:paraId="4837B368">
            <w:pPr>
              <w:pStyle w:val="58"/>
              <w:adjustRightInd w:val="0"/>
              <w:snapToGrid w:val="0"/>
              <w:spacing w:line="360" w:lineRule="auto"/>
              <w:ind w:firstLine="480"/>
              <w:rPr>
                <w:rFonts w:hint="eastAsia"/>
                <w:color w:val="auto"/>
                <w:lang w:val="en-US" w:eastAsia="zh-CN"/>
              </w:rPr>
            </w:pPr>
            <w:r>
              <w:rPr>
                <w:rFonts w:hint="eastAsia"/>
                <w:color w:val="auto"/>
                <w:szCs w:val="24"/>
              </w:rPr>
              <w:t>c.</w:t>
            </w:r>
            <w:r>
              <w:rPr>
                <w:rFonts w:hint="eastAsia"/>
                <w:color w:val="auto"/>
                <w:lang w:val="en-US" w:eastAsia="zh-CN"/>
              </w:rPr>
              <w:t>废导热油</w:t>
            </w:r>
          </w:p>
          <w:p w14:paraId="08BAFC4D">
            <w:pPr>
              <w:pStyle w:val="58"/>
              <w:adjustRightInd w:val="0"/>
              <w:snapToGrid w:val="0"/>
              <w:spacing w:line="360" w:lineRule="auto"/>
              <w:ind w:firstLine="480"/>
              <w:rPr>
                <w:rFonts w:hint="default"/>
                <w:color w:val="auto"/>
                <w:lang w:val="en-US" w:eastAsia="zh-CN"/>
              </w:rPr>
            </w:pPr>
            <w:r>
              <w:rPr>
                <w:rFonts w:hint="default"/>
                <w:color w:val="auto"/>
                <w:lang w:val="en-US" w:eastAsia="zh-CN"/>
              </w:rPr>
              <w:t>本项目生产过程中会产生废导热油，</w:t>
            </w:r>
            <w:r>
              <w:rPr>
                <w:rFonts w:hint="default"/>
                <w:color w:val="auto"/>
                <w:highlight w:val="none"/>
              </w:rPr>
              <w:t>产生的废</w:t>
            </w:r>
            <w:r>
              <w:rPr>
                <w:rFonts w:hint="eastAsia"/>
                <w:color w:val="auto"/>
                <w:highlight w:val="none"/>
                <w:lang w:val="en-US" w:eastAsia="zh-CN"/>
              </w:rPr>
              <w:t>机</w:t>
            </w:r>
            <w:r>
              <w:rPr>
                <w:rFonts w:hint="default"/>
                <w:color w:val="auto"/>
                <w:highlight w:val="none"/>
              </w:rPr>
              <w:t>油量约为</w:t>
            </w:r>
            <w:r>
              <w:rPr>
                <w:rFonts w:hint="eastAsia"/>
                <w:color w:val="auto"/>
                <w:highlight w:val="none"/>
                <w:lang w:val="en-US" w:eastAsia="zh-CN"/>
              </w:rPr>
              <w:t>5.4</w:t>
            </w:r>
            <w:r>
              <w:rPr>
                <w:rFonts w:hint="default"/>
                <w:color w:val="auto"/>
                <w:highlight w:val="none"/>
              </w:rPr>
              <w:t>t</w:t>
            </w:r>
            <w:r>
              <w:rPr>
                <w:rFonts w:hint="eastAsia"/>
                <w:color w:val="auto"/>
                <w:highlight w:val="none"/>
                <w:lang w:val="en-US" w:eastAsia="zh-CN"/>
              </w:rPr>
              <w:t>/5</w:t>
            </w:r>
            <w:r>
              <w:rPr>
                <w:rFonts w:hint="default"/>
                <w:color w:val="auto"/>
                <w:highlight w:val="none"/>
              </w:rPr>
              <w:t>a。</w:t>
            </w:r>
            <w:r>
              <w:rPr>
                <w:rFonts w:hint="default"/>
                <w:color w:val="auto"/>
                <w:lang w:val="en-US" w:eastAsia="zh-CN"/>
              </w:rPr>
              <w:t>根据《国家危险废物名录（2025版）》，废导热油属于</w:t>
            </w:r>
            <w:r>
              <w:rPr>
                <w:rFonts w:hint="eastAsia"/>
                <w:color w:val="auto"/>
                <w:lang w:val="en-US" w:eastAsia="zh-CN"/>
              </w:rPr>
              <w:t>危险废物，废物类别“</w:t>
            </w:r>
            <w:r>
              <w:rPr>
                <w:rFonts w:hint="default"/>
                <w:color w:val="auto"/>
                <w:lang w:val="en-US" w:eastAsia="zh-CN"/>
              </w:rPr>
              <w:t>HW08 废矿物油与含矿物油废物</w:t>
            </w:r>
            <w:r>
              <w:rPr>
                <w:rFonts w:hint="eastAsia"/>
                <w:color w:val="auto"/>
                <w:lang w:val="en-US" w:eastAsia="zh-CN"/>
              </w:rPr>
              <w:t>”，废物代号</w:t>
            </w:r>
            <w:r>
              <w:rPr>
                <w:rFonts w:hint="default"/>
                <w:color w:val="auto"/>
                <w:lang w:val="en-US" w:eastAsia="zh-CN"/>
              </w:rPr>
              <w:t>900-249-08</w:t>
            </w:r>
            <w:r>
              <w:rPr>
                <w:rFonts w:hint="eastAsia"/>
                <w:color w:val="auto"/>
                <w:lang w:val="en-US" w:eastAsia="zh-CN"/>
              </w:rPr>
              <w:t>，</w:t>
            </w:r>
            <w:r>
              <w:rPr>
                <w:rFonts w:hint="default"/>
                <w:color w:val="auto"/>
                <w:lang w:val="en-US" w:eastAsia="zh-CN"/>
              </w:rPr>
              <w:t>废导热油每五年更换一次，建设单位委托有资质单位更换并带走处置，不在厂区内暂存。</w:t>
            </w:r>
          </w:p>
          <w:p w14:paraId="7001F527">
            <w:pPr>
              <w:pStyle w:val="58"/>
              <w:adjustRightInd w:val="0"/>
              <w:snapToGrid w:val="0"/>
              <w:spacing w:line="360" w:lineRule="auto"/>
              <w:ind w:firstLine="480"/>
              <w:rPr>
                <w:rFonts w:hint="default" w:eastAsia="宋体"/>
                <w:color w:val="auto"/>
                <w:lang w:val="en-US" w:eastAsia="zh-CN"/>
              </w:rPr>
            </w:pPr>
            <w:r>
              <w:rPr>
                <w:rFonts w:hint="eastAsia" w:cs="Times New Roman"/>
                <w:color w:val="auto"/>
                <w:highlight w:val="none"/>
                <w:lang w:val="en-US" w:eastAsia="zh-CN"/>
              </w:rPr>
              <w:t>d.</w:t>
            </w:r>
            <w:r>
              <w:rPr>
                <w:rFonts w:hint="eastAsia"/>
                <w:color w:val="auto"/>
                <w:lang w:val="en-US" w:eastAsia="zh-CN"/>
              </w:rPr>
              <w:t>废机油</w:t>
            </w:r>
          </w:p>
          <w:p w14:paraId="7DE37D47">
            <w:pPr>
              <w:pStyle w:val="58"/>
              <w:adjustRightInd w:val="0"/>
              <w:snapToGrid w:val="0"/>
              <w:spacing w:line="360" w:lineRule="auto"/>
              <w:ind w:firstLine="480"/>
              <w:rPr>
                <w:color w:val="auto"/>
              </w:rPr>
            </w:pPr>
            <w:r>
              <w:rPr>
                <w:rFonts w:hint="eastAsia"/>
                <w:color w:val="auto"/>
                <w:highlight w:val="none"/>
                <w:lang w:val="en-US" w:eastAsia="zh-CN"/>
              </w:rPr>
              <w:t>本</w:t>
            </w:r>
            <w:r>
              <w:rPr>
                <w:rFonts w:hint="default"/>
                <w:color w:val="auto"/>
                <w:highlight w:val="none"/>
              </w:rPr>
              <w:t>项目运营过程</w:t>
            </w:r>
            <w:r>
              <w:rPr>
                <w:rFonts w:hint="eastAsia"/>
                <w:color w:val="auto"/>
                <w:highlight w:val="none"/>
                <w:lang w:val="en-US" w:eastAsia="zh-CN"/>
              </w:rPr>
              <w:t>设备维修会产生废机油</w:t>
            </w:r>
            <w:r>
              <w:rPr>
                <w:rFonts w:hint="eastAsia"/>
                <w:color w:val="auto"/>
                <w:highlight w:val="none"/>
                <w:lang w:eastAsia="zh-CN"/>
              </w:rPr>
              <w:t>，</w:t>
            </w:r>
            <w:r>
              <w:rPr>
                <w:rFonts w:hint="default"/>
                <w:color w:val="auto"/>
                <w:highlight w:val="none"/>
              </w:rPr>
              <w:t>产生的废</w:t>
            </w:r>
            <w:r>
              <w:rPr>
                <w:rFonts w:hint="eastAsia"/>
                <w:color w:val="auto"/>
                <w:highlight w:val="none"/>
                <w:lang w:val="en-US" w:eastAsia="zh-CN"/>
              </w:rPr>
              <w:t>机</w:t>
            </w:r>
            <w:r>
              <w:rPr>
                <w:rFonts w:hint="default"/>
                <w:color w:val="auto"/>
                <w:highlight w:val="none"/>
              </w:rPr>
              <w:t>油量约为</w:t>
            </w:r>
            <w:r>
              <w:rPr>
                <w:rFonts w:hint="eastAsia"/>
                <w:color w:val="auto"/>
                <w:highlight w:val="none"/>
                <w:lang w:val="en-US" w:eastAsia="zh-CN"/>
              </w:rPr>
              <w:t>0.1</w:t>
            </w:r>
            <w:r>
              <w:rPr>
                <w:rFonts w:hint="default"/>
                <w:color w:val="auto"/>
                <w:highlight w:val="none"/>
              </w:rPr>
              <w:t>t</w:t>
            </w:r>
            <w:r>
              <w:rPr>
                <w:rFonts w:hint="eastAsia"/>
                <w:color w:val="auto"/>
                <w:highlight w:val="none"/>
                <w:lang w:val="en-US" w:eastAsia="zh-CN"/>
              </w:rPr>
              <w:t>/</w:t>
            </w:r>
            <w:r>
              <w:rPr>
                <w:rFonts w:hint="default"/>
                <w:color w:val="auto"/>
                <w:highlight w:val="none"/>
              </w:rPr>
              <w:t>a。根据</w:t>
            </w:r>
            <w:r>
              <w:rPr>
                <w:rFonts w:hint="eastAsia" w:ascii="Times New Roman" w:hAnsi="Times New Roman" w:eastAsia="宋体" w:cs="宋体"/>
                <w:color w:val="auto"/>
                <w:kern w:val="0"/>
                <w:sz w:val="24"/>
                <w:lang w:val="en-US" w:eastAsia="zh-CN" w:bidi="ar"/>
              </w:rPr>
              <w:t>《国家危险废物名录（2025年版）》，</w:t>
            </w:r>
            <w:r>
              <w:rPr>
                <w:rFonts w:hint="default"/>
                <w:color w:val="auto"/>
                <w:highlight w:val="none"/>
              </w:rPr>
              <w:t>废</w:t>
            </w:r>
            <w:r>
              <w:rPr>
                <w:rFonts w:hint="eastAsia"/>
                <w:color w:val="auto"/>
                <w:highlight w:val="none"/>
                <w:lang w:val="en-US" w:eastAsia="zh-CN"/>
              </w:rPr>
              <w:t>机</w:t>
            </w:r>
            <w:r>
              <w:rPr>
                <w:rFonts w:hint="default"/>
                <w:color w:val="auto"/>
                <w:highlight w:val="none"/>
              </w:rPr>
              <w:t>油</w:t>
            </w:r>
            <w:r>
              <w:rPr>
                <w:rFonts w:hint="eastAsia" w:ascii="Times New Roman" w:hAnsi="Times New Roman" w:eastAsia="宋体" w:cs="宋体"/>
                <w:color w:val="auto"/>
                <w:kern w:val="0"/>
                <w:sz w:val="24"/>
                <w:lang w:val="en-US" w:eastAsia="zh-CN" w:bidi="ar"/>
              </w:rPr>
              <w:t>属于危险废物，废物类别“HW08</w:t>
            </w:r>
            <w:r>
              <w:rPr>
                <w:rFonts w:hint="eastAsia" w:cs="宋体"/>
                <w:color w:val="auto"/>
                <w:kern w:val="0"/>
                <w:sz w:val="24"/>
                <w:lang w:val="en-US" w:eastAsia="zh-CN" w:bidi="ar"/>
              </w:rPr>
              <w:t xml:space="preserve"> 废机油</w:t>
            </w:r>
            <w:r>
              <w:rPr>
                <w:rFonts w:hint="eastAsia" w:ascii="Times New Roman" w:hAnsi="Times New Roman" w:eastAsia="宋体" w:cs="宋体"/>
                <w:color w:val="auto"/>
                <w:kern w:val="0"/>
                <w:sz w:val="24"/>
                <w:lang w:val="en-US" w:eastAsia="zh-CN" w:bidi="ar"/>
              </w:rPr>
              <w:t>与含矿物油废物”，废物代号9</w:t>
            </w:r>
            <w:r>
              <w:rPr>
                <w:rFonts w:hint="default" w:ascii="Times New Roman" w:hAnsi="Times New Roman" w:eastAsia="宋体" w:cs="宋体"/>
                <w:color w:val="auto"/>
                <w:kern w:val="0"/>
                <w:sz w:val="24"/>
                <w:lang w:val="en-US" w:eastAsia="zh-CN" w:bidi="ar"/>
              </w:rPr>
              <w:t>00-214-08</w:t>
            </w:r>
            <w:r>
              <w:rPr>
                <w:rFonts w:hint="default"/>
                <w:color w:val="auto"/>
                <w:highlight w:val="none"/>
              </w:rPr>
              <w:t>，经收集后用密封铁桶盛装，暂存于</w:t>
            </w:r>
            <w:r>
              <w:rPr>
                <w:rFonts w:hint="eastAsia"/>
                <w:color w:val="auto"/>
                <w:highlight w:val="none"/>
                <w:lang w:eastAsia="zh-CN"/>
              </w:rPr>
              <w:t>危废贮存</w:t>
            </w:r>
            <w:r>
              <w:rPr>
                <w:rFonts w:hint="eastAsia"/>
                <w:color w:val="auto"/>
                <w:highlight w:val="none"/>
                <w:lang w:val="en-US" w:eastAsia="zh-CN"/>
              </w:rPr>
              <w:t>点</w:t>
            </w:r>
            <w:r>
              <w:rPr>
                <w:rFonts w:hint="default"/>
                <w:color w:val="auto"/>
                <w:highlight w:val="none"/>
              </w:rPr>
              <w:t>，交由有危险废物处置资质单位处置。</w:t>
            </w:r>
          </w:p>
          <w:p w14:paraId="00CC368C">
            <w:pPr>
              <w:pStyle w:val="5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e.废含油手套、废含油抹布</w:t>
            </w:r>
          </w:p>
          <w:p w14:paraId="53F6C8D3">
            <w:pPr>
              <w:pStyle w:val="58"/>
              <w:adjustRightInd w:val="0"/>
              <w:snapToGrid w:val="0"/>
              <w:spacing w:line="360" w:lineRule="auto"/>
              <w:ind w:firstLine="480"/>
              <w:rPr>
                <w:color w:val="auto"/>
              </w:rPr>
            </w:pPr>
            <w:r>
              <w:rPr>
                <w:rFonts w:hint="eastAsia" w:ascii="Times New Roman" w:hAnsi="Times New Roman" w:eastAsia="宋体" w:cs="Times New Roman"/>
                <w:color w:val="auto"/>
                <w:highlight w:val="none"/>
                <w:lang w:val="en-US" w:eastAsia="zh-CN"/>
              </w:rPr>
              <w:t>本项目生产过程中工人使用机油时会产生废含油手套、废含油抹布，</w:t>
            </w:r>
            <w:r>
              <w:rPr>
                <w:rFonts w:hint="eastAsia" w:ascii="Times New Roman" w:hAnsi="Times New Roman" w:eastAsia="宋体" w:cs="宋体"/>
                <w:color w:val="auto"/>
                <w:kern w:val="0"/>
                <w:sz w:val="24"/>
                <w:lang w:val="en-US" w:eastAsia="zh-CN" w:bidi="ar"/>
              </w:rPr>
              <w:t>根据《国家危险废物名录（202</w:t>
            </w:r>
            <w:r>
              <w:rPr>
                <w:rFonts w:hint="eastAsia" w:cs="宋体"/>
                <w:color w:val="auto"/>
                <w:kern w:val="0"/>
                <w:sz w:val="24"/>
                <w:lang w:val="en-US" w:eastAsia="zh-CN" w:bidi="ar"/>
              </w:rPr>
              <w:t>5</w:t>
            </w:r>
            <w:r>
              <w:rPr>
                <w:rFonts w:hint="eastAsia" w:ascii="Times New Roman" w:hAnsi="Times New Roman" w:eastAsia="宋体" w:cs="宋体"/>
                <w:color w:val="auto"/>
                <w:kern w:val="0"/>
                <w:sz w:val="24"/>
                <w:lang w:val="en-US" w:eastAsia="zh-CN" w:bidi="ar"/>
              </w:rPr>
              <w:t>年版）》，</w:t>
            </w:r>
            <w:r>
              <w:rPr>
                <w:rFonts w:hint="eastAsia" w:ascii="Times New Roman" w:hAnsi="Times New Roman" w:eastAsia="宋体" w:cs="Times New Roman"/>
                <w:color w:val="auto"/>
                <w:highlight w:val="none"/>
                <w:lang w:val="en-US" w:eastAsia="zh-CN"/>
              </w:rPr>
              <w:t>废含油手套、废含油抹布</w:t>
            </w:r>
            <w:r>
              <w:rPr>
                <w:rFonts w:hint="eastAsia" w:ascii="Times New Roman" w:hAnsi="Times New Roman" w:eastAsia="宋体" w:cs="宋体"/>
                <w:color w:val="auto"/>
                <w:kern w:val="0"/>
                <w:sz w:val="24"/>
                <w:lang w:val="en-US" w:eastAsia="zh-CN" w:bidi="ar"/>
              </w:rPr>
              <w:t>属于危险废物，废物类别“HW49 其他废物”，废物代号900-041-49，</w:t>
            </w:r>
            <w:r>
              <w:rPr>
                <w:rFonts w:hint="eastAsia" w:ascii="Times New Roman" w:hAnsi="Times New Roman" w:eastAsia="宋体" w:cs="Times New Roman"/>
                <w:color w:val="auto"/>
                <w:highlight w:val="none"/>
                <w:lang w:val="en-US" w:eastAsia="zh-CN"/>
              </w:rPr>
              <w:t>产生量为0.</w:t>
            </w:r>
            <w:r>
              <w:rPr>
                <w:rFonts w:hint="eastAsia" w:cs="Times New Roman"/>
                <w:color w:val="auto"/>
                <w:highlight w:val="none"/>
                <w:lang w:val="en-US" w:eastAsia="zh-CN"/>
              </w:rPr>
              <w:t>0</w:t>
            </w:r>
            <w:r>
              <w:rPr>
                <w:rFonts w:hint="eastAsia" w:ascii="Times New Roman" w:hAnsi="Times New Roman" w:eastAsia="宋体" w:cs="Times New Roman"/>
                <w:color w:val="auto"/>
                <w:highlight w:val="none"/>
                <w:lang w:val="en-US" w:eastAsia="zh-CN"/>
              </w:rPr>
              <w:t>1t/a，集中收集后，暂存于危险废物</w:t>
            </w:r>
            <w:r>
              <w:rPr>
                <w:rFonts w:hint="eastAsia" w:cs="Times New Roman"/>
                <w:color w:val="auto"/>
                <w:highlight w:val="none"/>
                <w:lang w:val="en-US" w:eastAsia="zh-CN"/>
              </w:rPr>
              <w:t>贮存点</w:t>
            </w:r>
            <w:r>
              <w:rPr>
                <w:rFonts w:hint="eastAsia" w:ascii="Times New Roman" w:hAnsi="Times New Roman" w:eastAsia="宋体" w:cs="Times New Roman"/>
                <w:color w:val="auto"/>
                <w:highlight w:val="none"/>
                <w:lang w:val="en-US" w:eastAsia="zh-CN"/>
              </w:rPr>
              <w:t>，定期交</w:t>
            </w:r>
            <w:r>
              <w:rPr>
                <w:rFonts w:hint="eastAsia" w:ascii="Times New Roman" w:hAnsi="Times New Roman" w:eastAsia="宋体" w:cs="Times New Roman"/>
                <w:color w:val="auto"/>
                <w:kern w:val="0"/>
                <w:sz w:val="24"/>
                <w:szCs w:val="20"/>
                <w:highlight w:val="none"/>
                <w:lang w:val="en-US" w:eastAsia="zh-CN" w:bidi="ar-SA"/>
              </w:rPr>
              <w:t>有资质公司处理。</w:t>
            </w:r>
          </w:p>
          <w:p w14:paraId="25072996">
            <w:pPr>
              <w:pStyle w:val="58"/>
              <w:adjustRightInd w:val="0"/>
              <w:snapToGrid w:val="0"/>
              <w:spacing w:line="360" w:lineRule="auto"/>
              <w:ind w:firstLine="480"/>
              <w:rPr>
                <w:rFonts w:ascii="Tahoma"/>
                <w:color w:val="auto"/>
              </w:rPr>
            </w:pPr>
            <w:r>
              <w:rPr>
                <w:color w:val="auto"/>
              </w:rPr>
              <w:t>根据</w:t>
            </w:r>
            <w:r>
              <w:rPr>
                <w:rFonts w:hint="eastAsia" w:ascii="Times New Roman" w:hAnsi="Times New Roman" w:eastAsia="宋体" w:cs="Times New Roman"/>
                <w:color w:val="auto"/>
                <w:kern w:val="0"/>
                <w:sz w:val="24"/>
                <w:szCs w:val="28"/>
                <w:lang w:val="en-US" w:eastAsia="zh-CN" w:bidi="ar-SA"/>
              </w:rPr>
              <w:t>《固体废物分类与代码目录（2024年）》（公告2024年第4号）</w:t>
            </w:r>
            <w:r>
              <w:rPr>
                <w:rFonts w:hint="eastAsia" w:cs="Times New Roman"/>
                <w:color w:val="auto"/>
                <w:kern w:val="0"/>
                <w:sz w:val="24"/>
                <w:szCs w:val="28"/>
                <w:lang w:val="en-US" w:eastAsia="zh-CN" w:bidi="ar-SA"/>
              </w:rPr>
              <w:t>、</w:t>
            </w:r>
            <w:r>
              <w:rPr>
                <w:rFonts w:hint="eastAsia" w:ascii="Times New Roman" w:hAnsi="Times New Roman" w:eastAsia="宋体" w:cs="Times New Roman"/>
                <w:color w:val="auto"/>
                <w:kern w:val="0"/>
                <w:sz w:val="24"/>
                <w:szCs w:val="28"/>
                <w:lang w:val="en-US" w:eastAsia="zh-CN" w:bidi="ar-SA"/>
              </w:rPr>
              <w:t>《</w:t>
            </w:r>
            <w:r>
              <w:rPr>
                <w:rFonts w:hint="eastAsia" w:cs="Times New Roman"/>
                <w:color w:val="auto"/>
                <w:kern w:val="0"/>
                <w:sz w:val="24"/>
                <w:szCs w:val="28"/>
                <w:lang w:val="en-US" w:eastAsia="zh-CN" w:bidi="ar-SA"/>
              </w:rPr>
              <w:t>国家危险废物名录</w:t>
            </w:r>
            <w:r>
              <w:rPr>
                <w:rFonts w:hint="eastAsia" w:ascii="Times New Roman" w:hAnsi="Times New Roman" w:eastAsia="宋体" w:cs="Times New Roman"/>
                <w:color w:val="auto"/>
                <w:kern w:val="0"/>
                <w:sz w:val="24"/>
                <w:szCs w:val="28"/>
                <w:lang w:val="en-US" w:eastAsia="zh-CN" w:bidi="ar-SA"/>
              </w:rPr>
              <w:t>（</w:t>
            </w:r>
            <w:r>
              <w:rPr>
                <w:rFonts w:hint="eastAsia" w:cs="Times New Roman"/>
                <w:color w:val="auto"/>
                <w:kern w:val="0"/>
                <w:sz w:val="24"/>
                <w:szCs w:val="28"/>
                <w:lang w:val="en-US" w:eastAsia="zh-CN" w:bidi="ar-SA"/>
              </w:rPr>
              <w:t>2025年版</w:t>
            </w:r>
            <w:r>
              <w:rPr>
                <w:rFonts w:hint="eastAsia" w:ascii="Times New Roman" w:hAnsi="Times New Roman" w:eastAsia="宋体" w:cs="Times New Roman"/>
                <w:color w:val="auto"/>
                <w:kern w:val="0"/>
                <w:sz w:val="24"/>
                <w:szCs w:val="28"/>
                <w:lang w:val="en-US" w:eastAsia="zh-CN" w:bidi="ar-SA"/>
              </w:rPr>
              <w:t>）</w:t>
            </w:r>
            <w:r>
              <w:rPr>
                <w:rFonts w:hint="eastAsia" w:cs="Times New Roman"/>
                <w:color w:val="auto"/>
                <w:kern w:val="0"/>
                <w:sz w:val="24"/>
                <w:szCs w:val="28"/>
                <w:lang w:val="en-US" w:eastAsia="zh-CN" w:bidi="ar-SA"/>
              </w:rPr>
              <w:t>》（部令第36号）</w:t>
            </w:r>
            <w:r>
              <w:rPr>
                <w:color w:val="auto"/>
              </w:rPr>
              <w:t>，项目固废产生情况详见表4-</w:t>
            </w:r>
            <w:r>
              <w:rPr>
                <w:rFonts w:hint="eastAsia"/>
                <w:color w:val="auto"/>
                <w:lang w:val="en-US" w:eastAsia="zh-CN"/>
              </w:rPr>
              <w:t>10</w:t>
            </w:r>
            <w:r>
              <w:rPr>
                <w:color w:val="auto"/>
              </w:rPr>
              <w:t>。</w:t>
            </w:r>
          </w:p>
          <w:p w14:paraId="785432FE">
            <w:pPr>
              <w:pStyle w:val="81"/>
              <w:spacing w:line="240" w:lineRule="auto"/>
              <w:rPr>
                <w:rFonts w:ascii="Times New Roman"/>
                <w:bCs/>
                <w:iCs/>
                <w:color w:val="auto"/>
                <w:sz w:val="21"/>
                <w:szCs w:val="21"/>
              </w:rPr>
            </w:pPr>
            <w:r>
              <w:rPr>
                <w:rFonts w:ascii="Times New Roman"/>
                <w:bCs/>
                <w:iCs/>
                <w:color w:val="auto"/>
                <w:sz w:val="21"/>
                <w:szCs w:val="21"/>
              </w:rPr>
              <w:t>表4-</w:t>
            </w:r>
            <w:r>
              <w:rPr>
                <w:rFonts w:hint="eastAsia" w:ascii="Times New Roman"/>
                <w:bCs/>
                <w:iCs/>
                <w:color w:val="auto"/>
                <w:sz w:val="21"/>
                <w:szCs w:val="21"/>
                <w:lang w:val="en-US" w:eastAsia="zh-CN"/>
              </w:rPr>
              <w:t>10</w:t>
            </w:r>
            <w:r>
              <w:rPr>
                <w:rFonts w:ascii="Times New Roman"/>
                <w:bCs/>
                <w:iCs/>
                <w:color w:val="auto"/>
                <w:sz w:val="21"/>
                <w:szCs w:val="21"/>
              </w:rPr>
              <w:t xml:space="preserve">  本项目固废汇总表</w:t>
            </w:r>
          </w:p>
          <w:tbl>
            <w:tblPr>
              <w:tblStyle w:val="39"/>
              <w:tblW w:w="499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44"/>
              <w:gridCol w:w="1506"/>
              <w:gridCol w:w="1225"/>
              <w:gridCol w:w="1397"/>
              <w:gridCol w:w="1095"/>
              <w:gridCol w:w="1903"/>
            </w:tblGrid>
            <w:tr w14:paraId="5DDE2D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638" w:type="pct"/>
                  <w:vMerge w:val="restart"/>
                  <w:vAlign w:val="center"/>
                </w:tcPr>
                <w:p w14:paraId="789D3686">
                  <w:pPr>
                    <w:pStyle w:val="73"/>
                    <w:adjustRightInd w:val="0"/>
                    <w:snapToGrid w:val="0"/>
                    <w:spacing w:line="360" w:lineRule="auto"/>
                    <w:rPr>
                      <w:color w:val="auto"/>
                      <w:szCs w:val="21"/>
                    </w:rPr>
                  </w:pPr>
                  <w:r>
                    <w:rPr>
                      <w:color w:val="auto"/>
                      <w:szCs w:val="21"/>
                    </w:rPr>
                    <w:t>工序</w:t>
                  </w:r>
                </w:p>
              </w:tc>
              <w:tc>
                <w:tcPr>
                  <w:tcW w:w="921" w:type="pct"/>
                  <w:vMerge w:val="restart"/>
                  <w:vAlign w:val="center"/>
                </w:tcPr>
                <w:p w14:paraId="68740031">
                  <w:pPr>
                    <w:pStyle w:val="73"/>
                    <w:adjustRightInd w:val="0"/>
                    <w:snapToGrid w:val="0"/>
                    <w:spacing w:line="360" w:lineRule="auto"/>
                    <w:rPr>
                      <w:color w:val="auto"/>
                      <w:szCs w:val="21"/>
                    </w:rPr>
                  </w:pPr>
                  <w:r>
                    <w:rPr>
                      <w:color w:val="auto"/>
                      <w:szCs w:val="21"/>
                    </w:rPr>
                    <w:t>固体废物名称</w:t>
                  </w:r>
                </w:p>
              </w:tc>
              <w:tc>
                <w:tcPr>
                  <w:tcW w:w="749" w:type="pct"/>
                  <w:vMerge w:val="restart"/>
                  <w:vAlign w:val="center"/>
                </w:tcPr>
                <w:p w14:paraId="61201F08">
                  <w:pPr>
                    <w:pStyle w:val="73"/>
                    <w:adjustRightInd w:val="0"/>
                    <w:snapToGrid w:val="0"/>
                    <w:spacing w:line="360" w:lineRule="auto"/>
                    <w:rPr>
                      <w:color w:val="auto"/>
                      <w:szCs w:val="21"/>
                    </w:rPr>
                  </w:pPr>
                  <w:r>
                    <w:rPr>
                      <w:color w:val="auto"/>
                      <w:szCs w:val="21"/>
                    </w:rPr>
                    <w:t>固废</w:t>
                  </w:r>
                </w:p>
                <w:p w14:paraId="6049DDB6">
                  <w:pPr>
                    <w:pStyle w:val="73"/>
                    <w:adjustRightInd w:val="0"/>
                    <w:snapToGrid w:val="0"/>
                    <w:spacing w:line="360" w:lineRule="auto"/>
                    <w:rPr>
                      <w:color w:val="auto"/>
                      <w:szCs w:val="21"/>
                    </w:rPr>
                  </w:pPr>
                  <w:r>
                    <w:rPr>
                      <w:color w:val="auto"/>
                      <w:szCs w:val="21"/>
                    </w:rPr>
                    <w:t>属性</w:t>
                  </w:r>
                </w:p>
              </w:tc>
              <w:tc>
                <w:tcPr>
                  <w:tcW w:w="854" w:type="pct"/>
                  <w:vMerge w:val="restart"/>
                  <w:vAlign w:val="center"/>
                </w:tcPr>
                <w:p w14:paraId="28913E7D">
                  <w:pPr>
                    <w:pStyle w:val="73"/>
                    <w:adjustRightInd w:val="0"/>
                    <w:snapToGrid w:val="0"/>
                    <w:spacing w:line="360" w:lineRule="auto"/>
                    <w:rPr>
                      <w:color w:val="auto"/>
                      <w:szCs w:val="21"/>
                    </w:rPr>
                  </w:pPr>
                  <w:r>
                    <w:rPr>
                      <w:color w:val="auto"/>
                      <w:szCs w:val="21"/>
                    </w:rPr>
                    <w:t>固废代码</w:t>
                  </w:r>
                </w:p>
              </w:tc>
              <w:tc>
                <w:tcPr>
                  <w:tcW w:w="670" w:type="pct"/>
                  <w:vMerge w:val="restart"/>
                  <w:vAlign w:val="center"/>
                </w:tcPr>
                <w:p w14:paraId="571634B6">
                  <w:pPr>
                    <w:pStyle w:val="73"/>
                    <w:adjustRightInd w:val="0"/>
                    <w:snapToGrid w:val="0"/>
                    <w:spacing w:line="360" w:lineRule="auto"/>
                    <w:rPr>
                      <w:color w:val="auto"/>
                      <w:szCs w:val="21"/>
                    </w:rPr>
                  </w:pPr>
                  <w:r>
                    <w:rPr>
                      <w:color w:val="auto"/>
                      <w:szCs w:val="21"/>
                    </w:rPr>
                    <w:t>产生量</w:t>
                  </w:r>
                </w:p>
              </w:tc>
              <w:tc>
                <w:tcPr>
                  <w:tcW w:w="1164" w:type="pct"/>
                  <w:vMerge w:val="restart"/>
                  <w:vAlign w:val="center"/>
                </w:tcPr>
                <w:p w14:paraId="51BA9C93">
                  <w:pPr>
                    <w:pStyle w:val="73"/>
                    <w:adjustRightInd w:val="0"/>
                    <w:snapToGrid w:val="0"/>
                    <w:spacing w:line="360" w:lineRule="auto"/>
                    <w:rPr>
                      <w:color w:val="auto"/>
                      <w:szCs w:val="21"/>
                    </w:rPr>
                  </w:pPr>
                  <w:r>
                    <w:rPr>
                      <w:color w:val="auto"/>
                      <w:szCs w:val="21"/>
                    </w:rPr>
                    <w:t>最终</w:t>
                  </w:r>
                </w:p>
                <w:p w14:paraId="3C686794">
                  <w:pPr>
                    <w:pStyle w:val="73"/>
                    <w:adjustRightInd w:val="0"/>
                    <w:snapToGrid w:val="0"/>
                    <w:spacing w:line="360" w:lineRule="auto"/>
                    <w:rPr>
                      <w:color w:val="auto"/>
                      <w:szCs w:val="21"/>
                    </w:rPr>
                  </w:pPr>
                  <w:r>
                    <w:rPr>
                      <w:color w:val="auto"/>
                      <w:szCs w:val="21"/>
                    </w:rPr>
                    <w:t>去向</w:t>
                  </w:r>
                </w:p>
              </w:tc>
            </w:tr>
            <w:tr w14:paraId="29C0A7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638" w:type="pct"/>
                  <w:vMerge w:val="continue"/>
                  <w:vAlign w:val="center"/>
                </w:tcPr>
                <w:p w14:paraId="4D2436C3">
                  <w:pPr>
                    <w:pStyle w:val="73"/>
                    <w:adjustRightInd w:val="0"/>
                    <w:snapToGrid w:val="0"/>
                    <w:spacing w:line="360" w:lineRule="auto"/>
                    <w:rPr>
                      <w:color w:val="auto"/>
                      <w:szCs w:val="21"/>
                    </w:rPr>
                  </w:pPr>
                </w:p>
              </w:tc>
              <w:tc>
                <w:tcPr>
                  <w:tcW w:w="921" w:type="pct"/>
                  <w:vMerge w:val="continue"/>
                  <w:vAlign w:val="center"/>
                </w:tcPr>
                <w:p w14:paraId="13CFA7D9">
                  <w:pPr>
                    <w:pStyle w:val="73"/>
                    <w:adjustRightInd w:val="0"/>
                    <w:snapToGrid w:val="0"/>
                    <w:spacing w:line="360" w:lineRule="auto"/>
                    <w:rPr>
                      <w:color w:val="auto"/>
                      <w:szCs w:val="21"/>
                    </w:rPr>
                  </w:pPr>
                </w:p>
              </w:tc>
              <w:tc>
                <w:tcPr>
                  <w:tcW w:w="749" w:type="pct"/>
                  <w:vMerge w:val="continue"/>
                  <w:vAlign w:val="center"/>
                </w:tcPr>
                <w:p w14:paraId="1397D515">
                  <w:pPr>
                    <w:pStyle w:val="73"/>
                    <w:adjustRightInd w:val="0"/>
                    <w:snapToGrid w:val="0"/>
                    <w:spacing w:line="360" w:lineRule="auto"/>
                    <w:rPr>
                      <w:color w:val="auto"/>
                      <w:szCs w:val="21"/>
                    </w:rPr>
                  </w:pPr>
                </w:p>
              </w:tc>
              <w:tc>
                <w:tcPr>
                  <w:tcW w:w="854" w:type="pct"/>
                  <w:vMerge w:val="continue"/>
                  <w:vAlign w:val="center"/>
                </w:tcPr>
                <w:p w14:paraId="0B861950">
                  <w:pPr>
                    <w:pStyle w:val="73"/>
                    <w:adjustRightInd w:val="0"/>
                    <w:snapToGrid w:val="0"/>
                    <w:spacing w:line="360" w:lineRule="auto"/>
                    <w:rPr>
                      <w:color w:val="auto"/>
                      <w:szCs w:val="21"/>
                    </w:rPr>
                  </w:pPr>
                </w:p>
              </w:tc>
              <w:tc>
                <w:tcPr>
                  <w:tcW w:w="670" w:type="pct"/>
                  <w:vMerge w:val="continue"/>
                  <w:vAlign w:val="center"/>
                </w:tcPr>
                <w:p w14:paraId="323FF6D3">
                  <w:pPr>
                    <w:pStyle w:val="73"/>
                    <w:adjustRightInd w:val="0"/>
                    <w:snapToGrid w:val="0"/>
                    <w:spacing w:line="360" w:lineRule="auto"/>
                    <w:rPr>
                      <w:color w:val="auto"/>
                      <w:szCs w:val="21"/>
                    </w:rPr>
                  </w:pPr>
                </w:p>
              </w:tc>
              <w:tc>
                <w:tcPr>
                  <w:tcW w:w="1164" w:type="pct"/>
                  <w:vMerge w:val="continue"/>
                  <w:vAlign w:val="center"/>
                </w:tcPr>
                <w:p w14:paraId="65D08B0A">
                  <w:pPr>
                    <w:pStyle w:val="73"/>
                    <w:adjustRightInd w:val="0"/>
                    <w:snapToGrid w:val="0"/>
                    <w:spacing w:line="360" w:lineRule="auto"/>
                    <w:rPr>
                      <w:color w:val="auto"/>
                      <w:szCs w:val="21"/>
                    </w:rPr>
                  </w:pPr>
                </w:p>
              </w:tc>
            </w:tr>
            <w:tr w14:paraId="09436C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 w:hRule="atLeast"/>
                <w:jc w:val="center"/>
              </w:trPr>
              <w:tc>
                <w:tcPr>
                  <w:tcW w:w="638" w:type="pct"/>
                  <w:vMerge w:val="restart"/>
                  <w:vAlign w:val="center"/>
                </w:tcPr>
                <w:p w14:paraId="7438F0F0">
                  <w:pPr>
                    <w:pStyle w:val="73"/>
                    <w:adjustRightInd w:val="0"/>
                    <w:snapToGrid w:val="0"/>
                    <w:spacing w:line="360" w:lineRule="auto"/>
                    <w:rPr>
                      <w:color w:val="auto"/>
                      <w:szCs w:val="21"/>
                    </w:rPr>
                  </w:pPr>
                  <w:r>
                    <w:rPr>
                      <w:color w:val="auto"/>
                      <w:szCs w:val="21"/>
                    </w:rPr>
                    <w:t>生产</w:t>
                  </w:r>
                </w:p>
                <w:p w14:paraId="5B13CDBD">
                  <w:pPr>
                    <w:pStyle w:val="73"/>
                    <w:adjustRightInd w:val="0"/>
                    <w:snapToGrid w:val="0"/>
                    <w:spacing w:line="360" w:lineRule="auto"/>
                    <w:rPr>
                      <w:color w:val="auto"/>
                      <w:szCs w:val="21"/>
                    </w:rPr>
                  </w:pPr>
                  <w:r>
                    <w:rPr>
                      <w:color w:val="auto"/>
                      <w:szCs w:val="21"/>
                    </w:rPr>
                    <w:t>废物</w:t>
                  </w:r>
                </w:p>
              </w:tc>
              <w:tc>
                <w:tcPr>
                  <w:tcW w:w="921" w:type="pct"/>
                  <w:vAlign w:val="center"/>
                </w:tcPr>
                <w:p w14:paraId="603A74B8">
                  <w:pPr>
                    <w:pStyle w:val="73"/>
                    <w:adjustRightInd w:val="0"/>
                    <w:snapToGrid w:val="0"/>
                    <w:spacing w:line="360" w:lineRule="auto"/>
                    <w:rPr>
                      <w:rFonts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锅炉除尘灰及锅炉灰渣</w:t>
                  </w:r>
                </w:p>
              </w:tc>
              <w:tc>
                <w:tcPr>
                  <w:tcW w:w="749" w:type="pct"/>
                  <w:vAlign w:val="center"/>
                </w:tcPr>
                <w:p w14:paraId="64156745">
                  <w:pPr>
                    <w:pStyle w:val="73"/>
                    <w:adjustRightInd w:val="0"/>
                    <w:snapToGrid w:val="0"/>
                    <w:spacing w:line="360" w:lineRule="auto"/>
                    <w:rPr>
                      <w:rFonts w:ascii="Times New Roman" w:hAnsi="Times New Roman" w:eastAsia="宋体" w:cs="Times New Roman"/>
                      <w:color w:val="auto"/>
                      <w:szCs w:val="21"/>
                    </w:rPr>
                  </w:pPr>
                  <w:r>
                    <w:rPr>
                      <w:rFonts w:ascii="Times New Roman" w:hAnsi="Times New Roman" w:eastAsia="宋体" w:cs="Times New Roman"/>
                      <w:color w:val="auto"/>
                      <w:szCs w:val="21"/>
                    </w:rPr>
                    <w:t>一般工业固废</w:t>
                  </w:r>
                </w:p>
              </w:tc>
              <w:tc>
                <w:tcPr>
                  <w:tcW w:w="854" w:type="pct"/>
                  <w:vAlign w:val="center"/>
                </w:tcPr>
                <w:p w14:paraId="728A1E9B">
                  <w:pPr>
                    <w:pStyle w:val="73"/>
                    <w:adjustRightInd w:val="0"/>
                    <w:snapToGrid w:val="0"/>
                    <w:spacing w:line="360" w:lineRule="auto"/>
                    <w:rPr>
                      <w:color w:val="auto"/>
                      <w:szCs w:val="21"/>
                    </w:rPr>
                  </w:pPr>
                  <w:r>
                    <w:rPr>
                      <w:rFonts w:hint="eastAsia" w:cs="Times New Roman"/>
                      <w:color w:val="auto"/>
                      <w:kern w:val="0"/>
                      <w:sz w:val="21"/>
                      <w:szCs w:val="21"/>
                      <w:highlight w:val="none"/>
                      <w:lang w:val="en-US" w:eastAsia="zh-CN" w:bidi="ar-SA"/>
                    </w:rPr>
                    <w:t>900-099-S03</w:t>
                  </w:r>
                </w:p>
              </w:tc>
              <w:tc>
                <w:tcPr>
                  <w:tcW w:w="670" w:type="pct"/>
                  <w:vAlign w:val="center"/>
                </w:tcPr>
                <w:p w14:paraId="38BE6ECB">
                  <w:pPr>
                    <w:pStyle w:val="73"/>
                    <w:adjustRightInd w:val="0"/>
                    <w:snapToGrid w:val="0"/>
                    <w:spacing w:line="360" w:lineRule="auto"/>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247.047</w:t>
                  </w:r>
                  <w:r>
                    <w:rPr>
                      <w:rFonts w:hint="default" w:ascii="Times New Roman" w:hAnsi="Times New Roman" w:eastAsia="宋体" w:cs="Times New Roman"/>
                      <w:color w:val="auto"/>
                      <w:szCs w:val="21"/>
                      <w:lang w:val="en-US" w:eastAsia="zh-CN"/>
                    </w:rPr>
                    <w:t>t/a</w:t>
                  </w:r>
                </w:p>
              </w:tc>
              <w:tc>
                <w:tcPr>
                  <w:tcW w:w="1164" w:type="pct"/>
                  <w:vAlign w:val="center"/>
                </w:tcPr>
                <w:p w14:paraId="20A0B4C8">
                  <w:pPr>
                    <w:pStyle w:val="73"/>
                    <w:adjustRightInd w:val="0"/>
                    <w:snapToGrid w:val="0"/>
                    <w:spacing w:line="360" w:lineRule="auto"/>
                    <w:rPr>
                      <w:color w:val="auto"/>
                      <w:szCs w:val="21"/>
                    </w:rPr>
                  </w:pPr>
                  <w:r>
                    <w:rPr>
                      <w:rFonts w:hint="eastAsia"/>
                      <w:color w:val="auto"/>
                    </w:rPr>
                    <w:t>暂存在灰渣库中，定期外售</w:t>
                  </w:r>
                  <w:r>
                    <w:rPr>
                      <w:rFonts w:hint="eastAsia" w:cs="Times New Roman"/>
                      <w:color w:val="auto"/>
                      <w:lang w:val="en-US" w:eastAsia="zh-CN"/>
                    </w:rPr>
                    <w:t>综合利用</w:t>
                  </w:r>
                </w:p>
              </w:tc>
            </w:tr>
            <w:tr w14:paraId="7D1AA0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 w:hRule="atLeast"/>
                <w:jc w:val="center"/>
              </w:trPr>
              <w:tc>
                <w:tcPr>
                  <w:tcW w:w="638" w:type="pct"/>
                  <w:vMerge w:val="continue"/>
                  <w:vAlign w:val="center"/>
                </w:tcPr>
                <w:p w14:paraId="5159E909">
                  <w:pPr>
                    <w:pStyle w:val="73"/>
                    <w:adjustRightInd w:val="0"/>
                    <w:snapToGrid w:val="0"/>
                    <w:spacing w:line="360" w:lineRule="auto"/>
                    <w:rPr>
                      <w:color w:val="auto"/>
                      <w:szCs w:val="21"/>
                    </w:rPr>
                  </w:pPr>
                </w:p>
              </w:tc>
              <w:tc>
                <w:tcPr>
                  <w:tcW w:w="921" w:type="pct"/>
                  <w:vAlign w:val="center"/>
                </w:tcPr>
                <w:p w14:paraId="24C43AFB">
                  <w:pPr>
                    <w:pStyle w:val="73"/>
                    <w:adjustRightInd w:val="0"/>
                    <w:snapToGrid w:val="0"/>
                    <w:spacing w:line="360" w:lineRule="auto"/>
                    <w:rPr>
                      <w:rFonts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废布袋</w:t>
                  </w:r>
                </w:p>
              </w:tc>
              <w:tc>
                <w:tcPr>
                  <w:tcW w:w="749" w:type="pct"/>
                  <w:vAlign w:val="center"/>
                </w:tcPr>
                <w:p w14:paraId="277F0674">
                  <w:pPr>
                    <w:pStyle w:val="73"/>
                    <w:adjustRightInd w:val="0"/>
                    <w:snapToGrid w:val="0"/>
                    <w:spacing w:line="360" w:lineRule="auto"/>
                    <w:rPr>
                      <w:rFonts w:ascii="Times New Roman" w:hAnsi="Times New Roman" w:eastAsia="宋体" w:cs="Times New Roman"/>
                      <w:color w:val="auto"/>
                      <w:szCs w:val="21"/>
                    </w:rPr>
                  </w:pPr>
                  <w:r>
                    <w:rPr>
                      <w:rFonts w:ascii="Times New Roman" w:hAnsi="Times New Roman" w:eastAsia="宋体" w:cs="Times New Roman"/>
                      <w:color w:val="auto"/>
                      <w:szCs w:val="21"/>
                    </w:rPr>
                    <w:t>一般工业固废</w:t>
                  </w:r>
                </w:p>
              </w:tc>
              <w:tc>
                <w:tcPr>
                  <w:tcW w:w="854" w:type="pct"/>
                  <w:vAlign w:val="center"/>
                </w:tcPr>
                <w:p w14:paraId="14503151">
                  <w:pPr>
                    <w:pStyle w:val="73"/>
                    <w:keepNext w:val="0"/>
                    <w:keepLines w:val="0"/>
                    <w:pageBreakBefore w:val="0"/>
                    <w:suppressLineNumbers w:val="0"/>
                    <w:kinsoku/>
                    <w:wordWrap/>
                    <w:overflowPunct/>
                    <w:autoSpaceDE/>
                    <w:autoSpaceDN/>
                    <w:bidi w:val="0"/>
                    <w:adjustRightInd w:val="0"/>
                    <w:snapToGrid w:val="0"/>
                    <w:spacing w:before="0" w:beforeAutospacing="0" w:after="0" w:afterAutospacing="0" w:line="240" w:lineRule="atLeast"/>
                    <w:ind w:left="0" w:leftChars="0" w:right="0" w:rightChars="0"/>
                    <w:textAlignment w:val="auto"/>
                    <w:rPr>
                      <w:color w:val="auto"/>
                      <w:szCs w:val="21"/>
                    </w:rPr>
                  </w:pPr>
                  <w:r>
                    <w:rPr>
                      <w:rFonts w:hint="eastAsia" w:cs="Times New Roman"/>
                      <w:color w:val="auto"/>
                      <w:kern w:val="0"/>
                      <w:sz w:val="21"/>
                      <w:szCs w:val="21"/>
                      <w:highlight w:val="none"/>
                      <w:lang w:val="en-US" w:eastAsia="zh-CN" w:bidi="ar-SA"/>
                    </w:rPr>
                    <w:t>900-099-S17</w:t>
                  </w:r>
                </w:p>
              </w:tc>
              <w:tc>
                <w:tcPr>
                  <w:tcW w:w="670" w:type="pct"/>
                  <w:vAlign w:val="center"/>
                </w:tcPr>
                <w:p w14:paraId="4573CD8F">
                  <w:pPr>
                    <w:pStyle w:val="73"/>
                    <w:adjustRightInd w:val="0"/>
                    <w:snapToGrid w:val="0"/>
                    <w:spacing w:line="360" w:lineRule="auto"/>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0.1t/2a</w:t>
                  </w:r>
                </w:p>
              </w:tc>
              <w:tc>
                <w:tcPr>
                  <w:tcW w:w="1164" w:type="pct"/>
                  <w:vAlign w:val="center"/>
                </w:tcPr>
                <w:p w14:paraId="36D120F0">
                  <w:pPr>
                    <w:pStyle w:val="73"/>
                    <w:adjustRightInd w:val="0"/>
                    <w:snapToGrid w:val="0"/>
                    <w:spacing w:line="360" w:lineRule="auto"/>
                    <w:rPr>
                      <w:color w:val="auto"/>
                      <w:szCs w:val="21"/>
                    </w:rPr>
                  </w:pPr>
                  <w:r>
                    <w:rPr>
                      <w:rFonts w:hint="eastAsia" w:ascii="Times New Roman" w:hAnsi="Times New Roman" w:eastAsia="宋体" w:cs="Times New Roman"/>
                      <w:color w:val="auto"/>
                      <w:highlight w:val="none"/>
                      <w:lang w:val="en-US" w:eastAsia="zh-CN"/>
                    </w:rPr>
                    <w:t>由除尘器厂家检修后直接带走</w:t>
                  </w:r>
                </w:p>
              </w:tc>
            </w:tr>
            <w:tr w14:paraId="329903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38" w:type="pct"/>
                  <w:vMerge w:val="continue"/>
                  <w:vAlign w:val="center"/>
                </w:tcPr>
                <w:p w14:paraId="212D00B9">
                  <w:pPr>
                    <w:pStyle w:val="73"/>
                    <w:adjustRightInd w:val="0"/>
                    <w:snapToGrid w:val="0"/>
                    <w:spacing w:line="360" w:lineRule="auto"/>
                    <w:rPr>
                      <w:color w:val="auto"/>
                      <w:szCs w:val="21"/>
                    </w:rPr>
                  </w:pPr>
                </w:p>
              </w:tc>
              <w:tc>
                <w:tcPr>
                  <w:tcW w:w="921" w:type="pct"/>
                  <w:vAlign w:val="center"/>
                </w:tcPr>
                <w:p w14:paraId="63089B25">
                  <w:pPr>
                    <w:pStyle w:val="73"/>
                    <w:adjustRightInd w:val="0"/>
                    <w:snapToGrid w:val="0"/>
                    <w:spacing w:line="360" w:lineRule="auto"/>
                    <w:rPr>
                      <w:rFonts w:ascii="Times New Roman" w:hAnsi="Times New Roman" w:eastAsia="宋体" w:cs="Times New Roman"/>
                      <w:color w:val="auto"/>
                      <w:szCs w:val="21"/>
                    </w:rPr>
                  </w:pPr>
                  <w:r>
                    <w:rPr>
                      <w:rFonts w:hint="eastAsia"/>
                      <w:color w:val="auto"/>
                      <w:lang w:val="en-US" w:eastAsia="zh-CN"/>
                    </w:rPr>
                    <w:t>废导热油</w:t>
                  </w:r>
                </w:p>
              </w:tc>
              <w:tc>
                <w:tcPr>
                  <w:tcW w:w="749" w:type="pct"/>
                  <w:vAlign w:val="center"/>
                </w:tcPr>
                <w:p w14:paraId="55373475">
                  <w:pPr>
                    <w:pStyle w:val="73"/>
                    <w:adjustRightInd w:val="0"/>
                    <w:snapToGrid w:val="0"/>
                    <w:spacing w:line="360" w:lineRule="auto"/>
                    <w:rPr>
                      <w:rFonts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危险废物</w:t>
                  </w:r>
                </w:p>
              </w:tc>
              <w:tc>
                <w:tcPr>
                  <w:tcW w:w="854" w:type="pct"/>
                  <w:vAlign w:val="center"/>
                </w:tcPr>
                <w:p w14:paraId="6D61FA0F">
                  <w:pPr>
                    <w:pStyle w:val="73"/>
                    <w:adjustRightInd w:val="0"/>
                    <w:snapToGrid w:val="0"/>
                    <w:spacing w:line="360" w:lineRule="auto"/>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900-249-08</w:t>
                  </w:r>
                </w:p>
              </w:tc>
              <w:tc>
                <w:tcPr>
                  <w:tcW w:w="670" w:type="pct"/>
                  <w:vAlign w:val="center"/>
                </w:tcPr>
                <w:p w14:paraId="27FFFEF3">
                  <w:pPr>
                    <w:pStyle w:val="73"/>
                    <w:adjustRightInd w:val="0"/>
                    <w:snapToGrid w:val="0"/>
                    <w:spacing w:line="360" w:lineRule="auto"/>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5.4</w:t>
                  </w:r>
                  <w:r>
                    <w:rPr>
                      <w:rFonts w:hint="default" w:ascii="Times New Roman" w:hAnsi="Times New Roman" w:eastAsia="宋体" w:cs="Times New Roman"/>
                      <w:color w:val="auto"/>
                      <w:szCs w:val="21"/>
                      <w:lang w:val="en-US" w:eastAsia="zh-CN"/>
                    </w:rPr>
                    <w:t>t</w:t>
                  </w:r>
                  <w:r>
                    <w:rPr>
                      <w:rFonts w:hint="eastAsia" w:ascii="Times New Roman" w:hAnsi="Times New Roman" w:eastAsia="宋体" w:cs="Times New Roman"/>
                      <w:color w:val="auto"/>
                      <w:szCs w:val="21"/>
                      <w:lang w:val="en-US" w:eastAsia="zh-CN"/>
                    </w:rPr>
                    <w:t>/5</w:t>
                  </w:r>
                  <w:r>
                    <w:rPr>
                      <w:rFonts w:hint="default" w:ascii="Times New Roman" w:hAnsi="Times New Roman" w:eastAsia="宋体" w:cs="Times New Roman"/>
                      <w:color w:val="auto"/>
                      <w:szCs w:val="21"/>
                      <w:lang w:val="en-US" w:eastAsia="zh-CN"/>
                    </w:rPr>
                    <w:t>a</w:t>
                  </w:r>
                </w:p>
              </w:tc>
              <w:tc>
                <w:tcPr>
                  <w:tcW w:w="1164" w:type="pct"/>
                  <w:vAlign w:val="center"/>
                </w:tcPr>
                <w:p w14:paraId="447AAACC">
                  <w:pPr>
                    <w:pStyle w:val="73"/>
                    <w:adjustRightInd w:val="0"/>
                    <w:snapToGrid w:val="0"/>
                    <w:spacing w:line="360" w:lineRule="auto"/>
                    <w:rPr>
                      <w:color w:val="auto"/>
                    </w:rPr>
                  </w:pPr>
                  <w:r>
                    <w:rPr>
                      <w:rFonts w:hint="default"/>
                      <w:color w:val="auto"/>
                      <w:lang w:val="en-US" w:eastAsia="zh-CN"/>
                    </w:rPr>
                    <w:t>委托有资质单位更换并带走处置</w:t>
                  </w:r>
                </w:p>
              </w:tc>
            </w:tr>
            <w:tr w14:paraId="21BA57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38" w:type="pct"/>
                  <w:vMerge w:val="continue"/>
                  <w:vAlign w:val="center"/>
                </w:tcPr>
                <w:p w14:paraId="2EC75F3E">
                  <w:pPr>
                    <w:pStyle w:val="73"/>
                    <w:adjustRightInd w:val="0"/>
                    <w:snapToGrid w:val="0"/>
                    <w:spacing w:line="360" w:lineRule="auto"/>
                    <w:rPr>
                      <w:color w:val="auto"/>
                      <w:szCs w:val="21"/>
                    </w:rPr>
                  </w:pPr>
                </w:p>
              </w:tc>
              <w:tc>
                <w:tcPr>
                  <w:tcW w:w="921" w:type="pct"/>
                  <w:vAlign w:val="center"/>
                </w:tcPr>
                <w:p w14:paraId="12167250">
                  <w:pPr>
                    <w:pStyle w:val="73"/>
                    <w:adjustRightInd w:val="0"/>
                    <w:snapToGrid w:val="0"/>
                    <w:spacing w:line="360" w:lineRule="auto"/>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废机油</w:t>
                  </w:r>
                </w:p>
              </w:tc>
              <w:tc>
                <w:tcPr>
                  <w:tcW w:w="749" w:type="pct"/>
                  <w:vAlign w:val="center"/>
                </w:tcPr>
                <w:p w14:paraId="59F17FB9">
                  <w:pPr>
                    <w:pStyle w:val="73"/>
                    <w:adjustRightInd w:val="0"/>
                    <w:snapToGrid w:val="0"/>
                    <w:spacing w:line="360" w:lineRule="auto"/>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危险废物</w:t>
                  </w:r>
                </w:p>
              </w:tc>
              <w:tc>
                <w:tcPr>
                  <w:tcW w:w="854" w:type="pct"/>
                  <w:vAlign w:val="center"/>
                </w:tcPr>
                <w:p w14:paraId="049688FA">
                  <w:pPr>
                    <w:pStyle w:val="73"/>
                    <w:adjustRightInd w:val="0"/>
                    <w:snapToGrid w:val="0"/>
                    <w:spacing w:line="360" w:lineRule="auto"/>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9</w:t>
                  </w:r>
                  <w:r>
                    <w:rPr>
                      <w:rFonts w:hint="default" w:ascii="Times New Roman" w:hAnsi="Times New Roman" w:eastAsia="宋体" w:cs="Times New Roman"/>
                      <w:color w:val="auto"/>
                      <w:szCs w:val="21"/>
                      <w:lang w:val="en-US" w:eastAsia="zh-CN"/>
                    </w:rPr>
                    <w:t>00-214-08</w:t>
                  </w:r>
                </w:p>
              </w:tc>
              <w:tc>
                <w:tcPr>
                  <w:tcW w:w="670" w:type="pct"/>
                  <w:vAlign w:val="center"/>
                </w:tcPr>
                <w:p w14:paraId="4C0E004A">
                  <w:pPr>
                    <w:pStyle w:val="73"/>
                    <w:adjustRightInd w:val="0"/>
                    <w:snapToGrid w:val="0"/>
                    <w:spacing w:line="360" w:lineRule="auto"/>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0.1t/a</w:t>
                  </w:r>
                </w:p>
              </w:tc>
              <w:tc>
                <w:tcPr>
                  <w:tcW w:w="1164" w:type="pct"/>
                  <w:vMerge w:val="restart"/>
                  <w:vAlign w:val="center"/>
                </w:tcPr>
                <w:p w14:paraId="01ED7877">
                  <w:pPr>
                    <w:pStyle w:val="73"/>
                    <w:adjustRightInd w:val="0"/>
                    <w:snapToGrid w:val="0"/>
                    <w:spacing w:line="360" w:lineRule="auto"/>
                    <w:rPr>
                      <w:color w:val="auto"/>
                    </w:rPr>
                  </w:pPr>
                  <w:r>
                    <w:rPr>
                      <w:rFonts w:hint="eastAsia"/>
                      <w:color w:val="auto"/>
                    </w:rPr>
                    <w:t>交由有危险废物处置资质单位处置</w:t>
                  </w:r>
                </w:p>
              </w:tc>
            </w:tr>
            <w:tr w14:paraId="5EF662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38" w:type="pct"/>
                  <w:vMerge w:val="continue"/>
                  <w:vAlign w:val="center"/>
                </w:tcPr>
                <w:p w14:paraId="59A6C3F0">
                  <w:pPr>
                    <w:pStyle w:val="73"/>
                    <w:adjustRightInd w:val="0"/>
                    <w:snapToGrid w:val="0"/>
                    <w:spacing w:line="360" w:lineRule="auto"/>
                    <w:rPr>
                      <w:color w:val="auto"/>
                      <w:szCs w:val="21"/>
                    </w:rPr>
                  </w:pPr>
                </w:p>
              </w:tc>
              <w:tc>
                <w:tcPr>
                  <w:tcW w:w="921" w:type="pct"/>
                  <w:vAlign w:val="center"/>
                </w:tcPr>
                <w:p w14:paraId="193094A4">
                  <w:pPr>
                    <w:pStyle w:val="73"/>
                    <w:adjustRightInd w:val="0"/>
                    <w:snapToGrid w:val="0"/>
                    <w:spacing w:line="360" w:lineRule="auto"/>
                    <w:rPr>
                      <w:rFonts w:hint="eastAsia" w:cs="Times New Roman"/>
                      <w:color w:val="auto"/>
                      <w:szCs w:val="21"/>
                      <w:lang w:val="en-US" w:eastAsia="zh-CN"/>
                    </w:rPr>
                  </w:pPr>
                  <w:r>
                    <w:rPr>
                      <w:rFonts w:hint="eastAsia" w:cs="Times New Roman"/>
                      <w:color w:val="auto"/>
                      <w:szCs w:val="21"/>
                      <w:lang w:val="en-US" w:eastAsia="zh-CN"/>
                    </w:rPr>
                    <w:t>废含油手套、废含油抹布</w:t>
                  </w:r>
                </w:p>
              </w:tc>
              <w:tc>
                <w:tcPr>
                  <w:tcW w:w="749" w:type="pct"/>
                  <w:vAlign w:val="center"/>
                </w:tcPr>
                <w:p w14:paraId="17F25FC3">
                  <w:pPr>
                    <w:pStyle w:val="73"/>
                    <w:adjustRightInd w:val="0"/>
                    <w:snapToGrid w:val="0"/>
                    <w:spacing w:line="360" w:lineRule="auto"/>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危险废物</w:t>
                  </w:r>
                </w:p>
              </w:tc>
              <w:tc>
                <w:tcPr>
                  <w:tcW w:w="854" w:type="pct"/>
                  <w:vAlign w:val="center"/>
                </w:tcPr>
                <w:p w14:paraId="2FF7313F">
                  <w:pPr>
                    <w:pStyle w:val="73"/>
                    <w:adjustRightInd w:val="0"/>
                    <w:snapToGrid w:val="0"/>
                    <w:spacing w:line="360" w:lineRule="auto"/>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900-041-49</w:t>
                  </w:r>
                </w:p>
              </w:tc>
              <w:tc>
                <w:tcPr>
                  <w:tcW w:w="670" w:type="pct"/>
                  <w:vAlign w:val="center"/>
                </w:tcPr>
                <w:p w14:paraId="20331B29">
                  <w:pPr>
                    <w:pStyle w:val="73"/>
                    <w:adjustRightInd w:val="0"/>
                    <w:snapToGrid w:val="0"/>
                    <w:spacing w:line="360" w:lineRule="auto"/>
                    <w:rPr>
                      <w:rFonts w:hint="default" w:cs="Times New Roman"/>
                      <w:color w:val="auto"/>
                      <w:szCs w:val="21"/>
                      <w:lang w:val="en-US" w:eastAsia="zh-CN"/>
                    </w:rPr>
                  </w:pPr>
                  <w:r>
                    <w:rPr>
                      <w:rFonts w:hint="eastAsia" w:cs="Times New Roman"/>
                      <w:color w:val="auto"/>
                      <w:szCs w:val="21"/>
                      <w:lang w:val="en-US" w:eastAsia="zh-CN"/>
                    </w:rPr>
                    <w:t>0.01t/a</w:t>
                  </w:r>
                </w:p>
              </w:tc>
              <w:tc>
                <w:tcPr>
                  <w:tcW w:w="1164" w:type="pct"/>
                  <w:vMerge w:val="continue"/>
                  <w:vAlign w:val="center"/>
                </w:tcPr>
                <w:p w14:paraId="6881679F">
                  <w:pPr>
                    <w:pStyle w:val="73"/>
                    <w:adjustRightInd w:val="0"/>
                    <w:snapToGrid w:val="0"/>
                    <w:spacing w:line="360" w:lineRule="auto"/>
                    <w:rPr>
                      <w:rFonts w:hint="eastAsia"/>
                      <w:color w:val="auto"/>
                    </w:rPr>
                  </w:pPr>
                </w:p>
              </w:tc>
            </w:tr>
          </w:tbl>
          <w:p w14:paraId="57C6FED7">
            <w:pPr>
              <w:jc w:val="center"/>
              <w:rPr>
                <w:b/>
                <w:bCs/>
                <w:iCs/>
                <w:color w:val="auto"/>
                <w:kern w:val="0"/>
                <w:szCs w:val="21"/>
              </w:rPr>
            </w:pPr>
            <w:r>
              <w:rPr>
                <w:b/>
                <w:bCs/>
                <w:iCs/>
                <w:color w:val="auto"/>
                <w:kern w:val="0"/>
                <w:szCs w:val="21"/>
              </w:rPr>
              <w:t>表</w:t>
            </w:r>
            <w:r>
              <w:rPr>
                <w:rFonts w:hint="eastAsia"/>
                <w:b/>
                <w:bCs/>
                <w:iCs/>
                <w:color w:val="auto"/>
                <w:kern w:val="0"/>
                <w:szCs w:val="21"/>
              </w:rPr>
              <w:t>4-1</w:t>
            </w:r>
            <w:r>
              <w:rPr>
                <w:rFonts w:hint="eastAsia"/>
                <w:b/>
                <w:bCs/>
                <w:iCs/>
                <w:color w:val="auto"/>
                <w:kern w:val="0"/>
                <w:szCs w:val="21"/>
                <w:lang w:val="en-US" w:eastAsia="zh-CN"/>
              </w:rPr>
              <w:t>1</w:t>
            </w:r>
            <w:r>
              <w:rPr>
                <w:rFonts w:hint="eastAsia"/>
                <w:b/>
                <w:bCs/>
                <w:iCs/>
                <w:color w:val="auto"/>
                <w:kern w:val="0"/>
                <w:szCs w:val="21"/>
              </w:rPr>
              <w:t xml:space="preserve">  </w:t>
            </w:r>
            <w:r>
              <w:rPr>
                <w:b/>
                <w:bCs/>
                <w:iCs/>
                <w:color w:val="auto"/>
                <w:kern w:val="0"/>
                <w:szCs w:val="21"/>
              </w:rPr>
              <w:t>本项目危险废物产生量及处置情况表</w:t>
            </w:r>
          </w:p>
          <w:tbl>
            <w:tblPr>
              <w:tblStyle w:val="39"/>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2"/>
              <w:gridCol w:w="681"/>
              <w:gridCol w:w="942"/>
              <w:gridCol w:w="1255"/>
              <w:gridCol w:w="699"/>
              <w:gridCol w:w="867"/>
              <w:gridCol w:w="412"/>
              <w:gridCol w:w="620"/>
              <w:gridCol w:w="570"/>
              <w:gridCol w:w="358"/>
              <w:gridCol w:w="1357"/>
            </w:tblGrid>
            <w:tr w14:paraId="314D3F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5" w:hRule="atLeast"/>
                <w:jc w:val="center"/>
              </w:trPr>
              <w:tc>
                <w:tcPr>
                  <w:tcW w:w="252" w:type="pct"/>
                  <w:vAlign w:val="center"/>
                </w:tcPr>
                <w:p w14:paraId="5003E544">
                  <w:pPr>
                    <w:topLinePunct/>
                    <w:spacing w:line="240" w:lineRule="auto"/>
                    <w:jc w:val="center"/>
                    <w:rPr>
                      <w:color w:val="auto"/>
                      <w:kern w:val="0"/>
                      <w:sz w:val="21"/>
                      <w:szCs w:val="21"/>
                      <w:lang w:val="en-GB"/>
                    </w:rPr>
                  </w:pPr>
                  <w:r>
                    <w:rPr>
                      <w:color w:val="auto"/>
                      <w:kern w:val="0"/>
                      <w:sz w:val="21"/>
                      <w:szCs w:val="21"/>
                      <w:lang w:val="en-GB"/>
                    </w:rPr>
                    <w:t>序号</w:t>
                  </w:r>
                </w:p>
              </w:tc>
              <w:tc>
                <w:tcPr>
                  <w:tcW w:w="416" w:type="pct"/>
                  <w:vAlign w:val="center"/>
                </w:tcPr>
                <w:p w14:paraId="004B910E">
                  <w:pPr>
                    <w:topLinePunct/>
                    <w:spacing w:line="240" w:lineRule="auto"/>
                    <w:jc w:val="center"/>
                    <w:rPr>
                      <w:color w:val="auto"/>
                      <w:kern w:val="0"/>
                      <w:sz w:val="21"/>
                      <w:szCs w:val="21"/>
                      <w:lang w:val="en-GB"/>
                    </w:rPr>
                  </w:pPr>
                  <w:r>
                    <w:rPr>
                      <w:color w:val="auto"/>
                      <w:kern w:val="0"/>
                      <w:sz w:val="21"/>
                      <w:szCs w:val="21"/>
                      <w:lang w:val="en-GB"/>
                    </w:rPr>
                    <w:t>危险废物名称</w:t>
                  </w:r>
                </w:p>
              </w:tc>
              <w:tc>
                <w:tcPr>
                  <w:tcW w:w="576" w:type="pct"/>
                  <w:vAlign w:val="center"/>
                </w:tcPr>
                <w:p w14:paraId="243FFBAA">
                  <w:pPr>
                    <w:topLinePunct/>
                    <w:spacing w:line="240" w:lineRule="auto"/>
                    <w:jc w:val="center"/>
                    <w:rPr>
                      <w:color w:val="auto"/>
                      <w:kern w:val="0"/>
                      <w:sz w:val="21"/>
                      <w:szCs w:val="21"/>
                      <w:lang w:val="en-GB"/>
                    </w:rPr>
                  </w:pPr>
                  <w:r>
                    <w:rPr>
                      <w:color w:val="auto"/>
                      <w:kern w:val="0"/>
                      <w:sz w:val="21"/>
                      <w:szCs w:val="21"/>
                      <w:lang w:val="en-GB"/>
                    </w:rPr>
                    <w:t>危险废物</w:t>
                  </w:r>
                </w:p>
                <w:p w14:paraId="4C3137D9">
                  <w:pPr>
                    <w:topLinePunct/>
                    <w:spacing w:line="240" w:lineRule="auto"/>
                    <w:jc w:val="center"/>
                    <w:rPr>
                      <w:color w:val="auto"/>
                      <w:kern w:val="0"/>
                      <w:sz w:val="21"/>
                      <w:szCs w:val="21"/>
                      <w:lang w:val="en-GB"/>
                    </w:rPr>
                  </w:pPr>
                  <w:r>
                    <w:rPr>
                      <w:color w:val="auto"/>
                      <w:kern w:val="0"/>
                      <w:sz w:val="21"/>
                      <w:szCs w:val="21"/>
                      <w:lang w:val="en-GB"/>
                    </w:rPr>
                    <w:t>类别</w:t>
                  </w:r>
                </w:p>
              </w:tc>
              <w:tc>
                <w:tcPr>
                  <w:tcW w:w="767" w:type="pct"/>
                  <w:vAlign w:val="center"/>
                </w:tcPr>
                <w:p w14:paraId="07DCF56E">
                  <w:pPr>
                    <w:topLinePunct/>
                    <w:spacing w:line="240" w:lineRule="auto"/>
                    <w:jc w:val="center"/>
                    <w:rPr>
                      <w:color w:val="auto"/>
                      <w:kern w:val="0"/>
                      <w:sz w:val="21"/>
                      <w:szCs w:val="21"/>
                      <w:lang w:val="en-GB"/>
                    </w:rPr>
                  </w:pPr>
                  <w:r>
                    <w:rPr>
                      <w:color w:val="auto"/>
                      <w:kern w:val="0"/>
                      <w:sz w:val="21"/>
                      <w:szCs w:val="21"/>
                      <w:lang w:val="en-GB"/>
                    </w:rPr>
                    <w:t>危险废物代码</w:t>
                  </w:r>
                </w:p>
              </w:tc>
              <w:tc>
                <w:tcPr>
                  <w:tcW w:w="427" w:type="pct"/>
                  <w:vAlign w:val="center"/>
                </w:tcPr>
                <w:p w14:paraId="16648BFF">
                  <w:pPr>
                    <w:topLinePunct/>
                    <w:spacing w:line="240" w:lineRule="auto"/>
                    <w:jc w:val="center"/>
                    <w:rPr>
                      <w:color w:val="auto"/>
                      <w:kern w:val="0"/>
                      <w:sz w:val="21"/>
                      <w:szCs w:val="21"/>
                      <w:lang w:val="en-GB"/>
                    </w:rPr>
                  </w:pPr>
                  <w:r>
                    <w:rPr>
                      <w:color w:val="auto"/>
                      <w:kern w:val="0"/>
                      <w:sz w:val="21"/>
                      <w:szCs w:val="21"/>
                      <w:lang w:val="en-GB"/>
                    </w:rPr>
                    <w:t>产生量（</w:t>
                  </w:r>
                  <w:r>
                    <w:rPr>
                      <w:color w:val="auto"/>
                      <w:kern w:val="0"/>
                      <w:sz w:val="21"/>
                      <w:szCs w:val="21"/>
                    </w:rPr>
                    <w:t>t</w:t>
                  </w:r>
                  <w:r>
                    <w:rPr>
                      <w:color w:val="auto"/>
                      <w:kern w:val="0"/>
                      <w:sz w:val="21"/>
                      <w:szCs w:val="21"/>
                      <w:lang w:val="en-GB"/>
                    </w:rPr>
                    <w:t>/</w:t>
                  </w:r>
                  <w:r>
                    <w:rPr>
                      <w:color w:val="auto"/>
                      <w:kern w:val="0"/>
                      <w:sz w:val="21"/>
                      <w:szCs w:val="21"/>
                    </w:rPr>
                    <w:t>a</w:t>
                  </w:r>
                  <w:r>
                    <w:rPr>
                      <w:color w:val="auto"/>
                      <w:kern w:val="0"/>
                      <w:sz w:val="21"/>
                      <w:szCs w:val="21"/>
                      <w:lang w:val="en-GB"/>
                    </w:rPr>
                    <w:t>）</w:t>
                  </w:r>
                </w:p>
              </w:tc>
              <w:tc>
                <w:tcPr>
                  <w:tcW w:w="530" w:type="pct"/>
                  <w:vAlign w:val="center"/>
                </w:tcPr>
                <w:p w14:paraId="762E4EB7">
                  <w:pPr>
                    <w:topLinePunct/>
                    <w:spacing w:line="240" w:lineRule="auto"/>
                    <w:jc w:val="center"/>
                    <w:rPr>
                      <w:color w:val="auto"/>
                      <w:kern w:val="0"/>
                      <w:sz w:val="21"/>
                      <w:szCs w:val="21"/>
                      <w:lang w:val="en-GB"/>
                    </w:rPr>
                  </w:pPr>
                  <w:r>
                    <w:rPr>
                      <w:color w:val="auto"/>
                      <w:kern w:val="0"/>
                      <w:sz w:val="21"/>
                      <w:szCs w:val="21"/>
                      <w:lang w:val="en-GB"/>
                    </w:rPr>
                    <w:t>产生</w:t>
                  </w:r>
                </w:p>
                <w:p w14:paraId="0035DC21">
                  <w:pPr>
                    <w:topLinePunct/>
                    <w:spacing w:line="240" w:lineRule="auto"/>
                    <w:jc w:val="center"/>
                    <w:rPr>
                      <w:color w:val="auto"/>
                      <w:kern w:val="0"/>
                      <w:sz w:val="21"/>
                      <w:szCs w:val="21"/>
                      <w:lang w:val="en-GB"/>
                    </w:rPr>
                  </w:pPr>
                  <w:r>
                    <w:rPr>
                      <w:color w:val="auto"/>
                      <w:kern w:val="0"/>
                      <w:sz w:val="21"/>
                      <w:szCs w:val="21"/>
                      <w:lang w:val="en-GB"/>
                    </w:rPr>
                    <w:t>工序及装置</w:t>
                  </w:r>
                </w:p>
              </w:tc>
              <w:tc>
                <w:tcPr>
                  <w:tcW w:w="252" w:type="pct"/>
                  <w:vAlign w:val="center"/>
                </w:tcPr>
                <w:p w14:paraId="68C75C6B">
                  <w:pPr>
                    <w:topLinePunct/>
                    <w:spacing w:line="240" w:lineRule="auto"/>
                    <w:jc w:val="center"/>
                    <w:rPr>
                      <w:color w:val="auto"/>
                      <w:kern w:val="0"/>
                      <w:sz w:val="21"/>
                      <w:szCs w:val="21"/>
                      <w:lang w:val="en-GB"/>
                    </w:rPr>
                  </w:pPr>
                  <w:r>
                    <w:rPr>
                      <w:color w:val="auto"/>
                      <w:kern w:val="0"/>
                      <w:sz w:val="21"/>
                      <w:szCs w:val="21"/>
                      <w:lang w:val="en-GB"/>
                    </w:rPr>
                    <w:t>形态</w:t>
                  </w:r>
                </w:p>
              </w:tc>
              <w:tc>
                <w:tcPr>
                  <w:tcW w:w="379" w:type="pct"/>
                  <w:vAlign w:val="center"/>
                </w:tcPr>
                <w:p w14:paraId="51578B12">
                  <w:pPr>
                    <w:topLinePunct/>
                    <w:spacing w:line="240" w:lineRule="auto"/>
                    <w:jc w:val="center"/>
                    <w:rPr>
                      <w:color w:val="auto"/>
                      <w:kern w:val="0"/>
                      <w:sz w:val="21"/>
                      <w:szCs w:val="21"/>
                      <w:lang w:val="en-GB"/>
                    </w:rPr>
                  </w:pPr>
                  <w:r>
                    <w:rPr>
                      <w:color w:val="auto"/>
                      <w:kern w:val="0"/>
                      <w:sz w:val="21"/>
                      <w:szCs w:val="21"/>
                      <w:lang w:val="en-GB"/>
                    </w:rPr>
                    <w:t>有害成分</w:t>
                  </w:r>
                </w:p>
              </w:tc>
              <w:tc>
                <w:tcPr>
                  <w:tcW w:w="348" w:type="pct"/>
                  <w:vAlign w:val="center"/>
                </w:tcPr>
                <w:p w14:paraId="10A932FA">
                  <w:pPr>
                    <w:topLinePunct/>
                    <w:spacing w:line="240" w:lineRule="auto"/>
                    <w:jc w:val="center"/>
                    <w:rPr>
                      <w:color w:val="auto"/>
                      <w:kern w:val="0"/>
                      <w:sz w:val="21"/>
                      <w:szCs w:val="21"/>
                      <w:lang w:val="en-GB"/>
                    </w:rPr>
                  </w:pPr>
                  <w:r>
                    <w:rPr>
                      <w:color w:val="auto"/>
                      <w:kern w:val="0"/>
                      <w:sz w:val="21"/>
                      <w:szCs w:val="21"/>
                      <w:lang w:val="en-GB"/>
                    </w:rPr>
                    <w:t>产废周期</w:t>
                  </w:r>
                </w:p>
              </w:tc>
              <w:tc>
                <w:tcPr>
                  <w:tcW w:w="219" w:type="pct"/>
                  <w:vAlign w:val="center"/>
                </w:tcPr>
                <w:p w14:paraId="0FA6BE55">
                  <w:pPr>
                    <w:topLinePunct/>
                    <w:spacing w:line="240" w:lineRule="auto"/>
                    <w:jc w:val="center"/>
                    <w:rPr>
                      <w:color w:val="auto"/>
                      <w:kern w:val="0"/>
                      <w:sz w:val="21"/>
                      <w:szCs w:val="21"/>
                      <w:lang w:val="en-GB"/>
                    </w:rPr>
                  </w:pPr>
                  <w:r>
                    <w:rPr>
                      <w:color w:val="auto"/>
                      <w:kern w:val="0"/>
                      <w:sz w:val="21"/>
                      <w:szCs w:val="21"/>
                      <w:lang w:val="en-GB"/>
                    </w:rPr>
                    <w:t>危险</w:t>
                  </w:r>
                </w:p>
                <w:p w14:paraId="70CD5B28">
                  <w:pPr>
                    <w:topLinePunct/>
                    <w:spacing w:line="240" w:lineRule="auto"/>
                    <w:jc w:val="center"/>
                    <w:rPr>
                      <w:color w:val="auto"/>
                      <w:kern w:val="0"/>
                      <w:sz w:val="21"/>
                      <w:szCs w:val="21"/>
                      <w:lang w:val="en-GB"/>
                    </w:rPr>
                  </w:pPr>
                  <w:r>
                    <w:rPr>
                      <w:color w:val="auto"/>
                      <w:kern w:val="0"/>
                      <w:sz w:val="21"/>
                      <w:szCs w:val="21"/>
                      <w:lang w:val="en-GB"/>
                    </w:rPr>
                    <w:t>特性</w:t>
                  </w:r>
                </w:p>
              </w:tc>
              <w:tc>
                <w:tcPr>
                  <w:tcW w:w="830" w:type="pct"/>
                  <w:vAlign w:val="center"/>
                </w:tcPr>
                <w:p w14:paraId="38E6AE67">
                  <w:pPr>
                    <w:topLinePunct/>
                    <w:spacing w:line="240" w:lineRule="auto"/>
                    <w:jc w:val="center"/>
                    <w:rPr>
                      <w:color w:val="auto"/>
                      <w:kern w:val="0"/>
                      <w:sz w:val="21"/>
                      <w:szCs w:val="21"/>
                    </w:rPr>
                  </w:pPr>
                  <w:r>
                    <w:rPr>
                      <w:color w:val="auto"/>
                      <w:kern w:val="0"/>
                      <w:sz w:val="21"/>
                      <w:szCs w:val="21"/>
                      <w:lang w:val="en-GB"/>
                    </w:rPr>
                    <w:t>污染防治措施</w:t>
                  </w:r>
                </w:p>
              </w:tc>
            </w:tr>
            <w:tr w14:paraId="0712C1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2" w:type="pct"/>
                  <w:vAlign w:val="center"/>
                </w:tcPr>
                <w:p w14:paraId="70DCF34B">
                  <w:pPr>
                    <w:topLinePunct/>
                    <w:spacing w:line="240" w:lineRule="auto"/>
                    <w:jc w:val="center"/>
                    <w:rPr>
                      <w:color w:val="auto"/>
                      <w:kern w:val="0"/>
                      <w:sz w:val="21"/>
                      <w:szCs w:val="21"/>
                    </w:rPr>
                  </w:pPr>
                  <w:r>
                    <w:rPr>
                      <w:color w:val="auto"/>
                      <w:kern w:val="0"/>
                      <w:sz w:val="21"/>
                      <w:szCs w:val="21"/>
                    </w:rPr>
                    <w:t>1</w:t>
                  </w:r>
                </w:p>
              </w:tc>
              <w:tc>
                <w:tcPr>
                  <w:tcW w:w="416" w:type="pct"/>
                  <w:shd w:val="clear" w:color="auto" w:fill="auto"/>
                  <w:vAlign w:val="center"/>
                </w:tcPr>
                <w:p w14:paraId="45654754">
                  <w:pPr>
                    <w:topLinePunct/>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0"/>
                      <w:sz w:val="21"/>
                      <w:szCs w:val="21"/>
                      <w:lang w:val="en-US" w:eastAsia="zh-CN"/>
                    </w:rPr>
                    <w:t>废</w:t>
                  </w:r>
                  <w:r>
                    <w:rPr>
                      <w:rFonts w:hint="eastAsia" w:cs="Times New Roman"/>
                      <w:color w:val="auto"/>
                      <w:kern w:val="0"/>
                      <w:sz w:val="21"/>
                      <w:szCs w:val="21"/>
                      <w:lang w:val="en-US" w:eastAsia="zh-CN"/>
                    </w:rPr>
                    <w:t>机油</w:t>
                  </w:r>
                </w:p>
              </w:tc>
              <w:tc>
                <w:tcPr>
                  <w:tcW w:w="576" w:type="pct"/>
                  <w:shd w:val="clear" w:color="auto" w:fill="auto"/>
                  <w:vAlign w:val="center"/>
                </w:tcPr>
                <w:p w14:paraId="69E884D5">
                  <w:pPr>
                    <w:topLinePunct/>
                    <w:spacing w:line="240"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0"/>
                      <w:sz w:val="21"/>
                      <w:szCs w:val="21"/>
                      <w:lang w:val="en-US" w:eastAsia="zh-CN"/>
                    </w:rPr>
                    <w:t>HW08</w:t>
                  </w:r>
                  <w:r>
                    <w:rPr>
                      <w:rFonts w:hint="eastAsia" w:cs="Times New Roman"/>
                      <w:color w:val="auto"/>
                      <w:kern w:val="0"/>
                      <w:sz w:val="21"/>
                      <w:szCs w:val="21"/>
                      <w:lang w:val="en-US" w:eastAsia="zh-CN"/>
                    </w:rPr>
                    <w:t xml:space="preserve"> 废机油</w:t>
                  </w:r>
                  <w:r>
                    <w:rPr>
                      <w:rFonts w:hint="eastAsia" w:ascii="Times New Roman" w:hAnsi="Times New Roman" w:eastAsia="宋体" w:cs="Times New Roman"/>
                      <w:color w:val="auto"/>
                      <w:kern w:val="0"/>
                      <w:sz w:val="21"/>
                      <w:szCs w:val="21"/>
                      <w:lang w:val="en-US" w:eastAsia="zh-CN"/>
                    </w:rPr>
                    <w:t>与含矿物油废物</w:t>
                  </w:r>
                </w:p>
              </w:tc>
              <w:tc>
                <w:tcPr>
                  <w:tcW w:w="767" w:type="pct"/>
                  <w:shd w:val="clear" w:color="auto" w:fill="auto"/>
                  <w:vAlign w:val="center"/>
                </w:tcPr>
                <w:p w14:paraId="628DEC1F">
                  <w:pPr>
                    <w:topLinePunct/>
                    <w:spacing w:line="240"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9</w:t>
                  </w:r>
                  <w:r>
                    <w:rPr>
                      <w:rFonts w:hint="default" w:ascii="Times New Roman" w:hAnsi="Times New Roman" w:eastAsia="宋体" w:cs="Times New Roman"/>
                      <w:b w:val="0"/>
                      <w:bCs w:val="0"/>
                      <w:color w:val="auto"/>
                      <w:kern w:val="0"/>
                      <w:sz w:val="21"/>
                      <w:szCs w:val="21"/>
                      <w:highlight w:val="none"/>
                      <w:lang w:val="en-US" w:eastAsia="zh-CN" w:bidi="ar-SA"/>
                    </w:rPr>
                    <w:t>00-214-08</w:t>
                  </w:r>
                </w:p>
              </w:tc>
              <w:tc>
                <w:tcPr>
                  <w:tcW w:w="427" w:type="pct"/>
                  <w:shd w:val="clear" w:color="auto" w:fill="auto"/>
                  <w:vAlign w:val="center"/>
                </w:tcPr>
                <w:p w14:paraId="0C58700D">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snapToGrid w:val="0"/>
                      <w:color w:val="auto"/>
                      <w:kern w:val="2"/>
                      <w:sz w:val="21"/>
                      <w:szCs w:val="21"/>
                      <w:lang w:val="en-US" w:eastAsia="zh-CN" w:bidi="ar-SA"/>
                    </w:rPr>
                  </w:pPr>
                  <w:r>
                    <w:rPr>
                      <w:rFonts w:hint="eastAsia" w:cs="Times New Roman"/>
                      <w:color w:val="auto"/>
                      <w:kern w:val="0"/>
                      <w:sz w:val="21"/>
                      <w:szCs w:val="21"/>
                      <w:highlight w:val="none"/>
                      <w:lang w:val="en-US" w:eastAsia="zh-CN" w:bidi="ar-SA"/>
                    </w:rPr>
                    <w:t>0.1</w:t>
                  </w:r>
                </w:p>
              </w:tc>
              <w:tc>
                <w:tcPr>
                  <w:tcW w:w="530" w:type="pct"/>
                  <w:shd w:val="clear" w:color="auto" w:fill="auto"/>
                  <w:vAlign w:val="center"/>
                </w:tcPr>
                <w:p w14:paraId="15C49788">
                  <w:pPr>
                    <w:topLinePunct/>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0"/>
                      <w:sz w:val="21"/>
                      <w:szCs w:val="21"/>
                      <w:lang w:val="en-US" w:eastAsia="zh-CN"/>
                    </w:rPr>
                    <w:t>设备维修</w:t>
                  </w:r>
                </w:p>
              </w:tc>
              <w:tc>
                <w:tcPr>
                  <w:tcW w:w="252" w:type="pct"/>
                  <w:shd w:val="clear" w:color="auto" w:fill="auto"/>
                  <w:vAlign w:val="center"/>
                </w:tcPr>
                <w:p w14:paraId="73270393">
                  <w:pPr>
                    <w:topLinePunct/>
                    <w:spacing w:line="240" w:lineRule="auto"/>
                    <w:jc w:val="center"/>
                    <w:rPr>
                      <w:rFonts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液态</w:t>
                  </w:r>
                </w:p>
              </w:tc>
              <w:tc>
                <w:tcPr>
                  <w:tcW w:w="379" w:type="pct"/>
                  <w:shd w:val="clear" w:color="auto" w:fill="auto"/>
                  <w:vAlign w:val="center"/>
                </w:tcPr>
                <w:p w14:paraId="03A8FB03">
                  <w:pPr>
                    <w:topLinePunct/>
                    <w:spacing w:line="240"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0"/>
                      <w:sz w:val="21"/>
                      <w:szCs w:val="21"/>
                      <w:lang w:val="en-US" w:eastAsia="zh-CN"/>
                    </w:rPr>
                    <w:t>有机物</w:t>
                  </w:r>
                </w:p>
              </w:tc>
              <w:tc>
                <w:tcPr>
                  <w:tcW w:w="348" w:type="pct"/>
                  <w:shd w:val="clear" w:color="auto" w:fill="auto"/>
                  <w:vAlign w:val="center"/>
                </w:tcPr>
                <w:p w14:paraId="27933186">
                  <w:pPr>
                    <w:topLinePunct/>
                    <w:spacing w:line="240" w:lineRule="auto"/>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0"/>
                      <w:sz w:val="21"/>
                      <w:szCs w:val="21"/>
                      <w:lang w:val="en-US" w:eastAsia="zh-CN"/>
                    </w:rPr>
                    <w:t>/</w:t>
                  </w:r>
                </w:p>
              </w:tc>
              <w:tc>
                <w:tcPr>
                  <w:tcW w:w="219" w:type="pct"/>
                  <w:shd w:val="clear" w:color="auto" w:fill="auto"/>
                  <w:vAlign w:val="center"/>
                </w:tcPr>
                <w:p w14:paraId="54809EED">
                  <w:pPr>
                    <w:topLinePunct/>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0"/>
                      <w:sz w:val="21"/>
                      <w:szCs w:val="21"/>
                      <w:lang w:val="en-US" w:eastAsia="zh-CN"/>
                    </w:rPr>
                    <w:t>T/I</w:t>
                  </w:r>
                  <w:r>
                    <w:rPr>
                      <w:rFonts w:hint="eastAsia" w:cs="Times New Roman"/>
                      <w:color w:val="auto"/>
                      <w:kern w:val="0"/>
                      <w:sz w:val="21"/>
                      <w:szCs w:val="21"/>
                      <w:lang w:val="en-US" w:eastAsia="zh-CN"/>
                    </w:rPr>
                    <w:t>n</w:t>
                  </w:r>
                </w:p>
              </w:tc>
              <w:tc>
                <w:tcPr>
                  <w:tcW w:w="830" w:type="pct"/>
                  <w:vAlign w:val="center"/>
                </w:tcPr>
                <w:p w14:paraId="6C6AD2D3">
                  <w:pPr>
                    <w:spacing w:line="240" w:lineRule="auto"/>
                    <w:jc w:val="center"/>
                    <w:rPr>
                      <w:bCs/>
                      <w:color w:val="auto"/>
                      <w:kern w:val="0"/>
                      <w:sz w:val="21"/>
                      <w:szCs w:val="21"/>
                    </w:rPr>
                  </w:pPr>
                  <w:r>
                    <w:rPr>
                      <w:rFonts w:hint="eastAsia"/>
                      <w:color w:val="auto"/>
                      <w:sz w:val="21"/>
                      <w:szCs w:val="21"/>
                      <w:lang w:eastAsia="zh-CN"/>
                    </w:rPr>
                    <w:t>危废贮存点</w:t>
                  </w:r>
                  <w:r>
                    <w:rPr>
                      <w:color w:val="auto"/>
                      <w:sz w:val="21"/>
                      <w:szCs w:val="21"/>
                    </w:rPr>
                    <w:t>分类暂存后，定期交</w:t>
                  </w:r>
                  <w:r>
                    <w:rPr>
                      <w:rFonts w:hint="eastAsia"/>
                      <w:color w:val="auto"/>
                      <w:sz w:val="21"/>
                      <w:szCs w:val="21"/>
                    </w:rPr>
                    <w:t>有资质公司处理</w:t>
                  </w:r>
                </w:p>
              </w:tc>
            </w:tr>
            <w:tr w14:paraId="34B572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2" w:type="pct"/>
                  <w:vAlign w:val="center"/>
                </w:tcPr>
                <w:p w14:paraId="5D6C94DE">
                  <w:pPr>
                    <w:topLinePunct/>
                    <w:spacing w:line="240" w:lineRule="auto"/>
                    <w:jc w:val="center"/>
                    <w:rPr>
                      <w:rFonts w:hint="eastAsia" w:eastAsia="宋体"/>
                      <w:color w:val="auto"/>
                      <w:kern w:val="0"/>
                      <w:sz w:val="21"/>
                      <w:szCs w:val="21"/>
                      <w:lang w:val="en-US" w:eastAsia="zh-CN"/>
                    </w:rPr>
                  </w:pPr>
                  <w:r>
                    <w:rPr>
                      <w:rFonts w:hint="eastAsia"/>
                      <w:color w:val="auto"/>
                      <w:kern w:val="0"/>
                      <w:sz w:val="21"/>
                      <w:szCs w:val="21"/>
                      <w:lang w:val="en-US" w:eastAsia="zh-CN"/>
                    </w:rPr>
                    <w:t>2</w:t>
                  </w:r>
                </w:p>
              </w:tc>
              <w:tc>
                <w:tcPr>
                  <w:tcW w:w="416" w:type="pct"/>
                  <w:shd w:val="clear" w:color="auto" w:fill="auto"/>
                  <w:vAlign w:val="center"/>
                </w:tcPr>
                <w:p w14:paraId="2A5E343C">
                  <w:pPr>
                    <w:topLinePunct/>
                    <w:spacing w:line="240" w:lineRule="auto"/>
                    <w:jc w:val="center"/>
                    <w:rPr>
                      <w:rFonts w:hint="eastAsia" w:ascii="Times New Roman" w:hAnsi="Times New Roman" w:eastAsia="宋体" w:cs="Times New Roman"/>
                      <w:color w:val="auto"/>
                      <w:kern w:val="0"/>
                      <w:sz w:val="21"/>
                      <w:szCs w:val="21"/>
                      <w:lang w:val="en-US" w:eastAsia="zh-CN"/>
                    </w:rPr>
                  </w:pPr>
                  <w:r>
                    <w:rPr>
                      <w:rFonts w:hint="eastAsia"/>
                      <w:color w:val="auto"/>
                      <w:lang w:val="en-US" w:eastAsia="zh-CN"/>
                    </w:rPr>
                    <w:t>废导热油</w:t>
                  </w:r>
                </w:p>
              </w:tc>
              <w:tc>
                <w:tcPr>
                  <w:tcW w:w="576" w:type="pct"/>
                  <w:shd w:val="clear" w:color="auto" w:fill="auto"/>
                  <w:vAlign w:val="center"/>
                </w:tcPr>
                <w:p w14:paraId="697CC9A0">
                  <w:pPr>
                    <w:topLinePunct/>
                    <w:spacing w:line="24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HW08</w:t>
                  </w:r>
                  <w:r>
                    <w:rPr>
                      <w:rFonts w:hint="eastAsia" w:cs="Times New Roman"/>
                      <w:color w:val="auto"/>
                      <w:kern w:val="0"/>
                      <w:sz w:val="21"/>
                      <w:szCs w:val="21"/>
                      <w:lang w:val="en-US" w:eastAsia="zh-CN"/>
                    </w:rPr>
                    <w:t xml:space="preserve"> 废机油</w:t>
                  </w:r>
                  <w:r>
                    <w:rPr>
                      <w:rFonts w:hint="eastAsia" w:ascii="Times New Roman" w:hAnsi="Times New Roman" w:eastAsia="宋体" w:cs="Times New Roman"/>
                      <w:color w:val="auto"/>
                      <w:kern w:val="0"/>
                      <w:sz w:val="21"/>
                      <w:szCs w:val="21"/>
                      <w:lang w:val="en-US" w:eastAsia="zh-CN"/>
                    </w:rPr>
                    <w:t>与含矿物油废物</w:t>
                  </w:r>
                </w:p>
              </w:tc>
              <w:tc>
                <w:tcPr>
                  <w:tcW w:w="767" w:type="pct"/>
                  <w:shd w:val="clear" w:color="auto" w:fill="auto"/>
                  <w:vAlign w:val="center"/>
                </w:tcPr>
                <w:p w14:paraId="4AACC437">
                  <w:pPr>
                    <w:topLinePunct/>
                    <w:spacing w:line="240" w:lineRule="auto"/>
                    <w:jc w:val="center"/>
                    <w:rPr>
                      <w:rFonts w:hint="eastAsia"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color w:val="auto"/>
                      <w:szCs w:val="21"/>
                      <w:lang w:val="en-US" w:eastAsia="zh-CN"/>
                    </w:rPr>
                    <w:t>900-249-08</w:t>
                  </w:r>
                </w:p>
              </w:tc>
              <w:tc>
                <w:tcPr>
                  <w:tcW w:w="427" w:type="pct"/>
                  <w:shd w:val="clear" w:color="auto" w:fill="auto"/>
                  <w:vAlign w:val="center"/>
                </w:tcPr>
                <w:p w14:paraId="328BEA1C">
                  <w:pPr>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jc w:val="center"/>
                    <w:rPr>
                      <w:rFonts w:hint="eastAsia" w:cs="Times New Roman"/>
                      <w:color w:val="auto"/>
                      <w:kern w:val="0"/>
                      <w:sz w:val="21"/>
                      <w:szCs w:val="21"/>
                      <w:highlight w:val="none"/>
                      <w:lang w:val="en-US" w:eastAsia="zh-CN" w:bidi="ar-SA"/>
                    </w:rPr>
                  </w:pPr>
                  <w:r>
                    <w:rPr>
                      <w:rFonts w:hint="eastAsia" w:cs="Times New Roman"/>
                      <w:color w:val="auto"/>
                      <w:szCs w:val="21"/>
                      <w:lang w:val="en-US" w:eastAsia="zh-CN"/>
                    </w:rPr>
                    <w:t>5.4</w:t>
                  </w:r>
                  <w:r>
                    <w:rPr>
                      <w:rFonts w:hint="default" w:ascii="Times New Roman" w:hAnsi="Times New Roman" w:eastAsia="宋体" w:cs="Times New Roman"/>
                      <w:color w:val="auto"/>
                      <w:szCs w:val="21"/>
                      <w:lang w:val="en-US" w:eastAsia="zh-CN"/>
                    </w:rPr>
                    <w:t>t</w:t>
                  </w:r>
                  <w:r>
                    <w:rPr>
                      <w:rFonts w:hint="eastAsia" w:ascii="Times New Roman" w:hAnsi="Times New Roman" w:eastAsia="宋体" w:cs="Times New Roman"/>
                      <w:color w:val="auto"/>
                      <w:szCs w:val="21"/>
                      <w:lang w:val="en-US" w:eastAsia="zh-CN"/>
                    </w:rPr>
                    <w:t>/5</w:t>
                  </w:r>
                  <w:r>
                    <w:rPr>
                      <w:rFonts w:hint="default" w:ascii="Times New Roman" w:hAnsi="Times New Roman" w:eastAsia="宋体" w:cs="Times New Roman"/>
                      <w:color w:val="auto"/>
                      <w:szCs w:val="21"/>
                      <w:lang w:val="en-US" w:eastAsia="zh-CN"/>
                    </w:rPr>
                    <w:t>a</w:t>
                  </w:r>
                </w:p>
              </w:tc>
              <w:tc>
                <w:tcPr>
                  <w:tcW w:w="530" w:type="pct"/>
                  <w:shd w:val="clear" w:color="auto" w:fill="auto"/>
                  <w:vAlign w:val="center"/>
                </w:tcPr>
                <w:p w14:paraId="6E98D587">
                  <w:pPr>
                    <w:topLinePunct/>
                    <w:spacing w:line="240" w:lineRule="auto"/>
                    <w:jc w:val="center"/>
                    <w:rPr>
                      <w:rFonts w:hint="eastAsia" w:cs="Times New Roman"/>
                      <w:color w:val="auto"/>
                      <w:kern w:val="0"/>
                      <w:sz w:val="21"/>
                      <w:szCs w:val="21"/>
                      <w:lang w:val="en-US" w:eastAsia="zh-CN"/>
                    </w:rPr>
                  </w:pPr>
                </w:p>
              </w:tc>
              <w:tc>
                <w:tcPr>
                  <w:tcW w:w="412" w:type="dxa"/>
                  <w:shd w:val="clear" w:color="auto" w:fill="auto"/>
                  <w:vAlign w:val="center"/>
                </w:tcPr>
                <w:p w14:paraId="549BDBF8">
                  <w:pPr>
                    <w:topLinePunct/>
                    <w:spacing w:line="24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液态</w:t>
                  </w:r>
                </w:p>
              </w:tc>
              <w:tc>
                <w:tcPr>
                  <w:tcW w:w="620" w:type="dxa"/>
                  <w:shd w:val="clear" w:color="auto" w:fill="auto"/>
                  <w:vAlign w:val="center"/>
                </w:tcPr>
                <w:p w14:paraId="5484FFC9">
                  <w:pPr>
                    <w:topLinePunct/>
                    <w:spacing w:line="24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有机物</w:t>
                  </w:r>
                </w:p>
              </w:tc>
              <w:tc>
                <w:tcPr>
                  <w:tcW w:w="348" w:type="pct"/>
                  <w:shd w:val="clear" w:color="auto" w:fill="auto"/>
                  <w:vAlign w:val="center"/>
                </w:tcPr>
                <w:p w14:paraId="752ACEC6">
                  <w:pPr>
                    <w:topLinePunct/>
                    <w:spacing w:line="240" w:lineRule="auto"/>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5年</w:t>
                  </w:r>
                </w:p>
              </w:tc>
              <w:tc>
                <w:tcPr>
                  <w:tcW w:w="219" w:type="pct"/>
                  <w:shd w:val="clear" w:color="auto" w:fill="auto"/>
                  <w:vAlign w:val="center"/>
                </w:tcPr>
                <w:p w14:paraId="7F4D692E">
                  <w:pPr>
                    <w:topLinePunct/>
                    <w:spacing w:line="24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T/I</w:t>
                  </w:r>
                  <w:r>
                    <w:rPr>
                      <w:rFonts w:hint="eastAsia" w:cs="Times New Roman"/>
                      <w:color w:val="auto"/>
                      <w:kern w:val="0"/>
                      <w:sz w:val="21"/>
                      <w:szCs w:val="21"/>
                      <w:lang w:val="en-US" w:eastAsia="zh-CN"/>
                    </w:rPr>
                    <w:t>n</w:t>
                  </w:r>
                </w:p>
              </w:tc>
              <w:tc>
                <w:tcPr>
                  <w:tcW w:w="830" w:type="pct"/>
                  <w:vAlign w:val="center"/>
                </w:tcPr>
                <w:p w14:paraId="074ABA0B">
                  <w:pPr>
                    <w:spacing w:line="240" w:lineRule="auto"/>
                    <w:jc w:val="center"/>
                    <w:rPr>
                      <w:rFonts w:hint="eastAsia"/>
                      <w:color w:val="auto"/>
                      <w:sz w:val="21"/>
                      <w:szCs w:val="21"/>
                      <w:lang w:eastAsia="zh-CN"/>
                    </w:rPr>
                  </w:pPr>
                  <w:r>
                    <w:rPr>
                      <w:rFonts w:hint="default"/>
                      <w:color w:val="auto"/>
                      <w:lang w:val="en-US" w:eastAsia="zh-CN"/>
                    </w:rPr>
                    <w:t>委托有资质单位更换并带走处置</w:t>
                  </w:r>
                </w:p>
              </w:tc>
            </w:tr>
            <w:tr w14:paraId="6F46F7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2" w:type="pct"/>
                  <w:vAlign w:val="center"/>
                </w:tcPr>
                <w:p w14:paraId="416D4D76">
                  <w:pPr>
                    <w:topLinePunct/>
                    <w:spacing w:line="240" w:lineRule="auto"/>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3</w:t>
                  </w:r>
                </w:p>
              </w:tc>
              <w:tc>
                <w:tcPr>
                  <w:tcW w:w="681" w:type="dxa"/>
                  <w:shd w:val="clear" w:color="auto" w:fill="auto"/>
                  <w:vAlign w:val="center"/>
                </w:tcPr>
                <w:p w14:paraId="33ED05F5">
                  <w:pPr>
                    <w:topLinePunct/>
                    <w:spacing w:line="24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废含油手套、废含油抹布</w:t>
                  </w:r>
                </w:p>
              </w:tc>
              <w:tc>
                <w:tcPr>
                  <w:tcW w:w="942" w:type="dxa"/>
                  <w:shd w:val="clear" w:color="auto" w:fill="auto"/>
                  <w:vAlign w:val="center"/>
                </w:tcPr>
                <w:p w14:paraId="3CF9DBE6">
                  <w:pPr>
                    <w:topLinePunct/>
                    <w:spacing w:line="24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HW49 其他废物</w:t>
                  </w:r>
                </w:p>
              </w:tc>
              <w:tc>
                <w:tcPr>
                  <w:tcW w:w="1255" w:type="dxa"/>
                  <w:shd w:val="clear" w:color="auto" w:fill="auto"/>
                  <w:vAlign w:val="center"/>
                </w:tcPr>
                <w:p w14:paraId="3D540268">
                  <w:pPr>
                    <w:topLinePunct/>
                    <w:spacing w:line="240" w:lineRule="auto"/>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900-041-49</w:t>
                  </w:r>
                </w:p>
              </w:tc>
              <w:tc>
                <w:tcPr>
                  <w:tcW w:w="699" w:type="dxa"/>
                  <w:shd w:val="clear" w:color="auto" w:fill="auto"/>
                  <w:vAlign w:val="center"/>
                </w:tcPr>
                <w:p w14:paraId="6BF972FA">
                  <w:pPr>
                    <w:topLinePunct/>
                    <w:spacing w:line="24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0.01</w:t>
                  </w:r>
                </w:p>
              </w:tc>
              <w:tc>
                <w:tcPr>
                  <w:tcW w:w="867" w:type="dxa"/>
                  <w:shd w:val="clear" w:color="auto" w:fill="auto"/>
                  <w:vAlign w:val="center"/>
                </w:tcPr>
                <w:p w14:paraId="4816864A">
                  <w:pPr>
                    <w:topLinePunct/>
                    <w:spacing w:line="24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设备</w:t>
                  </w:r>
                </w:p>
                <w:p w14:paraId="19DB2853">
                  <w:pPr>
                    <w:topLinePunct/>
                    <w:spacing w:line="24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维修</w:t>
                  </w:r>
                </w:p>
              </w:tc>
              <w:tc>
                <w:tcPr>
                  <w:tcW w:w="412" w:type="dxa"/>
                  <w:shd w:val="clear" w:color="auto" w:fill="auto"/>
                  <w:vAlign w:val="center"/>
                </w:tcPr>
                <w:p w14:paraId="0D4457E8">
                  <w:pPr>
                    <w:topLinePunct/>
                    <w:spacing w:line="24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固态</w:t>
                  </w:r>
                </w:p>
              </w:tc>
              <w:tc>
                <w:tcPr>
                  <w:tcW w:w="620" w:type="dxa"/>
                  <w:shd w:val="clear" w:color="auto" w:fill="auto"/>
                  <w:vAlign w:val="center"/>
                </w:tcPr>
                <w:p w14:paraId="5143E794">
                  <w:pPr>
                    <w:topLinePunct/>
                    <w:spacing w:line="24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有机物</w:t>
                  </w:r>
                </w:p>
              </w:tc>
              <w:tc>
                <w:tcPr>
                  <w:tcW w:w="570" w:type="dxa"/>
                  <w:shd w:val="clear" w:color="auto" w:fill="auto"/>
                  <w:vAlign w:val="center"/>
                </w:tcPr>
                <w:p w14:paraId="40E33A9E">
                  <w:pPr>
                    <w:topLinePunct/>
                    <w:spacing w:line="24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w:t>
                  </w:r>
                </w:p>
              </w:tc>
              <w:tc>
                <w:tcPr>
                  <w:tcW w:w="358" w:type="dxa"/>
                  <w:shd w:val="clear" w:color="auto" w:fill="auto"/>
                  <w:vAlign w:val="center"/>
                </w:tcPr>
                <w:p w14:paraId="6E1A00FA">
                  <w:pPr>
                    <w:topLinePunct/>
                    <w:spacing w:line="24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T/In</w:t>
                  </w:r>
                </w:p>
              </w:tc>
              <w:tc>
                <w:tcPr>
                  <w:tcW w:w="1357" w:type="dxa"/>
                  <w:vAlign w:val="center"/>
                </w:tcPr>
                <w:p w14:paraId="7B249583">
                  <w:pPr>
                    <w:topLinePunct/>
                    <w:spacing w:line="240" w:lineRule="auto"/>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危废贮存点分类暂存后，交有资质公司处理</w:t>
                  </w:r>
                </w:p>
              </w:tc>
            </w:tr>
          </w:tbl>
          <w:p w14:paraId="34058DFF">
            <w:pPr>
              <w:pStyle w:val="58"/>
              <w:rPr>
                <w:rFonts w:ascii="Times New Roman" w:hAnsi="Times New Roman" w:eastAsia="宋体" w:cs="Times New Roman"/>
                <w:color w:val="auto"/>
              </w:rPr>
            </w:pPr>
            <w:r>
              <w:rPr>
                <w:rFonts w:hint="eastAsia" w:ascii="Times New Roman" w:hAnsi="Times New Roman" w:eastAsia="宋体" w:cs="Times New Roman"/>
                <w:color w:val="auto"/>
              </w:rPr>
              <w:t>2、</w:t>
            </w:r>
            <w:r>
              <w:rPr>
                <w:rFonts w:hint="eastAsia" w:cs="Times New Roman"/>
                <w:color w:val="auto"/>
                <w:lang w:val="en-US" w:eastAsia="zh-CN"/>
              </w:rPr>
              <w:t>危险废物处置要求</w:t>
            </w:r>
            <w:r>
              <w:rPr>
                <w:rFonts w:hint="eastAsia" w:ascii="Times New Roman" w:hAnsi="Times New Roman" w:eastAsia="宋体" w:cs="Times New Roman"/>
                <w:color w:val="auto"/>
              </w:rPr>
              <w:t>：</w:t>
            </w:r>
          </w:p>
          <w:p w14:paraId="32C5C7FF">
            <w:pPr>
              <w:pStyle w:val="58"/>
              <w:keepNext w:val="0"/>
              <w:keepLines w:val="0"/>
              <w:pageBreakBefore w:val="0"/>
              <w:widowControl/>
              <w:kinsoku/>
              <w:wordWrap w:val="0"/>
              <w:overflowPunct/>
              <w:topLinePunct w:val="0"/>
              <w:autoSpaceDE/>
              <w:autoSpaceDN/>
              <w:bidi w:val="0"/>
              <w:adjustRightInd w:val="0"/>
              <w:snapToGrid w:val="0"/>
              <w:textAlignment w:val="auto"/>
              <w:rPr>
                <w:rFonts w:ascii="Times New Roman" w:hAnsi="Times New Roman" w:eastAsia="宋体" w:cs="Times New Roman"/>
                <w:color w:val="auto"/>
              </w:rPr>
            </w:pPr>
            <w:r>
              <w:rPr>
                <w:rFonts w:hint="eastAsia" w:ascii="Times New Roman" w:hAnsi="Times New Roman" w:eastAsia="宋体" w:cs="Times New Roman"/>
                <w:color w:val="auto"/>
              </w:rPr>
              <w:t>（1）本项目</w:t>
            </w:r>
            <w:r>
              <w:rPr>
                <w:rFonts w:hint="eastAsia"/>
                <w:color w:val="auto"/>
                <w:highlight w:val="none"/>
                <w:lang w:val="en-US" w:eastAsia="zh-CN"/>
              </w:rPr>
              <w:t>废机油、废含油手套、废含油抹布</w:t>
            </w:r>
            <w:r>
              <w:rPr>
                <w:rFonts w:ascii="Times New Roman" w:hAnsi="Times New Roman" w:eastAsia="宋体" w:cs="Times New Roman"/>
                <w:color w:val="auto"/>
              </w:rPr>
              <w:t>应严格按照</w:t>
            </w:r>
            <w:r>
              <w:rPr>
                <w:rFonts w:hint="eastAsia" w:ascii="Times New Roman" w:hAnsi="Times New Roman" w:eastAsia="宋体" w:cs="Times New Roman"/>
                <w:color w:val="auto"/>
              </w:rPr>
              <w:t>《危险废物贮存污染控制标准》（GB18597-2023）</w:t>
            </w:r>
            <w:r>
              <w:rPr>
                <w:rFonts w:ascii="Times New Roman" w:hAnsi="Times New Roman" w:eastAsia="宋体" w:cs="Times New Roman"/>
                <w:color w:val="auto"/>
              </w:rPr>
              <w:t>要求执行。对各种</w:t>
            </w:r>
            <w:r>
              <w:rPr>
                <w:rFonts w:hint="eastAsia" w:ascii="Times New Roman" w:hAnsi="Times New Roman" w:eastAsia="宋体" w:cs="Times New Roman"/>
                <w:color w:val="auto"/>
              </w:rPr>
              <w:t>危险废物</w:t>
            </w:r>
            <w:r>
              <w:rPr>
                <w:rFonts w:ascii="Times New Roman" w:hAnsi="Times New Roman" w:eastAsia="宋体" w:cs="Times New Roman"/>
                <w:color w:val="auto"/>
              </w:rPr>
              <w:t>进行标识，避免混合、混放。</w:t>
            </w:r>
          </w:p>
          <w:p w14:paraId="074A9CE3">
            <w:pPr>
              <w:pStyle w:val="58"/>
              <w:keepNext w:val="0"/>
              <w:keepLines w:val="0"/>
              <w:pageBreakBefore w:val="0"/>
              <w:widowControl w:val="0"/>
              <w:kinsoku/>
              <w:wordWrap w:val="0"/>
              <w:overflowPunct/>
              <w:topLinePunct w:val="0"/>
              <w:autoSpaceDE/>
              <w:autoSpaceDN/>
              <w:bidi w:val="0"/>
              <w:adjustRightInd/>
              <w:snapToGrid/>
              <w:textAlignment w:val="auto"/>
              <w:rPr>
                <w:rFonts w:ascii="Times New Roman" w:hAnsi="Times New Roman" w:eastAsia="宋体" w:cs="Times New Roman"/>
                <w:color w:val="auto"/>
              </w:rPr>
            </w:pPr>
            <w:r>
              <w:rPr>
                <w:rFonts w:hint="eastAsia" w:ascii="Times New Roman" w:hAnsi="Times New Roman" w:eastAsia="宋体" w:cs="Times New Roman"/>
                <w:color w:val="auto"/>
              </w:rPr>
              <w:t>（2）</w:t>
            </w:r>
            <w:r>
              <w:rPr>
                <w:rFonts w:ascii="Times New Roman" w:hAnsi="Times New Roman" w:eastAsia="宋体" w:cs="Times New Roman"/>
                <w:color w:val="auto"/>
              </w:rPr>
              <w:t>本项目生产过程中产生的</w:t>
            </w:r>
            <w:r>
              <w:rPr>
                <w:rFonts w:hint="eastAsia"/>
                <w:color w:val="auto"/>
                <w:highlight w:val="none"/>
                <w:lang w:val="en-US" w:eastAsia="zh-CN"/>
              </w:rPr>
              <w:t>废机油、废含油手套、废含油抹布</w:t>
            </w:r>
            <w:r>
              <w:rPr>
                <w:rFonts w:ascii="Times New Roman" w:hAnsi="Times New Roman" w:eastAsia="宋体" w:cs="Times New Roman"/>
                <w:color w:val="auto"/>
              </w:rPr>
              <w:t>属于危险废物，应按危险废物的有关规定进行管理处置，其暂存和处理按照国家相关要求进行，交给有资质的</w:t>
            </w:r>
            <w:r>
              <w:rPr>
                <w:rFonts w:hint="eastAsia" w:ascii="Times New Roman" w:hAnsi="Times New Roman" w:eastAsia="宋体" w:cs="Times New Roman"/>
                <w:color w:val="auto"/>
                <w:lang w:val="en-US" w:eastAsia="zh-CN"/>
              </w:rPr>
              <w:t>危险废物</w:t>
            </w:r>
            <w:r>
              <w:rPr>
                <w:rFonts w:ascii="Times New Roman" w:hAnsi="Times New Roman" w:eastAsia="宋体" w:cs="Times New Roman"/>
                <w:color w:val="auto"/>
              </w:rPr>
              <w:t>回收处理企业。日常管理应专人专管，严格进行日常安全防护管理和监</w:t>
            </w:r>
            <w:r>
              <w:rPr>
                <w:rFonts w:hint="eastAsia" w:ascii="Times New Roman" w:hAnsi="Times New Roman" w:eastAsia="宋体" w:cs="Times New Roman"/>
                <w:color w:val="auto"/>
              </w:rPr>
              <w:t>测。</w:t>
            </w:r>
          </w:p>
          <w:p w14:paraId="4BD1A9D8">
            <w:pPr>
              <w:pStyle w:val="58"/>
              <w:rPr>
                <w:rFonts w:ascii="Times New Roman" w:hAnsi="Times New Roman" w:eastAsia="宋体" w:cs="Times New Roman"/>
                <w:color w:val="auto"/>
              </w:rPr>
            </w:pPr>
            <w:r>
              <w:rPr>
                <w:rFonts w:hint="eastAsia" w:ascii="Times New Roman" w:hAnsi="Times New Roman" w:eastAsia="宋体" w:cs="Times New Roman"/>
                <w:color w:val="auto"/>
              </w:rPr>
              <w:t>（3）</w:t>
            </w:r>
            <w:r>
              <w:rPr>
                <w:rFonts w:ascii="Times New Roman" w:hAnsi="Times New Roman" w:eastAsia="宋体" w:cs="Times New Roman"/>
                <w:color w:val="auto"/>
              </w:rPr>
              <w:t>对</w:t>
            </w:r>
            <w:r>
              <w:rPr>
                <w:rFonts w:hint="eastAsia" w:ascii="Times New Roman" w:hAnsi="Times New Roman" w:eastAsia="宋体" w:cs="Times New Roman"/>
                <w:color w:val="auto"/>
              </w:rPr>
              <w:t>危险废物</w:t>
            </w:r>
            <w:r>
              <w:rPr>
                <w:rFonts w:ascii="Times New Roman" w:hAnsi="Times New Roman" w:eastAsia="宋体" w:cs="Times New Roman"/>
                <w:color w:val="auto"/>
              </w:rPr>
              <w:t>进行分类存储和标识，对危险废物暂存区设立明显的警示标志，</w:t>
            </w:r>
            <w:r>
              <w:rPr>
                <w:rFonts w:hint="eastAsia" w:ascii="Times New Roman" w:hAnsi="Times New Roman" w:eastAsia="宋体" w:cs="Times New Roman"/>
                <w:color w:val="auto"/>
              </w:rPr>
              <w:t>生产</w:t>
            </w:r>
            <w:r>
              <w:rPr>
                <w:rFonts w:ascii="Times New Roman" w:hAnsi="Times New Roman" w:eastAsia="宋体" w:cs="Times New Roman"/>
                <w:color w:val="auto"/>
              </w:rPr>
              <w:t>过程产生的危险废物应按照类别分别放置在专门的收集容器和暂存设施内。</w:t>
            </w:r>
          </w:p>
          <w:p w14:paraId="1F86AC2F">
            <w:pPr>
              <w:pStyle w:val="58"/>
              <w:rPr>
                <w:rFonts w:ascii="Times New Roman" w:hAnsi="Times New Roman" w:eastAsia="宋体" w:cs="Times New Roman"/>
                <w:color w:val="auto"/>
              </w:rPr>
            </w:pPr>
            <w:r>
              <w:rPr>
                <w:rFonts w:hint="eastAsia" w:ascii="Times New Roman" w:hAnsi="Times New Roman" w:eastAsia="宋体" w:cs="Times New Roman"/>
                <w:color w:val="auto"/>
              </w:rPr>
              <w:t>（4）</w:t>
            </w:r>
            <w:r>
              <w:rPr>
                <w:rFonts w:ascii="Times New Roman" w:hAnsi="Times New Roman" w:eastAsia="宋体" w:cs="Times New Roman"/>
                <w:color w:val="auto"/>
              </w:rPr>
              <w:t>贮存设施按照</w:t>
            </w:r>
            <w:r>
              <w:rPr>
                <w:rFonts w:hint="eastAsia" w:ascii="Times New Roman" w:hAnsi="Times New Roman" w:eastAsia="宋体" w:cs="Times New Roman"/>
                <w:color w:val="auto"/>
              </w:rPr>
              <w:t>《危险废物贮存污染控制标准》（GB18597-2023）要求</w:t>
            </w:r>
            <w:r>
              <w:rPr>
                <w:rFonts w:ascii="Times New Roman" w:hAnsi="Times New Roman" w:eastAsia="宋体" w:cs="Times New Roman"/>
                <w:color w:val="auto"/>
              </w:rPr>
              <w:t>设置明显的警示标志，标明具体物质名称。</w:t>
            </w:r>
            <w:r>
              <w:rPr>
                <w:rFonts w:hint="eastAsia" w:ascii="Times New Roman" w:hAnsi="Times New Roman" w:eastAsia="宋体" w:cs="Times New Roman"/>
                <w:color w:val="auto"/>
              </w:rPr>
              <w:t>生产过程</w:t>
            </w:r>
            <w:r>
              <w:rPr>
                <w:rFonts w:ascii="Times New Roman" w:hAnsi="Times New Roman" w:eastAsia="宋体" w:cs="Times New Roman"/>
                <w:color w:val="auto"/>
              </w:rPr>
              <w:t>产生的各种危险废物在厂区内的暂存时间不得超过1年，并制定危险废物贮存的台账制度。</w:t>
            </w:r>
          </w:p>
          <w:p w14:paraId="2E017F9D">
            <w:pPr>
              <w:pStyle w:val="58"/>
              <w:rPr>
                <w:rFonts w:ascii="Times New Roman" w:hAnsi="Times New Roman" w:eastAsia="宋体" w:cs="Times New Roman"/>
                <w:color w:val="auto"/>
              </w:rPr>
            </w:pPr>
            <w:r>
              <w:rPr>
                <w:rFonts w:hint="eastAsia" w:ascii="Times New Roman" w:hAnsi="Times New Roman" w:eastAsia="宋体" w:cs="Times New Roman"/>
                <w:color w:val="auto"/>
              </w:rPr>
              <w:t>（5）</w:t>
            </w:r>
            <w:r>
              <w:rPr>
                <w:rFonts w:ascii="Times New Roman" w:hAnsi="Times New Roman" w:eastAsia="宋体" w:cs="Times New Roman"/>
                <w:color w:val="auto"/>
              </w:rPr>
              <w:t>定期进行日常性检查。本项目</w:t>
            </w:r>
            <w:r>
              <w:rPr>
                <w:rFonts w:hint="eastAsia" w:cs="Times New Roman"/>
                <w:color w:val="auto"/>
                <w:lang w:eastAsia="zh-CN"/>
              </w:rPr>
              <w:t>危废贮存点</w:t>
            </w:r>
            <w:r>
              <w:rPr>
                <w:rFonts w:ascii="Times New Roman" w:hAnsi="Times New Roman" w:eastAsia="宋体" w:cs="Times New Roman"/>
                <w:color w:val="auto"/>
              </w:rPr>
              <w:t>采用</w:t>
            </w:r>
            <w:r>
              <w:rPr>
                <w:rFonts w:hint="eastAsia" w:cs="Times New Roman"/>
                <w:color w:val="auto"/>
                <w:lang w:val="en-US" w:eastAsia="zh-CN"/>
              </w:rPr>
              <w:t>重点</w:t>
            </w:r>
            <w:r>
              <w:rPr>
                <w:rFonts w:ascii="Times New Roman" w:hAnsi="Times New Roman" w:eastAsia="宋体" w:cs="Times New Roman"/>
                <w:color w:val="auto"/>
              </w:rPr>
              <w:t>防渗，地面与裙脚采用坚固防渗的材料建造，防风、防晒、防雨；基础</w:t>
            </w:r>
            <w:r>
              <w:rPr>
                <w:rFonts w:hint="eastAsia" w:ascii="Times New Roman" w:hAnsi="Times New Roman" w:eastAsia="宋体" w:cs="Times New Roman"/>
                <w:color w:val="auto"/>
              </w:rPr>
              <w:t>敷设</w:t>
            </w:r>
            <w:r>
              <w:rPr>
                <w:rFonts w:ascii="Times New Roman" w:hAnsi="Times New Roman" w:eastAsia="宋体" w:cs="Times New Roman"/>
                <w:color w:val="auto"/>
              </w:rPr>
              <w:t>至少2mm厚的高密度聚乙烯防水层，上部敷设10cm厚水泥层，渗透系数应≤1×10</w:t>
            </w:r>
            <w:r>
              <w:rPr>
                <w:rFonts w:ascii="Times New Roman" w:hAnsi="Times New Roman" w:eastAsia="宋体" w:cs="Times New Roman"/>
                <w:color w:val="auto"/>
                <w:vertAlign w:val="superscript"/>
              </w:rPr>
              <w:t>-10</w:t>
            </w:r>
            <w:r>
              <w:rPr>
                <w:rFonts w:ascii="Times New Roman" w:hAnsi="Times New Roman" w:eastAsia="宋体" w:cs="Times New Roman"/>
                <w:color w:val="auto"/>
              </w:rPr>
              <w:t>cm/s，并张贴醒目的标识，并张贴醒目的标识。本项目</w:t>
            </w:r>
            <w:r>
              <w:rPr>
                <w:rFonts w:hint="eastAsia" w:cs="Times New Roman"/>
                <w:color w:val="auto"/>
                <w:lang w:eastAsia="zh-CN"/>
              </w:rPr>
              <w:t>危废贮存点</w:t>
            </w:r>
            <w:r>
              <w:rPr>
                <w:rFonts w:ascii="Times New Roman" w:hAnsi="Times New Roman" w:eastAsia="宋体" w:cs="Times New Roman"/>
                <w:color w:val="auto"/>
              </w:rPr>
              <w:t>总面积为</w:t>
            </w:r>
            <w:r>
              <w:rPr>
                <w:rFonts w:hint="eastAsia" w:cs="Times New Roman"/>
                <w:color w:val="auto"/>
                <w:lang w:val="en-US" w:eastAsia="zh-CN"/>
              </w:rPr>
              <w:t>20</w:t>
            </w:r>
            <w:r>
              <w:rPr>
                <w:rFonts w:hint="eastAsia" w:ascii="Times New Roman" w:hAnsi="Times New Roman" w:eastAsia="宋体" w:cs="Times New Roman"/>
                <w:color w:val="auto"/>
              </w:rPr>
              <w:t>m</w:t>
            </w:r>
            <w:r>
              <w:rPr>
                <w:rFonts w:ascii="Times New Roman" w:hAnsi="Times New Roman" w:eastAsia="宋体" w:cs="Times New Roman"/>
                <w:color w:val="auto"/>
                <w:vertAlign w:val="superscript"/>
              </w:rPr>
              <w:t>2</w:t>
            </w:r>
            <w:r>
              <w:rPr>
                <w:rFonts w:ascii="Times New Roman" w:hAnsi="Times New Roman" w:eastAsia="宋体" w:cs="Times New Roman"/>
                <w:color w:val="auto"/>
              </w:rPr>
              <w:t>，面积能够满足本项目需求。企业在运行过程中应定期对</w:t>
            </w:r>
            <w:r>
              <w:rPr>
                <w:rFonts w:hint="eastAsia" w:cs="Times New Roman"/>
                <w:color w:val="auto"/>
                <w:lang w:eastAsia="zh-CN"/>
              </w:rPr>
              <w:t>危废贮存点</w:t>
            </w:r>
            <w:r>
              <w:rPr>
                <w:rFonts w:ascii="Times New Roman" w:hAnsi="Times New Roman" w:eastAsia="宋体" w:cs="Times New Roman"/>
                <w:color w:val="auto"/>
              </w:rPr>
              <w:t>地面进行检查，一旦发现异常，应立即采取修补措施。</w:t>
            </w:r>
          </w:p>
          <w:p w14:paraId="7F649330">
            <w:pPr>
              <w:pStyle w:val="58"/>
              <w:rPr>
                <w:rFonts w:ascii="Times New Roman" w:hAnsi="Times New Roman" w:eastAsia="宋体" w:cs="Times New Roman"/>
                <w:color w:val="auto"/>
              </w:rPr>
            </w:pPr>
            <w:r>
              <w:rPr>
                <w:rFonts w:hint="eastAsia" w:ascii="Times New Roman" w:hAnsi="Times New Roman" w:eastAsia="宋体" w:cs="Times New Roman"/>
                <w:color w:val="auto"/>
              </w:rPr>
              <w:t>（6）</w:t>
            </w:r>
            <w:r>
              <w:rPr>
                <w:rFonts w:ascii="Times New Roman" w:hAnsi="Times New Roman" w:eastAsia="宋体" w:cs="Times New Roman"/>
                <w:color w:val="auto"/>
              </w:rPr>
              <w:t>危险废物在转运过程中如遇恶劣天气、驾驶人员操作不当或运输车辆行驶部件、装卸系统、安全附件、储运容器的安全性能不好均会造成危险废物的泄露，对沿线居民和环境质量造成影响。</w:t>
            </w:r>
          </w:p>
          <w:p w14:paraId="23315AD9">
            <w:pPr>
              <w:pStyle w:val="58"/>
              <w:rPr>
                <w:rFonts w:ascii="Times New Roman" w:hAnsi="Times New Roman" w:eastAsia="宋体" w:cs="Times New Roman"/>
                <w:color w:val="auto"/>
              </w:rPr>
            </w:pPr>
            <w:r>
              <w:rPr>
                <w:rFonts w:ascii="Times New Roman" w:hAnsi="Times New Roman" w:eastAsia="宋体" w:cs="Times New Roman"/>
                <w:color w:val="auto"/>
              </w:rPr>
              <w:t>通过采取上述措施，可满足</w:t>
            </w:r>
            <w:r>
              <w:rPr>
                <w:rFonts w:hint="eastAsia" w:ascii="Times New Roman" w:hAnsi="Times New Roman" w:eastAsia="宋体" w:cs="Times New Roman"/>
                <w:color w:val="auto"/>
              </w:rPr>
              <w:t>《危险废物贮存污染控制标准》（GB18597-2023）</w:t>
            </w:r>
            <w:r>
              <w:rPr>
                <w:rFonts w:ascii="Times New Roman" w:hAnsi="Times New Roman" w:eastAsia="宋体" w:cs="Times New Roman"/>
                <w:color w:val="auto"/>
              </w:rPr>
              <w:t>相关要求，危险废物暂存具备可行性，建设项目危险废物贮存设施基本情况见表</w:t>
            </w:r>
            <w:r>
              <w:rPr>
                <w:rFonts w:hint="eastAsia" w:cs="Times New Roman"/>
                <w:color w:val="auto"/>
                <w:lang w:val="en-US" w:eastAsia="zh-CN"/>
              </w:rPr>
              <w:t>4-12</w:t>
            </w:r>
            <w:r>
              <w:rPr>
                <w:rFonts w:ascii="Times New Roman" w:hAnsi="Times New Roman" w:eastAsia="宋体" w:cs="Times New Roman"/>
                <w:color w:val="auto"/>
              </w:rPr>
              <w:t>。</w:t>
            </w:r>
          </w:p>
          <w:p w14:paraId="32A76B42">
            <w:pPr>
              <w:pStyle w:val="58"/>
              <w:spacing w:line="240" w:lineRule="auto"/>
              <w:ind w:firstLine="422"/>
              <w:jc w:val="center"/>
              <w:rPr>
                <w:rFonts w:hint="eastAsia" w:ascii="Times New Roman" w:hAnsi="Times New Roman" w:eastAsia="宋体" w:cs="Times New Roman"/>
                <w:b/>
                <w:bCs/>
                <w:color w:val="auto"/>
                <w:sz w:val="21"/>
                <w:szCs w:val="16"/>
              </w:rPr>
            </w:pPr>
          </w:p>
          <w:p w14:paraId="2B71E481">
            <w:pPr>
              <w:pStyle w:val="58"/>
              <w:spacing w:line="240" w:lineRule="auto"/>
              <w:ind w:firstLine="422"/>
              <w:jc w:val="center"/>
              <w:rPr>
                <w:rFonts w:ascii="Times New Roman" w:hAnsi="Times New Roman" w:eastAsia="宋体" w:cs="Times New Roman"/>
                <w:b/>
                <w:bCs/>
                <w:color w:val="auto"/>
                <w:sz w:val="21"/>
                <w:szCs w:val="16"/>
              </w:rPr>
            </w:pPr>
            <w:r>
              <w:rPr>
                <w:rFonts w:hint="eastAsia" w:ascii="Times New Roman" w:hAnsi="Times New Roman" w:eastAsia="宋体" w:cs="Times New Roman"/>
                <w:b/>
                <w:bCs/>
                <w:color w:val="auto"/>
                <w:sz w:val="21"/>
                <w:szCs w:val="16"/>
              </w:rPr>
              <w:t>表4-1</w:t>
            </w:r>
            <w:r>
              <w:rPr>
                <w:rFonts w:hint="eastAsia" w:cs="Times New Roman"/>
                <w:b/>
                <w:bCs/>
                <w:color w:val="auto"/>
                <w:sz w:val="21"/>
                <w:szCs w:val="16"/>
                <w:lang w:val="en-US" w:eastAsia="zh-CN"/>
              </w:rPr>
              <w:t>2</w:t>
            </w:r>
            <w:r>
              <w:rPr>
                <w:rFonts w:hint="eastAsia" w:ascii="Times New Roman" w:hAnsi="Times New Roman" w:eastAsia="宋体" w:cs="Times New Roman"/>
                <w:b/>
                <w:bCs/>
                <w:color w:val="auto"/>
                <w:sz w:val="21"/>
                <w:szCs w:val="16"/>
              </w:rPr>
              <w:t xml:space="preserve">  危险废物贮存信息基本情况表</w:t>
            </w:r>
          </w:p>
          <w:tbl>
            <w:tblPr>
              <w:tblStyle w:val="40"/>
              <w:tblW w:w="819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7"/>
              <w:gridCol w:w="1161"/>
              <w:gridCol w:w="952"/>
              <w:gridCol w:w="1700"/>
              <w:gridCol w:w="962"/>
              <w:gridCol w:w="536"/>
              <w:gridCol w:w="495"/>
              <w:gridCol w:w="566"/>
              <w:gridCol w:w="728"/>
              <w:gridCol w:w="615"/>
            </w:tblGrid>
            <w:tr w14:paraId="714EA6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477" w:type="dxa"/>
                  <w:tcBorders>
                    <w:tl2br w:val="nil"/>
                    <w:tr2bl w:val="nil"/>
                  </w:tcBorders>
                  <w:vAlign w:val="center"/>
                </w:tcPr>
                <w:p w14:paraId="14A6FB74">
                  <w:pPr>
                    <w:spacing w:line="240" w:lineRule="auto"/>
                    <w:jc w:val="center"/>
                    <w:rPr>
                      <w:color w:val="auto"/>
                      <w:kern w:val="0"/>
                      <w:szCs w:val="21"/>
                    </w:rPr>
                  </w:pPr>
                  <w:r>
                    <w:rPr>
                      <w:rFonts w:hint="eastAsia"/>
                      <w:color w:val="auto"/>
                      <w:kern w:val="0"/>
                      <w:szCs w:val="21"/>
                    </w:rPr>
                    <w:t>序号</w:t>
                  </w:r>
                </w:p>
              </w:tc>
              <w:tc>
                <w:tcPr>
                  <w:tcW w:w="1161" w:type="dxa"/>
                  <w:tcBorders>
                    <w:tl2br w:val="nil"/>
                    <w:tr2bl w:val="nil"/>
                  </w:tcBorders>
                  <w:vAlign w:val="center"/>
                </w:tcPr>
                <w:p w14:paraId="7F35F6A7">
                  <w:pPr>
                    <w:spacing w:line="240" w:lineRule="auto"/>
                    <w:jc w:val="center"/>
                    <w:rPr>
                      <w:color w:val="auto"/>
                      <w:kern w:val="0"/>
                      <w:szCs w:val="21"/>
                    </w:rPr>
                  </w:pPr>
                  <w:r>
                    <w:rPr>
                      <w:rFonts w:hint="eastAsia"/>
                      <w:color w:val="auto"/>
                      <w:kern w:val="0"/>
                      <w:szCs w:val="21"/>
                    </w:rPr>
                    <w:t>贮存设施名称</w:t>
                  </w:r>
                </w:p>
              </w:tc>
              <w:tc>
                <w:tcPr>
                  <w:tcW w:w="952" w:type="dxa"/>
                  <w:tcBorders>
                    <w:tl2br w:val="nil"/>
                    <w:tr2bl w:val="nil"/>
                  </w:tcBorders>
                  <w:vAlign w:val="center"/>
                </w:tcPr>
                <w:p w14:paraId="3A96E02E">
                  <w:pPr>
                    <w:spacing w:line="240" w:lineRule="auto"/>
                    <w:jc w:val="center"/>
                    <w:rPr>
                      <w:color w:val="auto"/>
                      <w:kern w:val="0"/>
                      <w:szCs w:val="21"/>
                    </w:rPr>
                  </w:pPr>
                  <w:r>
                    <w:rPr>
                      <w:rFonts w:hint="eastAsia"/>
                      <w:color w:val="auto"/>
                      <w:kern w:val="0"/>
                      <w:szCs w:val="21"/>
                    </w:rPr>
                    <w:t>危险废物名称</w:t>
                  </w:r>
                </w:p>
              </w:tc>
              <w:tc>
                <w:tcPr>
                  <w:tcW w:w="1700" w:type="dxa"/>
                  <w:tcBorders>
                    <w:tl2br w:val="nil"/>
                    <w:tr2bl w:val="nil"/>
                  </w:tcBorders>
                  <w:vAlign w:val="center"/>
                </w:tcPr>
                <w:p w14:paraId="4E972F25">
                  <w:pPr>
                    <w:spacing w:line="240" w:lineRule="auto"/>
                    <w:jc w:val="center"/>
                    <w:rPr>
                      <w:color w:val="auto"/>
                      <w:kern w:val="0"/>
                      <w:szCs w:val="21"/>
                    </w:rPr>
                  </w:pPr>
                  <w:r>
                    <w:rPr>
                      <w:rFonts w:hint="eastAsia"/>
                      <w:color w:val="auto"/>
                      <w:kern w:val="0"/>
                      <w:szCs w:val="21"/>
                    </w:rPr>
                    <w:t>危险废物类别</w:t>
                  </w:r>
                </w:p>
              </w:tc>
              <w:tc>
                <w:tcPr>
                  <w:tcW w:w="962" w:type="dxa"/>
                  <w:tcBorders>
                    <w:tl2br w:val="nil"/>
                    <w:tr2bl w:val="nil"/>
                  </w:tcBorders>
                  <w:vAlign w:val="center"/>
                </w:tcPr>
                <w:p w14:paraId="3D73C5FB">
                  <w:pPr>
                    <w:spacing w:line="240" w:lineRule="auto"/>
                    <w:jc w:val="center"/>
                    <w:rPr>
                      <w:color w:val="auto"/>
                      <w:kern w:val="0"/>
                      <w:szCs w:val="21"/>
                    </w:rPr>
                  </w:pPr>
                  <w:r>
                    <w:rPr>
                      <w:rFonts w:hint="eastAsia"/>
                      <w:color w:val="auto"/>
                      <w:kern w:val="0"/>
                      <w:szCs w:val="21"/>
                    </w:rPr>
                    <w:t>危险废物代码</w:t>
                  </w:r>
                </w:p>
              </w:tc>
              <w:tc>
                <w:tcPr>
                  <w:tcW w:w="536" w:type="dxa"/>
                  <w:tcBorders>
                    <w:tl2br w:val="nil"/>
                    <w:tr2bl w:val="nil"/>
                  </w:tcBorders>
                  <w:vAlign w:val="center"/>
                </w:tcPr>
                <w:p w14:paraId="5FA2C3BC">
                  <w:pPr>
                    <w:spacing w:line="240" w:lineRule="auto"/>
                    <w:jc w:val="center"/>
                    <w:rPr>
                      <w:color w:val="auto"/>
                      <w:kern w:val="0"/>
                      <w:szCs w:val="21"/>
                    </w:rPr>
                  </w:pPr>
                  <w:r>
                    <w:rPr>
                      <w:rFonts w:hint="eastAsia"/>
                      <w:color w:val="auto"/>
                      <w:kern w:val="0"/>
                      <w:szCs w:val="21"/>
                    </w:rPr>
                    <w:t>位置</w:t>
                  </w:r>
                </w:p>
              </w:tc>
              <w:tc>
                <w:tcPr>
                  <w:tcW w:w="495" w:type="dxa"/>
                  <w:tcBorders>
                    <w:tl2br w:val="nil"/>
                    <w:tr2bl w:val="nil"/>
                  </w:tcBorders>
                  <w:vAlign w:val="center"/>
                </w:tcPr>
                <w:p w14:paraId="5FA9ACAE">
                  <w:pPr>
                    <w:spacing w:line="240" w:lineRule="auto"/>
                    <w:jc w:val="center"/>
                    <w:rPr>
                      <w:color w:val="auto"/>
                      <w:kern w:val="0"/>
                      <w:szCs w:val="21"/>
                    </w:rPr>
                  </w:pPr>
                  <w:r>
                    <w:rPr>
                      <w:rFonts w:hint="eastAsia"/>
                      <w:color w:val="auto"/>
                      <w:kern w:val="0"/>
                      <w:szCs w:val="21"/>
                    </w:rPr>
                    <w:t>占地面积</w:t>
                  </w:r>
                </w:p>
              </w:tc>
              <w:tc>
                <w:tcPr>
                  <w:tcW w:w="566" w:type="dxa"/>
                  <w:tcBorders>
                    <w:tl2br w:val="nil"/>
                    <w:tr2bl w:val="nil"/>
                  </w:tcBorders>
                  <w:vAlign w:val="center"/>
                </w:tcPr>
                <w:p w14:paraId="1AE2127D">
                  <w:pPr>
                    <w:spacing w:line="240" w:lineRule="auto"/>
                    <w:jc w:val="center"/>
                    <w:rPr>
                      <w:color w:val="auto"/>
                      <w:kern w:val="0"/>
                      <w:szCs w:val="21"/>
                    </w:rPr>
                  </w:pPr>
                  <w:r>
                    <w:rPr>
                      <w:rFonts w:hint="eastAsia"/>
                      <w:color w:val="auto"/>
                      <w:kern w:val="0"/>
                      <w:szCs w:val="21"/>
                    </w:rPr>
                    <w:t>贮存方式</w:t>
                  </w:r>
                </w:p>
              </w:tc>
              <w:tc>
                <w:tcPr>
                  <w:tcW w:w="728" w:type="dxa"/>
                  <w:tcBorders>
                    <w:tl2br w:val="nil"/>
                    <w:tr2bl w:val="nil"/>
                  </w:tcBorders>
                  <w:vAlign w:val="center"/>
                </w:tcPr>
                <w:p w14:paraId="07AD113E">
                  <w:pPr>
                    <w:spacing w:line="240" w:lineRule="auto"/>
                    <w:jc w:val="center"/>
                    <w:rPr>
                      <w:color w:val="auto"/>
                      <w:kern w:val="0"/>
                      <w:szCs w:val="21"/>
                    </w:rPr>
                  </w:pPr>
                  <w:r>
                    <w:rPr>
                      <w:rFonts w:hint="eastAsia"/>
                      <w:color w:val="auto"/>
                      <w:kern w:val="0"/>
                      <w:szCs w:val="21"/>
                    </w:rPr>
                    <w:t>贮存能力</w:t>
                  </w:r>
                </w:p>
              </w:tc>
              <w:tc>
                <w:tcPr>
                  <w:tcW w:w="615" w:type="dxa"/>
                  <w:tcBorders>
                    <w:tl2br w:val="nil"/>
                    <w:tr2bl w:val="nil"/>
                  </w:tcBorders>
                  <w:vAlign w:val="center"/>
                </w:tcPr>
                <w:p w14:paraId="12CF4B36">
                  <w:pPr>
                    <w:spacing w:line="240" w:lineRule="auto"/>
                    <w:jc w:val="center"/>
                    <w:rPr>
                      <w:color w:val="auto"/>
                      <w:kern w:val="0"/>
                      <w:szCs w:val="21"/>
                    </w:rPr>
                  </w:pPr>
                  <w:r>
                    <w:rPr>
                      <w:rFonts w:hint="eastAsia"/>
                      <w:color w:val="auto"/>
                      <w:kern w:val="0"/>
                      <w:szCs w:val="21"/>
                    </w:rPr>
                    <w:t>贮存周期</w:t>
                  </w:r>
                </w:p>
              </w:tc>
            </w:tr>
            <w:tr w14:paraId="07F871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7" w:hRule="atLeast"/>
              </w:trPr>
              <w:tc>
                <w:tcPr>
                  <w:tcW w:w="477" w:type="dxa"/>
                  <w:tcBorders>
                    <w:tl2br w:val="nil"/>
                    <w:tr2bl w:val="nil"/>
                  </w:tcBorders>
                  <w:vAlign w:val="center"/>
                </w:tcPr>
                <w:p w14:paraId="1433DD6F">
                  <w:pPr>
                    <w:spacing w:line="240" w:lineRule="auto"/>
                    <w:jc w:val="center"/>
                    <w:rPr>
                      <w:rFonts w:hint="eastAsia" w:eastAsia="宋体"/>
                      <w:color w:val="auto"/>
                      <w:kern w:val="0"/>
                      <w:szCs w:val="21"/>
                      <w:lang w:eastAsia="zh-CN"/>
                    </w:rPr>
                  </w:pPr>
                  <w:r>
                    <w:rPr>
                      <w:rFonts w:hint="eastAsia"/>
                      <w:color w:val="auto"/>
                      <w:kern w:val="0"/>
                      <w:szCs w:val="21"/>
                      <w:lang w:val="en-US" w:eastAsia="zh-CN"/>
                    </w:rPr>
                    <w:t>1</w:t>
                  </w:r>
                </w:p>
              </w:tc>
              <w:tc>
                <w:tcPr>
                  <w:tcW w:w="1161" w:type="dxa"/>
                  <w:tcBorders>
                    <w:tl2br w:val="nil"/>
                    <w:tr2bl w:val="nil"/>
                  </w:tcBorders>
                  <w:shd w:val="clear" w:color="auto" w:fill="auto"/>
                  <w:vAlign w:val="center"/>
                </w:tcPr>
                <w:p w14:paraId="1E378D54">
                  <w:pPr>
                    <w:topLinePunct/>
                    <w:spacing w:line="240" w:lineRule="auto"/>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废机油贮存区</w:t>
                  </w:r>
                </w:p>
              </w:tc>
              <w:tc>
                <w:tcPr>
                  <w:tcW w:w="952" w:type="dxa"/>
                  <w:tcBorders>
                    <w:tl2br w:val="nil"/>
                    <w:tr2bl w:val="nil"/>
                  </w:tcBorders>
                  <w:shd w:val="clear" w:color="auto" w:fill="auto"/>
                  <w:vAlign w:val="center"/>
                </w:tcPr>
                <w:p w14:paraId="50285F85">
                  <w:pPr>
                    <w:topLinePunct/>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废机油</w:t>
                  </w:r>
                </w:p>
              </w:tc>
              <w:tc>
                <w:tcPr>
                  <w:tcW w:w="1700" w:type="dxa"/>
                  <w:tcBorders>
                    <w:tl2br w:val="nil"/>
                    <w:tr2bl w:val="nil"/>
                  </w:tcBorders>
                  <w:shd w:val="clear" w:color="auto" w:fill="auto"/>
                  <w:vAlign w:val="center"/>
                </w:tcPr>
                <w:p w14:paraId="3B2797A6">
                  <w:pPr>
                    <w:topLinePunct/>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rPr>
                    <w:t>HW08</w:t>
                  </w:r>
                  <w:r>
                    <w:rPr>
                      <w:rFonts w:hint="eastAsia" w:cs="Times New Roman"/>
                      <w:color w:val="auto"/>
                      <w:kern w:val="0"/>
                      <w:sz w:val="21"/>
                      <w:szCs w:val="21"/>
                      <w:lang w:val="en-US" w:eastAsia="zh-CN"/>
                    </w:rPr>
                    <w:t xml:space="preserve"> 废机油</w:t>
                  </w:r>
                  <w:r>
                    <w:rPr>
                      <w:rFonts w:hint="eastAsia" w:ascii="Times New Roman" w:hAnsi="Times New Roman" w:eastAsia="宋体" w:cs="Times New Roman"/>
                      <w:color w:val="auto"/>
                      <w:kern w:val="0"/>
                      <w:sz w:val="21"/>
                      <w:szCs w:val="21"/>
                      <w:lang w:val="en-US" w:eastAsia="zh-CN"/>
                    </w:rPr>
                    <w:t>与含矿物油废物</w:t>
                  </w:r>
                </w:p>
              </w:tc>
              <w:tc>
                <w:tcPr>
                  <w:tcW w:w="962" w:type="dxa"/>
                  <w:tcBorders>
                    <w:tl2br w:val="nil"/>
                    <w:tr2bl w:val="nil"/>
                  </w:tcBorders>
                  <w:shd w:val="clear" w:color="auto" w:fill="auto"/>
                  <w:vAlign w:val="center"/>
                </w:tcPr>
                <w:p w14:paraId="1A007759">
                  <w:pPr>
                    <w:topLinePunct/>
                    <w:spacing w:line="240" w:lineRule="auto"/>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9</w:t>
                  </w:r>
                  <w:r>
                    <w:rPr>
                      <w:rFonts w:hint="default" w:ascii="Times New Roman" w:hAnsi="Times New Roman" w:eastAsia="宋体" w:cs="Times New Roman"/>
                      <w:b w:val="0"/>
                      <w:bCs w:val="0"/>
                      <w:color w:val="auto"/>
                      <w:kern w:val="0"/>
                      <w:sz w:val="21"/>
                      <w:szCs w:val="21"/>
                      <w:highlight w:val="none"/>
                      <w:lang w:val="en-US" w:eastAsia="zh-CN" w:bidi="ar-SA"/>
                    </w:rPr>
                    <w:t>00-214-08</w:t>
                  </w:r>
                </w:p>
              </w:tc>
              <w:tc>
                <w:tcPr>
                  <w:tcW w:w="536" w:type="dxa"/>
                  <w:vMerge w:val="restart"/>
                  <w:tcBorders>
                    <w:tl2br w:val="nil"/>
                    <w:tr2bl w:val="nil"/>
                  </w:tcBorders>
                  <w:vAlign w:val="center"/>
                </w:tcPr>
                <w:p w14:paraId="2BE82E21">
                  <w:pPr>
                    <w:spacing w:line="240" w:lineRule="auto"/>
                    <w:jc w:val="center"/>
                    <w:rPr>
                      <w:rFonts w:hint="default" w:eastAsia="宋体"/>
                      <w:color w:val="auto"/>
                      <w:kern w:val="0"/>
                      <w:szCs w:val="21"/>
                      <w:lang w:val="en-US" w:eastAsia="zh-CN"/>
                    </w:rPr>
                  </w:pPr>
                  <w:r>
                    <w:rPr>
                      <w:rFonts w:hint="eastAsia"/>
                      <w:color w:val="auto"/>
                      <w:kern w:val="0"/>
                      <w:szCs w:val="21"/>
                      <w:lang w:val="en-US" w:eastAsia="zh-CN"/>
                    </w:rPr>
                    <w:t>危废贮存点</w:t>
                  </w:r>
                </w:p>
              </w:tc>
              <w:tc>
                <w:tcPr>
                  <w:tcW w:w="495" w:type="dxa"/>
                  <w:vMerge w:val="restart"/>
                  <w:tcBorders>
                    <w:tl2br w:val="nil"/>
                    <w:tr2bl w:val="nil"/>
                  </w:tcBorders>
                  <w:vAlign w:val="center"/>
                </w:tcPr>
                <w:p w14:paraId="24FC421F">
                  <w:pPr>
                    <w:spacing w:line="240" w:lineRule="auto"/>
                    <w:jc w:val="center"/>
                    <w:rPr>
                      <w:color w:val="auto"/>
                      <w:kern w:val="0"/>
                      <w:szCs w:val="21"/>
                    </w:rPr>
                  </w:pPr>
                  <w:r>
                    <w:rPr>
                      <w:rFonts w:hint="eastAsia"/>
                      <w:snapToGrid w:val="0"/>
                      <w:color w:val="auto"/>
                      <w:kern w:val="0"/>
                      <w:sz w:val="21"/>
                      <w:szCs w:val="21"/>
                      <w:lang w:val="en-US" w:eastAsia="zh-CN"/>
                    </w:rPr>
                    <w:t>20</w:t>
                  </w:r>
                  <w:r>
                    <w:rPr>
                      <w:rFonts w:ascii="Times New Roman" w:hAnsi="Times New Roman"/>
                      <w:snapToGrid w:val="0"/>
                      <w:color w:val="auto"/>
                      <w:kern w:val="0"/>
                      <w:sz w:val="21"/>
                      <w:szCs w:val="21"/>
                    </w:rPr>
                    <w:t>m</w:t>
                  </w:r>
                  <w:r>
                    <w:rPr>
                      <w:rFonts w:ascii="Times New Roman" w:hAnsi="Times New Roman"/>
                      <w:color w:val="auto"/>
                      <w:sz w:val="21"/>
                      <w:szCs w:val="21"/>
                      <w:vertAlign w:val="superscript"/>
                    </w:rPr>
                    <w:t>2</w:t>
                  </w:r>
                </w:p>
              </w:tc>
              <w:tc>
                <w:tcPr>
                  <w:tcW w:w="566" w:type="dxa"/>
                  <w:vMerge w:val="restart"/>
                  <w:tcBorders>
                    <w:tl2br w:val="nil"/>
                    <w:tr2bl w:val="nil"/>
                  </w:tcBorders>
                  <w:vAlign w:val="center"/>
                </w:tcPr>
                <w:p w14:paraId="568F70AE">
                  <w:pPr>
                    <w:spacing w:line="240" w:lineRule="auto"/>
                    <w:jc w:val="center"/>
                    <w:rPr>
                      <w:rFonts w:hint="default" w:eastAsia="宋体"/>
                      <w:color w:val="auto"/>
                      <w:kern w:val="0"/>
                      <w:szCs w:val="21"/>
                      <w:lang w:val="en-US" w:eastAsia="zh-CN"/>
                    </w:rPr>
                  </w:pPr>
                  <w:r>
                    <w:rPr>
                      <w:rFonts w:hint="eastAsia"/>
                      <w:color w:val="auto"/>
                      <w:kern w:val="0"/>
                      <w:szCs w:val="21"/>
                    </w:rPr>
                    <w:t>隔离隔开分离贮存</w:t>
                  </w:r>
                </w:p>
              </w:tc>
              <w:tc>
                <w:tcPr>
                  <w:tcW w:w="728" w:type="dxa"/>
                  <w:tcBorders>
                    <w:tl2br w:val="nil"/>
                    <w:tr2bl w:val="nil"/>
                  </w:tcBorders>
                  <w:shd w:val="clear" w:color="auto" w:fill="auto"/>
                  <w:vAlign w:val="center"/>
                </w:tcPr>
                <w:p w14:paraId="3222EAA4">
                  <w:pPr>
                    <w:pStyle w:val="73"/>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default" w:ascii="Times New Roman" w:hAnsi="Times New Roman" w:eastAsia="宋体" w:cs="Times New Roman"/>
                      <w:b w:val="0"/>
                      <w:bCs w:val="0"/>
                      <w:color w:val="auto"/>
                      <w:kern w:val="0"/>
                      <w:sz w:val="21"/>
                      <w:szCs w:val="21"/>
                      <w:highlight w:val="none"/>
                      <w:lang w:val="en-US" w:eastAsia="zh-CN" w:bidi="ar-SA"/>
                    </w:rPr>
                  </w:pPr>
                  <w:r>
                    <w:rPr>
                      <w:rFonts w:hint="eastAsia"/>
                      <w:b w:val="0"/>
                      <w:bCs w:val="0"/>
                      <w:color w:val="auto"/>
                      <w:szCs w:val="21"/>
                      <w:highlight w:val="none"/>
                      <w:lang w:val="en-US" w:eastAsia="zh-CN"/>
                    </w:rPr>
                    <w:t>0.1t</w:t>
                  </w:r>
                </w:p>
              </w:tc>
              <w:tc>
                <w:tcPr>
                  <w:tcW w:w="615" w:type="dxa"/>
                  <w:tcBorders>
                    <w:tl2br w:val="nil"/>
                    <w:tr2bl w:val="nil"/>
                  </w:tcBorders>
                  <w:shd w:val="clear" w:color="auto" w:fill="auto"/>
                  <w:vAlign w:val="center"/>
                </w:tcPr>
                <w:p w14:paraId="1E5DE637">
                  <w:pPr>
                    <w:spacing w:line="240" w:lineRule="auto"/>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1年</w:t>
                  </w:r>
                </w:p>
              </w:tc>
            </w:tr>
            <w:tr w14:paraId="235190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7" w:hRule="atLeast"/>
              </w:trPr>
              <w:tc>
                <w:tcPr>
                  <w:tcW w:w="477" w:type="dxa"/>
                  <w:tcBorders>
                    <w:tl2br w:val="nil"/>
                    <w:tr2bl w:val="nil"/>
                  </w:tcBorders>
                  <w:vAlign w:val="center"/>
                </w:tcPr>
                <w:p w14:paraId="696C4FCB">
                  <w:pPr>
                    <w:spacing w:line="240" w:lineRule="auto"/>
                    <w:jc w:val="center"/>
                    <w:rPr>
                      <w:rFonts w:hint="eastAsia"/>
                      <w:color w:val="auto"/>
                      <w:kern w:val="0"/>
                      <w:szCs w:val="21"/>
                      <w:lang w:val="en-US" w:eastAsia="zh-CN"/>
                    </w:rPr>
                  </w:pPr>
                  <w:r>
                    <w:rPr>
                      <w:rFonts w:hint="eastAsia"/>
                      <w:color w:val="auto"/>
                      <w:kern w:val="0"/>
                      <w:szCs w:val="21"/>
                      <w:lang w:val="en-US" w:eastAsia="zh-CN"/>
                    </w:rPr>
                    <w:t>2</w:t>
                  </w:r>
                </w:p>
              </w:tc>
              <w:tc>
                <w:tcPr>
                  <w:tcW w:w="1161" w:type="dxa"/>
                  <w:tcBorders>
                    <w:tl2br w:val="nil"/>
                    <w:tr2bl w:val="nil"/>
                  </w:tcBorders>
                  <w:shd w:val="clear" w:color="auto" w:fill="auto"/>
                  <w:vAlign w:val="center"/>
                </w:tcPr>
                <w:p w14:paraId="3895CC3E">
                  <w:pPr>
                    <w:spacing w:line="24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highlight w:val="none"/>
                      <w:lang w:val="en-US" w:eastAsia="zh-CN"/>
                    </w:rPr>
                    <w:t>废含油手套、废含油抹布</w:t>
                  </w:r>
                  <w:r>
                    <w:rPr>
                      <w:rFonts w:hint="eastAsia"/>
                      <w:color w:val="auto"/>
                      <w:kern w:val="0"/>
                      <w:szCs w:val="21"/>
                    </w:rPr>
                    <w:t>存储区</w:t>
                  </w:r>
                </w:p>
              </w:tc>
              <w:tc>
                <w:tcPr>
                  <w:tcW w:w="952" w:type="dxa"/>
                  <w:tcBorders>
                    <w:tl2br w:val="nil"/>
                    <w:tr2bl w:val="nil"/>
                  </w:tcBorders>
                  <w:shd w:val="clear" w:color="auto" w:fill="auto"/>
                  <w:vAlign w:val="center"/>
                </w:tcPr>
                <w:p w14:paraId="5150CC25">
                  <w:pPr>
                    <w:spacing w:line="240" w:lineRule="auto"/>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highlight w:val="none"/>
                      <w:lang w:val="en-US" w:eastAsia="zh-CN"/>
                    </w:rPr>
                    <w:t>废含油手套、废含油抹布</w:t>
                  </w:r>
                </w:p>
              </w:tc>
              <w:tc>
                <w:tcPr>
                  <w:tcW w:w="1700" w:type="dxa"/>
                  <w:tcBorders>
                    <w:tl2br w:val="nil"/>
                    <w:tr2bl w:val="nil"/>
                  </w:tcBorders>
                  <w:shd w:val="clear" w:color="auto" w:fill="auto"/>
                  <w:vAlign w:val="center"/>
                </w:tcPr>
                <w:p w14:paraId="1B36F9BC">
                  <w:pPr>
                    <w:pStyle w:val="76"/>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b w:val="0"/>
                      <w:bCs w:val="0"/>
                      <w:color w:val="auto"/>
                      <w:kern w:val="0"/>
                      <w:sz w:val="21"/>
                      <w:szCs w:val="21"/>
                      <w:highlight w:val="none"/>
                      <w:lang w:val="en-US" w:eastAsia="zh-CN" w:bidi="ar-SA"/>
                    </w:rPr>
                    <w:t>HW49 其他废物</w:t>
                  </w:r>
                </w:p>
              </w:tc>
              <w:tc>
                <w:tcPr>
                  <w:tcW w:w="962" w:type="dxa"/>
                  <w:tcBorders>
                    <w:tl2br w:val="nil"/>
                    <w:tr2bl w:val="nil"/>
                  </w:tcBorders>
                  <w:shd w:val="clear" w:color="auto" w:fill="auto"/>
                  <w:vAlign w:val="center"/>
                </w:tcPr>
                <w:p w14:paraId="07AFC73C">
                  <w:pPr>
                    <w:pStyle w:val="76"/>
                    <w:keepNext w:val="0"/>
                    <w:keepLines w:val="0"/>
                    <w:pageBreakBefore w:val="0"/>
                    <w:suppressLineNumbers w:val="0"/>
                    <w:wordWrap/>
                    <w:bidi w:val="0"/>
                    <w:adjustRightInd w:val="0"/>
                    <w:snapToGrid w:val="0"/>
                    <w:spacing w:before="0" w:beforeAutospacing="0" w:after="0" w:afterAutospacing="0" w:line="240" w:lineRule="auto"/>
                    <w:ind w:left="0" w:leftChars="0" w:right="0" w:right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900-041-49</w:t>
                  </w:r>
                </w:p>
              </w:tc>
              <w:tc>
                <w:tcPr>
                  <w:tcW w:w="536" w:type="dxa"/>
                  <w:vMerge w:val="continue"/>
                  <w:tcBorders>
                    <w:tl2br w:val="nil"/>
                    <w:tr2bl w:val="nil"/>
                  </w:tcBorders>
                  <w:vAlign w:val="center"/>
                </w:tcPr>
                <w:p w14:paraId="3432F33F">
                  <w:pPr>
                    <w:spacing w:line="240" w:lineRule="auto"/>
                    <w:jc w:val="center"/>
                    <w:rPr>
                      <w:rFonts w:hint="eastAsia"/>
                      <w:color w:val="auto"/>
                      <w:kern w:val="0"/>
                      <w:szCs w:val="21"/>
                      <w:lang w:val="en-US" w:eastAsia="zh-CN"/>
                    </w:rPr>
                  </w:pPr>
                </w:p>
              </w:tc>
              <w:tc>
                <w:tcPr>
                  <w:tcW w:w="495" w:type="dxa"/>
                  <w:vMerge w:val="continue"/>
                  <w:tcBorders>
                    <w:tl2br w:val="nil"/>
                    <w:tr2bl w:val="nil"/>
                  </w:tcBorders>
                  <w:vAlign w:val="center"/>
                </w:tcPr>
                <w:p w14:paraId="5DB36F6B">
                  <w:pPr>
                    <w:spacing w:line="240" w:lineRule="auto"/>
                    <w:jc w:val="center"/>
                    <w:rPr>
                      <w:rFonts w:hint="eastAsia"/>
                      <w:snapToGrid w:val="0"/>
                      <w:color w:val="auto"/>
                      <w:kern w:val="0"/>
                      <w:sz w:val="21"/>
                      <w:szCs w:val="21"/>
                      <w:lang w:val="en-US" w:eastAsia="zh-CN"/>
                    </w:rPr>
                  </w:pPr>
                </w:p>
              </w:tc>
              <w:tc>
                <w:tcPr>
                  <w:tcW w:w="566" w:type="dxa"/>
                  <w:vMerge w:val="continue"/>
                  <w:tcBorders>
                    <w:tl2br w:val="nil"/>
                    <w:tr2bl w:val="nil"/>
                  </w:tcBorders>
                  <w:vAlign w:val="center"/>
                </w:tcPr>
                <w:p w14:paraId="4A34D3C4">
                  <w:pPr>
                    <w:spacing w:line="240" w:lineRule="auto"/>
                    <w:jc w:val="center"/>
                    <w:rPr>
                      <w:rFonts w:hint="eastAsia"/>
                      <w:color w:val="auto"/>
                      <w:kern w:val="0"/>
                      <w:szCs w:val="21"/>
                    </w:rPr>
                  </w:pPr>
                </w:p>
              </w:tc>
              <w:tc>
                <w:tcPr>
                  <w:tcW w:w="728" w:type="dxa"/>
                  <w:tcBorders>
                    <w:tl2br w:val="nil"/>
                    <w:tr2bl w:val="nil"/>
                  </w:tcBorders>
                  <w:shd w:val="clear" w:color="auto" w:fill="auto"/>
                  <w:vAlign w:val="center"/>
                </w:tcPr>
                <w:p w14:paraId="3A794C7E">
                  <w:pPr>
                    <w:kinsoku w:val="0"/>
                    <w:overflowPunct w:val="0"/>
                    <w:autoSpaceDE w:val="0"/>
                    <w:autoSpaceDN w:val="0"/>
                    <w:spacing w:line="240" w:lineRule="auto"/>
                    <w:jc w:val="center"/>
                    <w:rPr>
                      <w:rFonts w:hint="eastAsia"/>
                      <w:b w:val="0"/>
                      <w:bCs w:val="0"/>
                      <w:color w:val="auto"/>
                      <w:szCs w:val="21"/>
                      <w:highlight w:val="none"/>
                      <w:lang w:val="en-US" w:eastAsia="zh-CN"/>
                    </w:rPr>
                  </w:pPr>
                  <w:r>
                    <w:rPr>
                      <w:rFonts w:hint="eastAsia" w:cs="Times New Roman" w:eastAsiaTheme="minorEastAsia"/>
                      <w:color w:val="auto"/>
                      <w:kern w:val="2"/>
                      <w:sz w:val="21"/>
                      <w:szCs w:val="21"/>
                      <w:lang w:val="en-US" w:eastAsia="zh-CN" w:bidi="ar-SA"/>
                    </w:rPr>
                    <w:t>0.01t</w:t>
                  </w:r>
                </w:p>
              </w:tc>
              <w:tc>
                <w:tcPr>
                  <w:tcW w:w="615" w:type="dxa"/>
                  <w:tcBorders>
                    <w:tl2br w:val="nil"/>
                    <w:tr2bl w:val="nil"/>
                  </w:tcBorders>
                  <w:shd w:val="clear" w:color="auto" w:fill="auto"/>
                  <w:vAlign w:val="center"/>
                </w:tcPr>
                <w:p w14:paraId="4ED3AF84">
                  <w:pPr>
                    <w:spacing w:line="240" w:lineRule="auto"/>
                    <w:jc w:val="center"/>
                    <w:rPr>
                      <w:rFonts w:hint="eastAsia" w:cs="Times New Roman"/>
                      <w:color w:val="auto"/>
                      <w:kern w:val="0"/>
                      <w:sz w:val="21"/>
                      <w:szCs w:val="21"/>
                      <w:lang w:val="en-US" w:eastAsia="zh-CN" w:bidi="ar-SA"/>
                    </w:rPr>
                  </w:pPr>
                  <w:r>
                    <w:rPr>
                      <w:rFonts w:hint="eastAsia"/>
                      <w:color w:val="auto"/>
                      <w:kern w:val="0"/>
                      <w:szCs w:val="21"/>
                      <w:lang w:val="en-US" w:eastAsia="zh-CN"/>
                    </w:rPr>
                    <w:t>1年</w:t>
                  </w:r>
                </w:p>
              </w:tc>
            </w:tr>
          </w:tbl>
          <w:p w14:paraId="04C806CA">
            <w:pPr>
              <w:pStyle w:val="5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ascii="Times New Roman" w:hAnsi="Times New Roman" w:eastAsia="宋体" w:cs="Times New Roman"/>
                <w:color w:val="auto"/>
                <w:kern w:val="0"/>
                <w:sz w:val="24"/>
                <w:szCs w:val="24"/>
                <w:lang w:val="en-US" w:eastAsia="zh-CN" w:bidi="ar-SA"/>
              </w:rPr>
            </w:pPr>
            <w:r>
              <w:rPr>
                <w:rFonts w:ascii="Times New Roman" w:hAnsi="Times New Roman" w:eastAsia="宋体" w:cs="Times New Roman"/>
                <w:color w:val="auto"/>
              </w:rPr>
              <w:t>本项目产生的危险废物在厂内指定的</w:t>
            </w:r>
            <w:r>
              <w:rPr>
                <w:rFonts w:hint="eastAsia" w:cs="Times New Roman"/>
                <w:color w:val="auto"/>
                <w:lang w:eastAsia="zh-CN"/>
              </w:rPr>
              <w:t>危废贮存点</w:t>
            </w:r>
            <w:r>
              <w:rPr>
                <w:rFonts w:ascii="Times New Roman" w:hAnsi="Times New Roman" w:eastAsia="宋体" w:cs="Times New Roman"/>
                <w:color w:val="auto"/>
              </w:rPr>
              <w:t>安全暂存，定期委托有资质单位回收处理，由持有危险废物经营许可证、危险货物运输资质的单位拉运。</w:t>
            </w:r>
          </w:p>
          <w:p w14:paraId="58ECE879">
            <w:pPr>
              <w:pStyle w:val="58"/>
              <w:adjustRightInd w:val="0"/>
              <w:snapToGrid w:val="0"/>
              <w:spacing w:line="360" w:lineRule="auto"/>
              <w:ind w:firstLine="482"/>
              <w:rPr>
                <w:rFonts w:eastAsiaTheme="minorEastAsia"/>
                <w:b/>
                <w:bCs/>
                <w:color w:val="auto"/>
              </w:rPr>
            </w:pPr>
            <w:r>
              <w:rPr>
                <w:rFonts w:hint="eastAsia" w:eastAsiaTheme="minorEastAsia"/>
                <w:b/>
                <w:bCs/>
                <w:color w:val="auto"/>
                <w:lang w:val="en-US" w:eastAsia="zh-CN"/>
              </w:rPr>
              <w:t>五</w:t>
            </w:r>
            <w:r>
              <w:rPr>
                <w:rFonts w:hint="eastAsia" w:eastAsiaTheme="minorEastAsia"/>
                <w:b/>
                <w:bCs/>
                <w:color w:val="auto"/>
              </w:rPr>
              <w:t>、地下水及土壤</w:t>
            </w:r>
          </w:p>
          <w:p w14:paraId="3E4D0736">
            <w:pPr>
              <w:pStyle w:val="5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ascii="Times New Roman" w:hAnsi="Times New Roman" w:eastAsia="宋体" w:cs="Times New Roman"/>
                <w:color w:val="auto"/>
                <w:kern w:val="0"/>
                <w:sz w:val="24"/>
                <w:szCs w:val="24"/>
                <w:lang w:val="en-US" w:eastAsia="zh-CN" w:bidi="ar-SA"/>
              </w:rPr>
            </w:pPr>
            <w:r>
              <w:rPr>
                <w:rFonts w:hint="eastAsia" w:ascii="Times New Roman" w:hAnsi="Times New Roman" w:eastAsia="宋体" w:cs="Times New Roman"/>
                <w:color w:val="auto"/>
                <w:kern w:val="0"/>
                <w:sz w:val="24"/>
                <w:szCs w:val="24"/>
                <w:lang w:val="en-US" w:eastAsia="zh-CN" w:bidi="ar-SA"/>
              </w:rPr>
              <w:t>根据《环境影响评价技术导则 地下水环境》（HJ610-2016）将厂区各生产功能单元可能泄漏至地面区域的污染物性质和生产单元的构筑方式，将厂区建筑区域划分为重点防治区、一般污染防治区和简单污染防治区，并按要求进行地表防渗。</w:t>
            </w:r>
          </w:p>
          <w:p w14:paraId="515E5D0D">
            <w:pPr>
              <w:pStyle w:val="5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default" w:ascii="Times New Roman" w:hAnsi="Times New Roman" w:eastAsia="宋体" w:cs="Times New Roman"/>
                <w:color w:val="auto"/>
                <w:kern w:val="0"/>
                <w:sz w:val="24"/>
                <w:szCs w:val="24"/>
                <w:lang w:val="en-US" w:eastAsia="zh-CN" w:bidi="ar-SA"/>
              </w:rPr>
            </w:pPr>
            <w:r>
              <w:rPr>
                <w:rFonts w:hint="eastAsia" w:ascii="Times New Roman" w:hAnsi="Times New Roman" w:eastAsia="宋体" w:cs="Times New Roman"/>
                <w:color w:val="auto"/>
                <w:kern w:val="0"/>
                <w:sz w:val="24"/>
                <w:szCs w:val="24"/>
                <w:lang w:val="en-US" w:eastAsia="zh-CN" w:bidi="ar-SA"/>
              </w:rPr>
              <w:t>1、重点污染防治区</w:t>
            </w:r>
          </w:p>
          <w:p w14:paraId="658CBA17">
            <w:pPr>
              <w:pStyle w:val="58"/>
              <w:keepNext w:val="0"/>
              <w:keepLines w:val="0"/>
              <w:pageBreakBefore w:val="0"/>
              <w:suppressLineNumbers w:val="0"/>
              <w:wordWrap/>
              <w:bidi w:val="0"/>
              <w:adjustRightInd w:val="0"/>
              <w:snapToGrid w:val="0"/>
              <w:spacing w:before="0" w:beforeAutospacing="0" w:after="0" w:afterAutospacing="0" w:line="360" w:lineRule="auto"/>
              <w:ind w:left="0" w:leftChars="0" w:right="0" w:firstLine="480"/>
              <w:rPr>
                <w:rFonts w:hint="eastAsia" w:ascii="Times New Roman" w:hAnsi="Times New Roman" w:eastAsia="宋体" w:cs="Times New Roman"/>
                <w:color w:val="auto"/>
                <w:kern w:val="0"/>
                <w:sz w:val="24"/>
                <w:szCs w:val="24"/>
                <w:lang w:val="en-US" w:eastAsia="zh-CN" w:bidi="ar-SA"/>
              </w:rPr>
            </w:pPr>
            <w:r>
              <w:rPr>
                <w:rFonts w:hint="eastAsia" w:ascii="Times New Roman" w:hAnsi="Times New Roman" w:eastAsia="宋体" w:cs="Times New Roman"/>
                <w:color w:val="auto"/>
                <w:kern w:val="0"/>
                <w:sz w:val="24"/>
                <w:szCs w:val="24"/>
                <w:lang w:val="en-US" w:eastAsia="zh-CN" w:bidi="ar-SA"/>
              </w:rPr>
              <w:t>重点防渗区指位于地下或半地下的生产功能单元，污染地下水环境的污染物渗漏后不容易被及时发现和处理，或场地水文地质条件相对较差的区域和部位。</w:t>
            </w:r>
          </w:p>
          <w:p w14:paraId="5B708805">
            <w:pPr>
              <w:spacing w:line="360" w:lineRule="auto"/>
              <w:ind w:firstLine="480" w:firstLineChars="200"/>
              <w:rPr>
                <w:rFonts w:hint="eastAsia" w:ascii="Times New Roman" w:hAnsi="Times New Roman" w:eastAsia="宋体" w:cs="Times New Roman"/>
                <w:color w:val="auto"/>
                <w:kern w:val="0"/>
                <w:sz w:val="24"/>
                <w:szCs w:val="24"/>
                <w:lang w:val="en-US" w:eastAsia="zh-CN" w:bidi="ar-SA"/>
              </w:rPr>
            </w:pPr>
            <w:r>
              <w:rPr>
                <w:rFonts w:hint="eastAsia" w:ascii="Times New Roman" w:hAnsi="Times New Roman" w:eastAsia="宋体" w:cs="Times New Roman"/>
                <w:color w:val="auto"/>
                <w:kern w:val="0"/>
                <w:sz w:val="24"/>
                <w:szCs w:val="24"/>
                <w:lang w:val="en-US" w:eastAsia="zh-CN" w:bidi="ar-SA"/>
              </w:rPr>
              <w:t>本项目</w:t>
            </w:r>
            <w:r>
              <w:rPr>
                <w:rFonts w:hint="eastAsia" w:cs="Times New Roman"/>
                <w:color w:val="auto"/>
                <w:kern w:val="0"/>
                <w:sz w:val="24"/>
                <w:szCs w:val="24"/>
                <w:lang w:val="en-US" w:eastAsia="zh-CN" w:bidi="ar-SA"/>
              </w:rPr>
              <w:t>危废贮存点</w:t>
            </w:r>
            <w:r>
              <w:rPr>
                <w:rFonts w:hint="eastAsia" w:ascii="Times New Roman" w:hAnsi="Times New Roman" w:eastAsia="宋体" w:cs="Times New Roman"/>
                <w:color w:val="auto"/>
                <w:kern w:val="0"/>
                <w:sz w:val="24"/>
                <w:szCs w:val="24"/>
                <w:lang w:val="en-US" w:eastAsia="zh-CN" w:bidi="ar-SA"/>
              </w:rPr>
              <w:t>按照重点防渗区管理，</w:t>
            </w:r>
            <w:r>
              <w:rPr>
                <w:rFonts w:hint="eastAsia" w:cs="Times New Roman"/>
                <w:color w:val="auto"/>
                <w:kern w:val="0"/>
                <w:sz w:val="24"/>
                <w:szCs w:val="24"/>
                <w:lang w:val="en-US" w:eastAsia="zh-CN" w:bidi="ar-SA"/>
              </w:rPr>
              <w:t>危废贮存点</w:t>
            </w:r>
            <w:r>
              <w:rPr>
                <w:rFonts w:hint="eastAsia" w:ascii="Times New Roman" w:hAnsi="Times New Roman" w:eastAsia="宋体" w:cs="Times New Roman"/>
                <w:color w:val="auto"/>
                <w:kern w:val="0"/>
                <w:sz w:val="24"/>
                <w:szCs w:val="24"/>
                <w:lang w:val="en-US" w:eastAsia="zh-CN" w:bidi="ar-SA"/>
              </w:rPr>
              <w:t>防渗要求按照《危险废物贮存污染控制标准》（GB18597-2023）的要求执行，为重点防渗区，基础敷设2mm厚的高密度聚乙烯防水层，上部敷设10cm厚水泥层，表面铺设防水树脂层，渗透系数≤10</w:t>
            </w:r>
            <w:r>
              <w:rPr>
                <w:rFonts w:hint="eastAsia" w:ascii="Times New Roman" w:hAnsi="Times New Roman" w:eastAsia="宋体" w:cs="Times New Roman"/>
                <w:color w:val="auto"/>
                <w:kern w:val="0"/>
                <w:sz w:val="24"/>
                <w:szCs w:val="24"/>
                <w:vertAlign w:val="superscript"/>
                <w:lang w:val="en-US" w:eastAsia="zh-CN" w:bidi="ar-SA"/>
              </w:rPr>
              <w:t>-10</w:t>
            </w:r>
            <w:r>
              <w:rPr>
                <w:rFonts w:hint="eastAsia" w:ascii="Times New Roman" w:hAnsi="Times New Roman" w:eastAsia="宋体" w:cs="Times New Roman"/>
                <w:color w:val="auto"/>
                <w:kern w:val="0"/>
                <w:sz w:val="24"/>
                <w:szCs w:val="24"/>
                <w:lang w:val="en-US" w:eastAsia="zh-CN" w:bidi="ar-SA"/>
              </w:rPr>
              <w:t>cm/s。</w:t>
            </w:r>
          </w:p>
          <w:p w14:paraId="72CC2C2D">
            <w:pPr>
              <w:spacing w:line="360" w:lineRule="auto"/>
              <w:ind w:firstLine="480" w:firstLineChars="200"/>
              <w:rPr>
                <w:rFonts w:hint="eastAsia"/>
                <w:color w:val="auto"/>
                <w:kern w:val="0"/>
                <w:sz w:val="24"/>
                <w:lang w:val="en-US" w:eastAsia="zh-CN"/>
              </w:rPr>
            </w:pPr>
            <w:r>
              <w:rPr>
                <w:rFonts w:hint="eastAsia"/>
                <w:color w:val="auto"/>
                <w:kern w:val="0"/>
                <w:sz w:val="24"/>
                <w:lang w:val="en-US" w:eastAsia="zh-CN"/>
              </w:rPr>
              <w:t>2、一般污染防治区</w:t>
            </w:r>
          </w:p>
          <w:p w14:paraId="1112C78C">
            <w:pPr>
              <w:spacing w:line="360" w:lineRule="auto"/>
              <w:ind w:firstLine="480" w:firstLineChars="200"/>
              <w:rPr>
                <w:rFonts w:hint="eastAsia" w:ascii="Times New Roman" w:hAnsi="Times New Roman" w:eastAsia="宋体" w:cs="Times New Roman"/>
                <w:color w:val="auto"/>
                <w:kern w:val="0"/>
                <w:sz w:val="24"/>
                <w:szCs w:val="24"/>
                <w:lang w:val="en-US" w:eastAsia="zh-CN" w:bidi="ar-SA"/>
              </w:rPr>
            </w:pPr>
            <w:r>
              <w:rPr>
                <w:rFonts w:hint="eastAsia"/>
                <w:color w:val="auto"/>
                <w:kern w:val="0"/>
                <w:sz w:val="24"/>
                <w:lang w:val="en-US" w:eastAsia="zh-CN"/>
              </w:rPr>
              <w:t>一般污染防治区指对地下水环境有污染的物料或污染物渗漏后，可及时发现和处理的区域或部位。本项目一般防渗区为石墨烘干车间、石墨烘干筛分车间、纳米材料车间、锅炉房，一般防渗区采用抗渗等级不低于P6级的抗渗混凝土，满足《环境影响评价技术导则 地下水环境》（HJ610-2016）表7中一般防渗区防渗技术要求（等效黏土防渗层Mb≥1.5m，渗透系数≤10</w:t>
            </w:r>
            <w:r>
              <w:rPr>
                <w:rFonts w:hint="eastAsia"/>
                <w:color w:val="auto"/>
                <w:kern w:val="0"/>
                <w:sz w:val="24"/>
                <w:vertAlign w:val="superscript"/>
                <w:lang w:val="en-US" w:eastAsia="zh-CN"/>
              </w:rPr>
              <w:t>-7</w:t>
            </w:r>
            <w:r>
              <w:rPr>
                <w:rFonts w:hint="eastAsia"/>
                <w:color w:val="auto"/>
                <w:kern w:val="0"/>
                <w:sz w:val="24"/>
                <w:lang w:val="en-US" w:eastAsia="zh-CN"/>
              </w:rPr>
              <w:t>cm/s）。</w:t>
            </w:r>
          </w:p>
          <w:p w14:paraId="7D6C7BD2">
            <w:pPr>
              <w:spacing w:line="360" w:lineRule="auto"/>
              <w:ind w:firstLine="480" w:firstLineChars="200"/>
              <w:rPr>
                <w:rFonts w:hint="eastAsia" w:ascii="Times New Roman" w:hAnsi="Times New Roman" w:eastAsia="宋体" w:cs="Times New Roman"/>
                <w:color w:val="auto"/>
                <w:kern w:val="0"/>
                <w:sz w:val="24"/>
                <w:lang w:val="en-US" w:eastAsia="zh-CN" w:bidi="ar"/>
              </w:rPr>
            </w:pPr>
            <w:r>
              <w:rPr>
                <w:rFonts w:hint="eastAsia" w:cs="Times New Roman"/>
                <w:color w:val="auto"/>
                <w:kern w:val="0"/>
                <w:sz w:val="24"/>
                <w:lang w:val="en-US" w:eastAsia="zh-CN" w:bidi="ar"/>
              </w:rPr>
              <w:t>3、</w:t>
            </w:r>
            <w:r>
              <w:rPr>
                <w:rFonts w:hint="eastAsia" w:ascii="Times New Roman" w:hAnsi="Times New Roman" w:eastAsia="宋体" w:cs="Times New Roman"/>
                <w:color w:val="auto"/>
                <w:kern w:val="0"/>
                <w:sz w:val="24"/>
                <w:lang w:val="en-US" w:eastAsia="zh-CN" w:bidi="ar"/>
              </w:rPr>
              <w:t>简单污染防治区</w:t>
            </w:r>
          </w:p>
          <w:p w14:paraId="2267BB6B">
            <w:pPr>
              <w:spacing w:line="360" w:lineRule="auto"/>
              <w:ind w:firstLine="480" w:firstLineChars="200"/>
              <w:rPr>
                <w:rFonts w:hint="eastAsia"/>
                <w:color w:val="auto"/>
                <w:lang w:val="en-US" w:eastAsia="zh-CN"/>
              </w:rPr>
            </w:pPr>
            <w:r>
              <w:rPr>
                <w:rFonts w:hint="eastAsia" w:ascii="Times New Roman" w:hAnsi="Times New Roman" w:eastAsia="宋体" w:cs="Times New Roman"/>
                <w:color w:val="auto"/>
                <w:kern w:val="0"/>
                <w:sz w:val="24"/>
                <w:lang w:val="en-US" w:eastAsia="zh-CN" w:bidi="ar"/>
              </w:rPr>
              <w:t>本项目简单防渗区为</w:t>
            </w:r>
            <w:r>
              <w:rPr>
                <w:rFonts w:hint="eastAsia" w:cs="Times New Roman"/>
                <w:color w:val="auto"/>
                <w:kern w:val="0"/>
                <w:sz w:val="24"/>
                <w:lang w:val="en-US" w:eastAsia="zh-CN" w:bidi="ar"/>
              </w:rPr>
              <w:t>除一般防渗区和重点防渗区全厂区其他区域</w:t>
            </w:r>
            <w:r>
              <w:rPr>
                <w:rFonts w:hint="eastAsia" w:ascii="Times New Roman" w:hAnsi="Times New Roman" w:eastAsia="宋体" w:cs="Times New Roman"/>
                <w:color w:val="auto"/>
                <w:kern w:val="0"/>
                <w:sz w:val="24"/>
                <w:lang w:val="en-US" w:eastAsia="zh-CN" w:bidi="ar"/>
              </w:rPr>
              <w:t>，参照《环境影响评价技术导则 地下水环境》(HJ610-2016)表7地下水污染防渗分区参照表中简单防渗区防渗技术要求，主要防渗措施为水泥地面硬化。</w:t>
            </w:r>
          </w:p>
          <w:p w14:paraId="170E773D">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480"/>
              <w:jc w:val="center"/>
              <w:textAlignment w:val="auto"/>
              <w:rPr>
                <w:rFonts w:hint="eastAsia" w:ascii="Times New Roman" w:hAnsi="Times New Roman" w:eastAsia="宋体" w:cs="Times New Roman"/>
                <w:b/>
                <w:bCs/>
                <w:color w:val="auto"/>
                <w:sz w:val="21"/>
                <w:szCs w:val="16"/>
                <w:highlight w:val="none"/>
                <w:lang w:val="en-US" w:eastAsia="zh-CN"/>
              </w:rPr>
            </w:pPr>
            <w:r>
              <w:rPr>
                <w:rFonts w:hint="eastAsia" w:ascii="Times New Roman" w:hAnsi="Times New Roman" w:eastAsia="宋体" w:cs="Times New Roman"/>
                <w:b/>
                <w:bCs/>
                <w:color w:val="auto"/>
                <w:sz w:val="21"/>
                <w:szCs w:val="16"/>
                <w:highlight w:val="none"/>
                <w:lang w:val="en-US" w:eastAsia="zh-CN"/>
              </w:rPr>
              <w:t>表4-</w:t>
            </w:r>
            <w:r>
              <w:rPr>
                <w:rFonts w:hint="eastAsia" w:cs="Times New Roman"/>
                <w:b/>
                <w:bCs/>
                <w:color w:val="auto"/>
                <w:sz w:val="21"/>
                <w:szCs w:val="16"/>
                <w:highlight w:val="none"/>
                <w:lang w:val="en-US" w:eastAsia="zh-CN"/>
              </w:rPr>
              <w:t>13</w:t>
            </w:r>
            <w:r>
              <w:rPr>
                <w:rFonts w:hint="eastAsia" w:eastAsia="宋体" w:cs="Times New Roman"/>
                <w:b/>
                <w:bCs/>
                <w:color w:val="auto"/>
                <w:sz w:val="21"/>
                <w:szCs w:val="16"/>
                <w:highlight w:val="none"/>
                <w:lang w:val="en-US" w:eastAsia="zh-CN"/>
              </w:rPr>
              <w:t xml:space="preserve">  </w:t>
            </w:r>
            <w:r>
              <w:rPr>
                <w:rFonts w:hint="eastAsia" w:ascii="Times New Roman" w:hAnsi="Times New Roman" w:eastAsia="宋体" w:cs="Times New Roman"/>
                <w:b/>
                <w:bCs/>
                <w:color w:val="auto"/>
                <w:sz w:val="21"/>
                <w:szCs w:val="16"/>
                <w:highlight w:val="none"/>
                <w:lang w:val="en-US" w:eastAsia="zh-CN"/>
              </w:rPr>
              <w:t>本项目分区防渗情况一览表</w:t>
            </w:r>
          </w:p>
          <w:tbl>
            <w:tblPr>
              <w:tblStyle w:val="3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384"/>
              <w:gridCol w:w="839"/>
              <w:gridCol w:w="1683"/>
              <w:gridCol w:w="4386"/>
              <w:gridCol w:w="886"/>
            </w:tblGrid>
            <w:tr w14:paraId="30D828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24" w:hRule="atLeast"/>
                <w:jc w:val="center"/>
              </w:trPr>
              <w:tc>
                <w:tcPr>
                  <w:tcW w:w="234" w:type="pct"/>
                  <w:tcBorders>
                    <w:tl2br w:val="nil"/>
                    <w:tr2bl w:val="nil"/>
                  </w:tcBorders>
                  <w:noWrap w:val="0"/>
                  <w:vAlign w:val="center"/>
                </w:tcPr>
                <w:p w14:paraId="180633D1">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eastAsia" w:ascii="Times New Roman" w:hAnsi="Times New Roman" w:eastAsia="宋体" w:cs="Times New Roman"/>
                      <w:color w:val="auto"/>
                      <w:sz w:val="21"/>
                      <w:szCs w:val="16"/>
                      <w:highlight w:val="none"/>
                      <w:lang w:val="en-US" w:eastAsia="zh-CN"/>
                    </w:rPr>
                  </w:pPr>
                  <w:r>
                    <w:rPr>
                      <w:rFonts w:hint="eastAsia" w:ascii="Times New Roman" w:hAnsi="Times New Roman" w:eastAsia="宋体" w:cs="Times New Roman"/>
                      <w:color w:val="auto"/>
                      <w:sz w:val="21"/>
                      <w:szCs w:val="16"/>
                      <w:highlight w:val="none"/>
                      <w:lang w:val="en-US" w:eastAsia="zh-CN"/>
                    </w:rPr>
                    <w:t>序号</w:t>
                  </w:r>
                </w:p>
              </w:tc>
              <w:tc>
                <w:tcPr>
                  <w:tcW w:w="512" w:type="pct"/>
                  <w:tcBorders>
                    <w:tl2br w:val="nil"/>
                    <w:tr2bl w:val="nil"/>
                  </w:tcBorders>
                  <w:noWrap w:val="0"/>
                  <w:vAlign w:val="center"/>
                </w:tcPr>
                <w:p w14:paraId="3D6FF134">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eastAsia" w:ascii="Times New Roman" w:hAnsi="Times New Roman" w:eastAsia="宋体" w:cs="Times New Roman"/>
                      <w:color w:val="auto"/>
                      <w:sz w:val="21"/>
                      <w:szCs w:val="16"/>
                      <w:highlight w:val="none"/>
                      <w:lang w:val="en-US" w:eastAsia="zh-CN"/>
                    </w:rPr>
                  </w:pPr>
                  <w:r>
                    <w:rPr>
                      <w:rFonts w:hint="eastAsia" w:ascii="Times New Roman" w:hAnsi="Times New Roman" w:eastAsia="宋体" w:cs="Times New Roman"/>
                      <w:color w:val="auto"/>
                      <w:sz w:val="21"/>
                      <w:szCs w:val="16"/>
                      <w:highlight w:val="none"/>
                      <w:lang w:val="en-US" w:eastAsia="zh-CN"/>
                    </w:rPr>
                    <w:t>污染防治区主要类别</w:t>
                  </w:r>
                </w:p>
              </w:tc>
              <w:tc>
                <w:tcPr>
                  <w:tcW w:w="1028" w:type="pct"/>
                  <w:tcBorders>
                    <w:tl2br w:val="nil"/>
                    <w:tr2bl w:val="nil"/>
                  </w:tcBorders>
                  <w:noWrap w:val="0"/>
                  <w:vAlign w:val="center"/>
                </w:tcPr>
                <w:p w14:paraId="12D69C03">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eastAsia" w:ascii="Times New Roman" w:hAnsi="Times New Roman" w:eastAsia="宋体" w:cs="Times New Roman"/>
                      <w:color w:val="auto"/>
                      <w:sz w:val="21"/>
                      <w:szCs w:val="16"/>
                      <w:highlight w:val="none"/>
                      <w:lang w:val="en-US" w:eastAsia="zh-CN"/>
                    </w:rPr>
                  </w:pPr>
                  <w:r>
                    <w:rPr>
                      <w:rFonts w:hint="eastAsia" w:ascii="Times New Roman" w:hAnsi="Times New Roman" w:eastAsia="宋体" w:cs="Times New Roman"/>
                      <w:color w:val="auto"/>
                      <w:sz w:val="21"/>
                      <w:szCs w:val="16"/>
                      <w:highlight w:val="none"/>
                      <w:lang w:val="en-US" w:eastAsia="zh-CN"/>
                    </w:rPr>
                    <w:t>装置、单元名称</w:t>
                  </w:r>
                </w:p>
              </w:tc>
              <w:tc>
                <w:tcPr>
                  <w:tcW w:w="2681" w:type="pct"/>
                  <w:tcBorders>
                    <w:tl2br w:val="nil"/>
                    <w:tr2bl w:val="nil"/>
                  </w:tcBorders>
                  <w:noWrap w:val="0"/>
                  <w:vAlign w:val="center"/>
                </w:tcPr>
                <w:p w14:paraId="7B317D6E">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eastAsia" w:ascii="Times New Roman" w:hAnsi="Times New Roman" w:eastAsia="宋体" w:cs="Times New Roman"/>
                      <w:color w:val="auto"/>
                      <w:sz w:val="21"/>
                      <w:szCs w:val="16"/>
                      <w:highlight w:val="none"/>
                      <w:lang w:val="en-US" w:eastAsia="zh-CN"/>
                    </w:rPr>
                  </w:pPr>
                  <w:r>
                    <w:rPr>
                      <w:rFonts w:hint="eastAsia" w:ascii="Times New Roman" w:hAnsi="Times New Roman" w:eastAsia="宋体" w:cs="Times New Roman"/>
                      <w:color w:val="auto"/>
                      <w:sz w:val="21"/>
                      <w:szCs w:val="16"/>
                      <w:highlight w:val="none"/>
                      <w:lang w:val="en-US" w:eastAsia="zh-CN"/>
                    </w:rPr>
                    <w:t>防渗要求</w:t>
                  </w:r>
                </w:p>
              </w:tc>
              <w:tc>
                <w:tcPr>
                  <w:tcW w:w="541" w:type="pct"/>
                  <w:tcBorders>
                    <w:tl2br w:val="nil"/>
                    <w:tr2bl w:val="nil"/>
                  </w:tcBorders>
                  <w:noWrap w:val="0"/>
                  <w:vAlign w:val="center"/>
                </w:tcPr>
                <w:p w14:paraId="40F360AD">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default" w:ascii="Times New Roman" w:hAnsi="Times New Roman" w:eastAsia="宋体" w:cs="Times New Roman"/>
                      <w:color w:val="auto"/>
                      <w:sz w:val="21"/>
                      <w:szCs w:val="16"/>
                      <w:highlight w:val="none"/>
                      <w:lang w:val="en-US" w:eastAsia="zh-CN"/>
                    </w:rPr>
                  </w:pPr>
                  <w:r>
                    <w:rPr>
                      <w:rFonts w:hint="eastAsia" w:cs="Times New Roman"/>
                      <w:color w:val="auto"/>
                      <w:sz w:val="21"/>
                      <w:szCs w:val="16"/>
                      <w:highlight w:val="none"/>
                      <w:lang w:val="en-US" w:eastAsia="zh-CN"/>
                    </w:rPr>
                    <w:t>备注</w:t>
                  </w:r>
                </w:p>
              </w:tc>
            </w:tr>
            <w:tr w14:paraId="20D087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34" w:type="pct"/>
                  <w:tcBorders>
                    <w:tl2br w:val="nil"/>
                    <w:tr2bl w:val="nil"/>
                  </w:tcBorders>
                  <w:shd w:val="clear" w:color="auto" w:fill="auto"/>
                  <w:noWrap w:val="0"/>
                  <w:vAlign w:val="center"/>
                </w:tcPr>
                <w:p w14:paraId="19222252">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center"/>
                    <w:textAlignment w:val="auto"/>
                    <w:rPr>
                      <w:rFonts w:hint="eastAsia" w:ascii="Times New Roman" w:hAnsi="Times New Roman" w:eastAsia="宋体" w:cs="Times New Roman"/>
                      <w:color w:val="auto"/>
                      <w:kern w:val="0"/>
                      <w:sz w:val="21"/>
                      <w:szCs w:val="16"/>
                      <w:highlight w:val="none"/>
                      <w:lang w:val="en-US" w:eastAsia="zh-CN" w:bidi="ar-SA"/>
                    </w:rPr>
                  </w:pPr>
                  <w:r>
                    <w:rPr>
                      <w:rFonts w:hint="eastAsia" w:ascii="Times New Roman" w:hAnsi="Times New Roman" w:eastAsia="宋体" w:cs="Times New Roman"/>
                      <w:color w:val="auto"/>
                      <w:sz w:val="21"/>
                      <w:szCs w:val="16"/>
                      <w:highlight w:val="none"/>
                      <w:lang w:val="en-US" w:eastAsia="zh-CN"/>
                    </w:rPr>
                    <w:t>1</w:t>
                  </w:r>
                </w:p>
              </w:tc>
              <w:tc>
                <w:tcPr>
                  <w:tcW w:w="512" w:type="pct"/>
                  <w:tcBorders>
                    <w:tl2br w:val="nil"/>
                    <w:tr2bl w:val="nil"/>
                  </w:tcBorders>
                  <w:shd w:val="clear" w:color="auto" w:fill="auto"/>
                  <w:noWrap w:val="0"/>
                  <w:vAlign w:val="center"/>
                </w:tcPr>
                <w:p w14:paraId="050F21A6">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center"/>
                    <w:textAlignment w:val="auto"/>
                    <w:rPr>
                      <w:rFonts w:hint="eastAsia" w:cs="Times New Roman"/>
                      <w:color w:val="auto"/>
                      <w:sz w:val="21"/>
                      <w:szCs w:val="16"/>
                      <w:highlight w:val="none"/>
                      <w:lang w:val="en-US" w:eastAsia="zh-CN"/>
                    </w:rPr>
                  </w:pPr>
                  <w:r>
                    <w:rPr>
                      <w:rFonts w:hint="eastAsia" w:cs="Times New Roman"/>
                      <w:color w:val="auto"/>
                      <w:sz w:val="21"/>
                      <w:szCs w:val="16"/>
                      <w:highlight w:val="none"/>
                      <w:lang w:val="en-US" w:eastAsia="zh-CN"/>
                    </w:rPr>
                    <w:t>重点防渗区</w:t>
                  </w:r>
                </w:p>
              </w:tc>
              <w:tc>
                <w:tcPr>
                  <w:tcW w:w="1028" w:type="pct"/>
                  <w:tcBorders>
                    <w:tl2br w:val="nil"/>
                    <w:tr2bl w:val="nil"/>
                  </w:tcBorders>
                  <w:shd w:val="clear" w:color="auto" w:fill="auto"/>
                  <w:noWrap w:val="0"/>
                  <w:vAlign w:val="center"/>
                </w:tcPr>
                <w:p w14:paraId="429337A3">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center"/>
                    <w:textAlignment w:val="auto"/>
                    <w:rPr>
                      <w:rFonts w:hint="eastAsia" w:cs="Times New Roman"/>
                      <w:color w:val="auto"/>
                      <w:sz w:val="21"/>
                      <w:szCs w:val="16"/>
                      <w:highlight w:val="none"/>
                      <w:lang w:val="en-US" w:eastAsia="zh-CN"/>
                    </w:rPr>
                  </w:pPr>
                  <w:r>
                    <w:rPr>
                      <w:rFonts w:hint="eastAsia" w:cs="Times New Roman"/>
                      <w:color w:val="auto"/>
                      <w:sz w:val="21"/>
                      <w:szCs w:val="16"/>
                      <w:highlight w:val="none"/>
                      <w:lang w:val="en-US" w:eastAsia="zh-CN"/>
                    </w:rPr>
                    <w:t>危废贮存点</w:t>
                  </w:r>
                </w:p>
              </w:tc>
              <w:tc>
                <w:tcPr>
                  <w:tcW w:w="2681" w:type="pct"/>
                  <w:tcBorders>
                    <w:tl2br w:val="nil"/>
                    <w:tr2bl w:val="nil"/>
                  </w:tcBorders>
                  <w:shd w:val="clear" w:color="auto" w:fill="auto"/>
                  <w:noWrap w:val="0"/>
                  <w:vAlign w:val="center"/>
                </w:tcPr>
                <w:p w14:paraId="4B155F9F">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center"/>
                    <w:textAlignment w:val="auto"/>
                    <w:rPr>
                      <w:rFonts w:hint="eastAsia" w:ascii="Times New Roman" w:hAnsi="Times New Roman" w:eastAsia="宋体" w:cs="Times New Roman"/>
                      <w:color w:val="auto"/>
                      <w:sz w:val="21"/>
                      <w:szCs w:val="16"/>
                      <w:highlight w:val="none"/>
                      <w:lang w:val="en-US" w:eastAsia="zh-CN"/>
                    </w:rPr>
                  </w:pPr>
                  <w:r>
                    <w:rPr>
                      <w:rFonts w:ascii="Times New Roman" w:hAnsi="Times New Roman" w:cs="Times New Roman"/>
                      <w:color w:val="auto"/>
                      <w:sz w:val="21"/>
                      <w:szCs w:val="16"/>
                    </w:rPr>
                    <w:t>地面与裙脚采用坚固防渗的材料建造，防风、防晒、防雨；基础</w:t>
                  </w:r>
                  <w:r>
                    <w:rPr>
                      <w:rFonts w:hint="eastAsia" w:ascii="Times New Roman" w:hAnsi="Times New Roman" w:cs="Times New Roman"/>
                      <w:color w:val="auto"/>
                      <w:sz w:val="21"/>
                      <w:szCs w:val="16"/>
                    </w:rPr>
                    <w:t>敷设</w:t>
                  </w:r>
                  <w:r>
                    <w:rPr>
                      <w:rFonts w:ascii="Times New Roman" w:hAnsi="Times New Roman" w:cs="Times New Roman"/>
                      <w:color w:val="auto"/>
                      <w:sz w:val="21"/>
                      <w:szCs w:val="16"/>
                    </w:rPr>
                    <w:t>至少2mm厚的高密度聚乙烯防水层，上部敷设10cm厚水泥层，渗透系数应≤1×10</w:t>
                  </w:r>
                  <w:r>
                    <w:rPr>
                      <w:rFonts w:ascii="Times New Roman" w:hAnsi="Times New Roman" w:cs="Times New Roman"/>
                      <w:color w:val="auto"/>
                      <w:sz w:val="21"/>
                      <w:szCs w:val="16"/>
                      <w:vertAlign w:val="superscript"/>
                    </w:rPr>
                    <w:t>-10</w:t>
                  </w:r>
                  <w:r>
                    <w:rPr>
                      <w:rFonts w:ascii="Times New Roman" w:hAnsi="Times New Roman" w:cs="Times New Roman"/>
                      <w:color w:val="auto"/>
                      <w:sz w:val="21"/>
                      <w:szCs w:val="16"/>
                    </w:rPr>
                    <w:t>cm/s</w:t>
                  </w:r>
                </w:p>
              </w:tc>
              <w:tc>
                <w:tcPr>
                  <w:tcW w:w="541" w:type="pct"/>
                  <w:tcBorders>
                    <w:tl2br w:val="nil"/>
                    <w:tr2bl w:val="nil"/>
                  </w:tcBorders>
                  <w:shd w:val="clear" w:color="auto" w:fill="auto"/>
                  <w:noWrap w:val="0"/>
                  <w:vAlign w:val="center"/>
                </w:tcPr>
                <w:p w14:paraId="0DC48A43">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center"/>
                    <w:textAlignment w:val="auto"/>
                    <w:rPr>
                      <w:rFonts w:hint="default" w:cs="Times New Roman"/>
                      <w:color w:val="auto"/>
                      <w:sz w:val="21"/>
                      <w:szCs w:val="16"/>
                      <w:highlight w:val="none"/>
                      <w:lang w:val="en-US" w:eastAsia="zh-CN"/>
                    </w:rPr>
                  </w:pPr>
                  <w:r>
                    <w:rPr>
                      <w:rFonts w:hint="eastAsia" w:cs="Times New Roman"/>
                      <w:color w:val="auto"/>
                      <w:sz w:val="21"/>
                      <w:szCs w:val="16"/>
                      <w:highlight w:val="none"/>
                      <w:lang w:val="en-US" w:eastAsia="zh-CN"/>
                    </w:rPr>
                    <w:t>新建</w:t>
                  </w:r>
                </w:p>
              </w:tc>
            </w:tr>
            <w:tr w14:paraId="2018BD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34" w:type="pct"/>
                  <w:tcBorders>
                    <w:tl2br w:val="nil"/>
                    <w:tr2bl w:val="nil"/>
                  </w:tcBorders>
                  <w:shd w:val="clear" w:color="auto" w:fill="auto"/>
                  <w:noWrap w:val="0"/>
                  <w:vAlign w:val="center"/>
                </w:tcPr>
                <w:p w14:paraId="03FEE898">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center"/>
                    <w:textAlignment w:val="auto"/>
                    <w:rPr>
                      <w:rFonts w:hint="eastAsia" w:ascii="Times New Roman" w:hAnsi="Times New Roman" w:eastAsia="宋体" w:cs="Times New Roman"/>
                      <w:color w:val="auto"/>
                      <w:kern w:val="0"/>
                      <w:sz w:val="21"/>
                      <w:szCs w:val="16"/>
                      <w:highlight w:val="none"/>
                      <w:lang w:val="en-US" w:eastAsia="zh-CN" w:bidi="ar-SA"/>
                    </w:rPr>
                  </w:pPr>
                  <w:r>
                    <w:rPr>
                      <w:rFonts w:hint="eastAsia" w:cs="Times New Roman"/>
                      <w:color w:val="auto"/>
                      <w:sz w:val="21"/>
                      <w:szCs w:val="16"/>
                      <w:highlight w:val="none"/>
                      <w:lang w:val="en-US" w:eastAsia="zh-CN"/>
                    </w:rPr>
                    <w:t>2</w:t>
                  </w:r>
                </w:p>
              </w:tc>
              <w:tc>
                <w:tcPr>
                  <w:tcW w:w="512" w:type="pct"/>
                  <w:tcBorders>
                    <w:tl2br w:val="nil"/>
                    <w:tr2bl w:val="nil"/>
                  </w:tcBorders>
                  <w:shd w:val="clear" w:color="auto" w:fill="auto"/>
                  <w:noWrap w:val="0"/>
                  <w:vAlign w:val="center"/>
                </w:tcPr>
                <w:p w14:paraId="46EE6E35">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16"/>
                      <w:highlight w:val="none"/>
                      <w:lang w:val="en-US" w:eastAsia="zh-CN" w:bidi="ar-SA"/>
                    </w:rPr>
                  </w:pPr>
                  <w:r>
                    <w:rPr>
                      <w:rFonts w:hint="eastAsia" w:cs="Times New Roman"/>
                      <w:color w:val="auto"/>
                      <w:sz w:val="21"/>
                      <w:szCs w:val="16"/>
                      <w:highlight w:val="none"/>
                      <w:lang w:val="en-US" w:eastAsia="zh-CN"/>
                    </w:rPr>
                    <w:t>一般防渗区</w:t>
                  </w:r>
                </w:p>
              </w:tc>
              <w:tc>
                <w:tcPr>
                  <w:tcW w:w="1028" w:type="pct"/>
                  <w:tcBorders>
                    <w:tl2br w:val="nil"/>
                    <w:tr2bl w:val="nil"/>
                  </w:tcBorders>
                  <w:shd w:val="clear" w:color="auto" w:fill="auto"/>
                  <w:noWrap w:val="0"/>
                  <w:vAlign w:val="center"/>
                </w:tcPr>
                <w:p w14:paraId="32559A90">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16"/>
                      <w:highlight w:val="none"/>
                      <w:lang w:val="en-US" w:eastAsia="zh-CN" w:bidi="ar-SA"/>
                    </w:rPr>
                  </w:pPr>
                  <w:r>
                    <w:rPr>
                      <w:rFonts w:hint="eastAsia" w:cs="Times New Roman"/>
                      <w:color w:val="auto"/>
                      <w:sz w:val="21"/>
                      <w:szCs w:val="16"/>
                      <w:highlight w:val="none"/>
                      <w:lang w:val="en-US" w:eastAsia="zh-CN"/>
                    </w:rPr>
                    <w:t>石墨烘干车间、石墨烘干筛分车间、纳米材料车间、锅炉房</w:t>
                  </w:r>
                </w:p>
              </w:tc>
              <w:tc>
                <w:tcPr>
                  <w:tcW w:w="2681" w:type="pct"/>
                  <w:tcBorders>
                    <w:tl2br w:val="nil"/>
                    <w:tr2bl w:val="nil"/>
                  </w:tcBorders>
                  <w:shd w:val="clear" w:color="auto" w:fill="auto"/>
                  <w:noWrap w:val="0"/>
                  <w:vAlign w:val="center"/>
                </w:tcPr>
                <w:p w14:paraId="603C0752">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center"/>
                    <w:textAlignment w:val="auto"/>
                    <w:rPr>
                      <w:rFonts w:hint="eastAsia" w:ascii="Times New Roman" w:hAnsi="Times New Roman" w:eastAsia="宋体" w:cs="Times New Roman"/>
                      <w:color w:val="auto"/>
                      <w:kern w:val="0"/>
                      <w:sz w:val="21"/>
                      <w:szCs w:val="16"/>
                      <w:highlight w:val="none"/>
                      <w:lang w:val="en-US" w:eastAsia="zh-CN" w:bidi="ar-SA"/>
                    </w:rPr>
                  </w:pPr>
                  <w:r>
                    <w:rPr>
                      <w:rFonts w:hint="eastAsia" w:ascii="Times New Roman" w:hAnsi="Times New Roman" w:eastAsia="宋体" w:cs="Times New Roman"/>
                      <w:color w:val="auto"/>
                      <w:sz w:val="21"/>
                      <w:szCs w:val="16"/>
                      <w:highlight w:val="none"/>
                      <w:lang w:val="en-US" w:eastAsia="zh-CN"/>
                    </w:rPr>
                    <w:t>抗渗等级不低于P6级的抗渗混凝土，满足《环境影响评价技术导则 地下水环境》（HJ610-2016）表7中一般防渗区防渗技术要求（等效黏土防渗层Mb≥1.5m，渗透系数≤10</w:t>
                  </w:r>
                  <w:r>
                    <w:rPr>
                      <w:rFonts w:hint="eastAsia" w:ascii="Times New Roman" w:hAnsi="Times New Roman" w:eastAsia="宋体" w:cs="Times New Roman"/>
                      <w:color w:val="auto"/>
                      <w:sz w:val="21"/>
                      <w:szCs w:val="16"/>
                      <w:highlight w:val="none"/>
                      <w:vertAlign w:val="superscript"/>
                      <w:lang w:val="en-US" w:eastAsia="zh-CN"/>
                    </w:rPr>
                    <w:t>-7</w:t>
                  </w:r>
                  <w:r>
                    <w:rPr>
                      <w:rFonts w:hint="eastAsia" w:ascii="Times New Roman" w:hAnsi="Times New Roman" w:eastAsia="宋体" w:cs="Times New Roman"/>
                      <w:color w:val="auto"/>
                      <w:sz w:val="21"/>
                      <w:szCs w:val="16"/>
                      <w:highlight w:val="none"/>
                      <w:lang w:val="en-US" w:eastAsia="zh-CN"/>
                    </w:rPr>
                    <w:t>cm/s）</w:t>
                  </w:r>
                </w:p>
              </w:tc>
              <w:tc>
                <w:tcPr>
                  <w:tcW w:w="541" w:type="pct"/>
                  <w:tcBorders>
                    <w:tl2br w:val="nil"/>
                    <w:tr2bl w:val="nil"/>
                  </w:tcBorders>
                  <w:shd w:val="clear" w:color="auto" w:fill="auto"/>
                  <w:noWrap w:val="0"/>
                  <w:vAlign w:val="center"/>
                </w:tcPr>
                <w:p w14:paraId="6551CF36">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center"/>
                    <w:textAlignment w:val="auto"/>
                    <w:rPr>
                      <w:rFonts w:hint="default" w:ascii="Times New Roman" w:hAnsi="Times New Roman" w:eastAsia="宋体" w:cs="Times New Roman"/>
                      <w:color w:val="auto"/>
                      <w:sz w:val="21"/>
                      <w:szCs w:val="16"/>
                      <w:highlight w:val="none"/>
                      <w:lang w:val="en-US" w:eastAsia="zh-CN"/>
                    </w:rPr>
                  </w:pPr>
                  <w:r>
                    <w:rPr>
                      <w:rFonts w:hint="eastAsia" w:cs="Times New Roman"/>
                      <w:color w:val="auto"/>
                      <w:sz w:val="21"/>
                      <w:szCs w:val="16"/>
                      <w:highlight w:val="none"/>
                      <w:lang w:val="en-US" w:eastAsia="zh-CN"/>
                    </w:rPr>
                    <w:t>依托</w:t>
                  </w:r>
                </w:p>
              </w:tc>
            </w:tr>
            <w:tr w14:paraId="4DBE18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34" w:type="pct"/>
                  <w:tcBorders>
                    <w:tl2br w:val="nil"/>
                    <w:tr2bl w:val="nil"/>
                  </w:tcBorders>
                  <w:noWrap w:val="0"/>
                  <w:vAlign w:val="center"/>
                </w:tcPr>
                <w:p w14:paraId="436EB902">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16"/>
                      <w:highlight w:val="none"/>
                      <w:lang w:val="en-US" w:eastAsia="zh-CN" w:bidi="ar-SA"/>
                    </w:rPr>
                  </w:pPr>
                  <w:r>
                    <w:rPr>
                      <w:rFonts w:hint="eastAsia" w:cs="Times New Roman"/>
                      <w:color w:val="auto"/>
                      <w:kern w:val="0"/>
                      <w:sz w:val="21"/>
                      <w:szCs w:val="16"/>
                      <w:highlight w:val="none"/>
                      <w:lang w:val="en-US" w:eastAsia="zh-CN" w:bidi="ar-SA"/>
                    </w:rPr>
                    <w:t>3</w:t>
                  </w:r>
                </w:p>
              </w:tc>
              <w:tc>
                <w:tcPr>
                  <w:tcW w:w="512" w:type="pct"/>
                  <w:tcBorders>
                    <w:tl2br w:val="nil"/>
                    <w:tr2bl w:val="nil"/>
                  </w:tcBorders>
                  <w:shd w:val="clear" w:color="auto" w:fill="auto"/>
                  <w:noWrap w:val="0"/>
                  <w:vAlign w:val="center"/>
                </w:tcPr>
                <w:p w14:paraId="0D8CD94B">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16"/>
                      <w:highlight w:val="none"/>
                      <w:lang w:val="en-US" w:eastAsia="zh-CN" w:bidi="ar-SA"/>
                    </w:rPr>
                  </w:pPr>
                  <w:r>
                    <w:rPr>
                      <w:rFonts w:hint="eastAsia" w:ascii="Times New Roman" w:hAnsi="Times New Roman" w:eastAsia="宋体" w:cs="Times New Roman"/>
                      <w:color w:val="auto"/>
                      <w:sz w:val="21"/>
                      <w:szCs w:val="16"/>
                      <w:highlight w:val="none"/>
                      <w:lang w:val="en-US" w:eastAsia="zh-CN"/>
                    </w:rPr>
                    <w:t>简单防渗区</w:t>
                  </w:r>
                </w:p>
              </w:tc>
              <w:tc>
                <w:tcPr>
                  <w:tcW w:w="1028" w:type="pct"/>
                  <w:tcBorders>
                    <w:tl2br w:val="nil"/>
                    <w:tr2bl w:val="nil"/>
                  </w:tcBorders>
                  <w:shd w:val="clear" w:color="auto" w:fill="auto"/>
                  <w:noWrap w:val="0"/>
                  <w:vAlign w:val="center"/>
                </w:tcPr>
                <w:p w14:paraId="4C677775">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16"/>
                      <w:highlight w:val="none"/>
                      <w:lang w:val="en-US" w:eastAsia="zh-CN" w:bidi="ar-SA"/>
                    </w:rPr>
                  </w:pPr>
                  <w:r>
                    <w:rPr>
                      <w:rFonts w:hint="eastAsia" w:ascii="Times New Roman" w:hAnsi="Times New Roman" w:eastAsia="宋体" w:cs="Times New Roman"/>
                      <w:color w:val="auto"/>
                      <w:sz w:val="21"/>
                      <w:szCs w:val="16"/>
                      <w:highlight w:val="none"/>
                      <w:lang w:val="en-US" w:eastAsia="zh-CN"/>
                    </w:rPr>
                    <w:t>除</w:t>
                  </w:r>
                  <w:r>
                    <w:rPr>
                      <w:rFonts w:hint="eastAsia" w:cs="Times New Roman"/>
                      <w:color w:val="auto"/>
                      <w:sz w:val="21"/>
                      <w:szCs w:val="16"/>
                      <w:highlight w:val="none"/>
                      <w:lang w:val="en-US" w:eastAsia="zh-CN"/>
                    </w:rPr>
                    <w:t>重点防渗区和</w:t>
                  </w:r>
                  <w:r>
                    <w:rPr>
                      <w:rFonts w:hint="eastAsia" w:ascii="Times New Roman" w:hAnsi="Times New Roman" w:eastAsia="宋体" w:cs="Times New Roman"/>
                      <w:color w:val="auto"/>
                      <w:sz w:val="21"/>
                      <w:szCs w:val="16"/>
                      <w:highlight w:val="none"/>
                      <w:lang w:val="en-US" w:eastAsia="zh-CN"/>
                    </w:rPr>
                    <w:t>一般防渗区</w:t>
                  </w:r>
                  <w:r>
                    <w:rPr>
                      <w:rFonts w:hint="eastAsia" w:cs="Times New Roman"/>
                      <w:color w:val="auto"/>
                      <w:sz w:val="21"/>
                      <w:szCs w:val="16"/>
                      <w:highlight w:val="none"/>
                      <w:lang w:val="en-US" w:eastAsia="zh-CN"/>
                    </w:rPr>
                    <w:t>外</w:t>
                  </w:r>
                  <w:r>
                    <w:rPr>
                      <w:rFonts w:hint="eastAsia" w:ascii="Times New Roman" w:hAnsi="Times New Roman" w:eastAsia="宋体" w:cs="Times New Roman"/>
                      <w:color w:val="auto"/>
                      <w:sz w:val="21"/>
                      <w:szCs w:val="16"/>
                      <w:highlight w:val="none"/>
                      <w:lang w:val="en-US" w:eastAsia="zh-CN"/>
                    </w:rPr>
                    <w:t>全厂区其他区域</w:t>
                  </w:r>
                </w:p>
              </w:tc>
              <w:tc>
                <w:tcPr>
                  <w:tcW w:w="2681" w:type="pct"/>
                  <w:tcBorders>
                    <w:tl2br w:val="nil"/>
                    <w:tr2bl w:val="nil"/>
                  </w:tcBorders>
                  <w:shd w:val="clear" w:color="auto" w:fill="auto"/>
                  <w:noWrap w:val="0"/>
                  <w:vAlign w:val="center"/>
                </w:tcPr>
                <w:p w14:paraId="36BA235D">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center"/>
                    <w:textAlignment w:val="auto"/>
                    <w:rPr>
                      <w:rFonts w:hint="eastAsia" w:ascii="Times New Roman" w:hAnsi="Times New Roman" w:eastAsia="宋体" w:cs="Times New Roman"/>
                      <w:color w:val="auto"/>
                      <w:kern w:val="0"/>
                      <w:sz w:val="21"/>
                      <w:szCs w:val="16"/>
                      <w:highlight w:val="none"/>
                      <w:lang w:val="en-US" w:eastAsia="zh-CN" w:bidi="ar-SA"/>
                    </w:rPr>
                  </w:pPr>
                  <w:r>
                    <w:rPr>
                      <w:rFonts w:hint="eastAsia" w:ascii="Times New Roman" w:hAnsi="Times New Roman" w:eastAsia="宋体" w:cs="Times New Roman"/>
                      <w:color w:val="auto"/>
                      <w:sz w:val="21"/>
                      <w:szCs w:val="16"/>
                      <w:highlight w:val="none"/>
                      <w:lang w:val="en-US" w:eastAsia="zh-CN"/>
                    </w:rPr>
                    <w:t>水泥地面硬化</w:t>
                  </w:r>
                </w:p>
              </w:tc>
              <w:tc>
                <w:tcPr>
                  <w:tcW w:w="541" w:type="pct"/>
                  <w:tcBorders>
                    <w:tl2br w:val="nil"/>
                    <w:tr2bl w:val="nil"/>
                  </w:tcBorders>
                  <w:shd w:val="clear" w:color="auto" w:fill="auto"/>
                  <w:noWrap w:val="0"/>
                  <w:vAlign w:val="center"/>
                </w:tcPr>
                <w:p w14:paraId="0CD272F2">
                  <w:pPr>
                    <w:pStyle w:val="5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center"/>
                    <w:textAlignment w:val="auto"/>
                    <w:rPr>
                      <w:rFonts w:hint="eastAsia" w:ascii="Times New Roman" w:hAnsi="Times New Roman" w:eastAsia="宋体" w:cs="Times New Roman"/>
                      <w:color w:val="auto"/>
                      <w:sz w:val="21"/>
                      <w:szCs w:val="16"/>
                      <w:highlight w:val="none"/>
                      <w:lang w:val="en-US" w:eastAsia="zh-CN"/>
                    </w:rPr>
                  </w:pPr>
                  <w:r>
                    <w:rPr>
                      <w:rFonts w:hint="eastAsia" w:cs="Times New Roman"/>
                      <w:color w:val="auto"/>
                      <w:sz w:val="21"/>
                      <w:szCs w:val="16"/>
                      <w:highlight w:val="none"/>
                      <w:lang w:val="en-US" w:eastAsia="zh-CN"/>
                    </w:rPr>
                    <w:t>依托</w:t>
                  </w:r>
                </w:p>
              </w:tc>
            </w:tr>
          </w:tbl>
          <w:p w14:paraId="59F86C3E">
            <w:pPr>
              <w:pStyle w:val="181"/>
              <w:spacing w:line="360" w:lineRule="auto"/>
              <w:ind w:firstLine="480"/>
              <w:rPr>
                <w:b/>
                <w:bCs/>
                <w:color w:val="auto"/>
              </w:rPr>
            </w:pPr>
            <w:r>
              <w:rPr>
                <w:rFonts w:hint="eastAsia"/>
                <w:b/>
                <w:bCs/>
                <w:color w:val="auto"/>
                <w:lang w:val="en-US" w:eastAsia="zh-CN"/>
              </w:rPr>
              <w:t>六</w:t>
            </w:r>
            <w:r>
              <w:rPr>
                <w:rFonts w:hint="eastAsia"/>
                <w:b/>
                <w:bCs/>
                <w:color w:val="auto"/>
              </w:rPr>
              <w:t>、环境风险影响分析</w:t>
            </w:r>
          </w:p>
          <w:p w14:paraId="72BCEC6D">
            <w:pPr>
              <w:pStyle w:val="58"/>
              <w:adjustRightInd w:val="0"/>
              <w:snapToGrid w:val="0"/>
              <w:spacing w:line="360" w:lineRule="auto"/>
              <w:ind w:firstLine="480"/>
              <w:rPr>
                <w:rFonts w:eastAsiaTheme="minorEastAsia"/>
                <w:color w:val="auto"/>
              </w:rPr>
            </w:pPr>
            <w:r>
              <w:rPr>
                <w:rFonts w:hint="eastAsia" w:eastAsiaTheme="minorEastAsia"/>
                <w:color w:val="auto"/>
              </w:rPr>
              <w:t>环境风险评价的目的是分析和预测建设项目存在的潜在危险、有害因素，建设项目建设和运行期间可能发生的突发性事件或事故（一般不包括人为破坏及自然灾害），引起有毒有害和易燃易爆等物质泄漏，所造成的人身安全与环境影响和损害程度，提出合理可行的防范、应急与减缓措施，以将风险可能性和危害程度降至最低。</w:t>
            </w:r>
          </w:p>
          <w:p w14:paraId="62D7A8D4">
            <w:pPr>
              <w:pStyle w:val="58"/>
              <w:adjustRightInd w:val="0"/>
              <w:snapToGrid w:val="0"/>
              <w:spacing w:line="360" w:lineRule="auto"/>
              <w:ind w:firstLine="480"/>
              <w:rPr>
                <w:rFonts w:hint="default" w:ascii="Times New Roman" w:hAnsi="Times New Roman" w:cs="Times New Roman" w:eastAsiaTheme="minorEastAsia"/>
                <w:color w:val="auto"/>
              </w:rPr>
            </w:pPr>
            <w:r>
              <w:rPr>
                <w:rFonts w:hint="eastAsia" w:eastAsiaTheme="minorEastAsia"/>
                <w:color w:val="auto"/>
              </w:rPr>
              <w:t>本</w:t>
            </w:r>
            <w:r>
              <w:rPr>
                <w:rFonts w:hint="eastAsia"/>
                <w:color w:val="auto"/>
                <w:lang w:val="en-US" w:eastAsia="zh-CN"/>
              </w:rPr>
              <w:t>项目设备维修和保养过程中会</w:t>
            </w:r>
            <w:r>
              <w:rPr>
                <w:rFonts w:hint="default" w:ascii="Times New Roman" w:hAnsi="Times New Roman" w:cs="Times New Roman"/>
                <w:color w:val="auto"/>
                <w:lang w:val="en-US" w:eastAsia="zh-CN"/>
              </w:rPr>
              <w:t>产生废机油</w:t>
            </w:r>
            <w:r>
              <w:rPr>
                <w:rFonts w:hint="default" w:ascii="Times New Roman" w:hAnsi="Times New Roman" w:cs="Times New Roman" w:eastAsiaTheme="minorEastAsia"/>
                <w:color w:val="auto"/>
              </w:rPr>
              <w:t>。</w:t>
            </w:r>
          </w:p>
          <w:p w14:paraId="366869EA">
            <w:pPr>
              <w:pStyle w:val="5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1、风险潜势初判</w:t>
            </w:r>
          </w:p>
          <w:p w14:paraId="1997E221">
            <w:pPr>
              <w:pStyle w:val="5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（1）物质及工艺系统危险性</w:t>
            </w:r>
          </w:p>
          <w:p w14:paraId="53B29630">
            <w:pPr>
              <w:pStyle w:val="5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根据《建设项目环境风险评价技术导则》HJ169-2018 中附录B，本项目涉及的危险物质为</w:t>
            </w:r>
            <w:r>
              <w:rPr>
                <w:rFonts w:hint="eastAsia" w:cs="Times New Roman"/>
                <w:color w:val="auto"/>
                <w:lang w:val="en-US" w:eastAsia="zh-CN"/>
              </w:rPr>
              <w:t>废机油</w:t>
            </w:r>
            <w:r>
              <w:rPr>
                <w:rFonts w:hint="default" w:ascii="Times New Roman" w:hAnsi="Times New Roman" w:cs="Times New Roman" w:eastAsiaTheme="minorEastAsia"/>
                <w:color w:val="auto"/>
              </w:rPr>
              <w:t>。</w:t>
            </w:r>
          </w:p>
          <w:p w14:paraId="50EA3496">
            <w:pPr>
              <w:pStyle w:val="58"/>
              <w:spacing w:line="240" w:lineRule="auto"/>
              <w:ind w:firstLine="422"/>
              <w:jc w:val="center"/>
              <w:rPr>
                <w:rFonts w:hint="eastAsia" w:ascii="Times New Roman" w:hAnsi="Times New Roman" w:eastAsia="宋体" w:cs="Times New Roman"/>
                <w:b/>
                <w:bCs/>
                <w:color w:val="auto"/>
                <w:sz w:val="21"/>
                <w:szCs w:val="16"/>
              </w:rPr>
            </w:pPr>
            <w:r>
              <w:rPr>
                <w:rFonts w:hint="eastAsia" w:ascii="Times New Roman" w:hAnsi="Times New Roman" w:eastAsia="宋体" w:cs="Times New Roman"/>
                <w:b/>
                <w:bCs/>
                <w:color w:val="auto"/>
                <w:sz w:val="21"/>
                <w:szCs w:val="16"/>
              </w:rPr>
              <w:t>表4-</w:t>
            </w:r>
            <w:r>
              <w:rPr>
                <w:rFonts w:hint="eastAsia" w:ascii="Times New Roman" w:hAnsi="Times New Roman" w:eastAsia="宋体" w:cs="Times New Roman"/>
                <w:b/>
                <w:bCs/>
                <w:color w:val="auto"/>
                <w:sz w:val="21"/>
                <w:szCs w:val="16"/>
                <w:lang w:val="en-US" w:eastAsia="zh-CN"/>
              </w:rPr>
              <w:t>1</w:t>
            </w:r>
            <w:r>
              <w:rPr>
                <w:rFonts w:hint="eastAsia" w:cs="Times New Roman"/>
                <w:b/>
                <w:bCs/>
                <w:color w:val="auto"/>
                <w:sz w:val="21"/>
                <w:szCs w:val="16"/>
                <w:lang w:val="en-US" w:eastAsia="zh-CN"/>
              </w:rPr>
              <w:t>4</w:t>
            </w:r>
            <w:r>
              <w:rPr>
                <w:rFonts w:hint="eastAsia" w:ascii="Times New Roman" w:hAnsi="Times New Roman" w:eastAsia="宋体" w:cs="Times New Roman"/>
                <w:b/>
                <w:bCs/>
                <w:color w:val="auto"/>
                <w:sz w:val="21"/>
                <w:szCs w:val="16"/>
              </w:rPr>
              <w:t xml:space="preserve">  废机油的理化性质及危险特性表</w:t>
            </w:r>
          </w:p>
          <w:tbl>
            <w:tblPr>
              <w:tblStyle w:val="40"/>
              <w:tblW w:w="819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70"/>
              <w:gridCol w:w="3387"/>
              <w:gridCol w:w="3035"/>
            </w:tblGrid>
            <w:tr w14:paraId="5C88BA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tcBorders>
                    <w:tl2br w:val="nil"/>
                    <w:tr2bl w:val="nil"/>
                  </w:tcBorders>
                  <w:vAlign w:val="center"/>
                </w:tcPr>
                <w:p w14:paraId="15C46E4F">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物质名称</w:t>
                  </w:r>
                </w:p>
              </w:tc>
              <w:tc>
                <w:tcPr>
                  <w:tcW w:w="6422" w:type="dxa"/>
                  <w:gridSpan w:val="2"/>
                  <w:tcBorders>
                    <w:tl2br w:val="nil"/>
                    <w:tr2bl w:val="nil"/>
                  </w:tcBorders>
                  <w:vAlign w:val="center"/>
                </w:tcPr>
                <w:p w14:paraId="47BD4946">
                  <w:pPr>
                    <w:pStyle w:val="5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废机油/链烷烃</w:t>
                  </w:r>
                </w:p>
              </w:tc>
            </w:tr>
            <w:tr w14:paraId="689311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tcBorders>
                    <w:tl2br w:val="nil"/>
                    <w:tr2bl w:val="nil"/>
                  </w:tcBorders>
                  <w:vAlign w:val="center"/>
                </w:tcPr>
                <w:p w14:paraId="60B20163">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危险性类别</w:t>
                  </w:r>
                </w:p>
              </w:tc>
              <w:tc>
                <w:tcPr>
                  <w:tcW w:w="6422" w:type="dxa"/>
                  <w:gridSpan w:val="2"/>
                  <w:tcBorders>
                    <w:tl2br w:val="nil"/>
                    <w:tr2bl w:val="nil"/>
                  </w:tcBorders>
                  <w:vAlign w:val="center"/>
                </w:tcPr>
                <w:p w14:paraId="14B7818F">
                  <w:pPr>
                    <w:pStyle w:val="58"/>
                    <w:adjustRightInd w:val="0"/>
                    <w:snapToGrid w:val="0"/>
                    <w:spacing w:line="360" w:lineRule="auto"/>
                    <w:ind w:firstLine="0" w:firstLineChars="0"/>
                    <w:jc w:val="both"/>
                    <w:rPr>
                      <w:rFonts w:hint="eastAsia"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rPr>
                    <w:t>易燃，其蒸气与空气可形成爆炸性混合物，遇明火高热能引起燃烧爆炸。与氧化剂接触发生化学反应，甚至引起燃烧。在火场中，受热的容器有爆炸危险蒸气比空气重，沿地面扩散并易积存于低洼处，遇火源会着火回燃</w:t>
                  </w:r>
                  <w:r>
                    <w:rPr>
                      <w:rFonts w:hint="eastAsia" w:ascii="Times New Roman" w:hAnsi="Times New Roman" w:cs="Times New Roman"/>
                      <w:color w:val="auto"/>
                      <w:sz w:val="21"/>
                      <w:szCs w:val="21"/>
                      <w:lang w:eastAsia="zh-CN"/>
                    </w:rPr>
                    <w:t>。</w:t>
                  </w:r>
                </w:p>
              </w:tc>
            </w:tr>
            <w:tr w14:paraId="2F35FC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vMerge w:val="restart"/>
                  <w:tcBorders>
                    <w:tl2br w:val="nil"/>
                    <w:tr2bl w:val="nil"/>
                  </w:tcBorders>
                  <w:vAlign w:val="center"/>
                </w:tcPr>
                <w:p w14:paraId="15A731AF">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物理性质</w:t>
                  </w:r>
                </w:p>
              </w:tc>
              <w:tc>
                <w:tcPr>
                  <w:tcW w:w="3387" w:type="dxa"/>
                  <w:tcBorders>
                    <w:tl2br w:val="nil"/>
                    <w:tr2bl w:val="nil"/>
                  </w:tcBorders>
                  <w:vAlign w:val="center"/>
                </w:tcPr>
                <w:p w14:paraId="5DAD7584">
                  <w:pPr>
                    <w:spacing w:line="360" w:lineRule="auto"/>
                    <w:jc w:val="both"/>
                    <w:rPr>
                      <w:rFonts w:hint="default" w:ascii="Times New Roman" w:hAnsi="Times New Roman" w:cs="Times New Roman" w:eastAsiaTheme="minorEastAsia"/>
                      <w:color w:val="auto"/>
                      <w:szCs w:val="21"/>
                    </w:rPr>
                  </w:pPr>
                  <w:r>
                    <w:rPr>
                      <w:rFonts w:hint="default" w:ascii="Times New Roman" w:hAnsi="Times New Roman" w:cs="Times New Roman"/>
                      <w:color w:val="auto"/>
                      <w:szCs w:val="21"/>
                    </w:rPr>
                    <w:t>熔点=95.3~-94.3℃</w:t>
                  </w:r>
                </w:p>
              </w:tc>
              <w:tc>
                <w:tcPr>
                  <w:tcW w:w="3035" w:type="dxa"/>
                  <w:tcBorders>
                    <w:tl2br w:val="nil"/>
                    <w:tr2bl w:val="nil"/>
                  </w:tcBorders>
                  <w:vAlign w:val="center"/>
                </w:tcPr>
                <w:p w14:paraId="0D058EC4">
                  <w:pPr>
                    <w:spacing w:line="360" w:lineRule="auto"/>
                    <w:jc w:val="both"/>
                    <w:rPr>
                      <w:rFonts w:hint="default" w:ascii="Times New Roman" w:hAnsi="Times New Roman" w:cs="Times New Roman"/>
                      <w:color w:val="auto"/>
                      <w:szCs w:val="21"/>
                    </w:rPr>
                  </w:pPr>
                  <w:r>
                    <w:rPr>
                      <w:rFonts w:hint="default" w:ascii="Times New Roman" w:hAnsi="Times New Roman" w:cs="Times New Roman"/>
                      <w:color w:val="auto"/>
                      <w:szCs w:val="21"/>
                    </w:rPr>
                    <w:t>沸点=69℃</w:t>
                  </w:r>
                </w:p>
              </w:tc>
            </w:tr>
            <w:tr w14:paraId="7F801D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vMerge w:val="continue"/>
                  <w:tcBorders>
                    <w:tl2br w:val="nil"/>
                    <w:tr2bl w:val="nil"/>
                  </w:tcBorders>
                  <w:vAlign w:val="center"/>
                </w:tcPr>
                <w:p w14:paraId="05C69DB3">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p>
              </w:tc>
              <w:tc>
                <w:tcPr>
                  <w:tcW w:w="3387" w:type="dxa"/>
                  <w:tcBorders>
                    <w:tl2br w:val="nil"/>
                    <w:tr2bl w:val="nil"/>
                  </w:tcBorders>
                  <w:vAlign w:val="center"/>
                </w:tcPr>
                <w:p w14:paraId="2A054DE0">
                  <w:pPr>
                    <w:pStyle w:val="5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相对密度（水=1）=0.66</w:t>
                  </w:r>
                </w:p>
              </w:tc>
              <w:tc>
                <w:tcPr>
                  <w:tcW w:w="3035" w:type="dxa"/>
                  <w:tcBorders>
                    <w:tl2br w:val="nil"/>
                    <w:tr2bl w:val="nil"/>
                  </w:tcBorders>
                  <w:vAlign w:val="center"/>
                </w:tcPr>
                <w:p w14:paraId="0281A1D7">
                  <w:pPr>
                    <w:pStyle w:val="5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相对蒸汽密度（空气=1）=2.97</w:t>
                  </w:r>
                </w:p>
              </w:tc>
            </w:tr>
            <w:tr w14:paraId="27481B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vMerge w:val="continue"/>
                  <w:tcBorders>
                    <w:tl2br w:val="nil"/>
                    <w:tr2bl w:val="nil"/>
                  </w:tcBorders>
                  <w:vAlign w:val="center"/>
                </w:tcPr>
                <w:p w14:paraId="50FBADBC">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p>
              </w:tc>
              <w:tc>
                <w:tcPr>
                  <w:tcW w:w="3387" w:type="dxa"/>
                  <w:tcBorders>
                    <w:tl2br w:val="nil"/>
                    <w:tr2bl w:val="nil"/>
                  </w:tcBorders>
                  <w:vAlign w:val="center"/>
                </w:tcPr>
                <w:p w14:paraId="61FF95E3">
                  <w:pPr>
                    <w:pStyle w:val="5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color w:val="auto"/>
                      <w:sz w:val="21"/>
                      <w:szCs w:val="21"/>
                    </w:rPr>
                    <w:t>饱和蒸气压=17kPa（20℃）</w:t>
                  </w:r>
                </w:p>
              </w:tc>
              <w:tc>
                <w:tcPr>
                  <w:tcW w:w="3035" w:type="dxa"/>
                  <w:tcBorders>
                    <w:tl2br w:val="nil"/>
                    <w:tr2bl w:val="nil"/>
                  </w:tcBorders>
                  <w:vAlign w:val="center"/>
                </w:tcPr>
                <w:p w14:paraId="36599C35">
                  <w:pPr>
                    <w:pStyle w:val="58"/>
                    <w:adjustRightInd w:val="0"/>
                    <w:snapToGrid w:val="0"/>
                    <w:spacing w:line="360" w:lineRule="auto"/>
                    <w:ind w:firstLine="0" w:firstLineChars="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燃烧热=-4159.1kJ/mol</w:t>
                  </w:r>
                </w:p>
              </w:tc>
            </w:tr>
            <w:tr w14:paraId="64A1F9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vMerge w:val="continue"/>
                  <w:tcBorders>
                    <w:tl2br w:val="nil"/>
                    <w:tr2bl w:val="nil"/>
                  </w:tcBorders>
                  <w:vAlign w:val="center"/>
                </w:tcPr>
                <w:p w14:paraId="5F298F9F">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p>
              </w:tc>
              <w:tc>
                <w:tcPr>
                  <w:tcW w:w="3387" w:type="dxa"/>
                  <w:tcBorders>
                    <w:tl2br w:val="nil"/>
                    <w:tr2bl w:val="nil"/>
                  </w:tcBorders>
                  <w:vAlign w:val="center"/>
                </w:tcPr>
                <w:p w14:paraId="42F77D43">
                  <w:pPr>
                    <w:pStyle w:val="5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color w:val="auto"/>
                      <w:sz w:val="21"/>
                      <w:szCs w:val="21"/>
                    </w:rPr>
                    <w:t>临界压力=1.09MPa</w:t>
                  </w:r>
                </w:p>
              </w:tc>
              <w:tc>
                <w:tcPr>
                  <w:tcW w:w="3035" w:type="dxa"/>
                  <w:tcBorders>
                    <w:tl2br w:val="nil"/>
                    <w:tr2bl w:val="nil"/>
                  </w:tcBorders>
                  <w:vAlign w:val="center"/>
                </w:tcPr>
                <w:p w14:paraId="1ACF3D40">
                  <w:pPr>
                    <w:pStyle w:val="5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color w:val="auto"/>
                      <w:sz w:val="21"/>
                      <w:szCs w:val="21"/>
                    </w:rPr>
                    <w:t>辛醇/水分配系数=1.9</w:t>
                  </w:r>
                </w:p>
              </w:tc>
            </w:tr>
            <w:tr w14:paraId="58FD7C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vMerge w:val="continue"/>
                  <w:tcBorders>
                    <w:tl2br w:val="nil"/>
                    <w:tr2bl w:val="nil"/>
                  </w:tcBorders>
                  <w:vAlign w:val="center"/>
                </w:tcPr>
                <w:p w14:paraId="6629E511">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p>
              </w:tc>
              <w:tc>
                <w:tcPr>
                  <w:tcW w:w="3387" w:type="dxa"/>
                  <w:tcBorders>
                    <w:tl2br w:val="nil"/>
                    <w:tr2bl w:val="nil"/>
                  </w:tcBorders>
                  <w:vAlign w:val="center"/>
                </w:tcPr>
                <w:p w14:paraId="47F65C86">
                  <w:pPr>
                    <w:pStyle w:val="58"/>
                    <w:adjustRightInd w:val="0"/>
                    <w:snapToGrid w:val="0"/>
                    <w:spacing w:line="360" w:lineRule="auto"/>
                    <w:ind w:firstLine="0" w:firstLineChars="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闪点=22℃</w:t>
                  </w:r>
                </w:p>
              </w:tc>
              <w:tc>
                <w:tcPr>
                  <w:tcW w:w="3035" w:type="dxa"/>
                  <w:tcBorders>
                    <w:tl2br w:val="nil"/>
                    <w:tr2bl w:val="nil"/>
                  </w:tcBorders>
                  <w:vAlign w:val="center"/>
                </w:tcPr>
                <w:p w14:paraId="60C2575A">
                  <w:pPr>
                    <w:pStyle w:val="5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color w:val="auto"/>
                      <w:sz w:val="21"/>
                      <w:szCs w:val="21"/>
                    </w:rPr>
                    <w:t>引燃温度=225℃</w:t>
                  </w:r>
                </w:p>
              </w:tc>
            </w:tr>
            <w:tr w14:paraId="35D467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vMerge w:val="continue"/>
                  <w:tcBorders>
                    <w:tl2br w:val="nil"/>
                    <w:tr2bl w:val="nil"/>
                  </w:tcBorders>
                  <w:vAlign w:val="center"/>
                </w:tcPr>
                <w:p w14:paraId="7AA5AD6E">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p>
              </w:tc>
              <w:tc>
                <w:tcPr>
                  <w:tcW w:w="3387" w:type="dxa"/>
                  <w:tcBorders>
                    <w:tl2br w:val="nil"/>
                    <w:tr2bl w:val="nil"/>
                  </w:tcBorders>
                  <w:vAlign w:val="center"/>
                </w:tcPr>
                <w:p w14:paraId="0E15FD0E">
                  <w:pPr>
                    <w:pStyle w:val="58"/>
                    <w:adjustRightInd w:val="0"/>
                    <w:snapToGrid w:val="0"/>
                    <w:spacing w:line="360" w:lineRule="auto"/>
                    <w:ind w:firstLine="0" w:firstLineChars="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爆炸下限=1.1%</w:t>
                  </w:r>
                </w:p>
              </w:tc>
              <w:tc>
                <w:tcPr>
                  <w:tcW w:w="3035" w:type="dxa"/>
                  <w:tcBorders>
                    <w:tl2br w:val="nil"/>
                    <w:tr2bl w:val="nil"/>
                  </w:tcBorders>
                  <w:vAlign w:val="center"/>
                </w:tcPr>
                <w:p w14:paraId="10F38252">
                  <w:pPr>
                    <w:pStyle w:val="58"/>
                    <w:adjustRightInd w:val="0"/>
                    <w:snapToGrid w:val="0"/>
                    <w:spacing w:line="360" w:lineRule="auto"/>
                    <w:ind w:firstLine="0" w:firstLineChars="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爆炸上限=7.5%</w:t>
                  </w:r>
                </w:p>
              </w:tc>
            </w:tr>
            <w:tr w14:paraId="1D029E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vMerge w:val="continue"/>
                  <w:tcBorders>
                    <w:tl2br w:val="nil"/>
                    <w:tr2bl w:val="nil"/>
                  </w:tcBorders>
                  <w:vAlign w:val="center"/>
                </w:tcPr>
                <w:p w14:paraId="3E152368">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p>
              </w:tc>
              <w:tc>
                <w:tcPr>
                  <w:tcW w:w="6422" w:type="dxa"/>
                  <w:gridSpan w:val="2"/>
                  <w:tcBorders>
                    <w:tl2br w:val="nil"/>
                    <w:tr2bl w:val="nil"/>
                  </w:tcBorders>
                  <w:vAlign w:val="center"/>
                </w:tcPr>
                <w:p w14:paraId="6809512A">
                  <w:pPr>
                    <w:pStyle w:val="58"/>
                    <w:adjustRightInd w:val="0"/>
                    <w:snapToGrid w:val="0"/>
                    <w:spacing w:line="360" w:lineRule="auto"/>
                    <w:ind w:firstLine="0" w:firstLineChars="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溶解性:不溶于水，溶于乙醇、乙醚、丙酮、氯仿等多数有机溶剂</w:t>
                  </w:r>
                </w:p>
              </w:tc>
            </w:tr>
            <w:tr w14:paraId="76D6BC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tcBorders>
                    <w:tl2br w:val="nil"/>
                    <w:tr2bl w:val="nil"/>
                  </w:tcBorders>
                  <w:vAlign w:val="center"/>
                </w:tcPr>
                <w:p w14:paraId="659C53C1">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外观与气味</w:t>
                  </w:r>
                </w:p>
              </w:tc>
              <w:tc>
                <w:tcPr>
                  <w:tcW w:w="6422" w:type="dxa"/>
                  <w:gridSpan w:val="2"/>
                  <w:tcBorders>
                    <w:tl2br w:val="nil"/>
                    <w:tr2bl w:val="nil"/>
                  </w:tcBorders>
                  <w:vAlign w:val="center"/>
                </w:tcPr>
                <w:p w14:paraId="79012E58">
                  <w:pPr>
                    <w:pStyle w:val="5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高挥发性无色液体，有汽油味</w:t>
                  </w:r>
                </w:p>
              </w:tc>
            </w:tr>
            <w:tr w14:paraId="26C965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92" w:type="dxa"/>
                  <w:gridSpan w:val="3"/>
                  <w:tcBorders>
                    <w:tl2br w:val="nil"/>
                    <w:tr2bl w:val="nil"/>
                  </w:tcBorders>
                  <w:vAlign w:val="center"/>
                </w:tcPr>
                <w:p w14:paraId="4E5CBCAB">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火灾爆炸危险数据</w:t>
                  </w:r>
                </w:p>
              </w:tc>
            </w:tr>
            <w:tr w14:paraId="1FEB30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tcBorders>
                    <w:tl2br w:val="nil"/>
                    <w:tr2bl w:val="nil"/>
                  </w:tcBorders>
                  <w:vAlign w:val="center"/>
                </w:tcPr>
                <w:p w14:paraId="4A678CA0">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灭火剂</w:t>
                  </w:r>
                </w:p>
              </w:tc>
              <w:tc>
                <w:tcPr>
                  <w:tcW w:w="6422" w:type="dxa"/>
                  <w:gridSpan w:val="2"/>
                  <w:tcBorders>
                    <w:tl2br w:val="nil"/>
                    <w:tr2bl w:val="nil"/>
                  </w:tcBorders>
                  <w:vAlign w:val="center"/>
                </w:tcPr>
                <w:p w14:paraId="16CD6158">
                  <w:pPr>
                    <w:pStyle w:val="5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用抗溶性泡沫、干粉、二氧化碳、砂土灭火</w:t>
                  </w:r>
                </w:p>
              </w:tc>
            </w:tr>
            <w:tr w14:paraId="18D62A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tcBorders>
                    <w:tl2br w:val="nil"/>
                    <w:tr2bl w:val="nil"/>
                  </w:tcBorders>
                  <w:vAlign w:val="center"/>
                </w:tcPr>
                <w:p w14:paraId="01803357">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危险特性</w:t>
                  </w:r>
                </w:p>
              </w:tc>
              <w:tc>
                <w:tcPr>
                  <w:tcW w:w="6422" w:type="dxa"/>
                  <w:gridSpan w:val="2"/>
                  <w:tcBorders>
                    <w:tl2br w:val="nil"/>
                    <w:tr2bl w:val="nil"/>
                  </w:tcBorders>
                  <w:vAlign w:val="center"/>
                </w:tcPr>
                <w:p w14:paraId="73560CBB">
                  <w:pPr>
                    <w:pStyle w:val="5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高闪点液体，可燃，并有腐蚀性、属于危险废物</w:t>
                  </w:r>
                </w:p>
              </w:tc>
            </w:tr>
            <w:tr w14:paraId="4F4CA5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tcBorders>
                    <w:tl2br w:val="nil"/>
                    <w:tr2bl w:val="nil"/>
                  </w:tcBorders>
                  <w:vAlign w:val="center"/>
                </w:tcPr>
                <w:p w14:paraId="2B63C9E1">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健康危害</w:t>
                  </w:r>
                </w:p>
                <w:p w14:paraId="730A1D71">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(急性、慢性)</w:t>
                  </w:r>
                </w:p>
              </w:tc>
              <w:tc>
                <w:tcPr>
                  <w:tcW w:w="6422" w:type="dxa"/>
                  <w:gridSpan w:val="2"/>
                  <w:tcBorders>
                    <w:tl2br w:val="nil"/>
                    <w:tr2bl w:val="nil"/>
                  </w:tcBorders>
                  <w:vAlign w:val="center"/>
                </w:tcPr>
                <w:p w14:paraId="29F7CC46">
                  <w:pPr>
                    <w:pStyle w:val="5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本品有麻醉和刺激作用。长期接触可致周围神经炎急性中毒:吸入高浓度本品出现头痛、头晕、恶心、共济失调等，重者引起神志丧失甚至死亡。对眼和上呼吸道有刺激性慢性中毒:长期接触出现头痛、头晕、乏力、胃纳减退:其后四肢远端逐渐发展成感觉异常，麻木，触、痛、震动和位置等感觉减退，尤以下肢为甚，上肢较少受累。进一步发展为下肢无力，肌肉疼痛，肌肉萎缩及运动障碍。神经-肌电图检查示感觉神经及运动神经传导速度减慢。</w:t>
                  </w:r>
                </w:p>
              </w:tc>
            </w:tr>
            <w:tr w14:paraId="52E600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tcBorders>
                    <w:tl2br w:val="nil"/>
                    <w:tr2bl w:val="nil"/>
                  </w:tcBorders>
                  <w:vAlign w:val="center"/>
                </w:tcPr>
                <w:p w14:paraId="26E2E94E">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泄漏紧急处理</w:t>
                  </w:r>
                </w:p>
              </w:tc>
              <w:tc>
                <w:tcPr>
                  <w:tcW w:w="6422" w:type="dxa"/>
                  <w:gridSpan w:val="2"/>
                  <w:tcBorders>
                    <w:tl2br w:val="nil"/>
                    <w:tr2bl w:val="nil"/>
                  </w:tcBorders>
                  <w:vAlign w:val="center"/>
                </w:tcPr>
                <w:p w14:paraId="6FB0E29F">
                  <w:pPr>
                    <w:pStyle w:val="5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少量溢出时先进行溢流的围堵，避免污染面积扩散，用沙或泥土吸收溢出的液体，然后移至安全地区，以待日后处理。较大面积泄漏时，需使用围油栏对油污进行控制，防止扩散，并使用收油机、油拖网、吸油毡、浮式储油罐进行吸附、收集。</w:t>
                  </w:r>
                </w:p>
              </w:tc>
            </w:tr>
            <w:tr w14:paraId="29B5AD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70" w:type="dxa"/>
                  <w:tcBorders>
                    <w:tl2br w:val="nil"/>
                    <w:tr2bl w:val="nil"/>
                  </w:tcBorders>
                  <w:vAlign w:val="center"/>
                </w:tcPr>
                <w:p w14:paraId="32EEBFAB">
                  <w:pPr>
                    <w:pStyle w:val="58"/>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火灾事故处理</w:t>
                  </w:r>
                </w:p>
              </w:tc>
              <w:tc>
                <w:tcPr>
                  <w:tcW w:w="6422" w:type="dxa"/>
                  <w:gridSpan w:val="2"/>
                  <w:tcBorders>
                    <w:tl2br w:val="nil"/>
                    <w:tr2bl w:val="nil"/>
                  </w:tcBorders>
                  <w:vAlign w:val="center"/>
                </w:tcPr>
                <w:p w14:paraId="4AB4065C">
                  <w:pPr>
                    <w:pStyle w:val="58"/>
                    <w:adjustRightInd w:val="0"/>
                    <w:snapToGrid w:val="0"/>
                    <w:spacing w:line="360" w:lineRule="auto"/>
                    <w:ind w:firstLine="0"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小型火灾时立刻用储区附近备用的灭火器灭火，如其有迅速扩大之势，应避免靠近，须立即打开消火栓降低着火点及附近油漆的温度，控制火势，避免发生爆炸，待火焰减低后再用灭火器灭之大型火灾时应立刻开启消火栓降温，控制火势，避免爆炸，等待救援。</w:t>
                  </w:r>
                </w:p>
              </w:tc>
            </w:tr>
          </w:tbl>
          <w:p w14:paraId="35CD5B5A">
            <w:pPr>
              <w:pStyle w:val="58"/>
              <w:spacing w:line="240" w:lineRule="auto"/>
              <w:ind w:firstLine="422"/>
              <w:jc w:val="center"/>
              <w:rPr>
                <w:rFonts w:hint="eastAsia" w:ascii="Times New Roman" w:hAnsi="Times New Roman" w:eastAsia="宋体" w:cs="Times New Roman"/>
                <w:b/>
                <w:bCs/>
                <w:color w:val="auto"/>
                <w:sz w:val="21"/>
                <w:szCs w:val="16"/>
              </w:rPr>
            </w:pPr>
            <w:r>
              <w:rPr>
                <w:rFonts w:hint="eastAsia" w:ascii="Times New Roman" w:hAnsi="Times New Roman" w:eastAsia="宋体" w:cs="Times New Roman"/>
                <w:b/>
                <w:bCs/>
                <w:color w:val="auto"/>
                <w:sz w:val="21"/>
                <w:szCs w:val="16"/>
              </w:rPr>
              <w:t>表4-</w:t>
            </w:r>
            <w:r>
              <w:rPr>
                <w:rFonts w:hint="eastAsia" w:cs="Times New Roman"/>
                <w:b/>
                <w:bCs/>
                <w:color w:val="auto"/>
                <w:sz w:val="21"/>
                <w:szCs w:val="16"/>
                <w:lang w:val="en-US" w:eastAsia="zh-CN"/>
              </w:rPr>
              <w:t>15</w:t>
            </w:r>
            <w:r>
              <w:rPr>
                <w:rFonts w:hint="eastAsia" w:ascii="Times New Roman" w:hAnsi="Times New Roman" w:eastAsia="宋体" w:cs="Times New Roman"/>
                <w:b/>
                <w:bCs/>
                <w:color w:val="auto"/>
                <w:sz w:val="21"/>
                <w:szCs w:val="16"/>
              </w:rPr>
              <w:t xml:space="preserve">  危险物质数量与临界量比值</w:t>
            </w:r>
          </w:p>
          <w:tbl>
            <w:tblPr>
              <w:tblStyle w:val="3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38"/>
              <w:gridCol w:w="2562"/>
              <w:gridCol w:w="1305"/>
              <w:gridCol w:w="857"/>
              <w:gridCol w:w="1623"/>
            </w:tblGrid>
            <w:tr w14:paraId="203A42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81" w:hRule="atLeast"/>
                <w:jc w:val="center"/>
              </w:trPr>
              <w:tc>
                <w:tcPr>
                  <w:tcW w:w="1738" w:type="dxa"/>
                  <w:tcBorders>
                    <w:tl2br w:val="nil"/>
                    <w:tr2bl w:val="nil"/>
                  </w:tcBorders>
                  <w:vAlign w:val="center"/>
                </w:tcPr>
                <w:p w14:paraId="2D0031E7">
                  <w:pPr>
                    <w:pStyle w:val="5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单元名称</w:t>
                  </w:r>
                </w:p>
              </w:tc>
              <w:tc>
                <w:tcPr>
                  <w:tcW w:w="2562" w:type="dxa"/>
                  <w:tcBorders>
                    <w:tl2br w:val="nil"/>
                    <w:tr2bl w:val="nil"/>
                  </w:tcBorders>
                  <w:vAlign w:val="center"/>
                </w:tcPr>
                <w:p w14:paraId="6404D025">
                  <w:pPr>
                    <w:pStyle w:val="5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危险物质</w:t>
                  </w:r>
                </w:p>
              </w:tc>
              <w:tc>
                <w:tcPr>
                  <w:tcW w:w="1305" w:type="dxa"/>
                  <w:tcBorders>
                    <w:tl2br w:val="nil"/>
                    <w:tr2bl w:val="nil"/>
                  </w:tcBorders>
                  <w:vAlign w:val="center"/>
                </w:tcPr>
                <w:p w14:paraId="313C2891">
                  <w:pPr>
                    <w:pStyle w:val="5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最大存储量</w:t>
                  </w:r>
                </w:p>
              </w:tc>
              <w:tc>
                <w:tcPr>
                  <w:tcW w:w="857" w:type="dxa"/>
                  <w:tcBorders>
                    <w:tl2br w:val="nil"/>
                    <w:tr2bl w:val="nil"/>
                  </w:tcBorders>
                  <w:vAlign w:val="center"/>
                </w:tcPr>
                <w:p w14:paraId="7A6F18B7">
                  <w:pPr>
                    <w:pStyle w:val="5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临界量</w:t>
                  </w:r>
                </w:p>
              </w:tc>
              <w:tc>
                <w:tcPr>
                  <w:tcW w:w="1623" w:type="dxa"/>
                  <w:tcBorders>
                    <w:tl2br w:val="nil"/>
                    <w:tr2bl w:val="nil"/>
                  </w:tcBorders>
                  <w:vAlign w:val="center"/>
                </w:tcPr>
                <w:p w14:paraId="2E34F9C6">
                  <w:pPr>
                    <w:pStyle w:val="5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drawing>
                      <wp:inline distT="0" distB="0" distL="114300" distR="114300">
                        <wp:extent cx="614680" cy="424815"/>
                        <wp:effectExtent l="0" t="0" r="0" b="13970"/>
                        <wp:docPr id="6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pic:cNvPicPr>
                                  <a:picLocks noChangeAspect="1"/>
                                </pic:cNvPicPr>
                              </pic:nvPicPr>
                              <pic:blipFill>
                                <a:blip r:embed="rId31"/>
                                <a:stretch>
                                  <a:fillRect/>
                                </a:stretch>
                              </pic:blipFill>
                              <pic:spPr>
                                <a:xfrm>
                                  <a:off x="0" y="0"/>
                                  <a:ext cx="614680" cy="424815"/>
                                </a:xfrm>
                                <a:prstGeom prst="rect">
                                  <a:avLst/>
                                </a:prstGeom>
                                <a:noFill/>
                                <a:ln>
                                  <a:noFill/>
                                </a:ln>
                              </pic:spPr>
                            </pic:pic>
                          </a:graphicData>
                        </a:graphic>
                      </wp:inline>
                    </w:drawing>
                  </w:r>
                </w:p>
              </w:tc>
            </w:tr>
            <w:tr w14:paraId="278643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38" w:type="dxa"/>
                  <w:tcBorders>
                    <w:tl2br w:val="nil"/>
                    <w:tr2bl w:val="nil"/>
                  </w:tcBorders>
                  <w:vAlign w:val="center"/>
                </w:tcPr>
                <w:p w14:paraId="448D0ADE">
                  <w:pPr>
                    <w:pStyle w:val="5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color w:val="auto"/>
                      <w:sz w:val="21"/>
                      <w:szCs w:val="21"/>
                      <w:lang w:val="en-US" w:eastAsia="zh-CN"/>
                    </w:rPr>
                    <w:t>设备维修和保养</w:t>
                  </w:r>
                </w:p>
              </w:tc>
              <w:tc>
                <w:tcPr>
                  <w:tcW w:w="2562" w:type="dxa"/>
                  <w:tcBorders>
                    <w:tl2br w:val="nil"/>
                    <w:tr2bl w:val="nil"/>
                  </w:tcBorders>
                  <w:vAlign w:val="center"/>
                </w:tcPr>
                <w:p w14:paraId="79C9B43B">
                  <w:pPr>
                    <w:pStyle w:val="5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废机油</w:t>
                  </w:r>
                </w:p>
              </w:tc>
              <w:tc>
                <w:tcPr>
                  <w:tcW w:w="1305" w:type="dxa"/>
                  <w:tcBorders>
                    <w:tl2br w:val="nil"/>
                    <w:tr2bl w:val="nil"/>
                  </w:tcBorders>
                  <w:vAlign w:val="center"/>
                </w:tcPr>
                <w:p w14:paraId="6665BA61">
                  <w:pPr>
                    <w:pStyle w:val="5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0.</w:t>
                  </w:r>
                  <w:r>
                    <w:rPr>
                      <w:rFonts w:hint="eastAsia" w:ascii="Times New Roman" w:hAnsi="Times New Roman" w:cs="Times New Roman" w:eastAsiaTheme="minorEastAsia"/>
                      <w:color w:val="auto"/>
                      <w:sz w:val="21"/>
                      <w:szCs w:val="21"/>
                      <w:lang w:val="en-US" w:eastAsia="zh-CN"/>
                    </w:rPr>
                    <w:t>1</w:t>
                  </w:r>
                  <w:r>
                    <w:rPr>
                      <w:rFonts w:hint="default" w:ascii="Times New Roman" w:hAnsi="Times New Roman" w:cs="Times New Roman" w:eastAsiaTheme="minorEastAsia"/>
                      <w:color w:val="auto"/>
                      <w:sz w:val="21"/>
                      <w:szCs w:val="21"/>
                    </w:rPr>
                    <w:t>t</w:t>
                  </w:r>
                </w:p>
              </w:tc>
              <w:tc>
                <w:tcPr>
                  <w:tcW w:w="857" w:type="dxa"/>
                  <w:tcBorders>
                    <w:tl2br w:val="nil"/>
                    <w:tr2bl w:val="nil"/>
                  </w:tcBorders>
                  <w:vAlign w:val="center"/>
                </w:tcPr>
                <w:p w14:paraId="6F5C3225">
                  <w:pPr>
                    <w:pStyle w:val="5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2500t</w:t>
                  </w:r>
                </w:p>
              </w:tc>
              <w:tc>
                <w:tcPr>
                  <w:tcW w:w="1623" w:type="dxa"/>
                  <w:tcBorders>
                    <w:tl2br w:val="nil"/>
                    <w:tr2bl w:val="nil"/>
                  </w:tcBorders>
                  <w:vAlign w:val="center"/>
                </w:tcPr>
                <w:p w14:paraId="744BAC05">
                  <w:pPr>
                    <w:pStyle w:val="5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0.00004</w:t>
                  </w:r>
                </w:p>
              </w:tc>
            </w:tr>
            <w:tr w14:paraId="5AE5B7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62" w:type="dxa"/>
                  <w:gridSpan w:val="4"/>
                  <w:tcBorders>
                    <w:tl2br w:val="nil"/>
                    <w:tr2bl w:val="nil"/>
                  </w:tcBorders>
                  <w:vAlign w:val="center"/>
                </w:tcPr>
                <w:p w14:paraId="65BA551A">
                  <w:pPr>
                    <w:pStyle w:val="5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Q</w:t>
                  </w:r>
                </w:p>
              </w:tc>
              <w:tc>
                <w:tcPr>
                  <w:tcW w:w="1623" w:type="dxa"/>
                  <w:tcBorders>
                    <w:tl2br w:val="nil"/>
                    <w:tr2bl w:val="nil"/>
                  </w:tcBorders>
                  <w:vAlign w:val="center"/>
                </w:tcPr>
                <w:p w14:paraId="4710E5AF">
                  <w:pPr>
                    <w:pStyle w:val="58"/>
                    <w:adjustRightInd w:val="0"/>
                    <w:snapToGrid w:val="0"/>
                    <w:spacing w:line="36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0.00004</w:t>
                  </w:r>
                </w:p>
              </w:tc>
            </w:tr>
          </w:tbl>
          <w:p w14:paraId="10B43585">
            <w:pPr>
              <w:pStyle w:val="5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（2）危险物质及工艺系统危险性（P）分级</w:t>
            </w:r>
          </w:p>
          <w:p w14:paraId="28BD6F95">
            <w:pPr>
              <w:pStyle w:val="5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计算所涉及的每种危险物质在厂界内的最大存在总量与其附录B中对应临界量的比</w:t>
            </w:r>
            <w:r>
              <w:rPr>
                <w:rFonts w:hint="default" w:ascii="Times New Roman" w:hAnsi="Times New Roman" w:cs="Times New Roman" w:eastAsiaTheme="minorEastAsia"/>
                <w:color w:val="auto"/>
                <w:sz w:val="21"/>
                <w:szCs w:val="21"/>
              </w:rPr>
              <w:t>值Q。当只涉及</w:t>
            </w:r>
            <w:r>
              <w:rPr>
                <w:rFonts w:hint="default" w:ascii="Times New Roman" w:hAnsi="Times New Roman" w:cs="Times New Roman" w:eastAsiaTheme="minorEastAsia"/>
                <w:color w:val="auto"/>
              </w:rPr>
              <w:t>一种危险物质时，计算该物质的总量与其临界量比值。</w:t>
            </w:r>
          </w:p>
          <w:p w14:paraId="6192D7A1">
            <w:pPr>
              <w:pStyle w:val="58"/>
              <w:adjustRightInd w:val="0"/>
              <w:snapToGrid w:val="0"/>
              <w:spacing w:line="360" w:lineRule="auto"/>
              <w:ind w:firstLine="480"/>
              <w:rPr>
                <w:rFonts w:hint="default" w:ascii="Times New Roman" w:hAnsi="Times New Roman" w:cs="Times New Roman"/>
                <w:color w:val="auto"/>
              </w:rPr>
            </w:pPr>
            <w:r>
              <w:rPr>
                <w:rFonts w:hint="default" w:ascii="Times New Roman" w:hAnsi="Times New Roman" w:cs="Times New Roman" w:eastAsiaTheme="minorEastAsia"/>
                <w:color w:val="auto"/>
              </w:rPr>
              <w:t>根据《建设项目环境风险评价技术导则》（HJ169-2018）中附录B中表B.2其他危险物质临界量推荐值。</w:t>
            </w:r>
          </w:p>
          <w:p w14:paraId="1EFC7CBE">
            <w:pPr>
              <w:pStyle w:val="58"/>
              <w:adjustRightInd w:val="0"/>
              <w:snapToGrid w:val="0"/>
              <w:spacing w:line="360" w:lineRule="auto"/>
              <w:ind w:firstLine="482"/>
              <w:jc w:val="center"/>
              <w:rPr>
                <w:rFonts w:hint="default" w:ascii="Times New Roman" w:hAnsi="Times New Roman" w:cs="Times New Roman" w:eastAsiaTheme="minorEastAsia"/>
                <w:color w:val="auto"/>
              </w:rPr>
            </w:pPr>
            <w:r>
              <w:rPr>
                <w:rFonts w:hint="default" w:ascii="Times New Roman" w:hAnsi="Times New Roman" w:cs="Times New Roman"/>
                <w:b/>
                <w:color w:val="auto"/>
                <w:position w:val="-30"/>
              </w:rPr>
              <w:object>
                <v:shape id="_x0000_i1026" o:spt="75" type="#_x0000_t75" style="height:34pt;width:110pt;" o:ole="t" filled="f" o:preferrelative="t" stroked="f" coordsize="21600,21600">
                  <v:path/>
                  <v:fill on="f" focussize="0,0"/>
                  <v:stroke on="f" joinstyle="miter"/>
                  <v:imagedata r:id="rId33" o:title=""/>
                  <o:lock v:ext="edit" aspectratio="t"/>
                  <w10:wrap type="none"/>
                  <w10:anchorlock/>
                </v:shape>
                <o:OLEObject Type="Embed" ProgID="Equation.3" ShapeID="_x0000_i1026" DrawAspect="Content" ObjectID="_1468075726" r:id="rId32">
                  <o:LockedField>false</o:LockedField>
                </o:OLEObject>
              </w:object>
            </w:r>
          </w:p>
          <w:p w14:paraId="54268E26">
            <w:pPr>
              <w:pStyle w:val="5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式中：</w:t>
            </w:r>
            <w:r>
              <w:rPr>
                <w:rFonts w:hint="default" w:ascii="Times New Roman" w:hAnsi="Times New Roman" w:cs="Times New Roman" w:eastAsiaTheme="minorEastAsia"/>
                <w:color w:val="auto"/>
              </w:rPr>
              <w:drawing>
                <wp:inline distT="0" distB="0" distL="114300" distR="114300">
                  <wp:extent cx="857885" cy="230505"/>
                  <wp:effectExtent l="0" t="0" r="18415" b="17780"/>
                  <wp:docPr id="6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
                          <pic:cNvPicPr>
                            <a:picLocks noChangeAspect="1"/>
                          </pic:cNvPicPr>
                        </pic:nvPicPr>
                        <pic:blipFill>
                          <a:blip r:embed="rId34"/>
                          <a:stretch>
                            <a:fillRect/>
                          </a:stretch>
                        </pic:blipFill>
                        <pic:spPr>
                          <a:xfrm>
                            <a:off x="0" y="0"/>
                            <a:ext cx="857885" cy="230505"/>
                          </a:xfrm>
                          <a:prstGeom prst="rect">
                            <a:avLst/>
                          </a:prstGeom>
                          <a:noFill/>
                          <a:ln>
                            <a:noFill/>
                          </a:ln>
                        </pic:spPr>
                      </pic:pic>
                    </a:graphicData>
                  </a:graphic>
                </wp:inline>
              </w:drawing>
            </w:r>
            <w:r>
              <w:rPr>
                <w:rFonts w:hint="default" w:ascii="Times New Roman" w:hAnsi="Times New Roman" w:cs="Times New Roman" w:eastAsiaTheme="minorEastAsia"/>
                <w:color w:val="auto"/>
              </w:rPr>
              <w:t>——每种危险物质的最大存在总量，t。</w:t>
            </w:r>
          </w:p>
          <w:p w14:paraId="202E4992">
            <w:pPr>
              <w:pStyle w:val="5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drawing>
                <wp:inline distT="0" distB="0" distL="114300" distR="114300">
                  <wp:extent cx="1023620" cy="247015"/>
                  <wp:effectExtent l="0" t="0" r="5080" b="635"/>
                  <wp:docPr id="6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
                          <pic:cNvPicPr>
                            <a:picLocks noChangeAspect="1"/>
                          </pic:cNvPicPr>
                        </pic:nvPicPr>
                        <pic:blipFill>
                          <a:blip r:embed="rId35"/>
                          <a:stretch>
                            <a:fillRect/>
                          </a:stretch>
                        </pic:blipFill>
                        <pic:spPr>
                          <a:xfrm>
                            <a:off x="0" y="0"/>
                            <a:ext cx="1023620" cy="247015"/>
                          </a:xfrm>
                          <a:prstGeom prst="rect">
                            <a:avLst/>
                          </a:prstGeom>
                          <a:noFill/>
                          <a:ln>
                            <a:noFill/>
                          </a:ln>
                        </pic:spPr>
                      </pic:pic>
                    </a:graphicData>
                  </a:graphic>
                </wp:inline>
              </w:drawing>
            </w:r>
            <w:r>
              <w:rPr>
                <w:rFonts w:hint="default" w:ascii="Times New Roman" w:hAnsi="Times New Roman" w:cs="Times New Roman" w:eastAsiaTheme="minorEastAsia"/>
                <w:color w:val="auto"/>
              </w:rPr>
              <w:t>——每种危险物质的临界量，t。</w:t>
            </w:r>
          </w:p>
          <w:p w14:paraId="45103FBB">
            <w:pPr>
              <w:pStyle w:val="5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当Q＜1时，该项目环境风险潜势为Ⅰ。</w:t>
            </w:r>
          </w:p>
          <w:p w14:paraId="64064830">
            <w:pPr>
              <w:pStyle w:val="5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当Q≥1时，将Q值划分为（1）1≤Q＜10（2）10≤Q＜100（3）Q≥100</w:t>
            </w:r>
          </w:p>
          <w:p w14:paraId="5D25ACCD">
            <w:pPr>
              <w:pStyle w:val="5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本项目Q=0.00004＜1，本项目环境风险潜势为Ⅰ。</w:t>
            </w:r>
          </w:p>
          <w:p w14:paraId="1E75D721">
            <w:pPr>
              <w:pStyle w:val="58"/>
              <w:adjustRightInd w:val="0"/>
              <w:snapToGrid w:val="0"/>
              <w:spacing w:line="360" w:lineRule="auto"/>
              <w:ind w:firstLine="480"/>
              <w:rPr>
                <w:rFonts w:hint="default" w:ascii="Times New Roman" w:hAnsi="Times New Roman" w:cs="Times New Roman" w:eastAsiaTheme="minorEastAsia"/>
                <w:color w:val="auto"/>
              </w:rPr>
            </w:pP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3</w:t>
            </w:r>
            <w:r>
              <w:rPr>
                <w:rFonts w:hint="eastAsia" w:ascii="Times New Roman" w:hAnsi="Times New Roman" w:cs="Times New Roman"/>
                <w:color w:val="auto"/>
                <w:lang w:eastAsia="zh-CN"/>
              </w:rPr>
              <w:t>）</w:t>
            </w:r>
            <w:r>
              <w:rPr>
                <w:rFonts w:hint="default" w:ascii="Times New Roman" w:hAnsi="Times New Roman" w:cs="Times New Roman" w:eastAsiaTheme="minorEastAsia"/>
                <w:color w:val="auto"/>
              </w:rPr>
              <w:t>风险源分布：危险废物储存在</w:t>
            </w:r>
            <w:r>
              <w:rPr>
                <w:rFonts w:hint="eastAsia" w:cs="Times New Roman" w:eastAsiaTheme="minorEastAsia"/>
                <w:color w:val="auto"/>
                <w:lang w:eastAsia="zh-CN"/>
              </w:rPr>
              <w:t>危废贮存点</w:t>
            </w:r>
            <w:r>
              <w:rPr>
                <w:rFonts w:hint="default" w:ascii="Times New Roman" w:hAnsi="Times New Roman" w:cs="Times New Roman" w:eastAsiaTheme="minorEastAsia"/>
                <w:color w:val="auto"/>
              </w:rPr>
              <w:t>。</w:t>
            </w:r>
          </w:p>
          <w:p w14:paraId="3E5874DC">
            <w:pPr>
              <w:pStyle w:val="5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（4）环境影响途径：①</w:t>
            </w:r>
            <w:r>
              <w:rPr>
                <w:rFonts w:hint="eastAsia" w:cs="Times New Roman" w:eastAsiaTheme="minorEastAsia"/>
                <w:color w:val="auto"/>
                <w:lang w:eastAsia="zh-CN"/>
              </w:rPr>
              <w:t>危废贮存点</w:t>
            </w:r>
            <w:r>
              <w:rPr>
                <w:rFonts w:hint="default" w:ascii="Times New Roman" w:hAnsi="Times New Roman" w:cs="Times New Roman" w:eastAsiaTheme="minorEastAsia"/>
                <w:color w:val="auto"/>
              </w:rPr>
              <w:t>因管理不善或乱排、乱倒，危废和渗出液可能进入附近土壤和水体。</w:t>
            </w:r>
          </w:p>
          <w:p w14:paraId="53A69988">
            <w:pPr>
              <w:pStyle w:val="58"/>
              <w:adjustRightInd w:val="0"/>
              <w:snapToGrid w:val="0"/>
              <w:spacing w:line="360" w:lineRule="auto"/>
              <w:ind w:firstLine="480"/>
              <w:rPr>
                <w:rFonts w:hint="default" w:ascii="Times New Roman" w:hAnsi="Times New Roman" w:cs="Times New Roman" w:eastAsiaTheme="minorEastAsia"/>
                <w:color w:val="auto"/>
              </w:rPr>
            </w:pP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5</w:t>
            </w:r>
            <w:r>
              <w:rPr>
                <w:rFonts w:hint="eastAsia" w:ascii="Times New Roman" w:hAnsi="Times New Roman" w:cs="Times New Roman"/>
                <w:color w:val="auto"/>
                <w:lang w:eastAsia="zh-CN"/>
              </w:rPr>
              <w:t>）</w:t>
            </w:r>
            <w:r>
              <w:rPr>
                <w:rFonts w:hint="default" w:ascii="Times New Roman" w:hAnsi="Times New Roman" w:cs="Times New Roman" w:eastAsiaTheme="minorEastAsia"/>
                <w:color w:val="auto"/>
              </w:rPr>
              <w:t>风险防范措施要求：环境风险管理目标是采用最低合理可行原则管控环境风险。采取的环境风险防范措施应与社会经济技术发展水平相适应，运用科学的技术手段和管理方法，对环境风险进行有效的预防、监控、响应。</w:t>
            </w:r>
          </w:p>
          <w:p w14:paraId="663FAED7">
            <w:pPr>
              <w:pStyle w:val="58"/>
              <w:adjustRightInd w:val="0"/>
              <w:snapToGrid w:val="0"/>
              <w:spacing w:line="360" w:lineRule="auto"/>
              <w:ind w:firstLine="480"/>
              <w:rPr>
                <w:rFonts w:hint="default" w:ascii="Times New Roman" w:hAnsi="Times New Roman" w:cs="Times New Roman" w:eastAsiaTheme="minorEastAsia"/>
                <w:color w:val="auto"/>
              </w:rPr>
            </w:pPr>
            <w:r>
              <w:rPr>
                <w:rFonts w:hint="eastAsia" w:cs="Times New Roman" w:eastAsiaTheme="minorEastAsia"/>
                <w:color w:val="auto"/>
                <w:lang w:eastAsia="zh-CN"/>
              </w:rPr>
              <w:t>（</w:t>
            </w:r>
            <w:r>
              <w:rPr>
                <w:rFonts w:hint="eastAsia" w:cs="Times New Roman" w:eastAsiaTheme="minorEastAsia"/>
                <w:color w:val="auto"/>
                <w:lang w:val="en-US" w:eastAsia="zh-CN"/>
              </w:rPr>
              <w:t>1</w:t>
            </w:r>
            <w:r>
              <w:rPr>
                <w:rFonts w:hint="eastAsia" w:cs="Times New Roman" w:eastAsiaTheme="minorEastAsia"/>
                <w:color w:val="auto"/>
                <w:lang w:eastAsia="zh-CN"/>
              </w:rPr>
              <w:t>）</w:t>
            </w:r>
            <w:r>
              <w:rPr>
                <w:rFonts w:hint="default" w:ascii="Times New Roman" w:hAnsi="Times New Roman" w:cs="Times New Roman" w:eastAsiaTheme="minorEastAsia"/>
                <w:color w:val="auto"/>
              </w:rPr>
              <w:t>导热油储存风险防范措施</w:t>
            </w:r>
          </w:p>
          <w:p w14:paraId="4E64C5F9">
            <w:pPr>
              <w:pStyle w:val="58"/>
              <w:adjustRightInd w:val="0"/>
              <w:snapToGrid w:val="0"/>
              <w:spacing w:line="360" w:lineRule="auto"/>
              <w:ind w:firstLine="48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本项目导热油最大储存量</w:t>
            </w:r>
            <w:r>
              <w:rPr>
                <w:rFonts w:hint="eastAsia" w:cs="Times New Roman" w:eastAsiaTheme="minorEastAsia"/>
                <w:color w:val="auto"/>
                <w:lang w:val="en-US" w:eastAsia="zh-CN"/>
              </w:rPr>
              <w:t>5.4</w:t>
            </w:r>
            <w:r>
              <w:rPr>
                <w:rFonts w:hint="default" w:ascii="Times New Roman" w:hAnsi="Times New Roman" w:cs="Times New Roman" w:eastAsiaTheme="minorEastAsia"/>
                <w:color w:val="auto"/>
              </w:rPr>
              <w:t>t，导热油炉区地面已做耐腐蚀、防渗漏处理，地面无裂痕，并进行定期检查。导热油高低槽设置围堰3</w:t>
            </w:r>
            <w:r>
              <w:rPr>
                <w:rFonts w:hint="eastAsia" w:cs="Times New Roman" w:eastAsiaTheme="minorEastAsia"/>
                <w:color w:val="auto"/>
                <w:lang w:val="en-US" w:eastAsia="zh-CN"/>
              </w:rPr>
              <w:t>×</w:t>
            </w:r>
            <w:r>
              <w:rPr>
                <w:rFonts w:hint="default" w:ascii="Times New Roman" w:hAnsi="Times New Roman" w:cs="Times New Roman" w:eastAsiaTheme="minorEastAsia"/>
                <w:color w:val="auto"/>
              </w:rPr>
              <w:t>4</w:t>
            </w:r>
            <w:r>
              <w:rPr>
                <w:rFonts w:hint="eastAsia" w:cs="Times New Roman" w:eastAsiaTheme="minorEastAsia"/>
                <w:color w:val="auto"/>
                <w:lang w:val="en-US" w:eastAsia="zh-CN"/>
              </w:rPr>
              <w:t>×</w:t>
            </w:r>
            <w:r>
              <w:rPr>
                <w:rFonts w:hint="default" w:ascii="Times New Roman" w:hAnsi="Times New Roman" w:cs="Times New Roman" w:eastAsiaTheme="minorEastAsia"/>
                <w:color w:val="auto"/>
              </w:rPr>
              <w:t>1.5m，若导热油系统内油量全部泄漏，则围堰容积能满足需要。在发生事故时，利用沙袋在外围构筑临时围挡，防止泄漏物、消防废物继续扩散、流失。导热油管道设有控制阀，一旦发生管道泄漏，立即关闭阀门。</w:t>
            </w:r>
          </w:p>
          <w:p w14:paraId="6082D941">
            <w:pPr>
              <w:pStyle w:val="58"/>
              <w:adjustRightInd w:val="0"/>
              <w:snapToGrid w:val="0"/>
              <w:spacing w:line="360" w:lineRule="auto"/>
              <w:ind w:firstLine="480"/>
              <w:rPr>
                <w:rFonts w:hint="eastAsia" w:eastAsiaTheme="minorEastAsia"/>
                <w:color w:val="auto"/>
                <w:lang w:eastAsia="zh-CN"/>
              </w:rPr>
            </w:pPr>
            <w:r>
              <w:rPr>
                <w:rFonts w:hint="eastAsia" w:cs="Times New Roman" w:eastAsiaTheme="minorEastAsia"/>
                <w:color w:val="auto"/>
                <w:lang w:eastAsia="zh-CN"/>
              </w:rPr>
              <w:t>（</w:t>
            </w:r>
            <w:r>
              <w:rPr>
                <w:rFonts w:hint="eastAsia" w:cs="Times New Roman" w:eastAsiaTheme="minorEastAsia"/>
                <w:color w:val="auto"/>
                <w:lang w:val="en-US" w:eastAsia="zh-CN"/>
              </w:rPr>
              <w:t>2</w:t>
            </w:r>
            <w:r>
              <w:rPr>
                <w:rFonts w:hint="eastAsia" w:cs="Times New Roman" w:eastAsiaTheme="minorEastAsia"/>
                <w:color w:val="auto"/>
                <w:lang w:eastAsia="zh-CN"/>
              </w:rPr>
              <w:t>）</w:t>
            </w:r>
            <w:r>
              <w:rPr>
                <w:rFonts w:hint="default" w:ascii="Times New Roman" w:hAnsi="Times New Roman" w:cs="Times New Roman" w:eastAsiaTheme="minorEastAsia"/>
                <w:color w:val="auto"/>
              </w:rPr>
              <w:t>危险物品运输风险事故防范措施对危险物品的装卸、转移应由专业人员或经过严格培训的员工来操作，建立一套完整的作业操作技术规范，严格遵守操作规定。其中，应专门定制专用的运输箱，所有涉及危险物质运输的车辆必须经过专门的防渗漏、密封处理，严控设计危险物质的回收、贮存、运输过程的安全</w:t>
            </w:r>
            <w:r>
              <w:rPr>
                <w:rFonts w:hint="eastAsia" w:cs="Times New Roman" w:eastAsiaTheme="minorEastAsia"/>
                <w:color w:val="auto"/>
                <w:lang w:eastAsia="zh-CN"/>
              </w:rPr>
              <w:t>；</w:t>
            </w:r>
            <w:r>
              <w:rPr>
                <w:rFonts w:hint="default" w:ascii="Times New Roman" w:hAnsi="Times New Roman" w:cs="Times New Roman" w:eastAsiaTheme="minorEastAsia"/>
                <w:color w:val="auto"/>
              </w:rPr>
              <w:t>危险废物转移处置应委托有危险废物经营许可证的废物处理专业公司进行，并向当地生态环境主管部门部门申报登记，办理危险废物的运输转移手续，对危险废物进行全过程严格管理和安全处置</w:t>
            </w:r>
            <w:r>
              <w:rPr>
                <w:rFonts w:hint="eastAsia" w:cs="Times New Roman" w:eastAsiaTheme="minorEastAsia"/>
                <w:color w:val="auto"/>
                <w:lang w:eastAsia="zh-CN"/>
              </w:rPr>
              <w:t>。</w:t>
            </w:r>
          </w:p>
          <w:p w14:paraId="254E7BDC">
            <w:pPr>
              <w:pStyle w:val="58"/>
              <w:adjustRightInd w:val="0"/>
              <w:snapToGrid w:val="0"/>
              <w:spacing w:line="360" w:lineRule="auto"/>
              <w:ind w:firstLine="480"/>
              <w:rPr>
                <w:rFonts w:hint="eastAsia" w:eastAsiaTheme="minorEastAsia"/>
                <w:color w:val="auto"/>
                <w:lang w:eastAsia="zh-CN"/>
              </w:rPr>
            </w:pPr>
          </w:p>
          <w:p w14:paraId="383692F8">
            <w:pPr>
              <w:pStyle w:val="58"/>
              <w:adjustRightInd w:val="0"/>
              <w:snapToGrid w:val="0"/>
              <w:spacing w:line="360" w:lineRule="auto"/>
              <w:ind w:firstLine="480"/>
              <w:rPr>
                <w:rFonts w:hint="eastAsia" w:eastAsiaTheme="minorEastAsia"/>
                <w:color w:val="auto"/>
                <w:lang w:eastAsia="zh-CN"/>
              </w:rPr>
            </w:pPr>
          </w:p>
          <w:p w14:paraId="20020BAA">
            <w:pPr>
              <w:pStyle w:val="58"/>
              <w:adjustRightInd w:val="0"/>
              <w:snapToGrid w:val="0"/>
              <w:spacing w:line="360" w:lineRule="auto"/>
              <w:ind w:firstLine="480"/>
              <w:rPr>
                <w:rFonts w:hint="eastAsia" w:eastAsiaTheme="minorEastAsia"/>
                <w:color w:val="auto"/>
                <w:lang w:eastAsia="zh-CN"/>
              </w:rPr>
            </w:pPr>
          </w:p>
          <w:p w14:paraId="3F1436B9">
            <w:pPr>
              <w:pStyle w:val="58"/>
              <w:adjustRightInd w:val="0"/>
              <w:snapToGrid w:val="0"/>
              <w:spacing w:line="360" w:lineRule="auto"/>
              <w:ind w:firstLine="480"/>
              <w:rPr>
                <w:rFonts w:hint="eastAsia" w:eastAsiaTheme="minorEastAsia"/>
                <w:color w:val="auto"/>
                <w:lang w:eastAsia="zh-CN"/>
              </w:rPr>
            </w:pPr>
          </w:p>
          <w:p w14:paraId="4A967D98">
            <w:pPr>
              <w:pStyle w:val="58"/>
              <w:adjustRightInd w:val="0"/>
              <w:snapToGrid w:val="0"/>
              <w:spacing w:line="360" w:lineRule="auto"/>
              <w:ind w:firstLine="480"/>
              <w:rPr>
                <w:rFonts w:hint="eastAsia" w:eastAsiaTheme="minorEastAsia"/>
                <w:color w:val="auto"/>
                <w:lang w:eastAsia="zh-CN"/>
              </w:rPr>
            </w:pPr>
          </w:p>
          <w:p w14:paraId="79E51C7D">
            <w:pPr>
              <w:pStyle w:val="58"/>
              <w:adjustRightInd w:val="0"/>
              <w:snapToGrid w:val="0"/>
              <w:spacing w:line="360" w:lineRule="auto"/>
              <w:ind w:firstLine="480"/>
              <w:rPr>
                <w:rFonts w:hint="eastAsia" w:eastAsiaTheme="minorEastAsia"/>
                <w:color w:val="auto"/>
                <w:lang w:eastAsia="zh-CN"/>
              </w:rPr>
            </w:pPr>
          </w:p>
          <w:p w14:paraId="3B3E1E99">
            <w:pPr>
              <w:pStyle w:val="58"/>
              <w:adjustRightInd w:val="0"/>
              <w:snapToGrid w:val="0"/>
              <w:spacing w:line="360" w:lineRule="auto"/>
              <w:ind w:firstLine="480"/>
              <w:rPr>
                <w:rFonts w:hint="eastAsia" w:eastAsiaTheme="minorEastAsia"/>
                <w:color w:val="auto"/>
                <w:lang w:eastAsia="zh-CN"/>
              </w:rPr>
            </w:pPr>
          </w:p>
          <w:p w14:paraId="4E5427CC">
            <w:pPr>
              <w:pStyle w:val="58"/>
              <w:adjustRightInd w:val="0"/>
              <w:snapToGrid w:val="0"/>
              <w:spacing w:line="360" w:lineRule="auto"/>
              <w:ind w:firstLine="480"/>
              <w:rPr>
                <w:rFonts w:hint="eastAsia" w:eastAsiaTheme="minorEastAsia"/>
                <w:color w:val="auto"/>
                <w:lang w:eastAsia="zh-CN"/>
              </w:rPr>
            </w:pPr>
          </w:p>
          <w:p w14:paraId="1F791824">
            <w:pPr>
              <w:pStyle w:val="58"/>
              <w:adjustRightInd w:val="0"/>
              <w:snapToGrid w:val="0"/>
              <w:spacing w:line="360" w:lineRule="auto"/>
              <w:ind w:firstLine="480"/>
              <w:rPr>
                <w:rFonts w:hint="eastAsia" w:eastAsiaTheme="minorEastAsia"/>
                <w:color w:val="auto"/>
                <w:lang w:eastAsia="zh-CN"/>
              </w:rPr>
            </w:pPr>
          </w:p>
          <w:p w14:paraId="30B5CA1C">
            <w:pPr>
              <w:pStyle w:val="58"/>
              <w:adjustRightInd w:val="0"/>
              <w:snapToGrid w:val="0"/>
              <w:spacing w:line="360" w:lineRule="auto"/>
              <w:ind w:firstLine="480"/>
              <w:rPr>
                <w:rFonts w:hint="eastAsia" w:eastAsiaTheme="minorEastAsia"/>
                <w:color w:val="auto"/>
                <w:lang w:eastAsia="zh-CN"/>
              </w:rPr>
            </w:pPr>
          </w:p>
          <w:p w14:paraId="0B9EE2FE">
            <w:pPr>
              <w:pStyle w:val="58"/>
              <w:adjustRightInd w:val="0"/>
              <w:snapToGrid w:val="0"/>
              <w:spacing w:line="360" w:lineRule="auto"/>
              <w:ind w:firstLine="480"/>
              <w:rPr>
                <w:rFonts w:hint="eastAsia" w:eastAsiaTheme="minorEastAsia"/>
                <w:color w:val="auto"/>
                <w:lang w:eastAsia="zh-CN"/>
              </w:rPr>
            </w:pPr>
          </w:p>
          <w:p w14:paraId="2680D4F5">
            <w:pPr>
              <w:pStyle w:val="58"/>
              <w:adjustRightInd w:val="0"/>
              <w:snapToGrid w:val="0"/>
              <w:spacing w:line="360" w:lineRule="auto"/>
              <w:ind w:firstLine="480"/>
              <w:rPr>
                <w:rFonts w:hint="eastAsia" w:eastAsiaTheme="minorEastAsia"/>
                <w:color w:val="auto"/>
                <w:lang w:eastAsia="zh-CN"/>
              </w:rPr>
            </w:pPr>
          </w:p>
          <w:p w14:paraId="38AB2FAC">
            <w:pPr>
              <w:pStyle w:val="58"/>
              <w:adjustRightInd w:val="0"/>
              <w:snapToGrid w:val="0"/>
              <w:spacing w:line="360" w:lineRule="auto"/>
              <w:ind w:firstLine="480"/>
              <w:rPr>
                <w:rFonts w:hint="eastAsia" w:eastAsiaTheme="minorEastAsia"/>
                <w:color w:val="auto"/>
                <w:lang w:eastAsia="zh-CN"/>
              </w:rPr>
            </w:pPr>
          </w:p>
          <w:p w14:paraId="31CC0DEA">
            <w:pPr>
              <w:pStyle w:val="58"/>
              <w:adjustRightInd w:val="0"/>
              <w:snapToGrid w:val="0"/>
              <w:spacing w:line="360" w:lineRule="auto"/>
              <w:ind w:firstLine="480"/>
              <w:rPr>
                <w:rFonts w:hint="eastAsia" w:eastAsiaTheme="minorEastAsia"/>
                <w:color w:val="auto"/>
                <w:lang w:eastAsia="zh-CN"/>
              </w:rPr>
            </w:pPr>
          </w:p>
          <w:p w14:paraId="3F355BA1">
            <w:pPr>
              <w:pStyle w:val="58"/>
              <w:adjustRightInd w:val="0"/>
              <w:snapToGrid w:val="0"/>
              <w:spacing w:line="360" w:lineRule="auto"/>
              <w:ind w:firstLine="480"/>
              <w:rPr>
                <w:rFonts w:hint="eastAsia" w:eastAsiaTheme="minorEastAsia"/>
                <w:color w:val="auto"/>
                <w:lang w:eastAsia="zh-CN"/>
              </w:rPr>
            </w:pPr>
          </w:p>
          <w:p w14:paraId="1A3B2B92">
            <w:pPr>
              <w:pStyle w:val="58"/>
              <w:adjustRightInd w:val="0"/>
              <w:snapToGrid w:val="0"/>
              <w:spacing w:line="360" w:lineRule="auto"/>
              <w:ind w:firstLine="480"/>
              <w:rPr>
                <w:rFonts w:hint="eastAsia" w:eastAsiaTheme="minorEastAsia"/>
                <w:color w:val="auto"/>
                <w:lang w:eastAsia="zh-CN"/>
              </w:rPr>
            </w:pPr>
          </w:p>
          <w:p w14:paraId="43522166">
            <w:pPr>
              <w:pStyle w:val="58"/>
              <w:adjustRightInd w:val="0"/>
              <w:snapToGrid w:val="0"/>
              <w:spacing w:line="360" w:lineRule="auto"/>
              <w:ind w:left="0" w:leftChars="0" w:firstLine="0" w:firstLineChars="0"/>
              <w:rPr>
                <w:rFonts w:cs="宋体"/>
                <w:b/>
                <w:color w:val="auto"/>
                <w:sz w:val="28"/>
                <w:szCs w:val="28"/>
              </w:rPr>
            </w:pPr>
          </w:p>
        </w:tc>
      </w:tr>
    </w:tbl>
    <w:p w14:paraId="00693CCC">
      <w:pPr>
        <w:rPr>
          <w:color w:val="auto"/>
        </w:rPr>
        <w:sectPr>
          <w:pgSz w:w="11907" w:h="16840"/>
          <w:pgMar w:top="1701" w:right="1531" w:bottom="2127" w:left="1531" w:header="851" w:footer="1644" w:gutter="0"/>
          <w:pgBorders>
            <w:top w:val="none" w:sz="0" w:space="0"/>
            <w:left w:val="none" w:sz="0" w:space="0"/>
            <w:bottom w:val="none" w:sz="0" w:space="0"/>
            <w:right w:val="none" w:sz="0" w:space="0"/>
          </w:pgBorders>
          <w:cols w:space="720" w:num="1"/>
          <w:docGrid w:linePitch="312" w:charSpace="0"/>
        </w:sectPr>
      </w:pPr>
    </w:p>
    <w:p w14:paraId="6ED9553C">
      <w:pPr>
        <w:pStyle w:val="16"/>
        <w:outlineLvl w:val="0"/>
        <w:rPr>
          <w:rFonts w:ascii="Times New Roman" w:hAnsi="Times New Roman"/>
          <w:snapToGrid w:val="0"/>
          <w:color w:val="auto"/>
          <w:sz w:val="30"/>
          <w:szCs w:val="30"/>
        </w:rPr>
      </w:pPr>
      <w:bookmarkStart w:id="16" w:name="_Toc73523374"/>
      <w:r>
        <w:rPr>
          <w:rFonts w:hint="eastAsia" w:ascii="Times New Roman" w:hAnsi="Times New Roman"/>
          <w:snapToGrid w:val="0"/>
          <w:color w:val="auto"/>
          <w:sz w:val="30"/>
          <w:szCs w:val="30"/>
        </w:rPr>
        <w:t>五、</w:t>
      </w:r>
      <w:bookmarkStart w:id="17" w:name="_Hlk54167917"/>
      <w:r>
        <w:rPr>
          <w:rFonts w:hint="eastAsia" w:ascii="Times New Roman" w:hAnsi="Times New Roman"/>
          <w:snapToGrid w:val="0"/>
          <w:color w:val="auto"/>
          <w:sz w:val="30"/>
          <w:szCs w:val="30"/>
        </w:rPr>
        <w:t>环境保护措施监督检查清单</w:t>
      </w:r>
      <w:bookmarkEnd w:id="16"/>
      <w:bookmarkEnd w:id="17"/>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8"/>
        <w:gridCol w:w="1973"/>
        <w:gridCol w:w="1265"/>
        <w:gridCol w:w="2640"/>
        <w:gridCol w:w="2034"/>
      </w:tblGrid>
      <w:tr w14:paraId="305EE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8" w:type="dxa"/>
            <w:tcBorders>
              <w:tl2br w:val="single" w:color="auto" w:sz="4" w:space="0"/>
            </w:tcBorders>
          </w:tcPr>
          <w:p w14:paraId="72036BB9">
            <w:pPr>
              <w:adjustRightInd w:val="0"/>
              <w:snapToGrid w:val="0"/>
              <w:jc w:val="right"/>
              <w:rPr>
                <w:rFonts w:ascii="宋体" w:hAnsi="宋体" w:cs="宋体"/>
                <w:color w:val="auto"/>
                <w:sz w:val="22"/>
                <w:szCs w:val="22"/>
              </w:rPr>
            </w:pPr>
            <w:r>
              <w:rPr>
                <w:rFonts w:hint="eastAsia" w:ascii="宋体" w:hAnsi="宋体" w:cs="宋体"/>
                <w:color w:val="auto"/>
                <w:sz w:val="22"/>
                <w:szCs w:val="22"/>
              </w:rPr>
              <w:t>内</w:t>
            </w:r>
            <w:r>
              <w:rPr>
                <w:rFonts w:ascii="宋体" w:hAnsi="宋体" w:cs="宋体"/>
                <w:color w:val="auto"/>
                <w:sz w:val="22"/>
                <w:szCs w:val="22"/>
              </w:rPr>
              <w:t>容</w:t>
            </w:r>
          </w:p>
          <w:p w14:paraId="773EC1BF">
            <w:pPr>
              <w:adjustRightInd w:val="0"/>
              <w:snapToGrid w:val="0"/>
              <w:jc w:val="center"/>
              <w:rPr>
                <w:rFonts w:ascii="宋体" w:hAnsi="宋体" w:cs="宋体"/>
                <w:color w:val="auto"/>
                <w:sz w:val="22"/>
                <w:szCs w:val="22"/>
              </w:rPr>
            </w:pPr>
          </w:p>
          <w:p w14:paraId="40AFDC31">
            <w:pPr>
              <w:adjustRightInd w:val="0"/>
              <w:snapToGrid w:val="0"/>
              <w:jc w:val="left"/>
              <w:rPr>
                <w:rFonts w:ascii="宋体" w:hAnsi="宋体" w:cs="宋体"/>
                <w:color w:val="auto"/>
                <w:sz w:val="22"/>
                <w:szCs w:val="22"/>
              </w:rPr>
            </w:pPr>
            <w:r>
              <w:rPr>
                <w:rFonts w:ascii="宋体" w:hAnsi="宋体" w:cs="宋体"/>
                <w:color w:val="auto"/>
                <w:sz w:val="22"/>
                <w:szCs w:val="22"/>
              </w:rPr>
              <w:t>要素</w:t>
            </w:r>
          </w:p>
        </w:tc>
        <w:tc>
          <w:tcPr>
            <w:tcW w:w="1973" w:type="dxa"/>
            <w:vAlign w:val="center"/>
          </w:tcPr>
          <w:p w14:paraId="7E7CA66F">
            <w:pPr>
              <w:adjustRightInd w:val="0"/>
              <w:snapToGrid w:val="0"/>
              <w:jc w:val="center"/>
              <w:rPr>
                <w:rFonts w:ascii="宋体" w:hAnsi="宋体" w:cs="宋体"/>
                <w:color w:val="auto"/>
                <w:sz w:val="22"/>
                <w:szCs w:val="22"/>
              </w:rPr>
            </w:pPr>
            <w:r>
              <w:rPr>
                <w:rFonts w:ascii="宋体" w:hAnsi="宋体" w:cs="宋体"/>
                <w:color w:val="auto"/>
                <w:sz w:val="22"/>
                <w:szCs w:val="22"/>
              </w:rPr>
              <w:t>排放口(编号、名称)/污染源</w:t>
            </w:r>
          </w:p>
        </w:tc>
        <w:tc>
          <w:tcPr>
            <w:tcW w:w="1265" w:type="dxa"/>
            <w:vAlign w:val="center"/>
          </w:tcPr>
          <w:p w14:paraId="398813FC">
            <w:pPr>
              <w:adjustRightInd w:val="0"/>
              <w:snapToGrid w:val="0"/>
              <w:jc w:val="center"/>
              <w:rPr>
                <w:rFonts w:ascii="宋体" w:hAnsi="宋体" w:cs="宋体"/>
                <w:color w:val="auto"/>
                <w:sz w:val="22"/>
                <w:szCs w:val="22"/>
              </w:rPr>
            </w:pPr>
            <w:r>
              <w:rPr>
                <w:rFonts w:ascii="宋体" w:hAnsi="宋体" w:cs="宋体"/>
                <w:color w:val="auto"/>
                <w:sz w:val="22"/>
                <w:szCs w:val="22"/>
              </w:rPr>
              <w:t>污染物项目</w:t>
            </w:r>
          </w:p>
        </w:tc>
        <w:tc>
          <w:tcPr>
            <w:tcW w:w="2640" w:type="dxa"/>
            <w:vAlign w:val="center"/>
          </w:tcPr>
          <w:p w14:paraId="5231BA5A">
            <w:pPr>
              <w:adjustRightInd w:val="0"/>
              <w:snapToGrid w:val="0"/>
              <w:jc w:val="center"/>
              <w:rPr>
                <w:rFonts w:ascii="宋体" w:hAnsi="宋体" w:cs="宋体"/>
                <w:color w:val="auto"/>
                <w:sz w:val="22"/>
                <w:szCs w:val="22"/>
              </w:rPr>
            </w:pPr>
            <w:r>
              <w:rPr>
                <w:rFonts w:ascii="宋体" w:hAnsi="宋体" w:cs="宋体"/>
                <w:color w:val="auto"/>
                <w:sz w:val="22"/>
                <w:szCs w:val="22"/>
              </w:rPr>
              <w:t>环境保护措施</w:t>
            </w:r>
          </w:p>
        </w:tc>
        <w:tc>
          <w:tcPr>
            <w:tcW w:w="2034" w:type="dxa"/>
            <w:vAlign w:val="center"/>
          </w:tcPr>
          <w:p w14:paraId="5CB3DA48">
            <w:pPr>
              <w:adjustRightInd w:val="0"/>
              <w:snapToGrid w:val="0"/>
              <w:jc w:val="center"/>
              <w:rPr>
                <w:rFonts w:ascii="宋体" w:hAnsi="宋体" w:cs="宋体"/>
                <w:color w:val="auto"/>
                <w:sz w:val="22"/>
                <w:szCs w:val="22"/>
              </w:rPr>
            </w:pPr>
            <w:r>
              <w:rPr>
                <w:rFonts w:ascii="宋体" w:hAnsi="宋体" w:cs="宋体"/>
                <w:color w:val="auto"/>
                <w:sz w:val="22"/>
                <w:szCs w:val="22"/>
              </w:rPr>
              <w:t>执行标准</w:t>
            </w:r>
          </w:p>
        </w:tc>
      </w:tr>
      <w:tr w14:paraId="7094D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8" w:type="dxa"/>
            <w:vMerge w:val="restart"/>
            <w:vAlign w:val="center"/>
          </w:tcPr>
          <w:p w14:paraId="3BACF16D">
            <w:pPr>
              <w:adjustRightInd w:val="0"/>
              <w:snapToGrid w:val="0"/>
              <w:jc w:val="center"/>
              <w:rPr>
                <w:rFonts w:ascii="宋体" w:hAnsi="宋体" w:cs="宋体"/>
                <w:color w:val="auto"/>
                <w:sz w:val="22"/>
                <w:szCs w:val="22"/>
              </w:rPr>
            </w:pPr>
            <w:r>
              <w:rPr>
                <w:rFonts w:ascii="宋体" w:hAnsi="宋体" w:cs="宋体"/>
                <w:color w:val="auto"/>
                <w:sz w:val="22"/>
                <w:szCs w:val="22"/>
              </w:rPr>
              <w:t>大气</w:t>
            </w:r>
          </w:p>
          <w:p w14:paraId="5E6281E8">
            <w:pPr>
              <w:adjustRightInd w:val="0"/>
              <w:snapToGrid w:val="0"/>
              <w:jc w:val="center"/>
              <w:rPr>
                <w:rFonts w:ascii="宋体" w:hAnsi="宋体" w:cs="宋体"/>
                <w:color w:val="auto"/>
                <w:sz w:val="22"/>
                <w:szCs w:val="22"/>
              </w:rPr>
            </w:pPr>
            <w:r>
              <w:rPr>
                <w:rFonts w:ascii="宋体" w:hAnsi="宋体" w:cs="宋体"/>
                <w:color w:val="auto"/>
                <w:sz w:val="22"/>
                <w:szCs w:val="22"/>
              </w:rPr>
              <w:t>环境</w:t>
            </w:r>
          </w:p>
        </w:tc>
        <w:tc>
          <w:tcPr>
            <w:tcW w:w="1973" w:type="dxa"/>
            <w:vAlign w:val="center"/>
          </w:tcPr>
          <w:p w14:paraId="38832B91">
            <w:pPr>
              <w:adjustRightInd w:val="0"/>
              <w:snapToGrid w:val="0"/>
              <w:jc w:val="center"/>
              <w:rPr>
                <w:color w:val="auto"/>
                <w:sz w:val="22"/>
                <w:szCs w:val="22"/>
              </w:rPr>
            </w:pPr>
            <w:r>
              <w:rPr>
                <w:color w:val="auto"/>
                <w:sz w:val="22"/>
                <w:szCs w:val="22"/>
              </w:rPr>
              <w:t>DA001</w:t>
            </w:r>
          </w:p>
        </w:tc>
        <w:tc>
          <w:tcPr>
            <w:tcW w:w="1265" w:type="dxa"/>
            <w:vAlign w:val="center"/>
          </w:tcPr>
          <w:p w14:paraId="3D6ECAE2">
            <w:pPr>
              <w:adjustRightInd w:val="0"/>
              <w:snapToGrid w:val="0"/>
              <w:jc w:val="center"/>
              <w:rPr>
                <w:color w:val="auto"/>
                <w:sz w:val="22"/>
                <w:szCs w:val="22"/>
              </w:rPr>
            </w:pPr>
            <w:r>
              <w:rPr>
                <w:rFonts w:ascii="Times New Roman" w:hAnsi="Times New Roman" w:eastAsiaTheme="minorEastAsia"/>
                <w:color w:val="auto"/>
                <w:sz w:val="21"/>
                <w:szCs w:val="21"/>
              </w:rPr>
              <w:t>颗粒物</w:t>
            </w:r>
            <w:r>
              <w:rPr>
                <w:rFonts w:hint="eastAsia" w:ascii="Times New Roman" w:hAnsi="Times New Roman" w:eastAsiaTheme="minorEastAsia"/>
                <w:color w:val="auto"/>
                <w:sz w:val="21"/>
                <w:szCs w:val="21"/>
                <w:lang w:eastAsia="zh-CN"/>
              </w:rPr>
              <w:t>、</w:t>
            </w:r>
            <w:r>
              <w:rPr>
                <w:rFonts w:hint="eastAsia"/>
                <w:color w:val="auto"/>
                <w:kern w:val="0"/>
                <w:sz w:val="21"/>
                <w:szCs w:val="21"/>
                <w:lang w:val="en-US" w:eastAsia="zh-CN"/>
              </w:rPr>
              <w:t>SO</w:t>
            </w:r>
            <w:r>
              <w:rPr>
                <w:rFonts w:hint="eastAsia"/>
                <w:color w:val="auto"/>
                <w:kern w:val="0"/>
                <w:sz w:val="21"/>
                <w:szCs w:val="21"/>
                <w:vertAlign w:val="subscript"/>
                <w:lang w:val="en-US" w:eastAsia="zh-CN"/>
              </w:rPr>
              <w:t>2</w:t>
            </w:r>
            <w:r>
              <w:rPr>
                <w:rFonts w:hint="eastAsia"/>
                <w:color w:val="auto"/>
                <w:kern w:val="0"/>
                <w:sz w:val="21"/>
                <w:szCs w:val="21"/>
                <w:vertAlign w:val="baseline"/>
                <w:lang w:val="en-US" w:eastAsia="zh-CN"/>
              </w:rPr>
              <w:t>、</w:t>
            </w:r>
            <w:r>
              <w:rPr>
                <w:rFonts w:hint="eastAsia"/>
                <w:color w:val="auto"/>
                <w:kern w:val="0"/>
                <w:sz w:val="21"/>
                <w:szCs w:val="21"/>
                <w:lang w:val="en-US" w:eastAsia="zh-CN"/>
              </w:rPr>
              <w:t>NO</w:t>
            </w:r>
            <w:r>
              <w:rPr>
                <w:rFonts w:hint="eastAsia"/>
                <w:color w:val="auto"/>
                <w:kern w:val="0"/>
                <w:sz w:val="21"/>
                <w:szCs w:val="21"/>
                <w:vertAlign w:val="subscript"/>
                <w:lang w:val="en-US" w:eastAsia="zh-CN"/>
              </w:rPr>
              <w:t>x</w:t>
            </w:r>
            <w:r>
              <w:rPr>
                <w:rFonts w:hint="eastAsia"/>
                <w:color w:val="auto"/>
                <w:kern w:val="0"/>
                <w:sz w:val="21"/>
                <w:szCs w:val="21"/>
                <w:vertAlign w:val="baseline"/>
                <w:lang w:val="en-US" w:eastAsia="zh-CN"/>
              </w:rPr>
              <w:t>、汞及其化合物、烟气黑度</w:t>
            </w:r>
          </w:p>
        </w:tc>
        <w:tc>
          <w:tcPr>
            <w:tcW w:w="2640" w:type="dxa"/>
            <w:vAlign w:val="center"/>
          </w:tcPr>
          <w:p w14:paraId="69861184">
            <w:pPr>
              <w:adjustRightInd w:val="0"/>
              <w:snapToGrid w:val="0"/>
              <w:jc w:val="center"/>
              <w:rPr>
                <w:color w:val="auto"/>
                <w:sz w:val="22"/>
                <w:szCs w:val="22"/>
              </w:rPr>
            </w:pPr>
            <w:r>
              <w:rPr>
                <w:rFonts w:hint="eastAsia"/>
                <w:color w:val="auto"/>
                <w:sz w:val="22"/>
                <w:szCs w:val="22"/>
                <w:lang w:val="en-US" w:eastAsia="zh-CN"/>
              </w:rPr>
              <w:t>旋风+</w:t>
            </w:r>
            <w:r>
              <w:rPr>
                <w:rFonts w:hint="eastAsia"/>
                <w:color w:val="auto"/>
                <w:sz w:val="22"/>
                <w:szCs w:val="22"/>
              </w:rPr>
              <w:t>布袋除尘器处理，处理后后通过30m高</w:t>
            </w:r>
            <w:r>
              <w:rPr>
                <w:rFonts w:hint="eastAsia"/>
                <w:color w:val="auto"/>
                <w:sz w:val="22"/>
                <w:szCs w:val="22"/>
                <w:lang w:val="en-US" w:eastAsia="zh-CN"/>
              </w:rPr>
              <w:t>排气筒</w:t>
            </w:r>
            <w:r>
              <w:rPr>
                <w:rFonts w:hint="eastAsia"/>
                <w:color w:val="auto"/>
                <w:sz w:val="22"/>
                <w:szCs w:val="22"/>
              </w:rPr>
              <w:t>（DA001）排放</w:t>
            </w:r>
          </w:p>
        </w:tc>
        <w:tc>
          <w:tcPr>
            <w:tcW w:w="2034" w:type="dxa"/>
            <w:vAlign w:val="center"/>
          </w:tcPr>
          <w:p w14:paraId="682FAD32">
            <w:pPr>
              <w:adjustRightInd w:val="0"/>
              <w:snapToGrid w:val="0"/>
              <w:jc w:val="center"/>
              <w:rPr>
                <w:rFonts w:ascii="宋体" w:hAnsi="宋体" w:cs="宋体"/>
                <w:color w:val="auto"/>
                <w:sz w:val="22"/>
                <w:szCs w:val="22"/>
              </w:rPr>
            </w:pPr>
            <w:r>
              <w:rPr>
                <w:rFonts w:hint="eastAsia"/>
                <w:color w:val="auto"/>
                <w:sz w:val="22"/>
                <w:szCs w:val="22"/>
              </w:rPr>
              <w:t>《锅炉大气污染物排放标准》（GB13271-2014）表</w:t>
            </w:r>
            <w:r>
              <w:rPr>
                <w:rFonts w:hint="eastAsia"/>
                <w:color w:val="auto"/>
                <w:sz w:val="22"/>
                <w:szCs w:val="22"/>
                <w:lang w:val="en-US" w:eastAsia="zh-CN"/>
              </w:rPr>
              <w:t>2</w:t>
            </w:r>
            <w:r>
              <w:rPr>
                <w:rFonts w:hint="eastAsia"/>
                <w:color w:val="auto"/>
                <w:sz w:val="22"/>
                <w:szCs w:val="22"/>
              </w:rPr>
              <w:t>中燃煤锅炉大气污染物排放限值标准</w:t>
            </w:r>
          </w:p>
        </w:tc>
      </w:tr>
      <w:tr w14:paraId="4DE9BF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8" w:type="dxa"/>
            <w:vMerge w:val="continue"/>
            <w:vAlign w:val="center"/>
          </w:tcPr>
          <w:p w14:paraId="7AB27D1D">
            <w:pPr>
              <w:adjustRightInd w:val="0"/>
              <w:snapToGrid w:val="0"/>
              <w:jc w:val="center"/>
              <w:rPr>
                <w:rFonts w:ascii="宋体" w:hAnsi="宋体" w:cs="宋体"/>
                <w:color w:val="auto"/>
                <w:sz w:val="22"/>
                <w:szCs w:val="22"/>
              </w:rPr>
            </w:pPr>
          </w:p>
        </w:tc>
        <w:tc>
          <w:tcPr>
            <w:tcW w:w="1973" w:type="dxa"/>
            <w:vAlign w:val="center"/>
          </w:tcPr>
          <w:p w14:paraId="5A75F0C6">
            <w:pPr>
              <w:adjustRightInd w:val="0"/>
              <w:snapToGrid w:val="0"/>
              <w:jc w:val="center"/>
              <w:rPr>
                <w:rFonts w:hint="eastAsia" w:eastAsia="宋体"/>
                <w:color w:val="auto"/>
                <w:sz w:val="22"/>
                <w:szCs w:val="22"/>
                <w:lang w:val="en-US" w:eastAsia="zh-CN"/>
              </w:rPr>
            </w:pPr>
            <w:r>
              <w:rPr>
                <w:rFonts w:hint="eastAsia"/>
                <w:color w:val="auto"/>
                <w:sz w:val="22"/>
                <w:szCs w:val="22"/>
                <w:lang w:val="en-US" w:eastAsia="zh-CN"/>
              </w:rPr>
              <w:t>厂界</w:t>
            </w:r>
          </w:p>
        </w:tc>
        <w:tc>
          <w:tcPr>
            <w:tcW w:w="1265" w:type="dxa"/>
            <w:vAlign w:val="center"/>
          </w:tcPr>
          <w:p w14:paraId="0CE75700">
            <w:pPr>
              <w:adjustRightInd w:val="0"/>
              <w:snapToGrid w:val="0"/>
              <w:jc w:val="center"/>
              <w:rPr>
                <w:rFonts w:hint="default" w:ascii="Times New Roman" w:hAnsi="Times New Roman" w:eastAsiaTheme="minorEastAsia"/>
                <w:color w:val="auto"/>
                <w:sz w:val="21"/>
                <w:szCs w:val="21"/>
                <w:lang w:val="en-US" w:eastAsia="zh-CN"/>
              </w:rPr>
            </w:pPr>
            <w:r>
              <w:rPr>
                <w:rFonts w:hint="eastAsia" w:eastAsiaTheme="minorEastAsia"/>
                <w:color w:val="auto"/>
                <w:sz w:val="21"/>
                <w:szCs w:val="21"/>
                <w:lang w:val="en-US" w:eastAsia="zh-CN"/>
              </w:rPr>
              <w:t>颗粒物</w:t>
            </w:r>
          </w:p>
        </w:tc>
        <w:tc>
          <w:tcPr>
            <w:tcW w:w="2640" w:type="dxa"/>
            <w:vAlign w:val="center"/>
          </w:tcPr>
          <w:p w14:paraId="25A86AA3">
            <w:pPr>
              <w:adjustRightInd w:val="0"/>
              <w:snapToGrid w:val="0"/>
              <w:jc w:val="center"/>
              <w:rPr>
                <w:rFonts w:hint="default" w:eastAsia="宋体"/>
                <w:color w:val="auto"/>
                <w:sz w:val="22"/>
                <w:szCs w:val="22"/>
                <w:lang w:val="en-US" w:eastAsia="zh-CN"/>
              </w:rPr>
            </w:pPr>
            <w:r>
              <w:rPr>
                <w:rFonts w:hint="eastAsia"/>
                <w:color w:val="auto"/>
                <w:sz w:val="22"/>
                <w:szCs w:val="22"/>
                <w:lang w:val="en-US" w:eastAsia="zh-CN"/>
              </w:rPr>
              <w:t>加强通风</w:t>
            </w:r>
          </w:p>
        </w:tc>
        <w:tc>
          <w:tcPr>
            <w:tcW w:w="2034" w:type="dxa"/>
            <w:vAlign w:val="center"/>
          </w:tcPr>
          <w:p w14:paraId="172E1070">
            <w:pPr>
              <w:adjustRightInd w:val="0"/>
              <w:snapToGrid w:val="0"/>
              <w:jc w:val="center"/>
              <w:rPr>
                <w:rFonts w:hint="eastAsia"/>
                <w:color w:val="auto"/>
                <w:sz w:val="22"/>
                <w:szCs w:val="22"/>
              </w:rPr>
            </w:pPr>
            <w:r>
              <w:rPr>
                <w:rFonts w:hint="eastAsia"/>
                <w:color w:val="auto"/>
                <w:sz w:val="22"/>
                <w:szCs w:val="22"/>
              </w:rPr>
              <w:t>《大气污染物综合排放标准》（GB16297-1996）表2中无组织排放限值</w:t>
            </w:r>
          </w:p>
        </w:tc>
      </w:tr>
      <w:tr w14:paraId="4EBAD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8" w:type="dxa"/>
            <w:vAlign w:val="center"/>
          </w:tcPr>
          <w:p w14:paraId="696B9371">
            <w:pPr>
              <w:adjustRightInd w:val="0"/>
              <w:snapToGrid w:val="0"/>
              <w:jc w:val="center"/>
              <w:rPr>
                <w:rFonts w:ascii="宋体" w:hAnsi="宋体" w:cs="宋体"/>
                <w:color w:val="auto"/>
                <w:sz w:val="22"/>
                <w:szCs w:val="22"/>
              </w:rPr>
            </w:pPr>
            <w:r>
              <w:rPr>
                <w:rFonts w:ascii="宋体" w:hAnsi="宋体" w:cs="宋体"/>
                <w:color w:val="auto"/>
                <w:sz w:val="22"/>
                <w:szCs w:val="22"/>
              </w:rPr>
              <w:t>地表水环境</w:t>
            </w:r>
          </w:p>
        </w:tc>
        <w:tc>
          <w:tcPr>
            <w:tcW w:w="1973" w:type="dxa"/>
            <w:vAlign w:val="center"/>
          </w:tcPr>
          <w:p w14:paraId="0C481014">
            <w:pPr>
              <w:adjustRightInd w:val="0"/>
              <w:snapToGrid w:val="0"/>
              <w:jc w:val="center"/>
              <w:rPr>
                <w:rFonts w:hint="default" w:eastAsia="宋体"/>
                <w:color w:val="auto"/>
                <w:sz w:val="22"/>
                <w:szCs w:val="22"/>
                <w:lang w:val="en-US" w:eastAsia="zh-CN"/>
              </w:rPr>
            </w:pPr>
            <w:r>
              <w:rPr>
                <w:color w:val="auto"/>
                <w:sz w:val="22"/>
                <w:szCs w:val="22"/>
              </w:rPr>
              <w:t>/</w:t>
            </w:r>
          </w:p>
        </w:tc>
        <w:tc>
          <w:tcPr>
            <w:tcW w:w="1265" w:type="dxa"/>
            <w:vAlign w:val="center"/>
          </w:tcPr>
          <w:p w14:paraId="16E5E849">
            <w:pPr>
              <w:adjustRightInd w:val="0"/>
              <w:snapToGrid w:val="0"/>
              <w:jc w:val="center"/>
              <w:rPr>
                <w:color w:val="auto"/>
                <w:sz w:val="22"/>
                <w:szCs w:val="22"/>
              </w:rPr>
            </w:pPr>
            <w:r>
              <w:rPr>
                <w:color w:val="auto"/>
                <w:sz w:val="22"/>
                <w:szCs w:val="22"/>
              </w:rPr>
              <w:t>/</w:t>
            </w:r>
          </w:p>
        </w:tc>
        <w:tc>
          <w:tcPr>
            <w:tcW w:w="2640" w:type="dxa"/>
            <w:vAlign w:val="center"/>
          </w:tcPr>
          <w:p w14:paraId="7E077CD7">
            <w:pPr>
              <w:adjustRightInd w:val="0"/>
              <w:snapToGrid w:val="0"/>
              <w:jc w:val="center"/>
              <w:rPr>
                <w:color w:val="auto"/>
                <w:sz w:val="22"/>
                <w:szCs w:val="22"/>
              </w:rPr>
            </w:pPr>
            <w:r>
              <w:rPr>
                <w:color w:val="auto"/>
                <w:sz w:val="22"/>
                <w:szCs w:val="22"/>
              </w:rPr>
              <w:t>/</w:t>
            </w:r>
          </w:p>
        </w:tc>
        <w:tc>
          <w:tcPr>
            <w:tcW w:w="2034" w:type="dxa"/>
            <w:vAlign w:val="center"/>
          </w:tcPr>
          <w:p w14:paraId="093AB568">
            <w:pPr>
              <w:adjustRightInd w:val="0"/>
              <w:snapToGrid w:val="0"/>
              <w:jc w:val="center"/>
              <w:rPr>
                <w:rFonts w:hint="eastAsia"/>
                <w:color w:val="auto"/>
                <w:sz w:val="22"/>
                <w:szCs w:val="22"/>
                <w:lang w:eastAsia="zh-CN"/>
              </w:rPr>
            </w:pPr>
            <w:r>
              <w:rPr>
                <w:color w:val="auto"/>
                <w:sz w:val="22"/>
                <w:szCs w:val="22"/>
              </w:rPr>
              <w:t>/</w:t>
            </w:r>
          </w:p>
        </w:tc>
      </w:tr>
      <w:tr w14:paraId="444C65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1" w:hRule="atLeast"/>
        </w:trPr>
        <w:tc>
          <w:tcPr>
            <w:tcW w:w="1148" w:type="dxa"/>
            <w:vAlign w:val="center"/>
          </w:tcPr>
          <w:p w14:paraId="0B0890BD">
            <w:pPr>
              <w:adjustRightInd w:val="0"/>
              <w:snapToGrid w:val="0"/>
              <w:jc w:val="center"/>
              <w:rPr>
                <w:rFonts w:ascii="宋体" w:hAnsi="宋体" w:cs="宋体"/>
                <w:color w:val="auto"/>
                <w:sz w:val="22"/>
                <w:szCs w:val="22"/>
              </w:rPr>
            </w:pPr>
            <w:r>
              <w:rPr>
                <w:rFonts w:ascii="宋体" w:hAnsi="宋体" w:cs="宋体"/>
                <w:color w:val="auto"/>
                <w:sz w:val="22"/>
                <w:szCs w:val="22"/>
              </w:rPr>
              <w:t>声环境</w:t>
            </w:r>
          </w:p>
        </w:tc>
        <w:tc>
          <w:tcPr>
            <w:tcW w:w="1973" w:type="dxa"/>
            <w:vAlign w:val="center"/>
          </w:tcPr>
          <w:p w14:paraId="20F5BEBE">
            <w:pPr>
              <w:adjustRightInd w:val="0"/>
              <w:snapToGrid w:val="0"/>
              <w:jc w:val="center"/>
              <w:rPr>
                <w:rFonts w:hint="default" w:ascii="Times New Roman" w:hAnsi="Times New Roman" w:eastAsia="宋体" w:cs="Times New Roman"/>
                <w:color w:val="auto"/>
                <w:sz w:val="22"/>
                <w:szCs w:val="22"/>
                <w:lang w:val="en-US" w:eastAsia="zh-CN"/>
              </w:rPr>
            </w:pPr>
            <w:r>
              <w:rPr>
                <w:rFonts w:hint="eastAsia" w:ascii="Times New Roman" w:hAnsi="Times New Roman" w:eastAsia="宋体" w:cs="Times New Roman"/>
                <w:color w:val="auto"/>
                <w:sz w:val="22"/>
                <w:szCs w:val="22"/>
                <w:lang w:val="en-US" w:eastAsia="zh-CN"/>
              </w:rPr>
              <w:t>1</w:t>
            </w:r>
            <w:r>
              <w:rPr>
                <w:rFonts w:hint="eastAsia" w:cs="Times New Roman"/>
                <w:color w:val="auto"/>
                <w:sz w:val="22"/>
                <w:szCs w:val="22"/>
                <w:lang w:val="en-US" w:eastAsia="zh-CN"/>
              </w:rPr>
              <w:t>8</w:t>
            </w:r>
            <w:r>
              <w:rPr>
                <w:rFonts w:hint="eastAsia" w:ascii="Times New Roman" w:hAnsi="Times New Roman" w:eastAsia="宋体" w:cs="Times New Roman"/>
                <w:color w:val="auto"/>
                <w:sz w:val="22"/>
                <w:szCs w:val="22"/>
                <w:lang w:val="en-US" w:eastAsia="zh-CN"/>
              </w:rPr>
              <w:t>00KW燃生物质</w:t>
            </w:r>
            <w:r>
              <w:rPr>
                <w:rFonts w:hint="eastAsia" w:ascii="Times New Roman" w:hAnsi="Times New Roman" w:eastAsia="宋体" w:cs="Times New Roman"/>
                <w:color w:val="auto"/>
                <w:sz w:val="22"/>
                <w:szCs w:val="22"/>
              </w:rPr>
              <w:t>导热油炉</w:t>
            </w:r>
            <w:r>
              <w:rPr>
                <w:rFonts w:hint="eastAsia" w:ascii="Times New Roman" w:hAnsi="Times New Roman" w:eastAsia="宋体" w:cs="Times New Roman"/>
                <w:color w:val="auto"/>
                <w:sz w:val="22"/>
                <w:szCs w:val="22"/>
                <w:lang w:val="en-US" w:eastAsia="zh-CN"/>
              </w:rPr>
              <w:t>、风机</w:t>
            </w:r>
          </w:p>
        </w:tc>
        <w:tc>
          <w:tcPr>
            <w:tcW w:w="1265" w:type="dxa"/>
            <w:vAlign w:val="center"/>
          </w:tcPr>
          <w:p w14:paraId="123DBB25">
            <w:pPr>
              <w:adjustRightInd w:val="0"/>
              <w:snapToGrid w:val="0"/>
              <w:jc w:val="center"/>
              <w:rPr>
                <w:rFonts w:ascii="Times New Roman" w:hAnsi="Times New Roman" w:eastAsia="宋体" w:cs="Times New Roman"/>
                <w:color w:val="auto"/>
                <w:sz w:val="22"/>
                <w:szCs w:val="22"/>
              </w:rPr>
            </w:pPr>
            <w:r>
              <w:rPr>
                <w:rFonts w:ascii="Times New Roman" w:hAnsi="Times New Roman" w:eastAsia="宋体" w:cs="Times New Roman"/>
                <w:color w:val="auto"/>
                <w:sz w:val="22"/>
                <w:szCs w:val="22"/>
              </w:rPr>
              <w:t>噪声</w:t>
            </w:r>
          </w:p>
        </w:tc>
        <w:tc>
          <w:tcPr>
            <w:tcW w:w="2640" w:type="dxa"/>
            <w:vAlign w:val="center"/>
          </w:tcPr>
          <w:p w14:paraId="3A2A1D96">
            <w:pPr>
              <w:adjustRightInd w:val="0"/>
              <w:snapToGrid w:val="0"/>
              <w:jc w:val="center"/>
              <w:rPr>
                <w:rFonts w:ascii="宋体" w:hAnsi="宋体" w:cs="宋体"/>
                <w:color w:val="auto"/>
                <w:sz w:val="22"/>
                <w:szCs w:val="22"/>
              </w:rPr>
            </w:pPr>
            <w:r>
              <w:rPr>
                <w:color w:val="auto"/>
                <w:sz w:val="22"/>
                <w:szCs w:val="22"/>
              </w:rPr>
              <w:t>选用低噪声设备，厂房封闭、加装减振、安装消声器等措施，优化厂区布置</w:t>
            </w:r>
          </w:p>
        </w:tc>
        <w:tc>
          <w:tcPr>
            <w:tcW w:w="2034" w:type="dxa"/>
            <w:vAlign w:val="center"/>
          </w:tcPr>
          <w:p w14:paraId="796A5B6A">
            <w:pPr>
              <w:adjustRightInd w:val="0"/>
              <w:snapToGrid w:val="0"/>
              <w:jc w:val="center"/>
              <w:rPr>
                <w:rFonts w:hint="eastAsia"/>
                <w:color w:val="auto"/>
                <w:sz w:val="22"/>
                <w:szCs w:val="22"/>
              </w:rPr>
            </w:pPr>
            <w:r>
              <w:rPr>
                <w:rFonts w:hint="eastAsia"/>
                <w:color w:val="auto"/>
                <w:sz w:val="22"/>
                <w:szCs w:val="22"/>
              </w:rPr>
              <w:t>《工业企业厂界环境噪声排放标准》（GB12348-2008）表1中</w:t>
            </w:r>
            <w:r>
              <w:rPr>
                <w:rFonts w:hint="eastAsia"/>
                <w:color w:val="auto"/>
                <w:sz w:val="22"/>
                <w:szCs w:val="22"/>
                <w:lang w:val="en-US" w:eastAsia="zh-CN"/>
              </w:rPr>
              <w:t>2</w:t>
            </w:r>
            <w:r>
              <w:rPr>
                <w:rFonts w:hint="eastAsia"/>
                <w:color w:val="auto"/>
                <w:sz w:val="22"/>
                <w:szCs w:val="22"/>
              </w:rPr>
              <w:t>类标准</w:t>
            </w:r>
          </w:p>
        </w:tc>
      </w:tr>
      <w:tr w14:paraId="1F9EBF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1148" w:type="dxa"/>
            <w:vAlign w:val="center"/>
          </w:tcPr>
          <w:p w14:paraId="1EAFFBA7">
            <w:pPr>
              <w:adjustRightInd w:val="0"/>
              <w:snapToGrid w:val="0"/>
              <w:jc w:val="center"/>
              <w:rPr>
                <w:rFonts w:ascii="宋体" w:hAnsi="宋体" w:cs="宋体"/>
                <w:color w:val="auto"/>
                <w:sz w:val="22"/>
                <w:szCs w:val="22"/>
              </w:rPr>
            </w:pPr>
            <w:r>
              <w:rPr>
                <w:rFonts w:ascii="宋体" w:hAnsi="宋体" w:cs="宋体"/>
                <w:color w:val="auto"/>
                <w:sz w:val="22"/>
                <w:szCs w:val="22"/>
              </w:rPr>
              <w:t>电磁</w:t>
            </w:r>
          </w:p>
          <w:p w14:paraId="4696DBFB">
            <w:pPr>
              <w:adjustRightInd w:val="0"/>
              <w:snapToGrid w:val="0"/>
              <w:jc w:val="center"/>
              <w:rPr>
                <w:rFonts w:ascii="宋体" w:hAnsi="宋体" w:cs="宋体"/>
                <w:color w:val="auto"/>
                <w:sz w:val="22"/>
                <w:szCs w:val="22"/>
              </w:rPr>
            </w:pPr>
            <w:r>
              <w:rPr>
                <w:rFonts w:ascii="宋体" w:hAnsi="宋体" w:cs="宋体"/>
                <w:color w:val="auto"/>
                <w:sz w:val="22"/>
                <w:szCs w:val="22"/>
              </w:rPr>
              <w:t>辐射</w:t>
            </w:r>
          </w:p>
        </w:tc>
        <w:tc>
          <w:tcPr>
            <w:tcW w:w="1973" w:type="dxa"/>
            <w:vAlign w:val="center"/>
          </w:tcPr>
          <w:p w14:paraId="1C1B9BC5">
            <w:pPr>
              <w:adjustRightInd w:val="0"/>
              <w:snapToGrid w:val="0"/>
              <w:jc w:val="center"/>
              <w:rPr>
                <w:color w:val="auto"/>
                <w:sz w:val="22"/>
                <w:szCs w:val="22"/>
              </w:rPr>
            </w:pPr>
            <w:r>
              <w:rPr>
                <w:color w:val="auto"/>
                <w:sz w:val="22"/>
                <w:szCs w:val="22"/>
              </w:rPr>
              <w:t>/</w:t>
            </w:r>
          </w:p>
        </w:tc>
        <w:tc>
          <w:tcPr>
            <w:tcW w:w="1265" w:type="dxa"/>
            <w:vAlign w:val="center"/>
          </w:tcPr>
          <w:p w14:paraId="5FCF0BCE">
            <w:pPr>
              <w:adjustRightInd w:val="0"/>
              <w:snapToGrid w:val="0"/>
              <w:jc w:val="center"/>
              <w:rPr>
                <w:color w:val="auto"/>
                <w:sz w:val="22"/>
                <w:szCs w:val="22"/>
              </w:rPr>
            </w:pPr>
            <w:r>
              <w:rPr>
                <w:color w:val="auto"/>
                <w:sz w:val="22"/>
                <w:szCs w:val="22"/>
              </w:rPr>
              <w:t>/</w:t>
            </w:r>
          </w:p>
        </w:tc>
        <w:tc>
          <w:tcPr>
            <w:tcW w:w="2640" w:type="dxa"/>
            <w:vAlign w:val="center"/>
          </w:tcPr>
          <w:p w14:paraId="4C5F35F4">
            <w:pPr>
              <w:adjustRightInd w:val="0"/>
              <w:snapToGrid w:val="0"/>
              <w:jc w:val="center"/>
              <w:rPr>
                <w:color w:val="auto"/>
                <w:sz w:val="22"/>
                <w:szCs w:val="22"/>
              </w:rPr>
            </w:pPr>
            <w:r>
              <w:rPr>
                <w:color w:val="auto"/>
                <w:sz w:val="22"/>
                <w:szCs w:val="22"/>
              </w:rPr>
              <w:t>/</w:t>
            </w:r>
          </w:p>
        </w:tc>
        <w:tc>
          <w:tcPr>
            <w:tcW w:w="2034" w:type="dxa"/>
            <w:vAlign w:val="center"/>
          </w:tcPr>
          <w:p w14:paraId="74C1A85E">
            <w:pPr>
              <w:adjustRightInd w:val="0"/>
              <w:snapToGrid w:val="0"/>
              <w:jc w:val="center"/>
              <w:rPr>
                <w:color w:val="auto"/>
                <w:sz w:val="22"/>
                <w:szCs w:val="22"/>
              </w:rPr>
            </w:pPr>
            <w:r>
              <w:rPr>
                <w:color w:val="auto"/>
                <w:sz w:val="22"/>
                <w:szCs w:val="22"/>
              </w:rPr>
              <w:t>/</w:t>
            </w:r>
          </w:p>
        </w:tc>
      </w:tr>
      <w:tr w14:paraId="53C94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0" w:hRule="atLeast"/>
        </w:trPr>
        <w:tc>
          <w:tcPr>
            <w:tcW w:w="1148" w:type="dxa"/>
            <w:vAlign w:val="center"/>
          </w:tcPr>
          <w:p w14:paraId="202BB1A5">
            <w:pPr>
              <w:adjustRightInd w:val="0"/>
              <w:snapToGrid w:val="0"/>
              <w:jc w:val="center"/>
              <w:rPr>
                <w:rFonts w:ascii="宋体" w:hAnsi="宋体" w:cs="宋体"/>
                <w:color w:val="auto"/>
                <w:sz w:val="22"/>
                <w:szCs w:val="22"/>
              </w:rPr>
            </w:pPr>
            <w:r>
              <w:rPr>
                <w:rFonts w:ascii="宋体" w:hAnsi="宋体" w:cs="宋体"/>
                <w:color w:val="auto"/>
                <w:sz w:val="22"/>
                <w:szCs w:val="22"/>
              </w:rPr>
              <w:t>固体</w:t>
            </w:r>
          </w:p>
          <w:p w14:paraId="415D8BCE">
            <w:pPr>
              <w:adjustRightInd w:val="0"/>
              <w:snapToGrid w:val="0"/>
              <w:jc w:val="center"/>
              <w:rPr>
                <w:rFonts w:ascii="宋体" w:hAnsi="宋体" w:cs="宋体"/>
                <w:color w:val="auto"/>
                <w:sz w:val="22"/>
                <w:szCs w:val="22"/>
              </w:rPr>
            </w:pPr>
            <w:r>
              <w:rPr>
                <w:rFonts w:ascii="宋体" w:hAnsi="宋体" w:cs="宋体"/>
                <w:color w:val="auto"/>
                <w:sz w:val="22"/>
                <w:szCs w:val="22"/>
              </w:rPr>
              <w:t>废物</w:t>
            </w:r>
          </w:p>
        </w:tc>
        <w:tc>
          <w:tcPr>
            <w:tcW w:w="7912" w:type="dxa"/>
            <w:gridSpan w:val="4"/>
            <w:vAlign w:val="center"/>
          </w:tcPr>
          <w:p w14:paraId="6A7E7FAE">
            <w:pPr>
              <w:adjustRightInd w:val="0"/>
              <w:snapToGrid w:val="0"/>
              <w:jc w:val="center"/>
              <w:rPr>
                <w:rFonts w:ascii="宋体" w:hAnsi="宋体" w:cs="宋体"/>
                <w:color w:val="auto"/>
                <w:sz w:val="22"/>
                <w:szCs w:val="22"/>
              </w:rPr>
            </w:pPr>
            <w:r>
              <w:rPr>
                <w:rFonts w:hint="eastAsia"/>
                <w:color w:val="auto"/>
                <w:lang w:val="en-US" w:eastAsia="zh-CN"/>
              </w:rPr>
              <w:t>导热油炉锅炉灰渣及除尘灰全部外售综合利用</w:t>
            </w:r>
            <w:r>
              <w:rPr>
                <w:rFonts w:hint="eastAsia" w:ascii="Times New Roman" w:hAnsi="Times New Roman" w:cs="Times New Roman"/>
                <w:color w:val="auto"/>
                <w:kern w:val="2"/>
                <w:sz w:val="21"/>
                <w:szCs w:val="24"/>
                <w:lang w:val="en-US" w:eastAsia="zh-CN" w:bidi="ar-SA"/>
              </w:rPr>
              <w:t>；</w:t>
            </w:r>
            <w:r>
              <w:rPr>
                <w:rFonts w:hint="eastAsia"/>
                <w:color w:val="auto"/>
              </w:rPr>
              <w:t>废布袋由除尘器厂家检修后直接带走；废导热油每五年产生一次，委托有资质单位更换并带走处置，不在厂区内暂存</w:t>
            </w:r>
            <w:r>
              <w:rPr>
                <w:rFonts w:hint="eastAsia"/>
                <w:color w:val="auto"/>
                <w:lang w:eastAsia="zh-CN"/>
              </w:rPr>
              <w:t>；</w:t>
            </w:r>
            <w:r>
              <w:rPr>
                <w:rFonts w:hint="eastAsia" w:ascii="Times New Roman" w:hAnsi="Times New Roman" w:eastAsia="宋体" w:cs="Times New Roman"/>
                <w:color w:val="auto"/>
                <w:szCs w:val="21"/>
                <w:lang w:val="en-US" w:eastAsia="zh-CN"/>
              </w:rPr>
              <w:t>废机油</w:t>
            </w:r>
            <w:r>
              <w:rPr>
                <w:rFonts w:hint="eastAsia" w:cs="Times New Roman"/>
                <w:color w:val="auto"/>
                <w:szCs w:val="21"/>
                <w:lang w:val="en-US" w:eastAsia="zh-CN"/>
              </w:rPr>
              <w:t>、</w:t>
            </w:r>
            <w:r>
              <w:rPr>
                <w:rFonts w:hint="eastAsia"/>
                <w:color w:val="auto"/>
                <w:lang w:val="en-US" w:eastAsia="zh-CN"/>
              </w:rPr>
              <w:t>废含油手套、废含油抹布集中收集暂存在危废贮存点，定期委托有资质公司处理。</w:t>
            </w:r>
          </w:p>
        </w:tc>
      </w:tr>
      <w:tr w14:paraId="73508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0" w:hRule="atLeast"/>
        </w:trPr>
        <w:tc>
          <w:tcPr>
            <w:tcW w:w="1148" w:type="dxa"/>
            <w:vAlign w:val="center"/>
          </w:tcPr>
          <w:p w14:paraId="7C273291">
            <w:pPr>
              <w:adjustRightInd w:val="0"/>
              <w:snapToGrid w:val="0"/>
              <w:jc w:val="center"/>
              <w:rPr>
                <w:rFonts w:ascii="宋体" w:hAnsi="宋体" w:cs="宋体"/>
                <w:color w:val="auto"/>
                <w:sz w:val="22"/>
                <w:szCs w:val="22"/>
              </w:rPr>
            </w:pPr>
            <w:r>
              <w:rPr>
                <w:rFonts w:ascii="宋体" w:hAnsi="宋体" w:cs="宋体"/>
                <w:color w:val="auto"/>
                <w:sz w:val="22"/>
                <w:szCs w:val="22"/>
              </w:rPr>
              <w:t>土壤及地下水污染防治措施</w:t>
            </w:r>
          </w:p>
        </w:tc>
        <w:tc>
          <w:tcPr>
            <w:tcW w:w="7912" w:type="dxa"/>
            <w:gridSpan w:val="4"/>
            <w:vAlign w:val="center"/>
          </w:tcPr>
          <w:p w14:paraId="6BA890C6">
            <w:pPr>
              <w:adjustRightInd w:val="0"/>
              <w:snapToGrid w:val="0"/>
              <w:jc w:val="center"/>
              <w:rPr>
                <w:rFonts w:hint="eastAsia" w:ascii="宋体" w:hAnsi="宋体" w:cs="宋体"/>
                <w:color w:val="auto"/>
                <w:sz w:val="22"/>
                <w:szCs w:val="22"/>
              </w:rPr>
            </w:pPr>
            <w:r>
              <w:rPr>
                <w:rFonts w:hint="eastAsia" w:ascii="宋体" w:hAnsi="宋体" w:cs="宋体"/>
                <w:color w:val="auto"/>
                <w:sz w:val="22"/>
                <w:szCs w:val="22"/>
              </w:rPr>
              <w:t>本项目不取用地下水资源，拟在厂区原有锅炉房内进行改建</w:t>
            </w:r>
            <w:r>
              <w:rPr>
                <w:rFonts w:hint="eastAsia" w:ascii="宋体" w:hAnsi="宋体" w:cs="宋体"/>
                <w:color w:val="auto"/>
                <w:sz w:val="21"/>
                <w:szCs w:val="21"/>
              </w:rPr>
              <w:t>，</w:t>
            </w:r>
            <w:r>
              <w:rPr>
                <w:rFonts w:hint="eastAsia" w:ascii="Times New Roman" w:hAnsi="Times New Roman" w:eastAsia="宋体" w:cs="Times New Roman"/>
                <w:color w:val="auto"/>
                <w:kern w:val="0"/>
                <w:sz w:val="21"/>
                <w:szCs w:val="21"/>
                <w:lang w:val="en-US" w:eastAsia="zh-CN" w:bidi="ar-SA"/>
              </w:rPr>
              <w:t>本项目</w:t>
            </w:r>
            <w:r>
              <w:rPr>
                <w:rFonts w:hint="eastAsia" w:cs="Times New Roman"/>
                <w:color w:val="auto"/>
                <w:kern w:val="0"/>
                <w:sz w:val="21"/>
                <w:szCs w:val="21"/>
                <w:lang w:val="en-US" w:eastAsia="zh-CN" w:bidi="ar-SA"/>
              </w:rPr>
              <w:t>危废贮存点</w:t>
            </w:r>
            <w:r>
              <w:rPr>
                <w:rFonts w:hint="eastAsia" w:ascii="Times New Roman" w:hAnsi="Times New Roman" w:eastAsia="宋体" w:cs="Times New Roman"/>
                <w:color w:val="auto"/>
                <w:kern w:val="0"/>
                <w:sz w:val="21"/>
                <w:szCs w:val="21"/>
                <w:lang w:val="en-US" w:eastAsia="zh-CN" w:bidi="ar-SA"/>
              </w:rPr>
              <w:t>按照重点防渗区管理，</w:t>
            </w:r>
            <w:r>
              <w:rPr>
                <w:rFonts w:hint="eastAsia" w:cs="Times New Roman"/>
                <w:color w:val="auto"/>
                <w:kern w:val="0"/>
                <w:sz w:val="21"/>
                <w:szCs w:val="21"/>
                <w:lang w:val="en-US" w:eastAsia="zh-CN" w:bidi="ar-SA"/>
              </w:rPr>
              <w:t>危废贮存点</w:t>
            </w:r>
            <w:r>
              <w:rPr>
                <w:rFonts w:hint="eastAsia" w:ascii="Times New Roman" w:hAnsi="Times New Roman" w:eastAsia="宋体" w:cs="Times New Roman"/>
                <w:color w:val="auto"/>
                <w:kern w:val="0"/>
                <w:sz w:val="21"/>
                <w:szCs w:val="21"/>
                <w:lang w:val="en-US" w:eastAsia="zh-CN" w:bidi="ar-SA"/>
              </w:rPr>
              <w:t>防渗要求按照《危险废物贮存污染控制标准》（GB18597-2023）的要求执行，为重点防渗区，基础敷设2mm厚的高密度聚乙烯防水层，上部敷设10cm厚水泥层，表面铺设防水树脂层，渗透系数≤10</w:t>
            </w:r>
            <w:r>
              <w:rPr>
                <w:rFonts w:hint="eastAsia" w:ascii="Times New Roman" w:hAnsi="Times New Roman" w:eastAsia="宋体" w:cs="Times New Roman"/>
                <w:color w:val="auto"/>
                <w:kern w:val="0"/>
                <w:sz w:val="21"/>
                <w:szCs w:val="21"/>
                <w:vertAlign w:val="superscript"/>
                <w:lang w:val="en-US" w:eastAsia="zh-CN" w:bidi="ar-SA"/>
              </w:rPr>
              <w:t>-10</w:t>
            </w:r>
            <w:r>
              <w:rPr>
                <w:rFonts w:hint="eastAsia" w:ascii="Times New Roman" w:hAnsi="Times New Roman" w:eastAsia="宋体" w:cs="Times New Roman"/>
                <w:color w:val="auto"/>
                <w:kern w:val="0"/>
                <w:sz w:val="21"/>
                <w:szCs w:val="21"/>
                <w:lang w:val="en-US" w:eastAsia="zh-CN" w:bidi="ar-SA"/>
              </w:rPr>
              <w:t>cm/s。</w:t>
            </w:r>
            <w:r>
              <w:rPr>
                <w:rFonts w:hint="eastAsia" w:ascii="宋体" w:hAnsi="宋体" w:cs="宋体"/>
                <w:color w:val="auto"/>
                <w:sz w:val="21"/>
                <w:szCs w:val="21"/>
              </w:rPr>
              <w:t>锅</w:t>
            </w:r>
            <w:r>
              <w:rPr>
                <w:rFonts w:hint="eastAsia" w:ascii="宋体" w:hAnsi="宋体" w:cs="宋体"/>
                <w:color w:val="auto"/>
                <w:sz w:val="22"/>
                <w:szCs w:val="22"/>
              </w:rPr>
              <w:t>炉房已做好地面硬底化防渗措施，一般不会出现地下水、土壤环境污染。</w:t>
            </w:r>
          </w:p>
        </w:tc>
      </w:tr>
      <w:tr w14:paraId="6CBC3E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trPr>
        <w:tc>
          <w:tcPr>
            <w:tcW w:w="1148" w:type="dxa"/>
            <w:vAlign w:val="center"/>
          </w:tcPr>
          <w:p w14:paraId="44E8AAAC">
            <w:pPr>
              <w:adjustRightInd w:val="0"/>
              <w:snapToGrid w:val="0"/>
              <w:jc w:val="center"/>
              <w:rPr>
                <w:rFonts w:ascii="宋体" w:hAnsi="宋体" w:cs="宋体"/>
                <w:color w:val="auto"/>
                <w:sz w:val="22"/>
                <w:szCs w:val="22"/>
              </w:rPr>
            </w:pPr>
            <w:r>
              <w:rPr>
                <w:rFonts w:ascii="宋体" w:hAnsi="宋体" w:cs="宋体"/>
                <w:color w:val="auto"/>
                <w:sz w:val="22"/>
                <w:szCs w:val="22"/>
              </w:rPr>
              <w:t>生态保护</w:t>
            </w:r>
          </w:p>
          <w:p w14:paraId="1AC4BFC1">
            <w:pPr>
              <w:adjustRightInd w:val="0"/>
              <w:snapToGrid w:val="0"/>
              <w:jc w:val="center"/>
              <w:rPr>
                <w:rFonts w:ascii="宋体" w:hAnsi="宋体" w:cs="宋体"/>
                <w:color w:val="auto"/>
                <w:sz w:val="22"/>
                <w:szCs w:val="22"/>
              </w:rPr>
            </w:pPr>
            <w:r>
              <w:rPr>
                <w:rFonts w:ascii="宋体" w:hAnsi="宋体" w:cs="宋体"/>
                <w:color w:val="auto"/>
                <w:sz w:val="22"/>
                <w:szCs w:val="22"/>
              </w:rPr>
              <w:t>措施</w:t>
            </w:r>
          </w:p>
        </w:tc>
        <w:tc>
          <w:tcPr>
            <w:tcW w:w="7912" w:type="dxa"/>
            <w:gridSpan w:val="4"/>
            <w:vAlign w:val="center"/>
          </w:tcPr>
          <w:p w14:paraId="4BD89A67">
            <w:pPr>
              <w:adjustRightInd w:val="0"/>
              <w:snapToGrid w:val="0"/>
              <w:jc w:val="center"/>
              <w:rPr>
                <w:rFonts w:hint="eastAsia"/>
                <w:color w:val="auto"/>
              </w:rPr>
            </w:pPr>
            <w:r>
              <w:rPr>
                <w:rFonts w:hint="eastAsia"/>
                <w:color w:val="auto"/>
              </w:rPr>
              <w:t>/</w:t>
            </w:r>
          </w:p>
        </w:tc>
      </w:tr>
      <w:tr w14:paraId="1668DD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6" w:hRule="atLeast"/>
        </w:trPr>
        <w:tc>
          <w:tcPr>
            <w:tcW w:w="1148" w:type="dxa"/>
            <w:vAlign w:val="center"/>
          </w:tcPr>
          <w:p w14:paraId="44BCB569">
            <w:pPr>
              <w:adjustRightInd w:val="0"/>
              <w:snapToGrid w:val="0"/>
              <w:jc w:val="center"/>
              <w:rPr>
                <w:rFonts w:ascii="宋体" w:hAnsi="宋体" w:cs="宋体"/>
                <w:color w:val="auto"/>
                <w:spacing w:val="-8"/>
                <w:sz w:val="22"/>
                <w:szCs w:val="22"/>
              </w:rPr>
            </w:pPr>
            <w:r>
              <w:rPr>
                <w:rFonts w:ascii="宋体" w:hAnsi="宋体" w:cs="宋体"/>
                <w:color w:val="auto"/>
                <w:spacing w:val="-8"/>
                <w:sz w:val="22"/>
                <w:szCs w:val="22"/>
              </w:rPr>
              <w:t>环境风险</w:t>
            </w:r>
          </w:p>
          <w:p w14:paraId="4801600D">
            <w:pPr>
              <w:adjustRightInd w:val="0"/>
              <w:snapToGrid w:val="0"/>
              <w:jc w:val="center"/>
              <w:rPr>
                <w:rFonts w:ascii="宋体" w:hAnsi="宋体" w:cs="宋体"/>
                <w:color w:val="auto"/>
                <w:sz w:val="22"/>
                <w:szCs w:val="22"/>
              </w:rPr>
            </w:pPr>
            <w:r>
              <w:rPr>
                <w:rFonts w:ascii="宋体" w:hAnsi="宋体" w:cs="宋体"/>
                <w:color w:val="auto"/>
                <w:spacing w:val="-8"/>
                <w:sz w:val="22"/>
                <w:szCs w:val="22"/>
              </w:rPr>
              <w:t>防范措施</w:t>
            </w:r>
          </w:p>
        </w:tc>
        <w:tc>
          <w:tcPr>
            <w:tcW w:w="7912" w:type="dxa"/>
            <w:gridSpan w:val="4"/>
            <w:vAlign w:val="center"/>
          </w:tcPr>
          <w:p w14:paraId="14637A86">
            <w:pPr>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①管理过程：安排专人负责厂区安全管理，操作人员须经过专业培训；同时对公司员工也应进行消防培训，加强员工安全意识。</w:t>
            </w:r>
          </w:p>
          <w:p w14:paraId="2BC003CC">
            <w:pPr>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②贮存过程：仓库管理人员须经过专业知识培训。</w:t>
            </w:r>
          </w:p>
          <w:p w14:paraId="42D56930">
            <w:pPr>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③运输过程：企业须配备消防器材，有经过消防安全培训合格的驾驶员、押运员；运输包装上应印制清晰的提醒符号或标志。</w:t>
            </w:r>
          </w:p>
          <w:p w14:paraId="6457245B">
            <w:pPr>
              <w:adjustRightInd w:val="0"/>
              <w:snapToGrid w:val="0"/>
              <w:jc w:val="center"/>
              <w:rPr>
                <w:rFonts w:hint="eastAsia" w:ascii="Times New Roman" w:hAnsi="Times New Roman" w:eastAsia="宋体" w:cs="Times New Roman"/>
                <w:color w:val="auto"/>
              </w:rPr>
            </w:pPr>
            <w:r>
              <w:rPr>
                <w:rFonts w:hint="default" w:ascii="Times New Roman" w:hAnsi="Times New Roman" w:eastAsia="宋体" w:cs="Times New Roman"/>
                <w:color w:val="auto"/>
              </w:rPr>
              <w:t>④生产过程：企业应做好日常监督检查与维修保养，平时组织专门人员周期性巡回检查，有异常现象及时检修。</w:t>
            </w:r>
          </w:p>
        </w:tc>
      </w:tr>
      <w:tr w14:paraId="1B7E0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48" w:type="dxa"/>
            <w:vAlign w:val="center"/>
          </w:tcPr>
          <w:p w14:paraId="1FB4F156">
            <w:pPr>
              <w:adjustRightInd w:val="0"/>
              <w:snapToGrid w:val="0"/>
              <w:jc w:val="center"/>
              <w:rPr>
                <w:color w:val="auto"/>
                <w:spacing w:val="-8"/>
                <w:sz w:val="22"/>
                <w:szCs w:val="22"/>
              </w:rPr>
            </w:pPr>
            <w:r>
              <w:rPr>
                <w:color w:val="auto"/>
                <w:spacing w:val="-8"/>
                <w:sz w:val="22"/>
                <w:szCs w:val="22"/>
              </w:rPr>
              <w:t>其他环境</w:t>
            </w:r>
          </w:p>
          <w:p w14:paraId="31B661F3">
            <w:pPr>
              <w:adjustRightInd w:val="0"/>
              <w:snapToGrid w:val="0"/>
              <w:jc w:val="center"/>
              <w:rPr>
                <w:rFonts w:ascii="宋体" w:hAnsi="宋体" w:cs="宋体"/>
                <w:color w:val="auto"/>
                <w:spacing w:val="-8"/>
                <w:sz w:val="22"/>
                <w:szCs w:val="22"/>
              </w:rPr>
            </w:pPr>
            <w:r>
              <w:rPr>
                <w:color w:val="auto"/>
                <w:spacing w:val="-8"/>
                <w:sz w:val="22"/>
                <w:szCs w:val="22"/>
              </w:rPr>
              <w:t>管理要求</w:t>
            </w:r>
          </w:p>
        </w:tc>
        <w:tc>
          <w:tcPr>
            <w:tcW w:w="7912" w:type="dxa"/>
            <w:gridSpan w:val="4"/>
            <w:vAlign w:val="center"/>
          </w:tcPr>
          <w:p w14:paraId="2F52E6A1">
            <w:pPr>
              <w:adjustRightInd w:val="0"/>
              <w:snapToGrid w:val="0"/>
              <w:jc w:val="center"/>
              <w:rPr>
                <w:rFonts w:hint="eastAsia" w:ascii="Times New Roman" w:hAnsi="Times New Roman" w:eastAsia="宋体" w:cs="Times New Roman"/>
                <w:color w:val="auto"/>
              </w:rPr>
            </w:pPr>
            <w:r>
              <w:rPr>
                <w:rFonts w:hint="eastAsia" w:ascii="Times New Roman" w:hAnsi="Times New Roman" w:eastAsia="宋体" w:cs="Times New Roman"/>
                <w:color w:val="auto"/>
              </w:rPr>
              <w:t>根据《关于做好环境影响评价制度与排污许可制衔接相关工作的通知》（环办环评[2017]84号），建设项目发生实际排污行为之前，排污单位应当按照国家环境保护相关法律法规以及排污许可证申请与核发技术规范要求申请排污许可证，不得无证排污或不按证排污。</w:t>
            </w:r>
          </w:p>
        </w:tc>
      </w:tr>
    </w:tbl>
    <w:p w14:paraId="66700935">
      <w:pPr>
        <w:pStyle w:val="16"/>
        <w:outlineLvl w:val="0"/>
        <w:rPr>
          <w:rFonts w:ascii="Times New Roman" w:hAnsi="Times New Roman"/>
          <w:snapToGrid w:val="0"/>
          <w:color w:val="auto"/>
          <w:sz w:val="30"/>
          <w:szCs w:val="30"/>
        </w:rPr>
      </w:pPr>
      <w:r>
        <w:rPr>
          <w:rFonts w:ascii="Times New Roman" w:hAnsi="Times New Roman"/>
          <w:snapToGrid w:val="0"/>
          <w:color w:val="auto"/>
        </w:rPr>
        <w:br w:type="page"/>
      </w:r>
      <w:bookmarkStart w:id="18" w:name="_Toc73523375"/>
      <w:r>
        <w:rPr>
          <w:rFonts w:hint="eastAsia" w:ascii="Times New Roman" w:hAnsi="Times New Roman"/>
          <w:snapToGrid w:val="0"/>
          <w:color w:val="auto"/>
          <w:sz w:val="30"/>
          <w:szCs w:val="30"/>
        </w:rPr>
        <w:t>六、结论</w:t>
      </w:r>
      <w:bookmarkEnd w:id="18"/>
    </w:p>
    <w:tbl>
      <w:tblPr>
        <w:tblStyle w:val="3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23B8D9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14:paraId="28636F11">
            <w:pPr>
              <w:spacing w:line="360" w:lineRule="auto"/>
              <w:ind w:firstLine="480" w:firstLineChars="200"/>
              <w:rPr>
                <w:rFonts w:cs="宋体"/>
                <w:color w:val="auto"/>
                <w:sz w:val="24"/>
              </w:rPr>
            </w:pPr>
            <w:r>
              <w:rPr>
                <w:rFonts w:hint="eastAsia" w:cs="宋体"/>
                <w:color w:val="auto"/>
                <w:sz w:val="24"/>
              </w:rPr>
              <w:t>通过本项目所在地环境现状调查、污染分析、环境影响分析可知，企业在运营过程中充分落实本环评提出的各项污染防治对策，认真做好“三同时”及日常环保管理工作，从环保角度出发，本项目建设可行。</w:t>
            </w:r>
          </w:p>
          <w:p w14:paraId="33C5BB59">
            <w:pPr>
              <w:spacing w:line="360" w:lineRule="auto"/>
              <w:rPr>
                <w:rFonts w:cs="宋体"/>
                <w:color w:val="auto"/>
                <w:sz w:val="24"/>
              </w:rPr>
            </w:pPr>
          </w:p>
        </w:tc>
      </w:tr>
    </w:tbl>
    <w:p w14:paraId="55FDEAD2">
      <w:pPr>
        <w:rPr>
          <w:color w:val="auto"/>
        </w:rPr>
        <w:sectPr>
          <w:pgSz w:w="11906" w:h="16838"/>
          <w:pgMar w:top="1701" w:right="1531" w:bottom="1701" w:left="1531" w:header="1644" w:footer="1247" w:gutter="0"/>
          <w:pgBorders>
            <w:top w:val="none" w:sz="0" w:space="0"/>
            <w:left w:val="none" w:sz="0" w:space="0"/>
            <w:bottom w:val="none" w:sz="0" w:space="0"/>
            <w:right w:val="none" w:sz="0" w:space="0"/>
          </w:pgBorders>
          <w:cols w:space="720" w:num="1"/>
          <w:docGrid w:linePitch="312" w:charSpace="0"/>
        </w:sectPr>
      </w:pPr>
    </w:p>
    <w:p w14:paraId="78A90264">
      <w:pPr>
        <w:pStyle w:val="35"/>
        <w:adjustRightInd w:val="0"/>
        <w:snapToGrid w:val="0"/>
        <w:spacing w:before="0" w:beforeAutospacing="0" w:after="0" w:afterAutospacing="0"/>
        <w:jc w:val="both"/>
        <w:outlineLvl w:val="0"/>
        <w:rPr>
          <w:rFonts w:ascii="Times New Roman" w:hAnsi="Times New Roman"/>
          <w:snapToGrid w:val="0"/>
          <w:color w:val="auto"/>
          <w:sz w:val="32"/>
          <w:szCs w:val="32"/>
        </w:rPr>
      </w:pPr>
      <w:bookmarkStart w:id="19" w:name="_Toc73523376"/>
      <w:r>
        <w:rPr>
          <w:rFonts w:hint="eastAsia" w:ascii="Times New Roman" w:hAnsi="Times New Roman"/>
          <w:snapToGrid w:val="0"/>
          <w:color w:val="auto"/>
          <w:sz w:val="36"/>
          <w:szCs w:val="36"/>
        </w:rPr>
        <w:t>附表</w:t>
      </w:r>
      <w:bookmarkEnd w:id="19"/>
      <w:bookmarkStart w:id="20" w:name="_Toc73523377"/>
      <w:r>
        <w:rPr>
          <w:rFonts w:hint="eastAsia" w:ascii="Times New Roman" w:hAnsi="Times New Roman"/>
          <w:snapToGrid w:val="0"/>
          <w:color w:val="auto"/>
          <w:sz w:val="32"/>
          <w:szCs w:val="32"/>
        </w:rPr>
        <w:t>：</w:t>
      </w:r>
    </w:p>
    <w:p w14:paraId="30FDFE3F">
      <w:pPr>
        <w:pStyle w:val="35"/>
        <w:adjustRightInd w:val="0"/>
        <w:snapToGrid w:val="0"/>
        <w:spacing w:before="0" w:beforeAutospacing="0" w:after="0" w:afterAutospacing="0"/>
        <w:jc w:val="center"/>
        <w:outlineLvl w:val="9"/>
        <w:rPr>
          <w:rFonts w:ascii="Times New Roman" w:hAnsi="Times New Roman"/>
          <w:snapToGrid w:val="0"/>
          <w:color w:val="auto"/>
          <w:sz w:val="32"/>
          <w:szCs w:val="32"/>
        </w:rPr>
      </w:pPr>
      <w:r>
        <w:rPr>
          <w:rFonts w:hint="eastAsia" w:ascii="Times New Roman" w:hAnsi="Times New Roman"/>
          <w:snapToGrid w:val="0"/>
          <w:color w:val="auto"/>
          <w:sz w:val="36"/>
          <w:szCs w:val="36"/>
        </w:rPr>
        <w:t>建设项目污染物排放量汇总表</w:t>
      </w:r>
      <w:bookmarkEnd w:id="20"/>
    </w:p>
    <w:tbl>
      <w:tblPr>
        <w:tblStyle w:val="39"/>
        <w:tblW w:w="4997"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140"/>
        <w:gridCol w:w="1988"/>
        <w:gridCol w:w="1625"/>
        <w:gridCol w:w="1293"/>
        <w:gridCol w:w="1656"/>
        <w:gridCol w:w="1609"/>
        <w:gridCol w:w="1368"/>
        <w:gridCol w:w="1730"/>
        <w:gridCol w:w="1415"/>
      </w:tblGrid>
      <w:tr w14:paraId="217F7A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12" w:type="pct"/>
            <w:tcBorders>
              <w:tl2br w:val="single" w:color="auto" w:sz="4" w:space="0"/>
            </w:tcBorders>
            <w:tcMar>
              <w:left w:w="28" w:type="dxa"/>
              <w:right w:w="28" w:type="dxa"/>
            </w:tcMar>
            <w:vAlign w:val="center"/>
          </w:tcPr>
          <w:p w14:paraId="0D20AEFB">
            <w:pPr>
              <w:pStyle w:val="70"/>
              <w:spacing w:beforeLines="0" w:afterLines="0" w:line="240" w:lineRule="auto"/>
              <w:jc w:val="right"/>
              <w:rPr>
                <w:rFonts w:ascii="Times New Roman"/>
                <w:color w:val="auto"/>
                <w:kern w:val="2"/>
                <w:sz w:val="20"/>
              </w:rPr>
            </w:pPr>
            <w:r>
              <w:rPr>
                <w:rFonts w:ascii="Times New Roman"/>
                <w:color w:val="auto"/>
                <w:kern w:val="2"/>
                <w:sz w:val="20"/>
              </w:rPr>
              <w:t>项目</w:t>
            </w:r>
          </w:p>
          <w:p w14:paraId="5E96724A">
            <w:pPr>
              <w:spacing w:line="240" w:lineRule="auto"/>
              <w:rPr>
                <w:color w:val="auto"/>
              </w:rPr>
            </w:pPr>
          </w:p>
          <w:p w14:paraId="23D6A12A">
            <w:pPr>
              <w:pStyle w:val="70"/>
              <w:spacing w:beforeLines="0" w:afterLines="0" w:line="240" w:lineRule="auto"/>
              <w:jc w:val="left"/>
              <w:rPr>
                <w:rFonts w:ascii="Times New Roman"/>
                <w:color w:val="auto"/>
                <w:kern w:val="2"/>
                <w:sz w:val="22"/>
                <w:szCs w:val="22"/>
              </w:rPr>
            </w:pPr>
            <w:r>
              <w:rPr>
                <w:rFonts w:ascii="Times New Roman"/>
                <w:color w:val="auto"/>
                <w:kern w:val="2"/>
                <w:sz w:val="20"/>
              </w:rPr>
              <w:t>分类</w:t>
            </w:r>
          </w:p>
        </w:tc>
        <w:tc>
          <w:tcPr>
            <w:tcW w:w="718" w:type="pct"/>
            <w:tcMar>
              <w:left w:w="28" w:type="dxa"/>
              <w:right w:w="28" w:type="dxa"/>
            </w:tcMar>
            <w:vAlign w:val="center"/>
          </w:tcPr>
          <w:p w14:paraId="64710B19">
            <w:pPr>
              <w:pStyle w:val="70"/>
              <w:spacing w:beforeLines="0" w:afterLines="0" w:line="240" w:lineRule="auto"/>
              <w:rPr>
                <w:rFonts w:ascii="Times New Roman"/>
                <w:color w:val="auto"/>
                <w:kern w:val="2"/>
                <w:sz w:val="22"/>
                <w:szCs w:val="22"/>
              </w:rPr>
            </w:pPr>
            <w:r>
              <w:rPr>
                <w:rFonts w:ascii="Times New Roman"/>
                <w:color w:val="auto"/>
                <w:kern w:val="2"/>
                <w:sz w:val="22"/>
                <w:szCs w:val="22"/>
              </w:rPr>
              <w:t>污染物名称</w:t>
            </w:r>
          </w:p>
        </w:tc>
        <w:tc>
          <w:tcPr>
            <w:tcW w:w="587" w:type="pct"/>
            <w:tcMar>
              <w:left w:w="28" w:type="dxa"/>
              <w:right w:w="28" w:type="dxa"/>
            </w:tcMar>
            <w:vAlign w:val="center"/>
          </w:tcPr>
          <w:p w14:paraId="241E2169">
            <w:pPr>
              <w:pStyle w:val="70"/>
              <w:spacing w:beforeLines="0" w:afterLines="0" w:line="240" w:lineRule="auto"/>
              <w:rPr>
                <w:rFonts w:ascii="Times New Roman"/>
                <w:color w:val="auto"/>
                <w:kern w:val="2"/>
                <w:sz w:val="22"/>
                <w:szCs w:val="22"/>
              </w:rPr>
            </w:pPr>
            <w:r>
              <w:rPr>
                <w:rFonts w:ascii="Times New Roman"/>
                <w:color w:val="auto"/>
                <w:kern w:val="2"/>
                <w:sz w:val="22"/>
                <w:szCs w:val="22"/>
              </w:rPr>
              <w:t>现有工程</w:t>
            </w:r>
          </w:p>
          <w:p w14:paraId="1F1326C1">
            <w:pPr>
              <w:pStyle w:val="70"/>
              <w:spacing w:beforeLines="0" w:afterLines="0" w:line="240" w:lineRule="auto"/>
              <w:rPr>
                <w:rFonts w:ascii="Times New Roman"/>
                <w:color w:val="auto"/>
                <w:kern w:val="2"/>
                <w:sz w:val="22"/>
                <w:szCs w:val="22"/>
              </w:rPr>
            </w:pPr>
            <w:r>
              <w:rPr>
                <w:rFonts w:ascii="Times New Roman"/>
                <w:color w:val="auto"/>
                <w:kern w:val="2"/>
                <w:sz w:val="22"/>
                <w:szCs w:val="22"/>
              </w:rPr>
              <w:t>排放量（固体废物产生量）</w:t>
            </w:r>
            <w:r>
              <w:rPr>
                <w:rFonts w:ascii="Times New Roman"/>
                <w:color w:val="auto"/>
                <w:kern w:val="2"/>
                <w:sz w:val="22"/>
                <w:szCs w:val="22"/>
              </w:rPr>
              <w:fldChar w:fldCharType="begin"/>
            </w:r>
            <w:r>
              <w:rPr>
                <w:rFonts w:ascii="Times New Roman"/>
                <w:color w:val="auto"/>
                <w:kern w:val="2"/>
                <w:sz w:val="22"/>
                <w:szCs w:val="22"/>
              </w:rPr>
              <w:instrText xml:space="preserve"> = 1 \* GB3 \* MERGEFORMAT </w:instrText>
            </w:r>
            <w:r>
              <w:rPr>
                <w:rFonts w:ascii="Times New Roman"/>
                <w:color w:val="auto"/>
                <w:kern w:val="2"/>
                <w:sz w:val="22"/>
                <w:szCs w:val="22"/>
              </w:rPr>
              <w:fldChar w:fldCharType="separate"/>
            </w:r>
            <w:r>
              <w:rPr>
                <w:rFonts w:ascii="Times New Roman"/>
                <w:color w:val="auto"/>
                <w:kern w:val="2"/>
                <w:sz w:val="22"/>
                <w:szCs w:val="22"/>
              </w:rPr>
              <w:t>①</w:t>
            </w:r>
            <w:r>
              <w:rPr>
                <w:rFonts w:ascii="Times New Roman"/>
                <w:color w:val="auto"/>
                <w:kern w:val="2"/>
                <w:sz w:val="22"/>
                <w:szCs w:val="22"/>
              </w:rPr>
              <w:fldChar w:fldCharType="end"/>
            </w:r>
          </w:p>
        </w:tc>
        <w:tc>
          <w:tcPr>
            <w:tcW w:w="467" w:type="pct"/>
            <w:tcMar>
              <w:left w:w="28" w:type="dxa"/>
              <w:right w:w="28" w:type="dxa"/>
            </w:tcMar>
            <w:vAlign w:val="center"/>
          </w:tcPr>
          <w:p w14:paraId="7CA232FD">
            <w:pPr>
              <w:pStyle w:val="70"/>
              <w:spacing w:beforeLines="0" w:afterLines="0" w:line="240" w:lineRule="auto"/>
              <w:rPr>
                <w:rFonts w:ascii="Times New Roman"/>
                <w:color w:val="auto"/>
                <w:kern w:val="2"/>
                <w:sz w:val="22"/>
                <w:szCs w:val="22"/>
              </w:rPr>
            </w:pPr>
            <w:r>
              <w:rPr>
                <w:rFonts w:ascii="Times New Roman"/>
                <w:color w:val="auto"/>
                <w:kern w:val="2"/>
                <w:sz w:val="22"/>
                <w:szCs w:val="22"/>
              </w:rPr>
              <w:t>现有工程</w:t>
            </w:r>
          </w:p>
          <w:p w14:paraId="1C18E548">
            <w:pPr>
              <w:pStyle w:val="70"/>
              <w:spacing w:beforeLines="0" w:afterLines="0" w:line="240" w:lineRule="auto"/>
              <w:rPr>
                <w:rFonts w:ascii="Times New Roman"/>
                <w:color w:val="auto"/>
                <w:kern w:val="2"/>
                <w:sz w:val="22"/>
                <w:szCs w:val="22"/>
              </w:rPr>
            </w:pPr>
            <w:r>
              <w:rPr>
                <w:rFonts w:ascii="Times New Roman"/>
                <w:color w:val="auto"/>
                <w:kern w:val="2"/>
                <w:sz w:val="22"/>
                <w:szCs w:val="22"/>
              </w:rPr>
              <w:t>许可排放量</w:t>
            </w:r>
          </w:p>
          <w:p w14:paraId="1E121C6E">
            <w:pPr>
              <w:pStyle w:val="70"/>
              <w:spacing w:beforeLines="0" w:afterLines="0" w:line="240" w:lineRule="auto"/>
              <w:rPr>
                <w:rFonts w:ascii="Times New Roman"/>
                <w:color w:val="auto"/>
                <w:kern w:val="2"/>
                <w:sz w:val="22"/>
                <w:szCs w:val="22"/>
              </w:rPr>
            </w:pPr>
            <w:r>
              <w:rPr>
                <w:rFonts w:ascii="Times New Roman"/>
                <w:color w:val="auto"/>
                <w:kern w:val="2"/>
                <w:sz w:val="22"/>
                <w:szCs w:val="22"/>
              </w:rPr>
              <w:fldChar w:fldCharType="begin"/>
            </w:r>
            <w:r>
              <w:rPr>
                <w:rFonts w:ascii="Times New Roman"/>
                <w:color w:val="auto"/>
                <w:kern w:val="2"/>
                <w:sz w:val="22"/>
                <w:szCs w:val="22"/>
              </w:rPr>
              <w:instrText xml:space="preserve"> = 2 \* GB3 \* MERGEFORMAT </w:instrText>
            </w:r>
            <w:r>
              <w:rPr>
                <w:rFonts w:ascii="Times New Roman"/>
                <w:color w:val="auto"/>
                <w:kern w:val="2"/>
                <w:sz w:val="22"/>
                <w:szCs w:val="22"/>
              </w:rPr>
              <w:fldChar w:fldCharType="separate"/>
            </w:r>
            <w:r>
              <w:rPr>
                <w:rFonts w:ascii="Times New Roman"/>
                <w:color w:val="auto"/>
                <w:kern w:val="2"/>
                <w:sz w:val="22"/>
                <w:szCs w:val="22"/>
              </w:rPr>
              <w:t>②</w:t>
            </w:r>
            <w:r>
              <w:rPr>
                <w:rFonts w:ascii="Times New Roman"/>
                <w:color w:val="auto"/>
                <w:kern w:val="2"/>
                <w:sz w:val="22"/>
                <w:szCs w:val="22"/>
              </w:rPr>
              <w:fldChar w:fldCharType="end"/>
            </w:r>
          </w:p>
        </w:tc>
        <w:tc>
          <w:tcPr>
            <w:tcW w:w="598" w:type="pct"/>
            <w:tcMar>
              <w:left w:w="28" w:type="dxa"/>
              <w:right w:w="28" w:type="dxa"/>
            </w:tcMar>
            <w:vAlign w:val="center"/>
          </w:tcPr>
          <w:p w14:paraId="666B4220">
            <w:pPr>
              <w:pStyle w:val="70"/>
              <w:spacing w:beforeLines="0" w:afterLines="0" w:line="240" w:lineRule="auto"/>
              <w:rPr>
                <w:rFonts w:ascii="Times New Roman"/>
                <w:color w:val="auto"/>
                <w:kern w:val="2"/>
                <w:sz w:val="22"/>
                <w:szCs w:val="22"/>
              </w:rPr>
            </w:pPr>
            <w:r>
              <w:rPr>
                <w:rFonts w:ascii="Times New Roman"/>
                <w:color w:val="auto"/>
                <w:kern w:val="2"/>
                <w:sz w:val="22"/>
                <w:szCs w:val="22"/>
              </w:rPr>
              <w:t>在建工程</w:t>
            </w:r>
          </w:p>
          <w:p w14:paraId="231FC4D8">
            <w:pPr>
              <w:pStyle w:val="70"/>
              <w:spacing w:beforeLines="0" w:afterLines="0" w:line="240" w:lineRule="auto"/>
              <w:rPr>
                <w:rFonts w:ascii="Times New Roman"/>
                <w:color w:val="auto"/>
                <w:kern w:val="2"/>
                <w:sz w:val="22"/>
                <w:szCs w:val="22"/>
              </w:rPr>
            </w:pPr>
            <w:r>
              <w:rPr>
                <w:rFonts w:ascii="Times New Roman"/>
                <w:color w:val="auto"/>
                <w:kern w:val="2"/>
                <w:sz w:val="22"/>
                <w:szCs w:val="22"/>
              </w:rPr>
              <w:t>排放量（固体废物产生量）</w:t>
            </w:r>
            <w:r>
              <w:rPr>
                <w:rFonts w:ascii="Times New Roman"/>
                <w:color w:val="auto"/>
                <w:kern w:val="2"/>
                <w:sz w:val="22"/>
                <w:szCs w:val="22"/>
              </w:rPr>
              <w:fldChar w:fldCharType="begin"/>
            </w:r>
            <w:r>
              <w:rPr>
                <w:rFonts w:ascii="Times New Roman"/>
                <w:color w:val="auto"/>
                <w:kern w:val="2"/>
                <w:sz w:val="22"/>
                <w:szCs w:val="22"/>
              </w:rPr>
              <w:instrText xml:space="preserve"> = 3 \* GB3 \* MERGEFORMAT </w:instrText>
            </w:r>
            <w:r>
              <w:rPr>
                <w:rFonts w:ascii="Times New Roman"/>
                <w:color w:val="auto"/>
                <w:kern w:val="2"/>
                <w:sz w:val="22"/>
                <w:szCs w:val="22"/>
              </w:rPr>
              <w:fldChar w:fldCharType="separate"/>
            </w:r>
            <w:r>
              <w:rPr>
                <w:rFonts w:ascii="Times New Roman"/>
                <w:color w:val="auto"/>
                <w:kern w:val="2"/>
                <w:sz w:val="22"/>
                <w:szCs w:val="22"/>
              </w:rPr>
              <w:t>③</w:t>
            </w:r>
            <w:r>
              <w:rPr>
                <w:rFonts w:ascii="Times New Roman"/>
                <w:color w:val="auto"/>
                <w:kern w:val="2"/>
                <w:sz w:val="22"/>
                <w:szCs w:val="22"/>
              </w:rPr>
              <w:fldChar w:fldCharType="end"/>
            </w:r>
          </w:p>
        </w:tc>
        <w:tc>
          <w:tcPr>
            <w:tcW w:w="581" w:type="pct"/>
            <w:tcMar>
              <w:left w:w="28" w:type="dxa"/>
              <w:right w:w="28" w:type="dxa"/>
            </w:tcMar>
            <w:vAlign w:val="center"/>
          </w:tcPr>
          <w:p w14:paraId="610F2BC9">
            <w:pPr>
              <w:pStyle w:val="70"/>
              <w:spacing w:beforeLines="0" w:afterLines="0" w:line="240" w:lineRule="auto"/>
              <w:rPr>
                <w:rFonts w:ascii="Times New Roman"/>
                <w:color w:val="auto"/>
                <w:kern w:val="2"/>
                <w:sz w:val="22"/>
                <w:szCs w:val="22"/>
              </w:rPr>
            </w:pPr>
            <w:r>
              <w:rPr>
                <w:rFonts w:ascii="Times New Roman"/>
                <w:color w:val="auto"/>
                <w:kern w:val="2"/>
                <w:sz w:val="22"/>
                <w:szCs w:val="22"/>
              </w:rPr>
              <w:t>本项目</w:t>
            </w:r>
          </w:p>
          <w:p w14:paraId="2F7FE9BD">
            <w:pPr>
              <w:pStyle w:val="70"/>
              <w:spacing w:beforeLines="0" w:afterLines="0" w:line="240" w:lineRule="auto"/>
              <w:rPr>
                <w:rFonts w:ascii="Times New Roman"/>
                <w:color w:val="auto"/>
                <w:kern w:val="2"/>
                <w:sz w:val="22"/>
                <w:szCs w:val="22"/>
              </w:rPr>
            </w:pPr>
            <w:r>
              <w:rPr>
                <w:rFonts w:ascii="Times New Roman"/>
                <w:color w:val="auto"/>
                <w:kern w:val="2"/>
                <w:sz w:val="22"/>
                <w:szCs w:val="22"/>
              </w:rPr>
              <w:t>排放量（固体废物产生量）</w:t>
            </w:r>
            <w:r>
              <w:rPr>
                <w:rFonts w:ascii="Times New Roman"/>
                <w:color w:val="auto"/>
                <w:kern w:val="2"/>
                <w:sz w:val="22"/>
                <w:szCs w:val="22"/>
              </w:rPr>
              <w:fldChar w:fldCharType="begin"/>
            </w:r>
            <w:r>
              <w:rPr>
                <w:rFonts w:ascii="Times New Roman"/>
                <w:color w:val="auto"/>
                <w:kern w:val="2"/>
                <w:sz w:val="22"/>
                <w:szCs w:val="22"/>
              </w:rPr>
              <w:instrText xml:space="preserve"> = 4 \* GB3 \* MERGEFORMAT </w:instrText>
            </w:r>
            <w:r>
              <w:rPr>
                <w:rFonts w:ascii="Times New Roman"/>
                <w:color w:val="auto"/>
                <w:kern w:val="2"/>
                <w:sz w:val="22"/>
                <w:szCs w:val="22"/>
              </w:rPr>
              <w:fldChar w:fldCharType="separate"/>
            </w:r>
            <w:r>
              <w:rPr>
                <w:rFonts w:ascii="Times New Roman"/>
                <w:color w:val="auto"/>
                <w:kern w:val="2"/>
                <w:sz w:val="22"/>
                <w:szCs w:val="22"/>
              </w:rPr>
              <w:t>④</w:t>
            </w:r>
            <w:r>
              <w:rPr>
                <w:rFonts w:ascii="Times New Roman"/>
                <w:color w:val="auto"/>
                <w:kern w:val="2"/>
                <w:sz w:val="22"/>
                <w:szCs w:val="22"/>
              </w:rPr>
              <w:fldChar w:fldCharType="end"/>
            </w:r>
          </w:p>
        </w:tc>
        <w:tc>
          <w:tcPr>
            <w:tcW w:w="494" w:type="pct"/>
            <w:tcMar>
              <w:left w:w="28" w:type="dxa"/>
              <w:right w:w="28" w:type="dxa"/>
            </w:tcMar>
            <w:vAlign w:val="center"/>
          </w:tcPr>
          <w:p w14:paraId="7121D83C">
            <w:pPr>
              <w:pStyle w:val="70"/>
              <w:spacing w:beforeLines="0" w:afterLines="0" w:line="240" w:lineRule="auto"/>
              <w:rPr>
                <w:rFonts w:ascii="Times New Roman"/>
                <w:color w:val="auto"/>
                <w:kern w:val="2"/>
                <w:sz w:val="22"/>
                <w:szCs w:val="22"/>
              </w:rPr>
            </w:pPr>
            <w:r>
              <w:rPr>
                <w:rFonts w:ascii="Times New Roman"/>
                <w:color w:val="auto"/>
                <w:kern w:val="2"/>
                <w:sz w:val="22"/>
                <w:szCs w:val="22"/>
              </w:rPr>
              <w:t>以新带老削减量（新建项目不填）</w:t>
            </w:r>
            <w:r>
              <w:rPr>
                <w:rFonts w:ascii="Times New Roman"/>
                <w:color w:val="auto"/>
                <w:kern w:val="2"/>
                <w:sz w:val="22"/>
                <w:szCs w:val="22"/>
              </w:rPr>
              <w:fldChar w:fldCharType="begin"/>
            </w:r>
            <w:r>
              <w:rPr>
                <w:rFonts w:ascii="Times New Roman"/>
                <w:color w:val="auto"/>
                <w:kern w:val="2"/>
                <w:sz w:val="22"/>
                <w:szCs w:val="22"/>
              </w:rPr>
              <w:instrText xml:space="preserve"> = 5 \* GB3 \* MERGEFORMAT </w:instrText>
            </w:r>
            <w:r>
              <w:rPr>
                <w:rFonts w:ascii="Times New Roman"/>
                <w:color w:val="auto"/>
                <w:kern w:val="2"/>
                <w:sz w:val="22"/>
                <w:szCs w:val="22"/>
              </w:rPr>
              <w:fldChar w:fldCharType="separate"/>
            </w:r>
            <w:r>
              <w:rPr>
                <w:rFonts w:ascii="Times New Roman"/>
                <w:color w:val="auto"/>
                <w:kern w:val="2"/>
                <w:sz w:val="22"/>
                <w:szCs w:val="22"/>
              </w:rPr>
              <w:t>⑤</w:t>
            </w:r>
            <w:r>
              <w:rPr>
                <w:rFonts w:ascii="Times New Roman"/>
                <w:color w:val="auto"/>
                <w:kern w:val="2"/>
                <w:sz w:val="22"/>
                <w:szCs w:val="22"/>
              </w:rPr>
              <w:fldChar w:fldCharType="end"/>
            </w:r>
          </w:p>
        </w:tc>
        <w:tc>
          <w:tcPr>
            <w:tcW w:w="625" w:type="pct"/>
            <w:tcMar>
              <w:left w:w="28" w:type="dxa"/>
              <w:right w:w="28" w:type="dxa"/>
            </w:tcMar>
            <w:vAlign w:val="center"/>
          </w:tcPr>
          <w:p w14:paraId="5E42A076">
            <w:pPr>
              <w:pStyle w:val="70"/>
              <w:spacing w:beforeLines="0" w:afterLines="0" w:line="240" w:lineRule="auto"/>
              <w:rPr>
                <w:rFonts w:ascii="Times New Roman"/>
                <w:color w:val="auto"/>
                <w:kern w:val="2"/>
                <w:sz w:val="22"/>
                <w:szCs w:val="22"/>
              </w:rPr>
            </w:pPr>
            <w:r>
              <w:rPr>
                <w:rFonts w:ascii="Times New Roman"/>
                <w:color w:val="auto"/>
                <w:kern w:val="2"/>
                <w:sz w:val="22"/>
                <w:szCs w:val="22"/>
              </w:rPr>
              <w:t>本项目建成后</w:t>
            </w:r>
          </w:p>
          <w:p w14:paraId="16FCE3EC">
            <w:pPr>
              <w:pStyle w:val="70"/>
              <w:spacing w:beforeLines="0" w:afterLines="0" w:line="240" w:lineRule="auto"/>
              <w:rPr>
                <w:rFonts w:ascii="Times New Roman"/>
                <w:color w:val="auto"/>
                <w:kern w:val="2"/>
                <w:sz w:val="22"/>
                <w:szCs w:val="22"/>
              </w:rPr>
            </w:pPr>
            <w:r>
              <w:rPr>
                <w:rFonts w:ascii="Times New Roman"/>
                <w:color w:val="auto"/>
                <w:kern w:val="2"/>
                <w:sz w:val="22"/>
                <w:szCs w:val="22"/>
              </w:rPr>
              <w:t>全厂排放量（固体废物产生量）</w:t>
            </w:r>
            <w:r>
              <w:rPr>
                <w:rFonts w:ascii="Times New Roman"/>
                <w:color w:val="auto"/>
                <w:kern w:val="2"/>
                <w:sz w:val="22"/>
                <w:szCs w:val="22"/>
              </w:rPr>
              <w:fldChar w:fldCharType="begin"/>
            </w:r>
            <w:r>
              <w:rPr>
                <w:rFonts w:ascii="Times New Roman"/>
                <w:color w:val="auto"/>
                <w:kern w:val="2"/>
                <w:sz w:val="22"/>
                <w:szCs w:val="22"/>
              </w:rPr>
              <w:instrText xml:space="preserve"> = 6 \* GB3 \* MERGEFORMAT </w:instrText>
            </w:r>
            <w:r>
              <w:rPr>
                <w:rFonts w:ascii="Times New Roman"/>
                <w:color w:val="auto"/>
                <w:kern w:val="2"/>
                <w:sz w:val="22"/>
                <w:szCs w:val="22"/>
              </w:rPr>
              <w:fldChar w:fldCharType="separate"/>
            </w:r>
            <w:r>
              <w:rPr>
                <w:rFonts w:ascii="Times New Roman"/>
                <w:color w:val="auto"/>
                <w:kern w:val="2"/>
                <w:sz w:val="22"/>
                <w:szCs w:val="22"/>
              </w:rPr>
              <w:t>⑥</w:t>
            </w:r>
            <w:r>
              <w:rPr>
                <w:rFonts w:ascii="Times New Roman"/>
                <w:color w:val="auto"/>
                <w:kern w:val="2"/>
                <w:sz w:val="22"/>
                <w:szCs w:val="22"/>
              </w:rPr>
              <w:fldChar w:fldCharType="end"/>
            </w:r>
          </w:p>
        </w:tc>
        <w:tc>
          <w:tcPr>
            <w:tcW w:w="511" w:type="pct"/>
            <w:tcMar>
              <w:left w:w="28" w:type="dxa"/>
              <w:right w:w="28" w:type="dxa"/>
            </w:tcMar>
            <w:vAlign w:val="center"/>
          </w:tcPr>
          <w:p w14:paraId="273862F6">
            <w:pPr>
              <w:pStyle w:val="70"/>
              <w:spacing w:beforeLines="0" w:afterLines="0" w:line="240" w:lineRule="auto"/>
              <w:rPr>
                <w:rFonts w:ascii="Times New Roman"/>
                <w:color w:val="auto"/>
                <w:kern w:val="2"/>
                <w:sz w:val="22"/>
                <w:szCs w:val="22"/>
              </w:rPr>
            </w:pPr>
            <w:r>
              <w:rPr>
                <w:rFonts w:ascii="Times New Roman"/>
                <w:color w:val="auto"/>
                <w:kern w:val="2"/>
                <w:sz w:val="22"/>
                <w:szCs w:val="22"/>
              </w:rPr>
              <w:t>变化量</w:t>
            </w:r>
          </w:p>
          <w:p w14:paraId="5C5F10A2">
            <w:pPr>
              <w:pStyle w:val="70"/>
              <w:spacing w:beforeLines="0" w:afterLines="0" w:line="240" w:lineRule="auto"/>
              <w:rPr>
                <w:rFonts w:ascii="Times New Roman"/>
                <w:color w:val="auto"/>
                <w:kern w:val="2"/>
                <w:sz w:val="22"/>
                <w:szCs w:val="22"/>
              </w:rPr>
            </w:pPr>
            <w:r>
              <w:rPr>
                <w:rFonts w:ascii="Times New Roman"/>
                <w:color w:val="auto"/>
                <w:kern w:val="2"/>
                <w:sz w:val="22"/>
                <w:szCs w:val="22"/>
              </w:rPr>
              <w:fldChar w:fldCharType="begin"/>
            </w:r>
            <w:r>
              <w:rPr>
                <w:rFonts w:ascii="Times New Roman"/>
                <w:color w:val="auto"/>
                <w:kern w:val="2"/>
                <w:sz w:val="22"/>
                <w:szCs w:val="22"/>
              </w:rPr>
              <w:instrText xml:space="preserve"> = 7 \* GB3 \* MERGEFORMAT </w:instrText>
            </w:r>
            <w:r>
              <w:rPr>
                <w:rFonts w:ascii="Times New Roman"/>
                <w:color w:val="auto"/>
                <w:kern w:val="2"/>
                <w:sz w:val="22"/>
                <w:szCs w:val="22"/>
              </w:rPr>
              <w:fldChar w:fldCharType="separate"/>
            </w:r>
            <w:r>
              <w:rPr>
                <w:rFonts w:ascii="Times New Roman"/>
                <w:color w:val="auto"/>
                <w:kern w:val="2"/>
                <w:sz w:val="22"/>
                <w:szCs w:val="22"/>
              </w:rPr>
              <w:t>⑦</w:t>
            </w:r>
            <w:r>
              <w:rPr>
                <w:rFonts w:ascii="Times New Roman"/>
                <w:color w:val="auto"/>
                <w:kern w:val="2"/>
                <w:sz w:val="22"/>
                <w:szCs w:val="22"/>
              </w:rPr>
              <w:fldChar w:fldCharType="end"/>
            </w:r>
          </w:p>
        </w:tc>
      </w:tr>
      <w:tr w14:paraId="1CEC7C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12" w:type="pct"/>
            <w:vMerge w:val="restart"/>
            <w:vAlign w:val="center"/>
          </w:tcPr>
          <w:p w14:paraId="4A89F0D2">
            <w:pPr>
              <w:pStyle w:val="70"/>
              <w:spacing w:beforeLines="0" w:afterLines="0" w:line="240" w:lineRule="auto"/>
              <w:rPr>
                <w:rFonts w:ascii="Times New Roman"/>
                <w:color w:val="auto"/>
                <w:kern w:val="2"/>
                <w:szCs w:val="21"/>
              </w:rPr>
            </w:pPr>
            <w:r>
              <w:rPr>
                <w:rFonts w:hint="eastAsia" w:ascii="Times New Roman"/>
                <w:color w:val="auto"/>
                <w:kern w:val="2"/>
                <w:szCs w:val="21"/>
              </w:rPr>
              <w:t>废气</w:t>
            </w:r>
          </w:p>
        </w:tc>
        <w:tc>
          <w:tcPr>
            <w:tcW w:w="718" w:type="pct"/>
            <w:vAlign w:val="center"/>
          </w:tcPr>
          <w:p w14:paraId="799D6696">
            <w:pPr>
              <w:adjustRightInd w:val="0"/>
              <w:snapToGrid w:val="0"/>
              <w:spacing w:line="240" w:lineRule="auto"/>
              <w:jc w:val="center"/>
              <w:rPr>
                <w:rFonts w:hint="eastAsia"/>
                <w:color w:val="auto"/>
                <w:sz w:val="22"/>
                <w:szCs w:val="22"/>
              </w:rPr>
            </w:pPr>
            <w:r>
              <w:rPr>
                <w:rFonts w:hint="eastAsia"/>
                <w:color w:val="auto"/>
                <w:sz w:val="22"/>
                <w:szCs w:val="22"/>
                <w:lang w:val="en-US" w:eastAsia="zh-CN"/>
              </w:rPr>
              <w:t>颗粒物</w:t>
            </w:r>
          </w:p>
        </w:tc>
        <w:tc>
          <w:tcPr>
            <w:tcW w:w="587" w:type="pct"/>
            <w:vAlign w:val="center"/>
          </w:tcPr>
          <w:p w14:paraId="03B06F4D">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0.318t/a</w:t>
            </w:r>
          </w:p>
        </w:tc>
        <w:tc>
          <w:tcPr>
            <w:tcW w:w="467" w:type="pct"/>
            <w:vAlign w:val="center"/>
          </w:tcPr>
          <w:p w14:paraId="2C81F31B">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598" w:type="pct"/>
            <w:vAlign w:val="center"/>
          </w:tcPr>
          <w:p w14:paraId="4138B799">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581" w:type="pct"/>
            <w:vAlign w:val="center"/>
          </w:tcPr>
          <w:p w14:paraId="5F6ACAA4">
            <w:pPr>
              <w:spacing w:line="240" w:lineRule="auto"/>
              <w:jc w:val="center"/>
              <w:rPr>
                <w:rFonts w:hint="default"/>
                <w:bCs/>
                <w:color w:val="auto"/>
                <w:szCs w:val="21"/>
                <w:highlight w:val="none"/>
                <w:lang w:val="en-US" w:eastAsia="zh-CN"/>
              </w:rPr>
            </w:pPr>
            <w:r>
              <w:rPr>
                <w:rFonts w:hint="eastAsia"/>
                <w:bCs/>
                <w:color w:val="auto"/>
                <w:szCs w:val="21"/>
                <w:highlight w:val="none"/>
                <w:lang w:val="en-US" w:eastAsia="zh-CN"/>
              </w:rPr>
              <w:t>1.109t/a</w:t>
            </w:r>
          </w:p>
        </w:tc>
        <w:tc>
          <w:tcPr>
            <w:tcW w:w="494" w:type="pct"/>
            <w:vAlign w:val="center"/>
          </w:tcPr>
          <w:p w14:paraId="732AA8DB">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0.318t/a</w:t>
            </w:r>
          </w:p>
        </w:tc>
        <w:tc>
          <w:tcPr>
            <w:tcW w:w="625" w:type="pct"/>
            <w:vAlign w:val="center"/>
          </w:tcPr>
          <w:p w14:paraId="18AA647E">
            <w:pPr>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bCs/>
                <w:color w:val="auto"/>
                <w:szCs w:val="21"/>
                <w:highlight w:val="none"/>
                <w:lang w:val="en-US" w:eastAsia="zh-CN"/>
              </w:rPr>
              <w:t>1.109t/a</w:t>
            </w:r>
          </w:p>
        </w:tc>
        <w:tc>
          <w:tcPr>
            <w:tcW w:w="511" w:type="pct"/>
            <w:vAlign w:val="center"/>
          </w:tcPr>
          <w:p w14:paraId="00CD1A4D">
            <w:pPr>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cs="Times New Roman"/>
                <w:b w:val="0"/>
                <w:bCs/>
                <w:color w:val="auto"/>
                <w:szCs w:val="21"/>
                <w:highlight w:val="none"/>
                <w:lang w:val="en-US" w:eastAsia="zh-CN"/>
              </w:rPr>
              <w:t>0.791</w:t>
            </w:r>
            <w:r>
              <w:rPr>
                <w:rFonts w:hint="eastAsia"/>
                <w:bCs/>
                <w:color w:val="auto"/>
                <w:szCs w:val="21"/>
                <w:highlight w:val="none"/>
                <w:lang w:val="en-US" w:eastAsia="zh-CN"/>
              </w:rPr>
              <w:t>t/a</w:t>
            </w:r>
          </w:p>
        </w:tc>
      </w:tr>
      <w:tr w14:paraId="544588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12" w:type="pct"/>
            <w:vMerge w:val="continue"/>
            <w:vAlign w:val="center"/>
          </w:tcPr>
          <w:p w14:paraId="0ACB70B5">
            <w:pPr>
              <w:pStyle w:val="70"/>
              <w:spacing w:beforeLines="0" w:afterLines="0" w:line="240" w:lineRule="auto"/>
              <w:rPr>
                <w:rFonts w:ascii="Times New Roman"/>
                <w:color w:val="auto"/>
                <w:kern w:val="2"/>
                <w:szCs w:val="21"/>
              </w:rPr>
            </w:pPr>
          </w:p>
        </w:tc>
        <w:tc>
          <w:tcPr>
            <w:tcW w:w="718" w:type="pct"/>
            <w:vAlign w:val="center"/>
          </w:tcPr>
          <w:p w14:paraId="0C7474B2">
            <w:pPr>
              <w:adjustRightInd w:val="0"/>
              <w:snapToGrid w:val="0"/>
              <w:spacing w:line="240" w:lineRule="auto"/>
              <w:jc w:val="center"/>
              <w:rPr>
                <w:rFonts w:hint="eastAsia"/>
                <w:color w:val="auto"/>
                <w:sz w:val="22"/>
                <w:szCs w:val="22"/>
              </w:rPr>
            </w:pPr>
            <w:r>
              <w:rPr>
                <w:rFonts w:hint="eastAsia"/>
                <w:color w:val="auto"/>
                <w:sz w:val="22"/>
                <w:szCs w:val="22"/>
                <w:lang w:val="en-US" w:eastAsia="zh-CN"/>
              </w:rPr>
              <w:t>SO</w:t>
            </w:r>
            <w:r>
              <w:rPr>
                <w:rFonts w:hint="eastAsia"/>
                <w:color w:val="auto"/>
                <w:sz w:val="22"/>
                <w:szCs w:val="22"/>
                <w:vertAlign w:val="subscript"/>
                <w:lang w:val="en-US" w:eastAsia="zh-CN"/>
              </w:rPr>
              <w:t>2</w:t>
            </w:r>
          </w:p>
        </w:tc>
        <w:tc>
          <w:tcPr>
            <w:tcW w:w="587" w:type="pct"/>
            <w:vAlign w:val="center"/>
          </w:tcPr>
          <w:p w14:paraId="2ED58049">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0.535t/a</w:t>
            </w:r>
          </w:p>
        </w:tc>
        <w:tc>
          <w:tcPr>
            <w:tcW w:w="467" w:type="pct"/>
            <w:vAlign w:val="center"/>
          </w:tcPr>
          <w:p w14:paraId="09DAF56B">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598" w:type="pct"/>
            <w:vAlign w:val="center"/>
          </w:tcPr>
          <w:p w14:paraId="6F2FDED1">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581" w:type="pct"/>
            <w:vAlign w:val="center"/>
          </w:tcPr>
          <w:p w14:paraId="2AAB17C5">
            <w:pPr>
              <w:spacing w:line="240" w:lineRule="auto"/>
              <w:jc w:val="center"/>
              <w:rPr>
                <w:rFonts w:hint="eastAsia"/>
                <w:bCs/>
                <w:color w:val="auto"/>
                <w:szCs w:val="21"/>
                <w:highlight w:val="none"/>
                <w:lang w:val="en-US" w:eastAsia="zh-CN"/>
              </w:rPr>
            </w:pPr>
            <w:r>
              <w:rPr>
                <w:rFonts w:hint="eastAsia"/>
                <w:bCs/>
                <w:color w:val="auto"/>
                <w:szCs w:val="21"/>
                <w:highlight w:val="none"/>
                <w:lang w:val="en-US" w:eastAsia="zh-CN"/>
              </w:rPr>
              <w:t>1.657t/a</w:t>
            </w:r>
          </w:p>
        </w:tc>
        <w:tc>
          <w:tcPr>
            <w:tcW w:w="494" w:type="pct"/>
            <w:vAlign w:val="center"/>
          </w:tcPr>
          <w:p w14:paraId="67346F07">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0.535t/a</w:t>
            </w:r>
          </w:p>
        </w:tc>
        <w:tc>
          <w:tcPr>
            <w:tcW w:w="625" w:type="pct"/>
            <w:vAlign w:val="center"/>
          </w:tcPr>
          <w:p w14:paraId="7C82BF24">
            <w:pPr>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bCs/>
                <w:color w:val="auto"/>
                <w:szCs w:val="21"/>
                <w:highlight w:val="none"/>
                <w:lang w:val="en-US" w:eastAsia="zh-CN"/>
              </w:rPr>
              <w:t>1.657t/a</w:t>
            </w:r>
          </w:p>
        </w:tc>
        <w:tc>
          <w:tcPr>
            <w:tcW w:w="511" w:type="pct"/>
            <w:vAlign w:val="center"/>
          </w:tcPr>
          <w:p w14:paraId="62072C2A">
            <w:pPr>
              <w:pStyle w:val="10"/>
              <w:adjustRightInd w:val="0"/>
              <w:snapToGrid w:val="0"/>
              <w:spacing w:after="0" w:line="240" w:lineRule="auto"/>
              <w:ind w:firstLine="0" w:firstLineChars="0"/>
              <w:jc w:val="center"/>
              <w:rPr>
                <w:rFonts w:hint="default" w:ascii="Times New Roman" w:hAnsi="Times New Roman" w:eastAsia="宋体" w:cs="Times New Roman"/>
                <w:color w:val="auto"/>
                <w:kern w:val="0"/>
                <w:sz w:val="21"/>
                <w:szCs w:val="21"/>
                <w:vertAlign w:val="baseline"/>
                <w:lang w:val="en-US" w:eastAsia="zh-CN"/>
              </w:rPr>
            </w:pPr>
            <w:r>
              <w:rPr>
                <w:rFonts w:hint="eastAsia" w:cs="Times New Roman"/>
                <w:b w:val="0"/>
                <w:bCs/>
                <w:color w:val="auto"/>
                <w:szCs w:val="21"/>
                <w:highlight w:val="none"/>
                <w:lang w:val="en-US" w:eastAsia="zh-CN"/>
              </w:rPr>
              <w:t>1.122</w:t>
            </w:r>
            <w:r>
              <w:rPr>
                <w:rFonts w:hint="eastAsia"/>
                <w:bCs/>
                <w:color w:val="auto"/>
                <w:szCs w:val="21"/>
                <w:highlight w:val="none"/>
                <w:lang w:val="en-US" w:eastAsia="zh-CN"/>
              </w:rPr>
              <w:t>t/a</w:t>
            </w:r>
          </w:p>
        </w:tc>
      </w:tr>
      <w:tr w14:paraId="716FDE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12" w:type="pct"/>
            <w:vMerge w:val="continue"/>
            <w:vAlign w:val="center"/>
          </w:tcPr>
          <w:p w14:paraId="47410D29">
            <w:pPr>
              <w:pStyle w:val="70"/>
              <w:spacing w:beforeLines="0" w:afterLines="0" w:line="240" w:lineRule="auto"/>
              <w:rPr>
                <w:rFonts w:ascii="Times New Roman"/>
                <w:color w:val="auto"/>
                <w:kern w:val="2"/>
                <w:szCs w:val="21"/>
              </w:rPr>
            </w:pPr>
          </w:p>
        </w:tc>
        <w:tc>
          <w:tcPr>
            <w:tcW w:w="718" w:type="pct"/>
            <w:vAlign w:val="center"/>
          </w:tcPr>
          <w:p w14:paraId="0CA62F11">
            <w:pPr>
              <w:adjustRightInd w:val="0"/>
              <w:snapToGrid w:val="0"/>
              <w:spacing w:line="240" w:lineRule="auto"/>
              <w:jc w:val="center"/>
              <w:rPr>
                <w:rFonts w:hint="eastAsia"/>
                <w:color w:val="auto"/>
                <w:sz w:val="22"/>
                <w:szCs w:val="22"/>
              </w:rPr>
            </w:pPr>
            <w:r>
              <w:rPr>
                <w:rFonts w:hint="eastAsia"/>
                <w:color w:val="auto"/>
                <w:sz w:val="22"/>
                <w:szCs w:val="22"/>
                <w:lang w:val="en-US" w:eastAsia="zh-CN"/>
              </w:rPr>
              <w:t>NO</w:t>
            </w:r>
            <w:r>
              <w:rPr>
                <w:rFonts w:hint="eastAsia"/>
                <w:color w:val="auto"/>
                <w:sz w:val="22"/>
                <w:szCs w:val="22"/>
                <w:vertAlign w:val="subscript"/>
                <w:lang w:val="en-US" w:eastAsia="zh-CN"/>
              </w:rPr>
              <w:t>x</w:t>
            </w:r>
          </w:p>
        </w:tc>
        <w:tc>
          <w:tcPr>
            <w:tcW w:w="587" w:type="pct"/>
            <w:vAlign w:val="center"/>
          </w:tcPr>
          <w:p w14:paraId="377E3225">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2.005t/a</w:t>
            </w:r>
          </w:p>
        </w:tc>
        <w:tc>
          <w:tcPr>
            <w:tcW w:w="467" w:type="pct"/>
            <w:vAlign w:val="center"/>
          </w:tcPr>
          <w:p w14:paraId="5BD4D47F">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598" w:type="pct"/>
            <w:vAlign w:val="center"/>
          </w:tcPr>
          <w:p w14:paraId="16C298A6">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581" w:type="pct"/>
            <w:vAlign w:val="center"/>
          </w:tcPr>
          <w:p w14:paraId="18D7AE23">
            <w:pPr>
              <w:spacing w:line="240" w:lineRule="auto"/>
              <w:jc w:val="center"/>
              <w:rPr>
                <w:rFonts w:hint="eastAsia"/>
                <w:bCs/>
                <w:color w:val="auto"/>
                <w:szCs w:val="21"/>
                <w:highlight w:val="none"/>
                <w:lang w:val="en-US" w:eastAsia="zh-CN"/>
              </w:rPr>
            </w:pPr>
            <w:r>
              <w:rPr>
                <w:rFonts w:hint="eastAsia"/>
                <w:bCs/>
                <w:color w:val="auto"/>
                <w:szCs w:val="21"/>
                <w:highlight w:val="none"/>
                <w:lang w:val="en-US" w:eastAsia="zh-CN"/>
              </w:rPr>
              <w:t>2.626t/a</w:t>
            </w:r>
          </w:p>
        </w:tc>
        <w:tc>
          <w:tcPr>
            <w:tcW w:w="494" w:type="pct"/>
            <w:vAlign w:val="center"/>
          </w:tcPr>
          <w:p w14:paraId="0217BA77">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2.005t/a</w:t>
            </w:r>
          </w:p>
        </w:tc>
        <w:tc>
          <w:tcPr>
            <w:tcW w:w="625" w:type="pct"/>
            <w:vAlign w:val="center"/>
          </w:tcPr>
          <w:p w14:paraId="6C8C9BF4">
            <w:pPr>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bCs/>
                <w:color w:val="auto"/>
                <w:szCs w:val="21"/>
                <w:highlight w:val="none"/>
                <w:lang w:val="en-US" w:eastAsia="zh-CN"/>
              </w:rPr>
              <w:t>2.626t/a</w:t>
            </w:r>
          </w:p>
        </w:tc>
        <w:tc>
          <w:tcPr>
            <w:tcW w:w="511" w:type="pct"/>
            <w:vAlign w:val="center"/>
          </w:tcPr>
          <w:p w14:paraId="4C38D48E">
            <w:pPr>
              <w:pStyle w:val="10"/>
              <w:adjustRightInd w:val="0"/>
              <w:snapToGrid w:val="0"/>
              <w:spacing w:after="0" w:line="240" w:lineRule="auto"/>
              <w:ind w:firstLine="0" w:firstLineChars="0"/>
              <w:jc w:val="center"/>
              <w:rPr>
                <w:rFonts w:hint="eastAsia" w:ascii="Times New Roman" w:hAnsi="Times New Roman" w:eastAsia="宋体" w:cs="Times New Roman"/>
                <w:color w:val="auto"/>
                <w:kern w:val="0"/>
                <w:sz w:val="21"/>
                <w:szCs w:val="21"/>
                <w:vertAlign w:val="baseline"/>
                <w:lang w:val="en-US" w:eastAsia="zh-CN"/>
              </w:rPr>
            </w:pPr>
            <w:r>
              <w:rPr>
                <w:rFonts w:hint="eastAsia"/>
                <w:bCs/>
                <w:color w:val="auto"/>
                <w:szCs w:val="21"/>
                <w:highlight w:val="none"/>
                <w:lang w:val="en-US" w:eastAsia="zh-CN"/>
              </w:rPr>
              <w:t>0.621t/a</w:t>
            </w:r>
          </w:p>
        </w:tc>
      </w:tr>
      <w:tr w14:paraId="4E2FD7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12" w:type="pct"/>
            <w:vMerge w:val="continue"/>
            <w:vAlign w:val="center"/>
          </w:tcPr>
          <w:p w14:paraId="51E0FE36">
            <w:pPr>
              <w:pStyle w:val="70"/>
              <w:spacing w:beforeLines="0" w:afterLines="0" w:line="240" w:lineRule="auto"/>
              <w:rPr>
                <w:rFonts w:ascii="Times New Roman"/>
                <w:color w:val="auto"/>
                <w:kern w:val="2"/>
                <w:szCs w:val="21"/>
              </w:rPr>
            </w:pPr>
          </w:p>
        </w:tc>
        <w:tc>
          <w:tcPr>
            <w:tcW w:w="718" w:type="pct"/>
            <w:vAlign w:val="center"/>
          </w:tcPr>
          <w:p w14:paraId="3D539F2D">
            <w:pPr>
              <w:adjustRightInd w:val="0"/>
              <w:snapToGrid w:val="0"/>
              <w:spacing w:line="240" w:lineRule="auto"/>
              <w:jc w:val="center"/>
              <w:rPr>
                <w:rFonts w:hint="default"/>
                <w:color w:val="auto"/>
                <w:sz w:val="22"/>
                <w:szCs w:val="22"/>
                <w:lang w:val="en-US" w:eastAsia="zh-CN"/>
              </w:rPr>
            </w:pPr>
            <w:r>
              <w:rPr>
                <w:rFonts w:hint="eastAsia"/>
                <w:color w:val="auto"/>
                <w:sz w:val="22"/>
                <w:szCs w:val="22"/>
                <w:lang w:val="en-US" w:eastAsia="zh-CN"/>
              </w:rPr>
              <w:t>工业粉尘</w:t>
            </w:r>
          </w:p>
        </w:tc>
        <w:tc>
          <w:tcPr>
            <w:tcW w:w="587" w:type="pct"/>
            <w:vAlign w:val="center"/>
          </w:tcPr>
          <w:p w14:paraId="78C9FB78">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1.4875</w:t>
            </w:r>
            <w:r>
              <w:rPr>
                <w:rFonts w:hint="eastAsia" w:ascii="Times New Roman" w:hAnsi="Times New Roman" w:eastAsia="宋体" w:cs="Times New Roman"/>
                <w:color w:val="auto"/>
                <w:kern w:val="0"/>
                <w:sz w:val="21"/>
                <w:szCs w:val="21"/>
                <w:vertAlign w:val="baseline"/>
                <w:lang w:val="en-US" w:eastAsia="zh-CN"/>
              </w:rPr>
              <w:t>t/a</w:t>
            </w:r>
          </w:p>
        </w:tc>
        <w:tc>
          <w:tcPr>
            <w:tcW w:w="467" w:type="pct"/>
            <w:vAlign w:val="center"/>
          </w:tcPr>
          <w:p w14:paraId="74D2FC36">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598" w:type="pct"/>
            <w:vAlign w:val="center"/>
          </w:tcPr>
          <w:p w14:paraId="698C7695">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581" w:type="pct"/>
            <w:vAlign w:val="center"/>
          </w:tcPr>
          <w:p w14:paraId="1AA65171">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494" w:type="pct"/>
            <w:vAlign w:val="center"/>
          </w:tcPr>
          <w:p w14:paraId="3ADD6041">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625" w:type="pct"/>
            <w:vAlign w:val="center"/>
          </w:tcPr>
          <w:p w14:paraId="12B50BD6">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1.4875</w:t>
            </w:r>
            <w:r>
              <w:rPr>
                <w:rFonts w:hint="eastAsia" w:ascii="Times New Roman" w:hAnsi="Times New Roman" w:eastAsia="宋体" w:cs="Times New Roman"/>
                <w:color w:val="auto"/>
                <w:kern w:val="0"/>
                <w:sz w:val="21"/>
                <w:szCs w:val="21"/>
                <w:vertAlign w:val="baseline"/>
                <w:lang w:val="en-US" w:eastAsia="zh-CN"/>
              </w:rPr>
              <w:t>t/a</w:t>
            </w:r>
          </w:p>
        </w:tc>
        <w:tc>
          <w:tcPr>
            <w:tcW w:w="511" w:type="pct"/>
            <w:vAlign w:val="center"/>
          </w:tcPr>
          <w:p w14:paraId="202A8850">
            <w:pPr>
              <w:adjustRightInd w:val="0"/>
              <w:snapToGrid w:val="0"/>
              <w:spacing w:line="240" w:lineRule="auto"/>
              <w:jc w:val="center"/>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r>
      <w:tr w14:paraId="693016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12" w:type="pct"/>
            <w:vMerge w:val="restart"/>
            <w:vAlign w:val="center"/>
          </w:tcPr>
          <w:p w14:paraId="1AB0223B">
            <w:pPr>
              <w:pStyle w:val="70"/>
              <w:spacing w:beforeLines="0" w:afterLines="0" w:line="240" w:lineRule="auto"/>
              <w:rPr>
                <w:rFonts w:ascii="Times New Roman"/>
                <w:color w:val="auto"/>
                <w:kern w:val="2"/>
                <w:szCs w:val="21"/>
              </w:rPr>
            </w:pPr>
            <w:r>
              <w:rPr>
                <w:rFonts w:ascii="Times New Roman"/>
                <w:color w:val="auto"/>
                <w:kern w:val="2"/>
                <w:szCs w:val="21"/>
              </w:rPr>
              <w:t>废水</w:t>
            </w:r>
          </w:p>
        </w:tc>
        <w:tc>
          <w:tcPr>
            <w:tcW w:w="718" w:type="pct"/>
            <w:vAlign w:val="center"/>
          </w:tcPr>
          <w:p w14:paraId="6F44815F">
            <w:pPr>
              <w:spacing w:line="240" w:lineRule="auto"/>
              <w:jc w:val="center"/>
              <w:rPr>
                <w:color w:val="auto"/>
                <w:sz w:val="22"/>
                <w:szCs w:val="22"/>
              </w:rPr>
            </w:pPr>
            <w:r>
              <w:rPr>
                <w:color w:val="auto"/>
                <w:sz w:val="22"/>
                <w:szCs w:val="22"/>
              </w:rPr>
              <w:t>COD</w:t>
            </w:r>
          </w:p>
        </w:tc>
        <w:tc>
          <w:tcPr>
            <w:tcW w:w="587" w:type="pct"/>
            <w:vAlign w:val="center"/>
          </w:tcPr>
          <w:p w14:paraId="507BF9FE">
            <w:pPr>
              <w:adjustRightInd w:val="0"/>
              <w:snapToGrid w:val="0"/>
              <w:spacing w:line="240" w:lineRule="auto"/>
              <w:jc w:val="center"/>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0.0058t/a</w:t>
            </w:r>
          </w:p>
        </w:tc>
        <w:tc>
          <w:tcPr>
            <w:tcW w:w="467" w:type="pct"/>
            <w:vAlign w:val="center"/>
          </w:tcPr>
          <w:p w14:paraId="646028ED">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598" w:type="pct"/>
            <w:vAlign w:val="center"/>
          </w:tcPr>
          <w:p w14:paraId="087CE847">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581" w:type="pct"/>
            <w:vAlign w:val="center"/>
          </w:tcPr>
          <w:p w14:paraId="31B0615D">
            <w:pPr>
              <w:adjustRightInd w:val="0"/>
              <w:snapToGrid w:val="0"/>
              <w:spacing w:line="240" w:lineRule="auto"/>
              <w:jc w:val="center"/>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494" w:type="pct"/>
            <w:vAlign w:val="center"/>
          </w:tcPr>
          <w:p w14:paraId="47ECDAC3">
            <w:pPr>
              <w:adjustRightInd w:val="0"/>
              <w:snapToGrid w:val="0"/>
              <w:spacing w:line="240" w:lineRule="auto"/>
              <w:jc w:val="center"/>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625" w:type="pct"/>
            <w:vAlign w:val="center"/>
          </w:tcPr>
          <w:p w14:paraId="039D04E1">
            <w:pPr>
              <w:adjustRightInd w:val="0"/>
              <w:snapToGrid w:val="0"/>
              <w:spacing w:line="240" w:lineRule="auto"/>
              <w:jc w:val="center"/>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0.0058t/a</w:t>
            </w:r>
          </w:p>
        </w:tc>
        <w:tc>
          <w:tcPr>
            <w:tcW w:w="511" w:type="pct"/>
            <w:vAlign w:val="center"/>
          </w:tcPr>
          <w:p w14:paraId="38DFD0D9">
            <w:pPr>
              <w:adjustRightInd w:val="0"/>
              <w:snapToGrid w:val="0"/>
              <w:spacing w:line="240" w:lineRule="auto"/>
              <w:jc w:val="center"/>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r>
      <w:tr w14:paraId="4F49D7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12" w:type="pct"/>
            <w:vMerge w:val="continue"/>
            <w:vAlign w:val="center"/>
          </w:tcPr>
          <w:p w14:paraId="693EDD2A">
            <w:pPr>
              <w:pStyle w:val="70"/>
              <w:spacing w:beforeLines="0" w:afterLines="0" w:line="240" w:lineRule="auto"/>
              <w:rPr>
                <w:rFonts w:ascii="Times New Roman"/>
                <w:color w:val="auto"/>
                <w:kern w:val="2"/>
                <w:szCs w:val="21"/>
              </w:rPr>
            </w:pPr>
          </w:p>
        </w:tc>
        <w:tc>
          <w:tcPr>
            <w:tcW w:w="718" w:type="pct"/>
            <w:vAlign w:val="center"/>
          </w:tcPr>
          <w:p w14:paraId="05B2AE76">
            <w:pPr>
              <w:spacing w:line="240" w:lineRule="auto"/>
              <w:jc w:val="center"/>
              <w:rPr>
                <w:color w:val="auto"/>
                <w:sz w:val="22"/>
                <w:szCs w:val="22"/>
              </w:rPr>
            </w:pPr>
            <w:r>
              <w:rPr>
                <w:color w:val="auto"/>
                <w:sz w:val="22"/>
                <w:szCs w:val="22"/>
              </w:rPr>
              <w:t>NH</w:t>
            </w:r>
            <w:r>
              <w:rPr>
                <w:color w:val="auto"/>
                <w:sz w:val="22"/>
                <w:szCs w:val="22"/>
                <w:vertAlign w:val="subscript"/>
              </w:rPr>
              <w:t>3</w:t>
            </w:r>
            <w:r>
              <w:rPr>
                <w:color w:val="auto"/>
                <w:sz w:val="22"/>
                <w:szCs w:val="22"/>
              </w:rPr>
              <w:t>-N</w:t>
            </w:r>
          </w:p>
        </w:tc>
        <w:tc>
          <w:tcPr>
            <w:tcW w:w="587" w:type="pct"/>
            <w:vAlign w:val="center"/>
          </w:tcPr>
          <w:p w14:paraId="4CC48A4A">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0.0014t/a</w:t>
            </w:r>
          </w:p>
        </w:tc>
        <w:tc>
          <w:tcPr>
            <w:tcW w:w="467" w:type="pct"/>
            <w:vAlign w:val="center"/>
          </w:tcPr>
          <w:p w14:paraId="3812B454">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598" w:type="pct"/>
            <w:vAlign w:val="center"/>
          </w:tcPr>
          <w:p w14:paraId="1A9869F8">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581" w:type="pct"/>
            <w:vAlign w:val="center"/>
          </w:tcPr>
          <w:p w14:paraId="2C71352C">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494" w:type="pct"/>
            <w:vAlign w:val="center"/>
          </w:tcPr>
          <w:p w14:paraId="669629A7">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625" w:type="pct"/>
            <w:vAlign w:val="center"/>
          </w:tcPr>
          <w:p w14:paraId="1B60CD5B">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0.0014t/a</w:t>
            </w:r>
          </w:p>
        </w:tc>
        <w:tc>
          <w:tcPr>
            <w:tcW w:w="511" w:type="pct"/>
            <w:shd w:val="clear" w:color="auto" w:fill="auto"/>
            <w:vAlign w:val="center"/>
          </w:tcPr>
          <w:p w14:paraId="000B8C97">
            <w:pPr>
              <w:adjustRightInd w:val="0"/>
              <w:snapToGrid w:val="0"/>
              <w:spacing w:line="240" w:lineRule="auto"/>
              <w:jc w:val="center"/>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r>
      <w:tr w14:paraId="769F1D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12" w:type="pct"/>
            <w:vMerge w:val="restart"/>
            <w:vAlign w:val="center"/>
          </w:tcPr>
          <w:p w14:paraId="05657915">
            <w:pPr>
              <w:pStyle w:val="70"/>
              <w:spacing w:beforeLines="0" w:afterLines="0" w:line="240" w:lineRule="auto"/>
              <w:rPr>
                <w:rFonts w:ascii="Times New Roman"/>
                <w:color w:val="auto"/>
                <w:kern w:val="2"/>
                <w:szCs w:val="21"/>
              </w:rPr>
            </w:pPr>
            <w:r>
              <w:rPr>
                <w:rFonts w:ascii="Times New Roman"/>
                <w:color w:val="auto"/>
                <w:kern w:val="2"/>
                <w:szCs w:val="21"/>
              </w:rPr>
              <w:t>一般工业</w:t>
            </w:r>
          </w:p>
          <w:p w14:paraId="23507D22">
            <w:pPr>
              <w:pStyle w:val="70"/>
              <w:spacing w:beforeLines="0" w:afterLines="0" w:line="240" w:lineRule="auto"/>
              <w:rPr>
                <w:rFonts w:ascii="Times New Roman"/>
                <w:color w:val="auto"/>
                <w:kern w:val="2"/>
                <w:szCs w:val="21"/>
              </w:rPr>
            </w:pPr>
            <w:r>
              <w:rPr>
                <w:rFonts w:ascii="Times New Roman"/>
                <w:color w:val="auto"/>
                <w:kern w:val="2"/>
                <w:szCs w:val="21"/>
              </w:rPr>
              <w:t>固体废物</w:t>
            </w:r>
          </w:p>
        </w:tc>
        <w:tc>
          <w:tcPr>
            <w:tcW w:w="718" w:type="pct"/>
            <w:vAlign w:val="center"/>
          </w:tcPr>
          <w:p w14:paraId="3B5B918E">
            <w:pPr>
              <w:adjustRightInd w:val="0"/>
              <w:snapToGrid w:val="0"/>
              <w:spacing w:line="240" w:lineRule="auto"/>
              <w:jc w:val="center"/>
              <w:rPr>
                <w:rFonts w:hint="default"/>
                <w:color w:val="auto"/>
                <w:sz w:val="22"/>
                <w:szCs w:val="22"/>
                <w:lang w:val="en-US"/>
              </w:rPr>
            </w:pPr>
            <w:r>
              <w:rPr>
                <w:rFonts w:hint="eastAsia"/>
                <w:color w:val="auto"/>
                <w:sz w:val="22"/>
                <w:szCs w:val="22"/>
                <w:lang w:val="en-US" w:eastAsia="zh-CN"/>
              </w:rPr>
              <w:t>收集粉尘</w:t>
            </w:r>
          </w:p>
        </w:tc>
        <w:tc>
          <w:tcPr>
            <w:tcW w:w="587" w:type="pct"/>
            <w:vAlign w:val="center"/>
          </w:tcPr>
          <w:p w14:paraId="3DB039D1">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23.5125t/a</w:t>
            </w:r>
          </w:p>
        </w:tc>
        <w:tc>
          <w:tcPr>
            <w:tcW w:w="467" w:type="pct"/>
            <w:vAlign w:val="center"/>
          </w:tcPr>
          <w:p w14:paraId="662A85A0">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598" w:type="pct"/>
            <w:vAlign w:val="center"/>
          </w:tcPr>
          <w:p w14:paraId="0E876275">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581" w:type="pct"/>
            <w:vAlign w:val="center"/>
          </w:tcPr>
          <w:p w14:paraId="3EA97157">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494" w:type="pct"/>
            <w:vAlign w:val="center"/>
          </w:tcPr>
          <w:p w14:paraId="67E860FD">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625" w:type="pct"/>
            <w:vAlign w:val="center"/>
          </w:tcPr>
          <w:p w14:paraId="6DE2F7E5">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23.5125t/a</w:t>
            </w:r>
          </w:p>
        </w:tc>
        <w:tc>
          <w:tcPr>
            <w:tcW w:w="511" w:type="pct"/>
            <w:shd w:val="clear" w:color="auto" w:fill="auto"/>
            <w:vAlign w:val="center"/>
          </w:tcPr>
          <w:p w14:paraId="1FA76684">
            <w:pPr>
              <w:adjustRightInd w:val="0"/>
              <w:snapToGrid w:val="0"/>
              <w:spacing w:line="240" w:lineRule="auto"/>
              <w:jc w:val="center"/>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r>
      <w:tr w14:paraId="375ECB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12" w:type="pct"/>
            <w:vMerge w:val="continue"/>
            <w:vAlign w:val="center"/>
          </w:tcPr>
          <w:p w14:paraId="7C01EC67">
            <w:pPr>
              <w:pStyle w:val="70"/>
              <w:spacing w:beforeLines="0" w:afterLines="0" w:line="240" w:lineRule="auto"/>
              <w:rPr>
                <w:rFonts w:ascii="Times New Roman"/>
                <w:color w:val="auto"/>
                <w:kern w:val="2"/>
                <w:szCs w:val="21"/>
              </w:rPr>
            </w:pPr>
          </w:p>
        </w:tc>
        <w:tc>
          <w:tcPr>
            <w:tcW w:w="718" w:type="pct"/>
            <w:vAlign w:val="center"/>
          </w:tcPr>
          <w:p w14:paraId="66C1A032">
            <w:pPr>
              <w:adjustRightInd w:val="0"/>
              <w:snapToGrid w:val="0"/>
              <w:spacing w:line="240" w:lineRule="auto"/>
              <w:jc w:val="center"/>
              <w:rPr>
                <w:rFonts w:hint="eastAsia"/>
                <w:color w:val="auto"/>
                <w:sz w:val="22"/>
                <w:szCs w:val="22"/>
                <w:lang w:val="en-US" w:eastAsia="zh-CN"/>
              </w:rPr>
            </w:pPr>
            <w:r>
              <w:rPr>
                <w:rFonts w:hint="eastAsia"/>
                <w:color w:val="auto"/>
                <w:sz w:val="22"/>
                <w:szCs w:val="22"/>
                <w:lang w:val="en-US" w:eastAsia="zh-CN"/>
              </w:rPr>
              <w:t>除尘器收尘灰及锅炉灰渣</w:t>
            </w:r>
          </w:p>
        </w:tc>
        <w:tc>
          <w:tcPr>
            <w:tcW w:w="587" w:type="pct"/>
            <w:vAlign w:val="center"/>
          </w:tcPr>
          <w:p w14:paraId="61FE754B">
            <w:pPr>
              <w:adjustRightInd w:val="0"/>
              <w:snapToGrid w:val="0"/>
              <w:spacing w:line="240" w:lineRule="auto"/>
              <w:jc w:val="center"/>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79.761t/a</w:t>
            </w:r>
          </w:p>
        </w:tc>
        <w:tc>
          <w:tcPr>
            <w:tcW w:w="467" w:type="pct"/>
            <w:vAlign w:val="center"/>
          </w:tcPr>
          <w:p w14:paraId="0436C99F">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598" w:type="pct"/>
            <w:vAlign w:val="center"/>
          </w:tcPr>
          <w:p w14:paraId="0E6A23AC">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581" w:type="pct"/>
            <w:vAlign w:val="center"/>
          </w:tcPr>
          <w:p w14:paraId="56DD29F4">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szCs w:val="21"/>
              </w:rPr>
              <w:t>247.047</w:t>
            </w:r>
            <w:r>
              <w:rPr>
                <w:rFonts w:hint="default" w:ascii="Times New Roman" w:hAnsi="Times New Roman" w:eastAsia="宋体" w:cs="Times New Roman"/>
                <w:color w:val="auto"/>
                <w:kern w:val="0"/>
                <w:sz w:val="21"/>
                <w:szCs w:val="21"/>
                <w:vertAlign w:val="baseline"/>
                <w:lang w:val="en-US" w:eastAsia="zh-CN"/>
              </w:rPr>
              <w:t>t/a</w:t>
            </w:r>
          </w:p>
        </w:tc>
        <w:tc>
          <w:tcPr>
            <w:tcW w:w="494" w:type="pct"/>
            <w:vAlign w:val="center"/>
          </w:tcPr>
          <w:p w14:paraId="06B6EA13">
            <w:pPr>
              <w:adjustRightInd w:val="0"/>
              <w:snapToGrid w:val="0"/>
              <w:spacing w:line="240" w:lineRule="auto"/>
              <w:jc w:val="center"/>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79.761t/a</w:t>
            </w:r>
          </w:p>
        </w:tc>
        <w:tc>
          <w:tcPr>
            <w:tcW w:w="625" w:type="pct"/>
            <w:vAlign w:val="center"/>
          </w:tcPr>
          <w:p w14:paraId="5E8B6E40">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szCs w:val="21"/>
              </w:rPr>
              <w:t>247.047</w:t>
            </w:r>
            <w:r>
              <w:rPr>
                <w:rFonts w:hint="default" w:ascii="Times New Roman" w:hAnsi="Times New Roman" w:eastAsia="宋体" w:cs="Times New Roman"/>
                <w:color w:val="auto"/>
                <w:kern w:val="0"/>
                <w:sz w:val="21"/>
                <w:szCs w:val="21"/>
                <w:vertAlign w:val="baseline"/>
                <w:lang w:val="en-US" w:eastAsia="zh-CN"/>
              </w:rPr>
              <w:t>t/a</w:t>
            </w:r>
          </w:p>
        </w:tc>
        <w:tc>
          <w:tcPr>
            <w:tcW w:w="511" w:type="pct"/>
            <w:vAlign w:val="center"/>
          </w:tcPr>
          <w:p w14:paraId="69A8A072">
            <w:pPr>
              <w:adjustRightInd w:val="0"/>
              <w:snapToGrid w:val="0"/>
              <w:spacing w:line="240" w:lineRule="auto"/>
              <w:jc w:val="center"/>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szCs w:val="21"/>
                <w:lang w:val="en-US" w:eastAsia="zh-CN"/>
              </w:rPr>
              <w:t>167.286t/a</w:t>
            </w:r>
          </w:p>
        </w:tc>
      </w:tr>
      <w:tr w14:paraId="558FD5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12" w:type="pct"/>
            <w:vMerge w:val="continue"/>
            <w:vAlign w:val="center"/>
          </w:tcPr>
          <w:p w14:paraId="26B0E1A0">
            <w:pPr>
              <w:pStyle w:val="70"/>
              <w:spacing w:beforeLines="0" w:afterLines="0" w:line="240" w:lineRule="auto"/>
              <w:rPr>
                <w:rFonts w:ascii="Times New Roman"/>
                <w:color w:val="auto"/>
                <w:kern w:val="2"/>
                <w:szCs w:val="21"/>
              </w:rPr>
            </w:pPr>
          </w:p>
        </w:tc>
        <w:tc>
          <w:tcPr>
            <w:tcW w:w="718" w:type="pct"/>
            <w:vAlign w:val="center"/>
          </w:tcPr>
          <w:p w14:paraId="625621E6">
            <w:pPr>
              <w:adjustRightInd w:val="0"/>
              <w:snapToGrid w:val="0"/>
              <w:spacing w:line="240" w:lineRule="auto"/>
              <w:jc w:val="center"/>
              <w:rPr>
                <w:rFonts w:hint="eastAsia"/>
                <w:color w:val="auto"/>
                <w:sz w:val="22"/>
                <w:szCs w:val="22"/>
              </w:rPr>
            </w:pPr>
            <w:r>
              <w:rPr>
                <w:rFonts w:hint="eastAsia"/>
                <w:color w:val="auto"/>
                <w:sz w:val="22"/>
                <w:szCs w:val="22"/>
                <w:lang w:val="en-US" w:eastAsia="zh-CN"/>
              </w:rPr>
              <w:t>废布袋</w:t>
            </w:r>
          </w:p>
        </w:tc>
        <w:tc>
          <w:tcPr>
            <w:tcW w:w="587" w:type="pct"/>
            <w:vAlign w:val="center"/>
          </w:tcPr>
          <w:p w14:paraId="7ED85451">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0.1t/2a</w:t>
            </w:r>
          </w:p>
        </w:tc>
        <w:tc>
          <w:tcPr>
            <w:tcW w:w="467" w:type="pct"/>
            <w:vAlign w:val="center"/>
          </w:tcPr>
          <w:p w14:paraId="1131E715">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598" w:type="pct"/>
            <w:vAlign w:val="center"/>
          </w:tcPr>
          <w:p w14:paraId="1364F47F">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581" w:type="pct"/>
            <w:vAlign w:val="center"/>
          </w:tcPr>
          <w:p w14:paraId="71ECA5F7">
            <w:pPr>
              <w:adjustRightInd w:val="0"/>
              <w:snapToGrid w:val="0"/>
              <w:spacing w:line="240" w:lineRule="auto"/>
              <w:jc w:val="center"/>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0.1t/2a</w:t>
            </w:r>
          </w:p>
        </w:tc>
        <w:tc>
          <w:tcPr>
            <w:tcW w:w="494" w:type="pct"/>
            <w:vAlign w:val="center"/>
          </w:tcPr>
          <w:p w14:paraId="6A738F5D">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625" w:type="pct"/>
            <w:vAlign w:val="center"/>
          </w:tcPr>
          <w:p w14:paraId="1FDFCBAE">
            <w:pPr>
              <w:adjustRightInd w:val="0"/>
              <w:snapToGrid w:val="0"/>
              <w:spacing w:line="240" w:lineRule="auto"/>
              <w:jc w:val="center"/>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0.2t/2a</w:t>
            </w:r>
          </w:p>
        </w:tc>
        <w:tc>
          <w:tcPr>
            <w:tcW w:w="511" w:type="pct"/>
            <w:vAlign w:val="center"/>
          </w:tcPr>
          <w:p w14:paraId="1B41F703">
            <w:pPr>
              <w:adjustRightInd w:val="0"/>
              <w:snapToGrid w:val="0"/>
              <w:spacing w:line="240" w:lineRule="auto"/>
              <w:jc w:val="center"/>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0.1t/2a</w:t>
            </w:r>
          </w:p>
        </w:tc>
      </w:tr>
      <w:tr w14:paraId="538AAD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12" w:type="pct"/>
            <w:vMerge w:val="continue"/>
            <w:vAlign w:val="center"/>
          </w:tcPr>
          <w:p w14:paraId="07629615">
            <w:pPr>
              <w:pStyle w:val="70"/>
              <w:spacing w:beforeLines="0" w:afterLines="0" w:line="240" w:lineRule="auto"/>
              <w:rPr>
                <w:rFonts w:ascii="Times New Roman"/>
                <w:color w:val="auto"/>
                <w:kern w:val="2"/>
                <w:szCs w:val="21"/>
              </w:rPr>
            </w:pPr>
          </w:p>
        </w:tc>
        <w:tc>
          <w:tcPr>
            <w:tcW w:w="718" w:type="pct"/>
            <w:vAlign w:val="center"/>
          </w:tcPr>
          <w:p w14:paraId="3D519F84">
            <w:pPr>
              <w:adjustRightInd w:val="0"/>
              <w:snapToGrid w:val="0"/>
              <w:spacing w:line="240" w:lineRule="auto"/>
              <w:jc w:val="center"/>
              <w:rPr>
                <w:rFonts w:hint="eastAsia"/>
                <w:color w:val="auto"/>
                <w:sz w:val="22"/>
                <w:szCs w:val="22"/>
                <w:lang w:val="en-US" w:eastAsia="zh-CN"/>
              </w:rPr>
            </w:pPr>
            <w:r>
              <w:rPr>
                <w:rFonts w:hint="eastAsia"/>
                <w:color w:val="auto"/>
                <w:kern w:val="0"/>
                <w:sz w:val="21"/>
                <w:szCs w:val="21"/>
                <w:vertAlign w:val="baseline"/>
                <w:lang w:val="en-US" w:eastAsia="zh-CN"/>
              </w:rPr>
              <w:t>生活垃圾</w:t>
            </w:r>
          </w:p>
        </w:tc>
        <w:tc>
          <w:tcPr>
            <w:tcW w:w="587" w:type="pct"/>
            <w:vAlign w:val="center"/>
          </w:tcPr>
          <w:p w14:paraId="62E66893">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1.</w:t>
            </w:r>
            <w:r>
              <w:rPr>
                <w:rFonts w:hint="eastAsia" w:ascii="Times New Roman" w:hAnsi="Times New Roman" w:eastAsia="宋体" w:cs="Times New Roman"/>
                <w:color w:val="auto"/>
                <w:kern w:val="0"/>
                <w:sz w:val="21"/>
                <w:szCs w:val="21"/>
                <w:vertAlign w:val="baseline"/>
                <w:lang w:val="en-US" w:eastAsia="zh-CN"/>
              </w:rPr>
              <w:t>2t/a</w:t>
            </w:r>
          </w:p>
        </w:tc>
        <w:tc>
          <w:tcPr>
            <w:tcW w:w="467" w:type="pct"/>
            <w:vAlign w:val="center"/>
          </w:tcPr>
          <w:p w14:paraId="24CDA5D7">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598" w:type="pct"/>
            <w:vAlign w:val="center"/>
          </w:tcPr>
          <w:p w14:paraId="26F5463E">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581" w:type="pct"/>
            <w:vAlign w:val="center"/>
          </w:tcPr>
          <w:p w14:paraId="6C4E2B51">
            <w:pPr>
              <w:adjustRightInd w:val="0"/>
              <w:snapToGrid w:val="0"/>
              <w:spacing w:line="240" w:lineRule="auto"/>
              <w:jc w:val="center"/>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494" w:type="pct"/>
            <w:vAlign w:val="center"/>
          </w:tcPr>
          <w:p w14:paraId="4E1EE073">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625" w:type="pct"/>
            <w:vAlign w:val="center"/>
          </w:tcPr>
          <w:p w14:paraId="0F604464">
            <w:pPr>
              <w:adjustRightInd w:val="0"/>
              <w:snapToGrid w:val="0"/>
              <w:spacing w:line="240" w:lineRule="auto"/>
              <w:jc w:val="center"/>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1.</w:t>
            </w:r>
            <w:r>
              <w:rPr>
                <w:rFonts w:hint="eastAsia" w:ascii="Times New Roman" w:hAnsi="Times New Roman" w:eastAsia="宋体" w:cs="Times New Roman"/>
                <w:color w:val="auto"/>
                <w:kern w:val="0"/>
                <w:sz w:val="21"/>
                <w:szCs w:val="21"/>
                <w:vertAlign w:val="baseline"/>
                <w:lang w:val="en-US" w:eastAsia="zh-CN"/>
              </w:rPr>
              <w:t>2t/a</w:t>
            </w:r>
          </w:p>
        </w:tc>
        <w:tc>
          <w:tcPr>
            <w:tcW w:w="511" w:type="pct"/>
            <w:vAlign w:val="center"/>
          </w:tcPr>
          <w:p w14:paraId="27BA561A">
            <w:pPr>
              <w:adjustRightInd w:val="0"/>
              <w:snapToGrid w:val="0"/>
              <w:spacing w:line="240" w:lineRule="auto"/>
              <w:jc w:val="center"/>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r>
      <w:tr w14:paraId="35B131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3" w:hRule="atLeast"/>
        </w:trPr>
        <w:tc>
          <w:tcPr>
            <w:tcW w:w="412" w:type="pct"/>
            <w:vMerge w:val="restart"/>
            <w:vAlign w:val="center"/>
          </w:tcPr>
          <w:p w14:paraId="1E60BBE0">
            <w:pPr>
              <w:pStyle w:val="70"/>
              <w:spacing w:beforeLines="0" w:afterLines="0" w:line="240" w:lineRule="auto"/>
              <w:rPr>
                <w:rFonts w:hint="default" w:ascii="Times New Roman" w:eastAsia="宋体"/>
                <w:color w:val="auto"/>
                <w:kern w:val="2"/>
                <w:szCs w:val="21"/>
                <w:lang w:val="en-US" w:eastAsia="zh-CN"/>
              </w:rPr>
            </w:pPr>
            <w:r>
              <w:rPr>
                <w:rFonts w:hint="eastAsia" w:ascii="Times New Roman"/>
                <w:color w:val="auto"/>
                <w:kern w:val="2"/>
                <w:szCs w:val="21"/>
                <w:lang w:val="en-US" w:eastAsia="zh-CN"/>
              </w:rPr>
              <w:t>危险废物</w:t>
            </w:r>
          </w:p>
        </w:tc>
        <w:tc>
          <w:tcPr>
            <w:tcW w:w="718" w:type="pct"/>
            <w:vAlign w:val="center"/>
          </w:tcPr>
          <w:p w14:paraId="075EEF20">
            <w:pPr>
              <w:adjustRightInd w:val="0"/>
              <w:snapToGrid w:val="0"/>
              <w:spacing w:line="240" w:lineRule="auto"/>
              <w:jc w:val="center"/>
              <w:rPr>
                <w:rFonts w:hint="default"/>
                <w:color w:val="auto"/>
                <w:kern w:val="0"/>
                <w:sz w:val="21"/>
                <w:szCs w:val="21"/>
                <w:vertAlign w:val="baseline"/>
                <w:lang w:val="en-US" w:eastAsia="zh-CN"/>
              </w:rPr>
            </w:pPr>
            <w:r>
              <w:rPr>
                <w:rFonts w:hint="eastAsia"/>
                <w:color w:val="auto"/>
                <w:kern w:val="0"/>
                <w:sz w:val="21"/>
                <w:szCs w:val="21"/>
                <w:vertAlign w:val="baseline"/>
                <w:lang w:val="en-US" w:eastAsia="zh-CN"/>
              </w:rPr>
              <w:t>废机油</w:t>
            </w:r>
          </w:p>
        </w:tc>
        <w:tc>
          <w:tcPr>
            <w:tcW w:w="587" w:type="pct"/>
            <w:vAlign w:val="center"/>
          </w:tcPr>
          <w:p w14:paraId="5D78F936">
            <w:pPr>
              <w:adjustRightInd w:val="0"/>
              <w:snapToGrid w:val="0"/>
              <w:spacing w:line="240" w:lineRule="auto"/>
              <w:jc w:val="center"/>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467" w:type="pct"/>
            <w:vAlign w:val="center"/>
          </w:tcPr>
          <w:p w14:paraId="45D2A2D6">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598" w:type="pct"/>
            <w:vAlign w:val="center"/>
          </w:tcPr>
          <w:p w14:paraId="695049E3">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581" w:type="pct"/>
            <w:vAlign w:val="center"/>
          </w:tcPr>
          <w:p w14:paraId="5290A5F2">
            <w:pPr>
              <w:adjustRightInd w:val="0"/>
              <w:snapToGrid w:val="0"/>
              <w:spacing w:line="240" w:lineRule="auto"/>
              <w:jc w:val="center"/>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0.1t/a</w:t>
            </w:r>
          </w:p>
        </w:tc>
        <w:tc>
          <w:tcPr>
            <w:tcW w:w="494" w:type="pct"/>
            <w:vAlign w:val="center"/>
          </w:tcPr>
          <w:p w14:paraId="014FDEC0">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625" w:type="pct"/>
            <w:vAlign w:val="center"/>
          </w:tcPr>
          <w:p w14:paraId="5412292A">
            <w:pPr>
              <w:adjustRightInd w:val="0"/>
              <w:snapToGrid w:val="0"/>
              <w:spacing w:line="240" w:lineRule="auto"/>
              <w:jc w:val="center"/>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0.1t/a</w:t>
            </w:r>
          </w:p>
        </w:tc>
        <w:tc>
          <w:tcPr>
            <w:tcW w:w="511" w:type="pct"/>
            <w:vAlign w:val="center"/>
          </w:tcPr>
          <w:p w14:paraId="44E95000">
            <w:pPr>
              <w:adjustRightInd w:val="0"/>
              <w:snapToGrid w:val="0"/>
              <w:spacing w:line="240" w:lineRule="auto"/>
              <w:jc w:val="center"/>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0.1t/a</w:t>
            </w:r>
          </w:p>
        </w:tc>
      </w:tr>
      <w:tr w14:paraId="308259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12" w:type="pct"/>
            <w:vMerge w:val="continue"/>
            <w:vAlign w:val="center"/>
          </w:tcPr>
          <w:p w14:paraId="3875D83A">
            <w:pPr>
              <w:pStyle w:val="70"/>
              <w:spacing w:beforeLines="0" w:afterLines="0" w:line="240" w:lineRule="auto"/>
              <w:rPr>
                <w:rFonts w:hint="eastAsia" w:ascii="Times New Roman"/>
                <w:color w:val="auto"/>
                <w:kern w:val="2"/>
                <w:szCs w:val="21"/>
                <w:lang w:val="en-US" w:eastAsia="zh-CN"/>
              </w:rPr>
            </w:pPr>
          </w:p>
        </w:tc>
        <w:tc>
          <w:tcPr>
            <w:tcW w:w="718" w:type="pct"/>
            <w:vAlign w:val="center"/>
          </w:tcPr>
          <w:p w14:paraId="5085A4EE">
            <w:pPr>
              <w:adjustRightInd w:val="0"/>
              <w:snapToGrid w:val="0"/>
              <w:spacing w:line="240" w:lineRule="auto"/>
              <w:jc w:val="center"/>
              <w:rPr>
                <w:rFonts w:hint="default"/>
                <w:color w:val="auto"/>
                <w:kern w:val="0"/>
                <w:sz w:val="21"/>
                <w:szCs w:val="21"/>
                <w:vertAlign w:val="baseline"/>
                <w:lang w:val="en-US" w:eastAsia="zh-CN"/>
              </w:rPr>
            </w:pPr>
            <w:r>
              <w:rPr>
                <w:rFonts w:hint="eastAsia"/>
                <w:color w:val="auto"/>
                <w:kern w:val="0"/>
                <w:sz w:val="21"/>
                <w:szCs w:val="21"/>
                <w:vertAlign w:val="baseline"/>
                <w:lang w:val="en-US" w:eastAsia="zh-CN"/>
              </w:rPr>
              <w:t>废导热油</w:t>
            </w:r>
          </w:p>
        </w:tc>
        <w:tc>
          <w:tcPr>
            <w:tcW w:w="587" w:type="pct"/>
            <w:vAlign w:val="center"/>
          </w:tcPr>
          <w:p w14:paraId="54C14C87">
            <w:pPr>
              <w:adjustRightInd w:val="0"/>
              <w:snapToGrid w:val="0"/>
              <w:spacing w:line="240" w:lineRule="auto"/>
              <w:jc w:val="center"/>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3.5t/5a</w:t>
            </w:r>
          </w:p>
        </w:tc>
        <w:tc>
          <w:tcPr>
            <w:tcW w:w="467" w:type="pct"/>
            <w:vAlign w:val="center"/>
          </w:tcPr>
          <w:p w14:paraId="1ADA291F">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598" w:type="pct"/>
            <w:vAlign w:val="center"/>
          </w:tcPr>
          <w:p w14:paraId="05EECAD9">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581" w:type="pct"/>
            <w:vAlign w:val="center"/>
          </w:tcPr>
          <w:p w14:paraId="04118F9A">
            <w:pPr>
              <w:adjustRightInd w:val="0"/>
              <w:snapToGrid w:val="0"/>
              <w:spacing w:line="240" w:lineRule="auto"/>
              <w:jc w:val="center"/>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5.4t/5a</w:t>
            </w:r>
          </w:p>
        </w:tc>
        <w:tc>
          <w:tcPr>
            <w:tcW w:w="494" w:type="pct"/>
            <w:vAlign w:val="center"/>
          </w:tcPr>
          <w:p w14:paraId="646D4288">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3.5t/5a</w:t>
            </w:r>
          </w:p>
        </w:tc>
        <w:tc>
          <w:tcPr>
            <w:tcW w:w="625" w:type="pct"/>
            <w:vAlign w:val="center"/>
          </w:tcPr>
          <w:p w14:paraId="50254EDC">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5.4t/5a</w:t>
            </w:r>
          </w:p>
        </w:tc>
        <w:tc>
          <w:tcPr>
            <w:tcW w:w="511" w:type="pct"/>
            <w:vAlign w:val="center"/>
          </w:tcPr>
          <w:p w14:paraId="52106B43">
            <w:pPr>
              <w:adjustRightInd w:val="0"/>
              <w:snapToGrid w:val="0"/>
              <w:spacing w:line="240" w:lineRule="auto"/>
              <w:jc w:val="center"/>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1.9t/5a</w:t>
            </w:r>
          </w:p>
        </w:tc>
      </w:tr>
      <w:tr w14:paraId="468EA2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12" w:type="pct"/>
            <w:vMerge w:val="continue"/>
            <w:vAlign w:val="center"/>
          </w:tcPr>
          <w:p w14:paraId="774076F8">
            <w:pPr>
              <w:pStyle w:val="70"/>
              <w:spacing w:beforeLines="0" w:afterLines="0" w:line="240" w:lineRule="auto"/>
              <w:rPr>
                <w:rFonts w:hint="eastAsia" w:ascii="Times New Roman"/>
                <w:color w:val="auto"/>
                <w:kern w:val="2"/>
                <w:szCs w:val="21"/>
                <w:lang w:val="en-US" w:eastAsia="zh-CN"/>
              </w:rPr>
            </w:pPr>
          </w:p>
        </w:tc>
        <w:tc>
          <w:tcPr>
            <w:tcW w:w="718" w:type="pct"/>
            <w:vAlign w:val="center"/>
          </w:tcPr>
          <w:p w14:paraId="64F9E329">
            <w:pPr>
              <w:adjustRightInd w:val="0"/>
              <w:snapToGrid w:val="0"/>
              <w:spacing w:line="240" w:lineRule="auto"/>
              <w:jc w:val="center"/>
              <w:rPr>
                <w:rFonts w:hint="eastAsia"/>
                <w:color w:val="auto"/>
                <w:kern w:val="0"/>
                <w:sz w:val="21"/>
                <w:szCs w:val="21"/>
                <w:vertAlign w:val="baseline"/>
                <w:lang w:val="en-US" w:eastAsia="zh-CN"/>
              </w:rPr>
            </w:pPr>
            <w:r>
              <w:rPr>
                <w:rFonts w:hint="eastAsia"/>
                <w:color w:val="auto"/>
                <w:kern w:val="0"/>
                <w:sz w:val="21"/>
                <w:szCs w:val="21"/>
                <w:vertAlign w:val="baseline"/>
                <w:lang w:val="en-US" w:eastAsia="zh-CN"/>
              </w:rPr>
              <w:t>废含油手套、废含油抹布</w:t>
            </w:r>
          </w:p>
        </w:tc>
        <w:tc>
          <w:tcPr>
            <w:tcW w:w="1625" w:type="dxa"/>
            <w:vAlign w:val="center"/>
          </w:tcPr>
          <w:p w14:paraId="6D4209A8">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1293" w:type="dxa"/>
            <w:vAlign w:val="center"/>
          </w:tcPr>
          <w:p w14:paraId="5FB6A3A8">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1656" w:type="dxa"/>
            <w:vAlign w:val="center"/>
          </w:tcPr>
          <w:p w14:paraId="673CBCA4">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581" w:type="pct"/>
            <w:vAlign w:val="center"/>
          </w:tcPr>
          <w:p w14:paraId="70F60DD0">
            <w:pPr>
              <w:adjustRightInd w:val="0"/>
              <w:snapToGrid w:val="0"/>
              <w:spacing w:line="240" w:lineRule="auto"/>
              <w:jc w:val="center"/>
              <w:rPr>
                <w:rFonts w:hint="default"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0.01t/a</w:t>
            </w:r>
          </w:p>
        </w:tc>
        <w:tc>
          <w:tcPr>
            <w:tcW w:w="494" w:type="pct"/>
            <w:vAlign w:val="center"/>
          </w:tcPr>
          <w:p w14:paraId="6DB3AEC3">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w:t>
            </w:r>
          </w:p>
        </w:tc>
        <w:tc>
          <w:tcPr>
            <w:tcW w:w="625" w:type="pct"/>
            <w:vAlign w:val="center"/>
          </w:tcPr>
          <w:p w14:paraId="19B04D23">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0.01t/a</w:t>
            </w:r>
          </w:p>
        </w:tc>
        <w:tc>
          <w:tcPr>
            <w:tcW w:w="511" w:type="pct"/>
            <w:vAlign w:val="center"/>
          </w:tcPr>
          <w:p w14:paraId="4D10E255">
            <w:pPr>
              <w:adjustRightInd w:val="0"/>
              <w:snapToGrid w:val="0"/>
              <w:spacing w:line="240" w:lineRule="auto"/>
              <w:jc w:val="center"/>
              <w:rPr>
                <w:rFonts w:hint="eastAsia" w:ascii="Times New Roman" w:hAnsi="Times New Roman" w:eastAsia="宋体"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0.01t/a</w:t>
            </w:r>
          </w:p>
        </w:tc>
      </w:tr>
    </w:tbl>
    <w:p w14:paraId="5D0C2352">
      <w:pPr>
        <w:pStyle w:val="70"/>
        <w:spacing w:before="192" w:beforeLines="80" w:after="24"/>
        <w:jc w:val="left"/>
        <w:rPr>
          <w:rFonts w:ascii="Times New Roman"/>
          <w:snapToGrid w:val="0"/>
          <w:color w:val="auto"/>
          <w:spacing w:val="-6"/>
          <w:kern w:val="21"/>
          <w:sz w:val="20"/>
        </w:rPr>
      </w:pPr>
      <w:r>
        <w:rPr>
          <w:rFonts w:ascii="Times New Roman"/>
          <w:snapToGrid w:val="0"/>
          <w:color w:val="auto"/>
          <w:kern w:val="21"/>
          <w:sz w:val="20"/>
        </w:rPr>
        <w:t>注：</w:t>
      </w:r>
      <w:r>
        <w:rPr>
          <w:rFonts w:ascii="Times New Roman"/>
          <w:snapToGrid w:val="0"/>
          <w:color w:val="auto"/>
          <w:spacing w:val="-16"/>
          <w:kern w:val="21"/>
          <w:sz w:val="20"/>
        </w:rPr>
        <w:fldChar w:fldCharType="begin"/>
      </w:r>
      <w:r>
        <w:rPr>
          <w:rFonts w:ascii="Times New Roman"/>
          <w:snapToGrid w:val="0"/>
          <w:color w:val="auto"/>
          <w:spacing w:val="-16"/>
          <w:kern w:val="21"/>
          <w:sz w:val="20"/>
        </w:rPr>
        <w:instrText xml:space="preserve"> = 6 \* GB3 \* MERGEFORMAT </w:instrText>
      </w:r>
      <w:r>
        <w:rPr>
          <w:rFonts w:ascii="Times New Roman"/>
          <w:snapToGrid w:val="0"/>
          <w:color w:val="auto"/>
          <w:spacing w:val="-16"/>
          <w:kern w:val="21"/>
          <w:sz w:val="20"/>
        </w:rPr>
        <w:fldChar w:fldCharType="separate"/>
      </w:r>
      <w:r>
        <w:rPr>
          <w:rFonts w:hint="eastAsia" w:ascii="Times New Roman"/>
          <w:color w:val="auto"/>
          <w:sz w:val="20"/>
        </w:rPr>
        <w:t>⑥</w:t>
      </w:r>
      <w:r>
        <w:rPr>
          <w:rFonts w:ascii="Times New Roman"/>
          <w:snapToGrid w:val="0"/>
          <w:color w:val="auto"/>
          <w:spacing w:val="-16"/>
          <w:kern w:val="21"/>
          <w:sz w:val="20"/>
        </w:rPr>
        <w:fldChar w:fldCharType="end"/>
      </w:r>
      <w:r>
        <w:rPr>
          <w:rFonts w:ascii="Times New Roman"/>
          <w:snapToGrid w:val="0"/>
          <w:color w:val="auto"/>
          <w:spacing w:val="-16"/>
          <w:kern w:val="21"/>
          <w:sz w:val="20"/>
        </w:rPr>
        <w:t>=</w:t>
      </w:r>
      <w:r>
        <w:rPr>
          <w:rFonts w:ascii="Times New Roman"/>
          <w:snapToGrid w:val="0"/>
          <w:color w:val="auto"/>
          <w:spacing w:val="-6"/>
          <w:kern w:val="21"/>
          <w:sz w:val="20"/>
        </w:rPr>
        <w:fldChar w:fldCharType="begin"/>
      </w:r>
      <w:r>
        <w:rPr>
          <w:rFonts w:ascii="Times New Roman"/>
          <w:snapToGrid w:val="0"/>
          <w:color w:val="auto"/>
          <w:spacing w:val="-6"/>
          <w:kern w:val="21"/>
          <w:sz w:val="20"/>
        </w:rPr>
        <w:instrText xml:space="preserve"> = 1 \* GB3 \* MERGEFORMAT </w:instrText>
      </w:r>
      <w:r>
        <w:rPr>
          <w:rFonts w:ascii="Times New Roman"/>
          <w:snapToGrid w:val="0"/>
          <w:color w:val="auto"/>
          <w:spacing w:val="-6"/>
          <w:kern w:val="21"/>
          <w:sz w:val="20"/>
        </w:rPr>
        <w:fldChar w:fldCharType="separate"/>
      </w:r>
      <w:r>
        <w:rPr>
          <w:rFonts w:hint="eastAsia" w:ascii="Times New Roman"/>
          <w:color w:val="auto"/>
          <w:sz w:val="20"/>
        </w:rPr>
        <w:t>①</w:t>
      </w:r>
      <w:r>
        <w:rPr>
          <w:rFonts w:ascii="Times New Roman"/>
          <w:snapToGrid w:val="0"/>
          <w:color w:val="auto"/>
          <w:spacing w:val="-6"/>
          <w:kern w:val="21"/>
          <w:sz w:val="20"/>
        </w:rPr>
        <w:fldChar w:fldCharType="end"/>
      </w:r>
      <w:r>
        <w:rPr>
          <w:rFonts w:ascii="Times New Roman"/>
          <w:snapToGrid w:val="0"/>
          <w:color w:val="auto"/>
          <w:spacing w:val="-6"/>
          <w:kern w:val="21"/>
          <w:sz w:val="20"/>
        </w:rPr>
        <w:t>+</w:t>
      </w:r>
      <w:r>
        <w:rPr>
          <w:rFonts w:ascii="Times New Roman"/>
          <w:snapToGrid w:val="0"/>
          <w:color w:val="auto"/>
          <w:spacing w:val="-6"/>
          <w:kern w:val="21"/>
          <w:sz w:val="20"/>
        </w:rPr>
        <w:fldChar w:fldCharType="begin"/>
      </w:r>
      <w:r>
        <w:rPr>
          <w:rFonts w:ascii="Times New Roman"/>
          <w:snapToGrid w:val="0"/>
          <w:color w:val="auto"/>
          <w:spacing w:val="-6"/>
          <w:kern w:val="21"/>
          <w:sz w:val="20"/>
        </w:rPr>
        <w:instrText xml:space="preserve"> = 3 \* GB3 \* MERGEFORMAT </w:instrText>
      </w:r>
      <w:r>
        <w:rPr>
          <w:rFonts w:ascii="Times New Roman"/>
          <w:snapToGrid w:val="0"/>
          <w:color w:val="auto"/>
          <w:spacing w:val="-6"/>
          <w:kern w:val="21"/>
          <w:sz w:val="20"/>
        </w:rPr>
        <w:fldChar w:fldCharType="separate"/>
      </w:r>
      <w:r>
        <w:rPr>
          <w:rFonts w:hint="eastAsia" w:ascii="Times New Roman"/>
          <w:color w:val="auto"/>
          <w:sz w:val="20"/>
        </w:rPr>
        <w:t>③</w:t>
      </w:r>
      <w:r>
        <w:rPr>
          <w:rFonts w:ascii="Times New Roman"/>
          <w:snapToGrid w:val="0"/>
          <w:color w:val="auto"/>
          <w:spacing w:val="-6"/>
          <w:kern w:val="21"/>
          <w:sz w:val="20"/>
        </w:rPr>
        <w:fldChar w:fldCharType="end"/>
      </w:r>
      <w:r>
        <w:rPr>
          <w:rFonts w:ascii="Times New Roman"/>
          <w:snapToGrid w:val="0"/>
          <w:color w:val="auto"/>
          <w:spacing w:val="-6"/>
          <w:kern w:val="21"/>
          <w:sz w:val="20"/>
        </w:rPr>
        <w:t>+</w:t>
      </w:r>
      <w:r>
        <w:rPr>
          <w:rFonts w:ascii="Times New Roman"/>
          <w:snapToGrid w:val="0"/>
          <w:color w:val="auto"/>
          <w:spacing w:val="-6"/>
          <w:kern w:val="21"/>
          <w:sz w:val="20"/>
        </w:rPr>
        <w:fldChar w:fldCharType="begin"/>
      </w:r>
      <w:r>
        <w:rPr>
          <w:rFonts w:ascii="Times New Roman"/>
          <w:snapToGrid w:val="0"/>
          <w:color w:val="auto"/>
          <w:spacing w:val="-6"/>
          <w:kern w:val="21"/>
          <w:sz w:val="20"/>
        </w:rPr>
        <w:instrText xml:space="preserve"> = 4 \* GB3 \* MERGEFORMAT </w:instrText>
      </w:r>
      <w:r>
        <w:rPr>
          <w:rFonts w:ascii="Times New Roman"/>
          <w:snapToGrid w:val="0"/>
          <w:color w:val="auto"/>
          <w:spacing w:val="-6"/>
          <w:kern w:val="21"/>
          <w:sz w:val="20"/>
        </w:rPr>
        <w:fldChar w:fldCharType="separate"/>
      </w:r>
      <w:r>
        <w:rPr>
          <w:rFonts w:hint="eastAsia" w:ascii="Times New Roman"/>
          <w:color w:val="auto"/>
          <w:sz w:val="20"/>
        </w:rPr>
        <w:t>④</w:t>
      </w:r>
      <w:r>
        <w:rPr>
          <w:rFonts w:ascii="Times New Roman"/>
          <w:snapToGrid w:val="0"/>
          <w:color w:val="auto"/>
          <w:spacing w:val="-6"/>
          <w:kern w:val="21"/>
          <w:sz w:val="20"/>
        </w:rPr>
        <w:fldChar w:fldCharType="end"/>
      </w:r>
      <w:r>
        <w:rPr>
          <w:rFonts w:ascii="Times New Roman"/>
          <w:snapToGrid w:val="0"/>
          <w:color w:val="auto"/>
          <w:spacing w:val="-6"/>
          <w:kern w:val="21"/>
          <w:sz w:val="20"/>
        </w:rPr>
        <w:t>-</w:t>
      </w:r>
      <w:r>
        <w:rPr>
          <w:rFonts w:ascii="Times New Roman"/>
          <w:snapToGrid w:val="0"/>
          <w:color w:val="auto"/>
          <w:spacing w:val="-16"/>
          <w:kern w:val="21"/>
          <w:sz w:val="20"/>
        </w:rPr>
        <w:fldChar w:fldCharType="begin"/>
      </w:r>
      <w:r>
        <w:rPr>
          <w:rFonts w:ascii="Times New Roman"/>
          <w:snapToGrid w:val="0"/>
          <w:color w:val="auto"/>
          <w:spacing w:val="-16"/>
          <w:kern w:val="21"/>
          <w:sz w:val="20"/>
        </w:rPr>
        <w:instrText xml:space="preserve"> = 5 \* GB3 \* MERGEFORMAT </w:instrText>
      </w:r>
      <w:r>
        <w:rPr>
          <w:rFonts w:ascii="Times New Roman"/>
          <w:snapToGrid w:val="0"/>
          <w:color w:val="auto"/>
          <w:spacing w:val="-16"/>
          <w:kern w:val="21"/>
          <w:sz w:val="20"/>
        </w:rPr>
        <w:fldChar w:fldCharType="separate"/>
      </w:r>
      <w:r>
        <w:rPr>
          <w:rFonts w:hint="eastAsia" w:ascii="Times New Roman"/>
          <w:color w:val="auto"/>
          <w:sz w:val="20"/>
        </w:rPr>
        <w:t>⑤</w:t>
      </w:r>
      <w:r>
        <w:rPr>
          <w:rFonts w:ascii="Times New Roman"/>
          <w:snapToGrid w:val="0"/>
          <w:color w:val="auto"/>
          <w:spacing w:val="-16"/>
          <w:kern w:val="21"/>
          <w:sz w:val="20"/>
        </w:rPr>
        <w:fldChar w:fldCharType="end"/>
      </w:r>
      <w:r>
        <w:rPr>
          <w:rFonts w:ascii="Times New Roman"/>
          <w:snapToGrid w:val="0"/>
          <w:color w:val="auto"/>
          <w:spacing w:val="-16"/>
          <w:kern w:val="21"/>
          <w:sz w:val="20"/>
        </w:rPr>
        <w:t>；</w:t>
      </w:r>
      <w:r>
        <w:rPr>
          <w:rFonts w:ascii="Times New Roman"/>
          <w:snapToGrid w:val="0"/>
          <w:color w:val="auto"/>
          <w:spacing w:val="-6"/>
          <w:kern w:val="21"/>
          <w:sz w:val="20"/>
        </w:rPr>
        <w:fldChar w:fldCharType="begin"/>
      </w:r>
      <w:r>
        <w:rPr>
          <w:rFonts w:ascii="Times New Roman"/>
          <w:snapToGrid w:val="0"/>
          <w:color w:val="auto"/>
          <w:spacing w:val="-6"/>
          <w:kern w:val="21"/>
          <w:sz w:val="20"/>
        </w:rPr>
        <w:instrText xml:space="preserve"> = 7 \* GB3 \* MERGEFORMAT </w:instrText>
      </w:r>
      <w:r>
        <w:rPr>
          <w:rFonts w:ascii="Times New Roman"/>
          <w:snapToGrid w:val="0"/>
          <w:color w:val="auto"/>
          <w:spacing w:val="-6"/>
          <w:kern w:val="21"/>
          <w:sz w:val="20"/>
        </w:rPr>
        <w:fldChar w:fldCharType="separate"/>
      </w:r>
      <w:r>
        <w:rPr>
          <w:rFonts w:hint="eastAsia" w:ascii="Times New Roman"/>
          <w:color w:val="auto"/>
          <w:sz w:val="20"/>
        </w:rPr>
        <w:t>⑦</w:t>
      </w:r>
      <w:r>
        <w:rPr>
          <w:rFonts w:ascii="Times New Roman"/>
          <w:snapToGrid w:val="0"/>
          <w:color w:val="auto"/>
          <w:spacing w:val="-6"/>
          <w:kern w:val="21"/>
          <w:sz w:val="20"/>
        </w:rPr>
        <w:fldChar w:fldCharType="end"/>
      </w:r>
      <w:r>
        <w:rPr>
          <w:rFonts w:ascii="Times New Roman"/>
          <w:snapToGrid w:val="0"/>
          <w:color w:val="auto"/>
          <w:spacing w:val="-6"/>
          <w:kern w:val="21"/>
          <w:sz w:val="20"/>
        </w:rPr>
        <w:t>=</w:t>
      </w:r>
      <w:r>
        <w:rPr>
          <w:rFonts w:ascii="Times New Roman"/>
          <w:snapToGrid w:val="0"/>
          <w:color w:val="auto"/>
          <w:spacing w:val="-16"/>
          <w:kern w:val="21"/>
          <w:sz w:val="20"/>
        </w:rPr>
        <w:fldChar w:fldCharType="begin"/>
      </w:r>
      <w:r>
        <w:rPr>
          <w:rFonts w:ascii="Times New Roman"/>
          <w:snapToGrid w:val="0"/>
          <w:color w:val="auto"/>
          <w:spacing w:val="-16"/>
          <w:kern w:val="21"/>
          <w:sz w:val="20"/>
        </w:rPr>
        <w:instrText xml:space="preserve"> = 6 \* GB3 \* MERGEFORMAT </w:instrText>
      </w:r>
      <w:r>
        <w:rPr>
          <w:rFonts w:ascii="Times New Roman"/>
          <w:snapToGrid w:val="0"/>
          <w:color w:val="auto"/>
          <w:spacing w:val="-16"/>
          <w:kern w:val="21"/>
          <w:sz w:val="20"/>
        </w:rPr>
        <w:fldChar w:fldCharType="separate"/>
      </w:r>
      <w:r>
        <w:rPr>
          <w:rFonts w:hint="eastAsia" w:ascii="Times New Roman"/>
          <w:color w:val="auto"/>
          <w:sz w:val="20"/>
        </w:rPr>
        <w:t>⑥</w:t>
      </w:r>
      <w:r>
        <w:rPr>
          <w:rFonts w:ascii="Times New Roman"/>
          <w:snapToGrid w:val="0"/>
          <w:color w:val="auto"/>
          <w:spacing w:val="-16"/>
          <w:kern w:val="21"/>
          <w:sz w:val="20"/>
        </w:rPr>
        <w:fldChar w:fldCharType="end"/>
      </w:r>
      <w:r>
        <w:rPr>
          <w:rFonts w:ascii="Times New Roman"/>
          <w:snapToGrid w:val="0"/>
          <w:color w:val="auto"/>
          <w:spacing w:val="-16"/>
          <w:kern w:val="21"/>
          <w:sz w:val="20"/>
        </w:rPr>
        <w:t>-</w:t>
      </w:r>
      <w:r>
        <w:rPr>
          <w:rFonts w:ascii="Times New Roman"/>
          <w:snapToGrid w:val="0"/>
          <w:color w:val="auto"/>
          <w:spacing w:val="-6"/>
          <w:kern w:val="21"/>
          <w:sz w:val="20"/>
        </w:rPr>
        <w:fldChar w:fldCharType="begin"/>
      </w:r>
      <w:r>
        <w:rPr>
          <w:rFonts w:ascii="Times New Roman"/>
          <w:snapToGrid w:val="0"/>
          <w:color w:val="auto"/>
          <w:spacing w:val="-6"/>
          <w:kern w:val="21"/>
          <w:sz w:val="20"/>
        </w:rPr>
        <w:instrText xml:space="preserve"> = 1 \* GB3 \* MERGEFORMAT </w:instrText>
      </w:r>
      <w:r>
        <w:rPr>
          <w:rFonts w:ascii="Times New Roman"/>
          <w:snapToGrid w:val="0"/>
          <w:color w:val="auto"/>
          <w:spacing w:val="-6"/>
          <w:kern w:val="21"/>
          <w:sz w:val="20"/>
        </w:rPr>
        <w:fldChar w:fldCharType="separate"/>
      </w:r>
      <w:r>
        <w:rPr>
          <w:rFonts w:hint="eastAsia" w:ascii="Times New Roman"/>
          <w:color w:val="auto"/>
          <w:sz w:val="20"/>
        </w:rPr>
        <w:t>①</w:t>
      </w:r>
      <w:r>
        <w:rPr>
          <w:rFonts w:ascii="Times New Roman"/>
          <w:snapToGrid w:val="0"/>
          <w:color w:val="auto"/>
          <w:spacing w:val="-6"/>
          <w:kern w:val="21"/>
          <w:sz w:val="20"/>
        </w:rPr>
        <w:fldChar w:fldCharType="end"/>
      </w:r>
    </w:p>
    <w:p w14:paraId="0ED442BC">
      <w:pPr>
        <w:rPr>
          <w:color w:val="auto"/>
          <w:sz w:val="11"/>
          <w:szCs w:val="15"/>
        </w:rPr>
        <w:sectPr>
          <w:footerReference r:id="rId7" w:type="default"/>
          <w:pgSz w:w="16838" w:h="11906" w:orient="landscape"/>
          <w:pgMar w:top="1701" w:right="1531" w:bottom="1701" w:left="1531" w:header="1644" w:footer="1247" w:gutter="0"/>
          <w:pgBorders>
            <w:top w:val="none" w:sz="0" w:space="0"/>
            <w:left w:val="none" w:sz="0" w:space="0"/>
            <w:bottom w:val="none" w:sz="0" w:space="0"/>
            <w:right w:val="none" w:sz="0" w:space="0"/>
          </w:pgBorders>
          <w:cols w:space="720" w:num="1"/>
          <w:docGrid w:linePitch="312" w:charSpace="0"/>
        </w:sectPr>
      </w:pPr>
    </w:p>
    <w:p w14:paraId="2F1996C2">
      <w:pPr>
        <w:outlineLvl w:val="0"/>
        <w:rPr>
          <w:rFonts w:hint="eastAsia"/>
          <w:b/>
          <w:bCs/>
          <w:color w:val="auto"/>
          <w:sz w:val="28"/>
          <w:szCs w:val="28"/>
        </w:rPr>
      </w:pPr>
      <w:bookmarkStart w:id="21" w:name="_Toc73523378"/>
      <w:r>
        <w:rPr>
          <w:rFonts w:hint="eastAsia"/>
          <w:b/>
          <w:bCs/>
          <w:color w:val="auto"/>
          <w:sz w:val="28"/>
          <w:szCs w:val="28"/>
        </w:rPr>
        <w:t>附图1：项目地理位置图</w:t>
      </w:r>
      <w:bookmarkEnd w:id="21"/>
    </w:p>
    <w:p w14:paraId="3BF0EEAD">
      <w:pPr>
        <w:pStyle w:val="2"/>
        <w:rPr>
          <w:color w:val="auto"/>
        </w:rPr>
      </w:pPr>
    </w:p>
    <w:p w14:paraId="4884FA58">
      <w:pPr>
        <w:rPr>
          <w:color w:val="auto"/>
        </w:rPr>
      </w:pPr>
      <w:r>
        <w:rPr>
          <w:b/>
          <w:color w:val="auto"/>
        </w:rPr>
        <w:drawing>
          <wp:anchor distT="0" distB="0" distL="114300" distR="114300" simplePos="0" relativeHeight="251680768" behindDoc="0" locked="0" layoutInCell="1" allowOverlap="1">
            <wp:simplePos x="0" y="0"/>
            <wp:positionH relativeFrom="column">
              <wp:posOffset>8495030</wp:posOffset>
            </wp:positionH>
            <wp:positionV relativeFrom="paragraph">
              <wp:posOffset>139700</wp:posOffset>
            </wp:positionV>
            <wp:extent cx="790575" cy="788035"/>
            <wp:effectExtent l="127000" t="127635" r="130175" b="132080"/>
            <wp:wrapNone/>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rot="20147770">
                      <a:off x="0" y="0"/>
                      <a:ext cx="790575" cy="788035"/>
                    </a:xfrm>
                    <a:prstGeom prst="rect">
                      <a:avLst/>
                    </a:prstGeom>
                    <a:noFill/>
                    <a:ln>
                      <a:noFill/>
                    </a:ln>
                  </pic:spPr>
                </pic:pic>
              </a:graphicData>
            </a:graphic>
          </wp:anchor>
        </w:drawing>
      </w:r>
      <w:r>
        <w:rPr>
          <w:color w:val="auto"/>
        </w:rPr>
        <mc:AlternateContent>
          <mc:Choice Requires="wps">
            <w:drawing>
              <wp:anchor distT="0" distB="0" distL="114300" distR="114300" simplePos="0" relativeHeight="251661312" behindDoc="0" locked="0" layoutInCell="1" allowOverlap="1">
                <wp:simplePos x="0" y="0"/>
                <wp:positionH relativeFrom="column">
                  <wp:posOffset>4766945</wp:posOffset>
                </wp:positionH>
                <wp:positionV relativeFrom="paragraph">
                  <wp:posOffset>3217545</wp:posOffset>
                </wp:positionV>
                <wp:extent cx="801370" cy="271780"/>
                <wp:effectExtent l="149860" t="525145" r="20320" b="22225"/>
                <wp:wrapNone/>
                <wp:docPr id="26" name="圆角矩形标注 26"/>
                <wp:cNvGraphicFramePr/>
                <a:graphic xmlns:a="http://schemas.openxmlformats.org/drawingml/2006/main">
                  <a:graphicData uri="http://schemas.microsoft.com/office/word/2010/wordprocessingShape">
                    <wps:wsp>
                      <wps:cNvSpPr/>
                      <wps:spPr>
                        <a:xfrm>
                          <a:off x="3894455" y="3733165"/>
                          <a:ext cx="801370" cy="271780"/>
                        </a:xfrm>
                        <a:prstGeom prst="wedgeRoundRectCallout">
                          <a:avLst>
                            <a:gd name="adj1" fmla="val -65286"/>
                            <a:gd name="adj2" fmla="val -228971"/>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9D50EB">
                            <w:pPr>
                              <w:rPr>
                                <w:color w:val="000000" w:themeColor="text1"/>
                                <w14:textFill>
                                  <w14:solidFill>
                                    <w14:schemeClr w14:val="tx1"/>
                                  </w14:solidFill>
                                </w14:textFill>
                              </w:rPr>
                            </w:pPr>
                            <w:r>
                              <w:rPr>
                                <w:rFonts w:hint="eastAsia"/>
                                <w:b/>
                                <w:bCs/>
                                <w:color w:val="000000" w:themeColor="text1"/>
                                <w14:textFill>
                                  <w14:solidFill>
                                    <w14:schemeClr w14:val="tx1"/>
                                  </w14:solidFill>
                                </w14:textFill>
                              </w:rPr>
                              <w:t>本项目位置</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2" type="#_x0000_t62" style="position:absolute;left:0pt;margin-left:375.35pt;margin-top:253.35pt;height:21.4pt;width:63.1pt;z-index:251661312;v-text-anchor:middle;mso-width-relative:page;mso-height-relative:page;" fillcolor="#FFFFFF [3212]" filled="t" stroked="t" coordsize="21600,21600" o:gfxdata="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" adj="-3302,-38658,14400">
                <v:fill on="t" focussize="0,0"/>
                <v:stroke weight="1pt" color="#000000 [3213]" miterlimit="8" joinstyle="miter"/>
                <v:imagedata o:title=""/>
                <o:lock v:ext="edit" aspectratio="f"/>
                <v:textbox inset="0mm,0mm,0mm,0mm">
                  <w:txbxContent>
                    <w:p w14:paraId="2B9D50EB">
                      <w:pPr>
                        <w:rPr>
                          <w:color w:val="000000" w:themeColor="text1"/>
                          <w14:textFill>
                            <w14:solidFill>
                              <w14:schemeClr w14:val="tx1"/>
                            </w14:solidFill>
                          </w14:textFill>
                        </w:rPr>
                      </w:pPr>
                      <w:r>
                        <w:rPr>
                          <w:rFonts w:hint="eastAsia"/>
                          <w:b/>
                          <w:bCs/>
                          <w:color w:val="000000" w:themeColor="text1"/>
                          <w14:textFill>
                            <w14:solidFill>
                              <w14:schemeClr w14:val="tx1"/>
                            </w14:solidFill>
                          </w14:textFill>
                        </w:rPr>
                        <w:t>本项目位置</w:t>
                      </w:r>
                    </w:p>
                  </w:txbxContent>
                </v:textbox>
              </v:shape>
            </w:pict>
          </mc:Fallback>
        </mc:AlternateContent>
      </w:r>
      <w:r>
        <w:rPr>
          <w:color w:val="auto"/>
        </w:rPr>
        <mc:AlternateContent>
          <mc:Choice Requires="wps">
            <w:drawing>
              <wp:anchor distT="0" distB="0" distL="114300" distR="114300" simplePos="0" relativeHeight="251660288" behindDoc="0" locked="0" layoutInCell="1" allowOverlap="1">
                <wp:simplePos x="0" y="0"/>
                <wp:positionH relativeFrom="column">
                  <wp:posOffset>4559300</wp:posOffset>
                </wp:positionH>
                <wp:positionV relativeFrom="paragraph">
                  <wp:posOffset>2618105</wp:posOffset>
                </wp:positionV>
                <wp:extent cx="96520" cy="95885"/>
                <wp:effectExtent l="19050" t="21590" r="36830" b="34925"/>
                <wp:wrapNone/>
                <wp:docPr id="25" name="五角星 25"/>
                <wp:cNvGraphicFramePr/>
                <a:graphic xmlns:a="http://schemas.openxmlformats.org/drawingml/2006/main">
                  <a:graphicData uri="http://schemas.microsoft.com/office/word/2010/wordprocessingShape">
                    <wps:wsp>
                      <wps:cNvSpPr/>
                      <wps:spPr>
                        <a:xfrm>
                          <a:off x="5006975" y="2908935"/>
                          <a:ext cx="96520" cy="95885"/>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EA7C36">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59pt;margin-top:206.15pt;height:7.55pt;width:7.6pt;z-index:251660288;v-text-anchor:middle;mso-width-relative:page;mso-height-relative:page;" fillcolor="#FF0000" filled="t" stroked="t" coordsize="96520,95885" o:gfxdata="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3nvL+d0AAAALAQAA&#10;DwAAAAAAAAABACAAAAAiAAAAZHJzL2Rvd25yZXYueG1sUEsBAhQAFAAAAAgAh07iQJPjzd6GAgAA&#10;DgUAAA4AAAAAAAAAAQAgAAAALAEAAGRycy9lMm9Eb2MueG1sUEsFBgAAAAAGAAYAWQEAACQGAAAA&#10;AA==&#10;" path="m0,36624l36867,36624,48260,0,59652,36624,96519,36624,66693,59259,78086,95884,48260,73249,18433,95884,29826,59259xe">
                <v:path textboxrect="0,0,96520,95885" o:connectlocs="48260,0;0,36624;18433,95884;78086,95884;96519,36624" o:connectangles="247,164,82,82,0"/>
                <v:fill on="t" focussize="0,0"/>
                <v:stroke weight="1pt" color="#FF0000 [3204]" miterlimit="8" joinstyle="miter"/>
                <v:imagedata o:title=""/>
                <o:lock v:ext="edit" aspectratio="f"/>
                <v:textbox>
                  <w:txbxContent>
                    <w:p w14:paraId="0FEA7C36">
                      <w:pPr>
                        <w:jc w:val="center"/>
                      </w:pPr>
                    </w:p>
                  </w:txbxContent>
                </v:textbox>
              </v:shape>
            </w:pict>
          </mc:Fallback>
        </mc:AlternateContent>
      </w:r>
      <w:r>
        <w:rPr>
          <w:color w:val="auto"/>
        </w:rPr>
        <mc:AlternateContent>
          <mc:Choice Requires="wps">
            <w:drawing>
              <wp:anchor distT="0" distB="0" distL="114300" distR="114300" simplePos="0" relativeHeight="251663360" behindDoc="0" locked="0" layoutInCell="1" allowOverlap="1">
                <wp:simplePos x="0" y="0"/>
                <wp:positionH relativeFrom="column">
                  <wp:posOffset>8430895</wp:posOffset>
                </wp:positionH>
                <wp:positionV relativeFrom="paragraph">
                  <wp:posOffset>4404360</wp:posOffset>
                </wp:positionV>
                <wp:extent cx="96520" cy="95885"/>
                <wp:effectExtent l="19050" t="21590" r="36830" b="34925"/>
                <wp:wrapNone/>
                <wp:docPr id="74" name="五角星 74"/>
                <wp:cNvGraphicFramePr/>
                <a:graphic xmlns:a="http://schemas.openxmlformats.org/drawingml/2006/main">
                  <a:graphicData uri="http://schemas.microsoft.com/office/word/2010/wordprocessingShape">
                    <wps:wsp>
                      <wps:cNvSpPr/>
                      <wps:spPr>
                        <a:xfrm>
                          <a:off x="0" y="0"/>
                          <a:ext cx="96520" cy="95885"/>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B9D96F">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663.85pt;margin-top:346.8pt;height:7.55pt;width:7.6pt;z-index:251663360;v-text-anchor:middle;mso-width-relative:page;mso-height-relative:page;" fillcolor="#FF0000" filled="t" stroked="t" coordsize="96520,95885" o:gfxdata="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aazS94AAAANAQAADwAAAAAAAAABACAA&#10;AAAiAAAAZHJzL2Rvd25yZXYueG1sUEsBAhQAFAAAAAgAh07iQNMKaqp5AgAAAgUAAA4AAAAAAAAA&#10;AQAgAAAALQEAAGRycy9lMm9Eb2MueG1sUEsFBgAAAAAGAAYAWQEAABgGAAAAAA==&#10;" path="m0,36624l36867,36624,48260,0,59652,36624,96519,36624,66693,59259,78086,95884,48260,73249,18433,95884,29826,59259xe">
                <v:path textboxrect="0,0,96520,95885" o:connectlocs="48260,0;0,36624;18433,95884;78086,95884;96519,36624" o:connectangles="247,164,82,82,0"/>
                <v:fill on="t" focussize="0,0"/>
                <v:stroke weight="1pt" color="#FF0000 [3204]" miterlimit="8" joinstyle="miter"/>
                <v:imagedata o:title=""/>
                <o:lock v:ext="edit" aspectratio="f"/>
                <v:textbox>
                  <w:txbxContent>
                    <w:p w14:paraId="43B9D96F">
                      <w:pPr>
                        <w:jc w:val="center"/>
                      </w:pPr>
                    </w:p>
                  </w:txbxContent>
                </v:textbox>
              </v:shape>
            </w:pict>
          </mc:Fallback>
        </mc:AlternateContent>
      </w:r>
      <w:r>
        <w:rPr>
          <w:color w:val="auto"/>
        </w:rPr>
        <mc:AlternateContent>
          <mc:Choice Requires="wps">
            <w:drawing>
              <wp:anchor distT="0" distB="0" distL="114300" distR="114300" simplePos="0" relativeHeight="251662336" behindDoc="0" locked="0" layoutInCell="1" allowOverlap="1">
                <wp:simplePos x="0" y="0"/>
                <wp:positionH relativeFrom="column">
                  <wp:posOffset>8185785</wp:posOffset>
                </wp:positionH>
                <wp:positionV relativeFrom="paragraph">
                  <wp:posOffset>4004945</wp:posOffset>
                </wp:positionV>
                <wp:extent cx="1238250" cy="619760"/>
                <wp:effectExtent l="6350" t="6350" r="12700" b="21590"/>
                <wp:wrapNone/>
                <wp:docPr id="73" name="矩形 73"/>
                <wp:cNvGraphicFramePr/>
                <a:graphic xmlns:a="http://schemas.openxmlformats.org/drawingml/2006/main">
                  <a:graphicData uri="http://schemas.microsoft.com/office/word/2010/wordprocessingShape">
                    <wps:wsp>
                      <wps:cNvSpPr/>
                      <wps:spPr>
                        <a:xfrm>
                          <a:off x="0" y="0"/>
                          <a:ext cx="1238250" cy="619760"/>
                        </a:xfrm>
                        <a:prstGeom prst="rect">
                          <a:avLst/>
                        </a:prstGeom>
                      </wps:spPr>
                      <wps:style>
                        <a:lnRef idx="2">
                          <a:schemeClr val="dk1"/>
                        </a:lnRef>
                        <a:fillRef idx="1">
                          <a:schemeClr val="lt1"/>
                        </a:fillRef>
                        <a:effectRef idx="0">
                          <a:schemeClr val="dk1"/>
                        </a:effectRef>
                        <a:fontRef idx="minor">
                          <a:schemeClr val="dk1"/>
                        </a:fontRef>
                      </wps:style>
                      <wps:txbx>
                        <w:txbxContent>
                          <w:p w14:paraId="2629A7B8">
                            <w:pPr>
                              <w:jc w:val="center"/>
                              <w:rPr>
                                <w:sz w:val="18"/>
                                <w:szCs w:val="18"/>
                              </w:rPr>
                            </w:pPr>
                            <w:r>
                              <w:rPr>
                                <w:rFonts w:hint="eastAsia"/>
                                <w:b/>
                                <w:bCs/>
                                <w:sz w:val="20"/>
                                <w:szCs w:val="22"/>
                              </w:rPr>
                              <w:t>图例</w:t>
                            </w:r>
                          </w:p>
                          <w:p w14:paraId="022E4639">
                            <w:pPr>
                              <w:jc w:val="right"/>
                              <w:rPr>
                                <w:color w:val="000000" w:themeColor="text1"/>
                                <w14:textFill>
                                  <w14:solidFill>
                                    <w14:schemeClr w14:val="tx1"/>
                                  </w14:solidFill>
                                </w14:textFill>
                              </w:rPr>
                            </w:pPr>
                            <w:r>
                              <w:rPr>
                                <w:rFonts w:hint="eastAsia"/>
                                <w:b/>
                                <w:bCs/>
                                <w:sz w:val="18"/>
                                <w:szCs w:val="18"/>
                              </w:rPr>
                              <w:t xml:space="preserve">  </w:t>
                            </w:r>
                            <w:r>
                              <w:rPr>
                                <w:rFonts w:hint="eastAsia"/>
                                <w:b/>
                                <w:bCs/>
                                <w:color w:val="000000" w:themeColor="text1"/>
                                <w14:textFill>
                                  <w14:solidFill>
                                    <w14:schemeClr w14:val="tx1"/>
                                  </w14:solidFill>
                                </w14:textFill>
                              </w:rPr>
                              <w:t>本项目位置</w:t>
                            </w:r>
                          </w:p>
                          <w:p w14:paraId="323A85C2">
                            <w:pPr>
                              <w:pStyle w:val="5"/>
                              <w:wordWrap w:val="0"/>
                              <w:spacing w:line="360" w:lineRule="auto"/>
                              <w:jc w:val="right"/>
                              <w:rPr>
                                <w:rFonts w:hint="default"/>
                                <w:sz w:val="18"/>
                                <w:szCs w:val="18"/>
                              </w:rPr>
                            </w:pPr>
                          </w:p>
                          <w:p w14:paraId="046C3CDA">
                            <w:pPr>
                              <w:spacing w:line="360" w:lineRule="auto"/>
                              <w:jc w:val="right"/>
                              <w:rPr>
                                <w:b/>
                                <w:bCs/>
                                <w:sz w:val="18"/>
                                <w:szCs w:val="21"/>
                              </w:rPr>
                            </w:pPr>
                            <w:r>
                              <w:rPr>
                                <w:rFonts w:hint="eastAsia"/>
                                <w:b/>
                                <w:bCs/>
                                <w:sz w:val="18"/>
                                <w:szCs w:val="21"/>
                              </w:rPr>
                              <w:t xml:space="preserve">  监测点位</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44.55pt;margin-top:315.35pt;height:48.8pt;width:97.5pt;z-index:251662336;v-text-anchor:middle;mso-width-relative:page;mso-height-relative:page;" fillcolor="#FFFFFF [3201]" filled="t" stroked="t" coordsize="21600,21600" o:gfxdata="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1riNb2QAAAA0BAAAPAAAAAAAAAAEAIAAAACIAAABk&#10;cnMvZG93bnJldi54bWxQSwECFAAUAAAACACHTuJA9/jeencCAAABBQAADgAAAAAAAAABACAAAAAo&#10;AQAAZHJzL2Uyb0RvYy54bWxQSwUGAAAAAAYABgBZAQAAEQYAAAAA&#10;">
                <v:fill on="t" focussize="0,0"/>
                <v:stroke weight="1pt" color="#000000 [3200]" miterlimit="8" joinstyle="miter"/>
                <v:imagedata o:title=""/>
                <o:lock v:ext="edit" aspectratio="f"/>
                <v:textbox>
                  <w:txbxContent>
                    <w:p w14:paraId="2629A7B8">
                      <w:pPr>
                        <w:jc w:val="center"/>
                        <w:rPr>
                          <w:sz w:val="18"/>
                          <w:szCs w:val="18"/>
                        </w:rPr>
                      </w:pPr>
                      <w:r>
                        <w:rPr>
                          <w:rFonts w:hint="eastAsia"/>
                          <w:b/>
                          <w:bCs/>
                          <w:sz w:val="20"/>
                          <w:szCs w:val="22"/>
                        </w:rPr>
                        <w:t>图例</w:t>
                      </w:r>
                    </w:p>
                    <w:p w14:paraId="022E4639">
                      <w:pPr>
                        <w:jc w:val="right"/>
                        <w:rPr>
                          <w:color w:val="000000" w:themeColor="text1"/>
                          <w14:textFill>
                            <w14:solidFill>
                              <w14:schemeClr w14:val="tx1"/>
                            </w14:solidFill>
                          </w14:textFill>
                        </w:rPr>
                      </w:pPr>
                      <w:r>
                        <w:rPr>
                          <w:rFonts w:hint="eastAsia"/>
                          <w:b/>
                          <w:bCs/>
                          <w:sz w:val="18"/>
                          <w:szCs w:val="18"/>
                        </w:rPr>
                        <w:t xml:space="preserve">  </w:t>
                      </w:r>
                      <w:r>
                        <w:rPr>
                          <w:rFonts w:hint="eastAsia"/>
                          <w:b/>
                          <w:bCs/>
                          <w:color w:val="000000" w:themeColor="text1"/>
                          <w14:textFill>
                            <w14:solidFill>
                              <w14:schemeClr w14:val="tx1"/>
                            </w14:solidFill>
                          </w14:textFill>
                        </w:rPr>
                        <w:t>本项目位置</w:t>
                      </w:r>
                    </w:p>
                    <w:p w14:paraId="323A85C2">
                      <w:pPr>
                        <w:pStyle w:val="5"/>
                        <w:wordWrap w:val="0"/>
                        <w:spacing w:line="360" w:lineRule="auto"/>
                        <w:jc w:val="right"/>
                        <w:rPr>
                          <w:rFonts w:hint="default"/>
                          <w:sz w:val="18"/>
                          <w:szCs w:val="18"/>
                        </w:rPr>
                      </w:pPr>
                    </w:p>
                    <w:p w14:paraId="046C3CDA">
                      <w:pPr>
                        <w:spacing w:line="360" w:lineRule="auto"/>
                        <w:jc w:val="right"/>
                        <w:rPr>
                          <w:b/>
                          <w:bCs/>
                          <w:sz w:val="18"/>
                          <w:szCs w:val="21"/>
                        </w:rPr>
                      </w:pPr>
                      <w:r>
                        <w:rPr>
                          <w:rFonts w:hint="eastAsia"/>
                          <w:b/>
                          <w:bCs/>
                          <w:sz w:val="18"/>
                          <w:szCs w:val="21"/>
                        </w:rPr>
                        <w:t xml:space="preserve">  监测点位</w:t>
                      </w:r>
                    </w:p>
                  </w:txbxContent>
                </v:textbox>
              </v:rect>
            </w:pict>
          </mc:Fallback>
        </mc:AlternateContent>
      </w:r>
      <w:r>
        <w:rPr>
          <w:color w:val="auto"/>
        </w:rPr>
        <w:drawing>
          <wp:inline distT="0" distB="0" distL="114300" distR="114300">
            <wp:extent cx="9435465" cy="4658360"/>
            <wp:effectExtent l="0" t="0" r="13335" b="8890"/>
            <wp:docPr id="5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6"/>
                    <pic:cNvPicPr>
                      <a:picLocks noChangeAspect="1"/>
                    </pic:cNvPicPr>
                  </pic:nvPicPr>
                  <pic:blipFill>
                    <a:blip r:embed="rId37"/>
                    <a:stretch>
                      <a:fillRect/>
                    </a:stretch>
                  </pic:blipFill>
                  <pic:spPr>
                    <a:xfrm>
                      <a:off x="0" y="0"/>
                      <a:ext cx="9435465" cy="4658360"/>
                    </a:xfrm>
                    <a:prstGeom prst="rect">
                      <a:avLst/>
                    </a:prstGeom>
                    <a:noFill/>
                    <a:ln>
                      <a:noFill/>
                    </a:ln>
                  </pic:spPr>
                </pic:pic>
              </a:graphicData>
            </a:graphic>
          </wp:inline>
        </w:drawing>
      </w:r>
    </w:p>
    <w:p w14:paraId="18AC03E2">
      <w:pPr>
        <w:rPr>
          <w:color w:val="auto"/>
        </w:rPr>
      </w:pPr>
    </w:p>
    <w:p w14:paraId="2F77D585">
      <w:pPr>
        <w:outlineLvl w:val="0"/>
        <w:rPr>
          <w:b/>
          <w:bCs/>
          <w:color w:val="auto"/>
          <w:sz w:val="28"/>
          <w:szCs w:val="28"/>
        </w:rPr>
        <w:sectPr>
          <w:pgSz w:w="16840" w:h="11907" w:orient="landscape"/>
          <w:pgMar w:top="720" w:right="720" w:bottom="720" w:left="1247" w:header="1644" w:footer="737" w:gutter="0"/>
          <w:pgBorders>
            <w:top w:val="none" w:sz="0" w:space="0"/>
            <w:left w:val="none" w:sz="0" w:space="0"/>
            <w:bottom w:val="none" w:sz="0" w:space="0"/>
            <w:right w:val="none" w:sz="0" w:space="0"/>
          </w:pgBorders>
          <w:cols w:space="720" w:num="1"/>
          <w:docGrid w:type="lines" w:linePitch="435" w:charSpace="0"/>
        </w:sectPr>
      </w:pPr>
      <w:bookmarkStart w:id="22" w:name="_Toc73523379"/>
    </w:p>
    <w:p w14:paraId="5F1117AE">
      <w:pPr>
        <w:tabs>
          <w:tab w:val="left" w:pos="630"/>
        </w:tabs>
        <w:jc w:val="left"/>
        <w:outlineLvl w:val="0"/>
        <w:rPr>
          <w:b/>
          <w:bCs/>
          <w:color w:val="auto"/>
          <w:sz w:val="28"/>
          <w:szCs w:val="28"/>
        </w:rPr>
      </w:pPr>
      <w:r>
        <w:rPr>
          <w:rFonts w:hint="eastAsia"/>
          <w:b/>
          <w:bCs/>
          <w:color w:val="auto"/>
          <w:sz w:val="28"/>
          <w:szCs w:val="28"/>
        </w:rPr>
        <w:t>附图2：项目周围敏感目标图</w:t>
      </w:r>
    </w:p>
    <w:bookmarkEnd w:id="22"/>
    <w:p w14:paraId="17AF155B">
      <w:pPr>
        <w:tabs>
          <w:tab w:val="left" w:pos="630"/>
        </w:tabs>
        <w:jc w:val="center"/>
        <w:rPr>
          <w:b/>
          <w:bCs/>
          <w:color w:val="auto"/>
          <w:sz w:val="28"/>
          <w:szCs w:val="28"/>
        </w:rPr>
      </w:pPr>
      <w:r>
        <w:rPr>
          <w:color w:val="auto"/>
        </w:rPr>
        <mc:AlternateContent>
          <mc:Choice Requires="wps">
            <w:drawing>
              <wp:anchor distT="0" distB="0" distL="114300" distR="114300" simplePos="0" relativeHeight="251667456" behindDoc="0" locked="0" layoutInCell="1" allowOverlap="1">
                <wp:simplePos x="0" y="0"/>
                <wp:positionH relativeFrom="column">
                  <wp:posOffset>6946900</wp:posOffset>
                </wp:positionH>
                <wp:positionV relativeFrom="paragraph">
                  <wp:posOffset>5028565</wp:posOffset>
                </wp:positionV>
                <wp:extent cx="314325" cy="124460"/>
                <wp:effectExtent l="13970" t="14605" r="14605" b="32385"/>
                <wp:wrapNone/>
                <wp:docPr id="31" name="矩形 31"/>
                <wp:cNvGraphicFramePr/>
                <a:graphic xmlns:a="http://schemas.openxmlformats.org/drawingml/2006/main">
                  <a:graphicData uri="http://schemas.microsoft.com/office/word/2010/wordprocessingShape">
                    <wps:wsp>
                      <wps:cNvSpPr/>
                      <wps:spPr>
                        <a:xfrm>
                          <a:off x="0" y="0"/>
                          <a:ext cx="314325" cy="12446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7pt;margin-top:395.95pt;height:9.8pt;width:24.75pt;z-index:251667456;v-text-anchor:middle;mso-width-relative:page;mso-height-relative:page;" filled="f" stroked="t" coordsize="21600,21600" o:gfxdata="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FS9mY3bAAAADQEAAA8AAAAAAAAAAQAgAAAAIgAAAGRycy9kb3ducmV2&#10;LnhtbFBLAQIUABQAAAAIAIdO4kDvfpWLawIAAMwEAAAOAAAAAAAAAAEAIAAAACoBAABkcnMvZTJv&#10;RG9jLnhtbFBLBQYAAAAABgAGAFkBAAAHBgAAAAA=&#10;">
                <v:fill on="f" focussize="0,0"/>
                <v:stroke weight="2.25pt" color="#FF0000 [3204]" miterlimit="8" joinstyle="miter"/>
                <v:imagedata o:title=""/>
                <o:lock v:ext="edit" aspectratio="f"/>
              </v:rect>
            </w:pict>
          </mc:Fallback>
        </mc:AlternateContent>
      </w:r>
      <w:r>
        <w:rPr>
          <w:color w:val="auto"/>
        </w:rPr>
        <mc:AlternateContent>
          <mc:Choice Requires="wps">
            <w:drawing>
              <wp:anchor distT="0" distB="0" distL="114300" distR="114300" simplePos="0" relativeHeight="251666432" behindDoc="0" locked="0" layoutInCell="1" allowOverlap="1">
                <wp:simplePos x="0" y="0"/>
                <wp:positionH relativeFrom="column">
                  <wp:posOffset>6955790</wp:posOffset>
                </wp:positionH>
                <wp:positionV relativeFrom="paragraph">
                  <wp:posOffset>5278755</wp:posOffset>
                </wp:positionV>
                <wp:extent cx="314325" cy="124460"/>
                <wp:effectExtent l="13970" t="14605" r="14605" b="32385"/>
                <wp:wrapNone/>
                <wp:docPr id="30" name="矩形 30"/>
                <wp:cNvGraphicFramePr/>
                <a:graphic xmlns:a="http://schemas.openxmlformats.org/drawingml/2006/main">
                  <a:graphicData uri="http://schemas.microsoft.com/office/word/2010/wordprocessingShape">
                    <wps:wsp>
                      <wps:cNvSpPr/>
                      <wps:spPr>
                        <a:xfrm>
                          <a:off x="0" y="0"/>
                          <a:ext cx="314325" cy="124460"/>
                        </a:xfrm>
                        <a:prstGeom prst="rect">
                          <a:avLst/>
                        </a:prstGeom>
                        <a:noFill/>
                        <a:ln w="28575">
                          <a:solidFill>
                            <a:srgbClr val="00FD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7.7pt;margin-top:415.65pt;height:9.8pt;width:24.75pt;z-index:251666432;v-text-anchor:middle;mso-width-relative:page;mso-height-relative:page;" filled="f" stroked="t" coordsize="21600,21600" o:gfxdata="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U1m/V2wAAAA0BAAAPAAAAAAAAAAEAIAAAACIAAABkcnMvZG93bnJl&#10;di54bWxQSwECFAAUAAAACACHTuJAHnukH2wCAADMBAAADgAAAAAAAAABACAAAAAqAQAAZHJzL2Uy&#10;b0RvYy54bWxQSwUGAAAAAAYABgBZAQAACAYAAAAA&#10;">
                <v:fill on="f" focussize="0,0"/>
                <v:stroke weight="2.25pt" color="#00FD00 [3204]" miterlimit="8" joinstyle="miter"/>
                <v:imagedata o:title=""/>
                <o:lock v:ext="edit" aspectratio="f"/>
              </v:rect>
            </w:pict>
          </mc:Fallback>
        </mc:AlternateContent>
      </w:r>
      <w:r>
        <w:rPr>
          <w:color w:val="auto"/>
        </w:rPr>
        <mc:AlternateContent>
          <mc:Choice Requires="wps">
            <w:drawing>
              <wp:anchor distT="0" distB="0" distL="114300" distR="114300" simplePos="0" relativeHeight="251665408" behindDoc="0" locked="0" layoutInCell="1" allowOverlap="1">
                <wp:simplePos x="0" y="0"/>
                <wp:positionH relativeFrom="column">
                  <wp:posOffset>6974205</wp:posOffset>
                </wp:positionH>
                <wp:positionV relativeFrom="paragraph">
                  <wp:posOffset>5556885</wp:posOffset>
                </wp:positionV>
                <wp:extent cx="314325" cy="124460"/>
                <wp:effectExtent l="13970" t="14605" r="14605" b="32385"/>
                <wp:wrapNone/>
                <wp:docPr id="48" name="矩形 48"/>
                <wp:cNvGraphicFramePr/>
                <a:graphic xmlns:a="http://schemas.openxmlformats.org/drawingml/2006/main">
                  <a:graphicData uri="http://schemas.microsoft.com/office/word/2010/wordprocessingShape">
                    <wps:wsp>
                      <wps:cNvSpPr/>
                      <wps:spPr>
                        <a:xfrm>
                          <a:off x="0" y="0"/>
                          <a:ext cx="314325" cy="124460"/>
                        </a:xfrm>
                        <a:prstGeom prst="rect">
                          <a:avLst/>
                        </a:prstGeom>
                        <a:noFill/>
                        <a:ln w="28575">
                          <a:solidFill>
                            <a:srgbClr val="0000F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9.15pt;margin-top:437.55pt;height:9.8pt;width:24.75pt;z-index:251665408;v-text-anchor:middle;mso-width-relative:page;mso-height-relative:page;" filled="f" stroked="t" coordsize="21600,21600" o:gfxdata="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B3xeavdAAAADQEAAA8AAAAAAAAAAQAgAAAAIgAAAGRycy9kb3du&#10;cmV2LnhtbFBLAQIUABQAAAAIAIdO4kCSsJnubAIAAMwEAAAOAAAAAAAAAAEAIAAAACwBAABkcnMv&#10;ZTJvRG9jLnhtbFBLBQYAAAAABgAGAFkBAAAKBgAAAAA=&#10;">
                <v:fill on="f" focussize="0,0"/>
                <v:stroke weight="2.25pt" color="#0000FE [3204]" miterlimit="8" joinstyle="miter"/>
                <v:imagedata o:title=""/>
                <o:lock v:ext="edit" aspectratio="f"/>
              </v:rect>
            </w:pict>
          </mc:Fallback>
        </mc:AlternateContent>
      </w:r>
      <w:r>
        <w:rPr>
          <w:color w:val="auto"/>
        </w:rPr>
        <mc:AlternateContent>
          <mc:Choice Requires="wps">
            <w:drawing>
              <wp:anchor distT="0" distB="0" distL="114300" distR="114300" simplePos="0" relativeHeight="251664384" behindDoc="0" locked="0" layoutInCell="1" allowOverlap="1">
                <wp:simplePos x="0" y="0"/>
                <wp:positionH relativeFrom="column">
                  <wp:posOffset>6804025</wp:posOffset>
                </wp:positionH>
                <wp:positionV relativeFrom="paragraph">
                  <wp:posOffset>4584065</wp:posOffset>
                </wp:positionV>
                <wp:extent cx="1429385" cy="1306830"/>
                <wp:effectExtent l="6350" t="6350" r="12065" b="20320"/>
                <wp:wrapNone/>
                <wp:docPr id="45" name="矩形 45"/>
                <wp:cNvGraphicFramePr/>
                <a:graphic xmlns:a="http://schemas.openxmlformats.org/drawingml/2006/main">
                  <a:graphicData uri="http://schemas.microsoft.com/office/word/2010/wordprocessingShape">
                    <wps:wsp>
                      <wps:cNvSpPr/>
                      <wps:spPr>
                        <a:xfrm>
                          <a:off x="0" y="0"/>
                          <a:ext cx="1429385" cy="1306830"/>
                        </a:xfrm>
                        <a:prstGeom prst="rect">
                          <a:avLst/>
                        </a:prstGeom>
                      </wps:spPr>
                      <wps:style>
                        <a:lnRef idx="2">
                          <a:schemeClr val="dk1"/>
                        </a:lnRef>
                        <a:fillRef idx="1">
                          <a:schemeClr val="lt1"/>
                        </a:fillRef>
                        <a:effectRef idx="0">
                          <a:schemeClr val="dk1"/>
                        </a:effectRef>
                        <a:fontRef idx="minor">
                          <a:schemeClr val="dk1"/>
                        </a:fontRef>
                      </wps:style>
                      <wps:txbx>
                        <w:txbxContent>
                          <w:p w14:paraId="3EFB742A">
                            <w:pPr>
                              <w:jc w:val="center"/>
                              <w:rPr>
                                <w:b/>
                                <w:bCs/>
                                <w:sz w:val="18"/>
                                <w:szCs w:val="18"/>
                              </w:rPr>
                            </w:pPr>
                            <w:r>
                              <w:rPr>
                                <w:rFonts w:hint="eastAsia"/>
                                <w:b/>
                                <w:bCs/>
                                <w:sz w:val="28"/>
                                <w:szCs w:val="36"/>
                              </w:rPr>
                              <w:t>图</w:t>
                            </w:r>
                            <w:r>
                              <w:rPr>
                                <w:rFonts w:hint="eastAsia"/>
                                <w:b/>
                                <w:bCs/>
                                <w:sz w:val="28"/>
                                <w:szCs w:val="36"/>
                                <w:lang w:val="en-US" w:eastAsia="zh-CN"/>
                              </w:rPr>
                              <w:t xml:space="preserve">  </w:t>
                            </w:r>
                            <w:r>
                              <w:rPr>
                                <w:rFonts w:hint="eastAsia"/>
                                <w:b/>
                                <w:bCs/>
                                <w:sz w:val="28"/>
                                <w:szCs w:val="36"/>
                              </w:rPr>
                              <w:t>例</w:t>
                            </w:r>
                          </w:p>
                          <w:p w14:paraId="24BA01EE">
                            <w:pPr>
                              <w:spacing w:line="240" w:lineRule="exact"/>
                              <w:jc w:val="right"/>
                              <w:rPr>
                                <w:color w:val="000000" w:themeColor="text1"/>
                                <w:szCs w:val="21"/>
                                <w14:textFill>
                                  <w14:solidFill>
                                    <w14:schemeClr w14:val="tx1"/>
                                  </w14:solidFill>
                                </w14:textFill>
                              </w:rPr>
                            </w:pPr>
                            <w:r>
                              <w:rPr>
                                <w:rFonts w:hint="eastAsia"/>
                                <w:b/>
                                <w:bCs/>
                                <w:sz w:val="18"/>
                                <w:szCs w:val="18"/>
                              </w:rPr>
                              <w:t xml:space="preserve"> </w:t>
                            </w:r>
                            <w:r>
                              <w:rPr>
                                <w:rFonts w:hint="eastAsia"/>
                                <w:b/>
                                <w:bCs/>
                                <w:szCs w:val="21"/>
                              </w:rPr>
                              <w:t xml:space="preserve"> </w:t>
                            </w:r>
                            <w:r>
                              <w:rPr>
                                <w:rFonts w:hint="eastAsia"/>
                                <w:b/>
                                <w:bCs/>
                                <w:color w:val="000000" w:themeColor="text1"/>
                                <w:szCs w:val="21"/>
                                <w14:textFill>
                                  <w14:solidFill>
                                    <w14:schemeClr w14:val="tx1"/>
                                  </w14:solidFill>
                                </w14:textFill>
                              </w:rPr>
                              <w:t>本项目厂界</w:t>
                            </w:r>
                          </w:p>
                          <w:p w14:paraId="4087222C">
                            <w:pPr>
                              <w:pStyle w:val="5"/>
                              <w:wordWrap w:val="0"/>
                              <w:spacing w:line="240" w:lineRule="exact"/>
                              <w:jc w:val="right"/>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大气环境敏感</w:t>
                            </w:r>
                          </w:p>
                          <w:p w14:paraId="22A5EA11">
                            <w:pPr>
                              <w:pStyle w:val="5"/>
                              <w:wordWrap w:val="0"/>
                              <w:spacing w:line="240" w:lineRule="exact"/>
                              <w:jc w:val="right"/>
                              <w:rPr>
                                <w:rFonts w:hint="default"/>
                                <w:sz w:val="21"/>
                                <w:szCs w:val="21"/>
                              </w:rPr>
                            </w:pPr>
                            <w:r>
                              <w:rPr>
                                <w:color w:val="000000" w:themeColor="text1"/>
                                <w:sz w:val="21"/>
                                <w:szCs w:val="21"/>
                                <w14:textFill>
                                  <w14:solidFill>
                                    <w14:schemeClr w14:val="tx1"/>
                                  </w14:solidFill>
                                </w14:textFill>
                              </w:rPr>
                              <w:t>目标保护范围</w:t>
                            </w:r>
                          </w:p>
                          <w:p w14:paraId="5CEE2D33">
                            <w:pPr>
                              <w:spacing w:line="240" w:lineRule="exact"/>
                              <w:jc w:val="right"/>
                              <w:rPr>
                                <w:b/>
                                <w:bCs/>
                                <w:color w:val="000000" w:themeColor="text1"/>
                                <w:szCs w:val="21"/>
                                <w14:textFill>
                                  <w14:solidFill>
                                    <w14:schemeClr w14:val="tx1"/>
                                  </w14:solidFill>
                                </w14:textFill>
                              </w:rPr>
                            </w:pPr>
                            <w:r>
                              <w:rPr>
                                <w:rFonts w:hint="eastAsia"/>
                                <w:b/>
                                <w:bCs/>
                                <w:szCs w:val="21"/>
                              </w:rPr>
                              <w:t xml:space="preserve">  </w:t>
                            </w:r>
                            <w:r>
                              <w:rPr>
                                <w:rFonts w:hint="eastAsia"/>
                                <w:b/>
                                <w:bCs/>
                                <w:color w:val="000000" w:themeColor="text1"/>
                                <w:szCs w:val="21"/>
                                <w14:textFill>
                                  <w14:solidFill>
                                    <w14:schemeClr w14:val="tx1"/>
                                  </w14:solidFill>
                                </w14:textFill>
                              </w:rPr>
                              <w:t>声环境敏感</w:t>
                            </w:r>
                          </w:p>
                          <w:p w14:paraId="55CB6CB9">
                            <w:pPr>
                              <w:spacing w:line="240" w:lineRule="exact"/>
                              <w:jc w:val="right"/>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目标保护范围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5.75pt;margin-top:360.95pt;height:102.9pt;width:112.55pt;z-index:251664384;v-text-anchor:middle;mso-width-relative:page;mso-height-relative:page;" fillcolor="#FFFFFF [3201]" filled="t" stroked="t" coordsize="21600,21600" o:gfxdata="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OZeztjZAAAADQEAAA8AAAAAAAAAAQAgAAAAIgAA&#10;AGRycy9kb3ducmV2LnhtbFBLAQIUABQAAAAIAIdO4kATjaFHeQIAAAIFAAAOAAAAAAAAAAEAIAAA&#10;ACgBAABkcnMvZTJvRG9jLnhtbFBLBQYAAAAABgAGAFkBAAATBgAAAAA=&#10;">
                <v:fill on="t" focussize="0,0"/>
                <v:stroke weight="1pt" color="#000000 [3200]" miterlimit="8" joinstyle="miter"/>
                <v:imagedata o:title=""/>
                <o:lock v:ext="edit" aspectratio="f"/>
                <v:textbox>
                  <w:txbxContent>
                    <w:p w14:paraId="3EFB742A">
                      <w:pPr>
                        <w:jc w:val="center"/>
                        <w:rPr>
                          <w:b/>
                          <w:bCs/>
                          <w:sz w:val="18"/>
                          <w:szCs w:val="18"/>
                        </w:rPr>
                      </w:pPr>
                      <w:r>
                        <w:rPr>
                          <w:rFonts w:hint="eastAsia"/>
                          <w:b/>
                          <w:bCs/>
                          <w:sz w:val="28"/>
                          <w:szCs w:val="36"/>
                        </w:rPr>
                        <w:t>图</w:t>
                      </w:r>
                      <w:r>
                        <w:rPr>
                          <w:rFonts w:hint="eastAsia"/>
                          <w:b/>
                          <w:bCs/>
                          <w:sz w:val="28"/>
                          <w:szCs w:val="36"/>
                          <w:lang w:val="en-US" w:eastAsia="zh-CN"/>
                        </w:rPr>
                        <w:t xml:space="preserve">  </w:t>
                      </w:r>
                      <w:r>
                        <w:rPr>
                          <w:rFonts w:hint="eastAsia"/>
                          <w:b/>
                          <w:bCs/>
                          <w:sz w:val="28"/>
                          <w:szCs w:val="36"/>
                        </w:rPr>
                        <w:t>例</w:t>
                      </w:r>
                    </w:p>
                    <w:p w14:paraId="24BA01EE">
                      <w:pPr>
                        <w:spacing w:line="240" w:lineRule="exact"/>
                        <w:jc w:val="right"/>
                        <w:rPr>
                          <w:color w:val="000000" w:themeColor="text1"/>
                          <w:szCs w:val="21"/>
                          <w14:textFill>
                            <w14:solidFill>
                              <w14:schemeClr w14:val="tx1"/>
                            </w14:solidFill>
                          </w14:textFill>
                        </w:rPr>
                      </w:pPr>
                      <w:r>
                        <w:rPr>
                          <w:rFonts w:hint="eastAsia"/>
                          <w:b/>
                          <w:bCs/>
                          <w:sz w:val="18"/>
                          <w:szCs w:val="18"/>
                        </w:rPr>
                        <w:t xml:space="preserve"> </w:t>
                      </w:r>
                      <w:r>
                        <w:rPr>
                          <w:rFonts w:hint="eastAsia"/>
                          <w:b/>
                          <w:bCs/>
                          <w:szCs w:val="21"/>
                        </w:rPr>
                        <w:t xml:space="preserve"> </w:t>
                      </w:r>
                      <w:r>
                        <w:rPr>
                          <w:rFonts w:hint="eastAsia"/>
                          <w:b/>
                          <w:bCs/>
                          <w:color w:val="000000" w:themeColor="text1"/>
                          <w:szCs w:val="21"/>
                          <w14:textFill>
                            <w14:solidFill>
                              <w14:schemeClr w14:val="tx1"/>
                            </w14:solidFill>
                          </w14:textFill>
                        </w:rPr>
                        <w:t>本项目厂界</w:t>
                      </w:r>
                    </w:p>
                    <w:p w14:paraId="4087222C">
                      <w:pPr>
                        <w:pStyle w:val="5"/>
                        <w:wordWrap w:val="0"/>
                        <w:spacing w:line="240" w:lineRule="exact"/>
                        <w:jc w:val="right"/>
                        <w:rPr>
                          <w:rFonts w:hint="default"/>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大气环境敏感</w:t>
                      </w:r>
                    </w:p>
                    <w:p w14:paraId="22A5EA11">
                      <w:pPr>
                        <w:pStyle w:val="5"/>
                        <w:wordWrap w:val="0"/>
                        <w:spacing w:line="240" w:lineRule="exact"/>
                        <w:jc w:val="right"/>
                        <w:rPr>
                          <w:rFonts w:hint="default"/>
                          <w:sz w:val="21"/>
                          <w:szCs w:val="21"/>
                        </w:rPr>
                      </w:pPr>
                      <w:r>
                        <w:rPr>
                          <w:color w:val="000000" w:themeColor="text1"/>
                          <w:sz w:val="21"/>
                          <w:szCs w:val="21"/>
                          <w14:textFill>
                            <w14:solidFill>
                              <w14:schemeClr w14:val="tx1"/>
                            </w14:solidFill>
                          </w14:textFill>
                        </w:rPr>
                        <w:t>目标保护范围</w:t>
                      </w:r>
                    </w:p>
                    <w:p w14:paraId="5CEE2D33">
                      <w:pPr>
                        <w:spacing w:line="240" w:lineRule="exact"/>
                        <w:jc w:val="right"/>
                        <w:rPr>
                          <w:b/>
                          <w:bCs/>
                          <w:color w:val="000000" w:themeColor="text1"/>
                          <w:szCs w:val="21"/>
                          <w14:textFill>
                            <w14:solidFill>
                              <w14:schemeClr w14:val="tx1"/>
                            </w14:solidFill>
                          </w14:textFill>
                        </w:rPr>
                      </w:pPr>
                      <w:r>
                        <w:rPr>
                          <w:rFonts w:hint="eastAsia"/>
                          <w:b/>
                          <w:bCs/>
                          <w:szCs w:val="21"/>
                        </w:rPr>
                        <w:t xml:space="preserve">  </w:t>
                      </w:r>
                      <w:r>
                        <w:rPr>
                          <w:rFonts w:hint="eastAsia"/>
                          <w:b/>
                          <w:bCs/>
                          <w:color w:val="000000" w:themeColor="text1"/>
                          <w:szCs w:val="21"/>
                          <w14:textFill>
                            <w14:solidFill>
                              <w14:schemeClr w14:val="tx1"/>
                            </w14:solidFill>
                          </w14:textFill>
                        </w:rPr>
                        <w:t>声环境敏感</w:t>
                      </w:r>
                    </w:p>
                    <w:p w14:paraId="55CB6CB9">
                      <w:pPr>
                        <w:spacing w:line="240" w:lineRule="exact"/>
                        <w:jc w:val="right"/>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目标保护范围</w:t>
                      </w:r>
                    </w:p>
                  </w:txbxContent>
                </v:textbox>
              </v:rect>
            </w:pict>
          </mc:Fallback>
        </mc:AlternateContent>
      </w:r>
      <w:r>
        <w:rPr>
          <w:b/>
          <w:color w:val="auto"/>
        </w:rPr>
        <w:drawing>
          <wp:anchor distT="0" distB="0" distL="114300" distR="114300" simplePos="0" relativeHeight="251681792" behindDoc="0" locked="0" layoutInCell="1" allowOverlap="1">
            <wp:simplePos x="0" y="0"/>
            <wp:positionH relativeFrom="column">
              <wp:posOffset>7237730</wp:posOffset>
            </wp:positionH>
            <wp:positionV relativeFrom="paragraph">
              <wp:posOffset>219075</wp:posOffset>
            </wp:positionV>
            <wp:extent cx="790575" cy="788035"/>
            <wp:effectExtent l="127000" t="127635" r="130175" b="132080"/>
            <wp:wrapNone/>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rot="20147770">
                      <a:off x="0" y="0"/>
                      <a:ext cx="790575" cy="788035"/>
                    </a:xfrm>
                    <a:prstGeom prst="rect">
                      <a:avLst/>
                    </a:prstGeom>
                    <a:noFill/>
                    <a:ln>
                      <a:noFill/>
                    </a:ln>
                  </pic:spPr>
                </pic:pic>
              </a:graphicData>
            </a:graphic>
          </wp:anchor>
        </w:drawing>
      </w:r>
      <w:r>
        <w:rPr>
          <w:color w:val="auto"/>
        </w:rPr>
        <w:drawing>
          <wp:inline distT="0" distB="0" distL="114300" distR="114300">
            <wp:extent cx="6985000" cy="5885180"/>
            <wp:effectExtent l="0" t="0" r="6350" b="1270"/>
            <wp:docPr id="7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
                    <pic:cNvPicPr>
                      <a:picLocks noChangeAspect="1"/>
                    </pic:cNvPicPr>
                  </pic:nvPicPr>
                  <pic:blipFill>
                    <a:blip r:embed="rId38"/>
                    <a:stretch>
                      <a:fillRect/>
                    </a:stretch>
                  </pic:blipFill>
                  <pic:spPr>
                    <a:xfrm>
                      <a:off x="0" y="0"/>
                      <a:ext cx="6985000" cy="5885180"/>
                    </a:xfrm>
                    <a:prstGeom prst="rect">
                      <a:avLst/>
                    </a:prstGeom>
                    <a:noFill/>
                    <a:ln>
                      <a:noFill/>
                    </a:ln>
                  </pic:spPr>
                </pic:pic>
              </a:graphicData>
            </a:graphic>
          </wp:inline>
        </w:drawing>
      </w:r>
    </w:p>
    <w:p w14:paraId="6B984085">
      <w:pPr>
        <w:jc w:val="right"/>
        <w:rPr>
          <w:color w:val="auto"/>
          <w:sz w:val="28"/>
        </w:rPr>
        <w:sectPr>
          <w:pgSz w:w="16840" w:h="11907" w:orient="landscape"/>
          <w:pgMar w:top="720" w:right="720" w:bottom="720" w:left="1247" w:header="680" w:footer="850" w:gutter="0"/>
          <w:pgBorders>
            <w:top w:val="none" w:sz="0" w:space="0"/>
            <w:left w:val="none" w:sz="0" w:space="0"/>
            <w:bottom w:val="none" w:sz="0" w:space="0"/>
            <w:right w:val="none" w:sz="0" w:space="0"/>
          </w:pgBorders>
          <w:cols w:space="720" w:num="1"/>
          <w:docGrid w:type="lines" w:linePitch="435" w:charSpace="0"/>
        </w:sectPr>
      </w:pPr>
    </w:p>
    <w:p w14:paraId="5DD472CA">
      <w:pPr>
        <w:pStyle w:val="3"/>
        <w:outlineLvl w:val="0"/>
        <w:rPr>
          <w:rFonts w:hint="eastAsia" w:ascii="Times New Roman"/>
          <w:b/>
          <w:bCs/>
          <w:color w:val="auto"/>
          <w:sz w:val="28"/>
        </w:rPr>
      </w:pPr>
      <w:r>
        <w:rPr>
          <w:rFonts w:hint="eastAsia" w:ascii="Times New Roman"/>
          <w:b/>
          <w:bCs/>
          <w:color w:val="auto"/>
          <w:sz w:val="28"/>
        </w:rPr>
        <w:t>附图</w:t>
      </w:r>
      <w:r>
        <w:rPr>
          <w:rFonts w:ascii="Times New Roman"/>
          <w:b/>
          <w:bCs/>
          <w:color w:val="auto"/>
          <w:sz w:val="28"/>
        </w:rPr>
        <w:t>3</w:t>
      </w:r>
      <w:r>
        <w:rPr>
          <w:rFonts w:hint="eastAsia"/>
          <w:b/>
          <w:bCs/>
          <w:color w:val="auto"/>
          <w:sz w:val="28"/>
        </w:rPr>
        <w:t>：</w:t>
      </w:r>
      <w:r>
        <w:rPr>
          <w:rFonts w:hint="eastAsia" w:ascii="Times New Roman"/>
          <w:b/>
          <w:bCs/>
          <w:color w:val="auto"/>
          <w:sz w:val="28"/>
        </w:rPr>
        <w:t>项目平面布置图</w:t>
      </w:r>
    </w:p>
    <w:p w14:paraId="4470FB21">
      <w:pPr>
        <w:pStyle w:val="4"/>
        <w:rPr>
          <w:rFonts w:hint="eastAsia" w:ascii="Times New Roman"/>
          <w:b/>
          <w:bCs/>
          <w:color w:val="auto"/>
          <w:sz w:val="28"/>
        </w:rPr>
      </w:pPr>
    </w:p>
    <w:p w14:paraId="12957D5B">
      <w:pPr>
        <w:rPr>
          <w:color w:val="auto"/>
        </w:rPr>
      </w:pPr>
    </w:p>
    <w:p w14:paraId="46B8475B">
      <w:pPr>
        <w:pStyle w:val="4"/>
        <w:ind w:left="0" w:leftChars="0"/>
        <w:jc w:val="center"/>
        <w:rPr>
          <w:rFonts w:hint="eastAsia" w:eastAsia="宋体"/>
          <w:color w:val="auto"/>
          <w:lang w:eastAsia="zh-CN"/>
        </w:rPr>
      </w:pPr>
      <w:r>
        <w:rPr>
          <w:color w:val="auto"/>
          <w:sz w:val="21"/>
        </w:rPr>
        <mc:AlternateContent>
          <mc:Choice Requires="wps">
            <w:drawing>
              <wp:anchor distT="0" distB="0" distL="114300" distR="114300" simplePos="0" relativeHeight="251685888" behindDoc="0" locked="0" layoutInCell="1" allowOverlap="1">
                <wp:simplePos x="0" y="0"/>
                <wp:positionH relativeFrom="column">
                  <wp:posOffset>2968625</wp:posOffset>
                </wp:positionH>
                <wp:positionV relativeFrom="paragraph">
                  <wp:posOffset>7246620</wp:posOffset>
                </wp:positionV>
                <wp:extent cx="571500" cy="295910"/>
                <wp:effectExtent l="0" t="0" r="0" b="8890"/>
                <wp:wrapNone/>
                <wp:docPr id="91" name="文本框 91"/>
                <wp:cNvGraphicFramePr/>
                <a:graphic xmlns:a="http://schemas.openxmlformats.org/drawingml/2006/main">
                  <a:graphicData uri="http://schemas.microsoft.com/office/word/2010/wordprocessingShape">
                    <wps:wsp>
                      <wps:cNvSpPr txBox="1"/>
                      <wps:spPr>
                        <a:xfrm>
                          <a:off x="0" y="0"/>
                          <a:ext cx="571500" cy="29591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7C6C2F6">
                            <w:pPr>
                              <w:rPr>
                                <w:rFonts w:hint="eastAsia" w:eastAsia="宋体"/>
                                <w:lang w:val="en-US" w:eastAsia="zh-CN"/>
                              </w:rPr>
                            </w:pPr>
                            <w:r>
                              <w:rPr>
                                <w:rFonts w:hint="eastAsia"/>
                                <w:lang w:val="en-US" w:eastAsia="zh-CN"/>
                              </w:rPr>
                              <w:t>荒地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3.75pt;margin-top:570.6pt;height:23.3pt;width:45pt;z-index:251685888;mso-width-relative:page;mso-height-relative:page;" fillcolor="#FFFFFF [3201]" filled="t" stroked="f" coordsize="21600,21600" o:gfxdata="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ghYxwNYAAAANAQAADwAA&#10;AAAAAAABACAAAAAiAAAAZHJzL2Rvd25yZXYueG1sUEsBAhQAFAAAAAgAh07iQDLjwUpRAgAAkAQA&#10;AA4AAAAAAAAAAQAgAAAAJQEAAGRycy9lMm9Eb2MueG1sUEsFBgAAAAAGAAYAWQEAAOgFAAAAAA==&#10;">
                <v:fill on="t" focussize="0,0"/>
                <v:stroke on="f" weight="0.5pt"/>
                <v:imagedata o:title=""/>
                <o:lock v:ext="edit" aspectratio="f"/>
                <v:textbox>
                  <w:txbxContent>
                    <w:p w14:paraId="47C6C2F6">
                      <w:pPr>
                        <w:rPr>
                          <w:rFonts w:hint="eastAsia" w:eastAsia="宋体"/>
                          <w:lang w:val="en-US" w:eastAsia="zh-CN"/>
                        </w:rPr>
                      </w:pPr>
                      <w:r>
                        <w:rPr>
                          <w:rFonts w:hint="eastAsia"/>
                          <w:lang w:val="en-US" w:eastAsia="zh-CN"/>
                        </w:rPr>
                        <w:t>荒地</w:t>
                      </w:r>
                    </w:p>
                  </w:txbxContent>
                </v:textbox>
              </v:shape>
            </w:pict>
          </mc:Fallback>
        </mc:AlternateContent>
      </w:r>
      <w:r>
        <w:rPr>
          <w:color w:val="auto"/>
          <w:sz w:val="21"/>
        </w:rPr>
        <mc:AlternateContent>
          <mc:Choice Requires="wps">
            <w:drawing>
              <wp:anchor distT="0" distB="0" distL="114300" distR="114300" simplePos="0" relativeHeight="251684864" behindDoc="0" locked="0" layoutInCell="1" allowOverlap="1">
                <wp:simplePos x="0" y="0"/>
                <wp:positionH relativeFrom="column">
                  <wp:posOffset>263525</wp:posOffset>
                </wp:positionH>
                <wp:positionV relativeFrom="paragraph">
                  <wp:posOffset>3084195</wp:posOffset>
                </wp:positionV>
                <wp:extent cx="571500" cy="542925"/>
                <wp:effectExtent l="0" t="0" r="0" b="9525"/>
                <wp:wrapNone/>
                <wp:docPr id="90" name="文本框 90"/>
                <wp:cNvGraphicFramePr/>
                <a:graphic xmlns:a="http://schemas.openxmlformats.org/drawingml/2006/main">
                  <a:graphicData uri="http://schemas.microsoft.com/office/word/2010/wordprocessingShape">
                    <wps:wsp>
                      <wps:cNvSpPr txBox="1"/>
                      <wps:spPr>
                        <a:xfrm>
                          <a:off x="0" y="0"/>
                          <a:ext cx="571500" cy="5429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0006B59">
                            <w:pPr>
                              <w:rPr>
                                <w:rFonts w:hint="eastAsia" w:eastAsia="宋体"/>
                                <w:lang w:val="en-US" w:eastAsia="zh-CN"/>
                              </w:rPr>
                            </w:pPr>
                            <w:r>
                              <w:rPr>
                                <w:rFonts w:hint="eastAsia"/>
                                <w:lang w:val="en-US" w:eastAsia="zh-CN"/>
                              </w:rPr>
                              <w:t>荒地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75pt;margin-top:242.85pt;height:42.75pt;width:45pt;z-index:251684864;mso-width-relative:page;mso-height-relative:page;" fillcolor="#FFFFFF [3201]" filled="t" stroked="f" coordsize="21600,21600" o:gfxdata="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RlnN4tUAAAAKAQAADwAAAAAA&#10;AAABACAAAAAiAAAAZHJzL2Rvd25yZXYueG1sUEsBAhQAFAAAAAgAh07iQNpVq0RPAgAAkAQAAA4A&#10;AAAAAAAAAQAgAAAAJAEAAGRycy9lMm9Eb2MueG1sUEsFBgAAAAAGAAYAWQEAAOUFAAAAAA==&#10;">
                <v:fill on="t" focussize="0,0"/>
                <v:stroke on="f" weight="0.5pt"/>
                <v:imagedata o:title=""/>
                <o:lock v:ext="edit" aspectratio="f"/>
                <v:textbox>
                  <w:txbxContent>
                    <w:p w14:paraId="30006B59">
                      <w:pPr>
                        <w:rPr>
                          <w:rFonts w:hint="eastAsia" w:eastAsia="宋体"/>
                          <w:lang w:val="en-US" w:eastAsia="zh-CN"/>
                        </w:rPr>
                      </w:pPr>
                      <w:r>
                        <w:rPr>
                          <w:rFonts w:hint="eastAsia"/>
                          <w:lang w:val="en-US" w:eastAsia="zh-CN"/>
                        </w:rPr>
                        <w:t>荒地</w:t>
                      </w:r>
                    </w:p>
                  </w:txbxContent>
                </v:textbox>
              </v:shape>
            </w:pict>
          </mc:Fallback>
        </mc:AlternateContent>
      </w:r>
      <w:r>
        <w:rPr>
          <w:color w:val="auto"/>
          <w:sz w:val="21"/>
        </w:rPr>
        <mc:AlternateContent>
          <mc:Choice Requires="wps">
            <w:drawing>
              <wp:anchor distT="0" distB="0" distL="114300" distR="114300" simplePos="0" relativeHeight="251683840" behindDoc="0" locked="0" layoutInCell="1" allowOverlap="1">
                <wp:simplePos x="0" y="0"/>
                <wp:positionH relativeFrom="column">
                  <wp:posOffset>863600</wp:posOffset>
                </wp:positionH>
                <wp:positionV relativeFrom="paragraph">
                  <wp:posOffset>55245</wp:posOffset>
                </wp:positionV>
                <wp:extent cx="571500" cy="324485"/>
                <wp:effectExtent l="0" t="0" r="0" b="18415"/>
                <wp:wrapNone/>
                <wp:docPr id="68" name="文本框 68"/>
                <wp:cNvGraphicFramePr/>
                <a:graphic xmlns:a="http://schemas.openxmlformats.org/drawingml/2006/main">
                  <a:graphicData uri="http://schemas.microsoft.com/office/word/2010/wordprocessingShape">
                    <wps:wsp>
                      <wps:cNvSpPr txBox="1"/>
                      <wps:spPr>
                        <a:xfrm>
                          <a:off x="0" y="0"/>
                          <a:ext cx="571500" cy="32448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2B3F8A8">
                            <w:pPr>
                              <w:rPr>
                                <w:rFonts w:hint="eastAsia" w:eastAsia="宋体"/>
                                <w:lang w:val="en-US" w:eastAsia="zh-CN"/>
                              </w:rPr>
                            </w:pPr>
                            <w:r>
                              <w:rPr>
                                <w:rFonts w:hint="eastAsia"/>
                                <w:lang w:val="en-US" w:eastAsia="zh-CN"/>
                              </w:rPr>
                              <w:t>荒地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8pt;margin-top:4.35pt;height:25.55pt;width:45pt;z-index:251683840;mso-width-relative:page;mso-height-relative:page;" fillcolor="#FFFFFF [3201]" filled="t" stroked="f" coordsize="21600,21600" o:gfxdata="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fBUBt9IAAAAIAQAADwAAAAAAAAAB&#10;ACAAAAAiAAAAZHJzL2Rvd25yZXYueG1sUEsBAhQAFAAAAAgAh07iQHF386pPAgAAkAQAAA4AAAAA&#10;AAAAAQAgAAAAIQEAAGRycy9lMm9Eb2MueG1sUEsFBgAAAAAGAAYAWQEAAOIFAAAAAA==&#10;">
                <v:fill on="t" focussize="0,0"/>
                <v:stroke on="f" weight="0.5pt"/>
                <v:imagedata o:title=""/>
                <o:lock v:ext="edit" aspectratio="f"/>
                <v:textbox>
                  <w:txbxContent>
                    <w:p w14:paraId="32B3F8A8">
                      <w:pPr>
                        <w:rPr>
                          <w:rFonts w:hint="eastAsia" w:eastAsia="宋体"/>
                          <w:lang w:val="en-US" w:eastAsia="zh-CN"/>
                        </w:rPr>
                      </w:pPr>
                      <w:r>
                        <w:rPr>
                          <w:rFonts w:hint="eastAsia"/>
                          <w:lang w:val="en-US" w:eastAsia="zh-CN"/>
                        </w:rPr>
                        <w:t>荒地</w:t>
                      </w:r>
                    </w:p>
                  </w:txbxContent>
                </v:textbox>
              </v:shape>
            </w:pict>
          </mc:Fallback>
        </mc:AlternateContent>
      </w:r>
      <w:r>
        <w:rPr>
          <w:color w:val="auto"/>
          <w:sz w:val="21"/>
        </w:rPr>
        <mc:AlternateContent>
          <mc:Choice Requires="wps">
            <w:drawing>
              <wp:anchor distT="0" distB="0" distL="114300" distR="114300" simplePos="0" relativeHeight="251682816" behindDoc="0" locked="0" layoutInCell="1" allowOverlap="1">
                <wp:simplePos x="0" y="0"/>
                <wp:positionH relativeFrom="column">
                  <wp:posOffset>2787650</wp:posOffset>
                </wp:positionH>
                <wp:positionV relativeFrom="paragraph">
                  <wp:posOffset>1845945</wp:posOffset>
                </wp:positionV>
                <wp:extent cx="323850" cy="800100"/>
                <wp:effectExtent l="0" t="0" r="0" b="0"/>
                <wp:wrapNone/>
                <wp:docPr id="39" name="文本框 39"/>
                <wp:cNvGraphicFramePr/>
                <a:graphic xmlns:a="http://schemas.openxmlformats.org/drawingml/2006/main">
                  <a:graphicData uri="http://schemas.microsoft.com/office/word/2010/wordprocessingShape">
                    <wps:wsp>
                      <wps:cNvSpPr txBox="1"/>
                      <wps:spPr>
                        <a:xfrm>
                          <a:off x="3507740" y="3334385"/>
                          <a:ext cx="323850" cy="8001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E481897"/>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9.5pt;margin-top:145.35pt;height:63pt;width:25.5pt;z-index:251682816;mso-width-relative:page;mso-height-relative:page;" fillcolor="#FFFFFF [3201]" filled="t" stroked="f" coordsize="21600,21600" o:gfxdata="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4wHTKNYA&#10;AAALAQAADwAAAAAAAAABACAAAAAiAAAAZHJzL2Rvd25yZXYueG1sUEsBAhQAFAAAAAgAh07iQA4K&#10;/hNaAgAAnAQAAA4AAAAAAAAAAQAgAAAAJQEAAGRycy9lMm9Eb2MueG1sUEsFBgAAAAAGAAYAWQEA&#10;APEFAAAAAA==&#10;">
                <v:fill on="t" focussize="0,0"/>
                <v:stroke on="f" weight="0.5pt"/>
                <v:imagedata o:title=""/>
                <o:lock v:ext="edit" aspectratio="f"/>
                <v:textbox>
                  <w:txbxContent>
                    <w:p w14:paraId="0E481897"/>
                  </w:txbxContent>
                </v:textbox>
              </v:shape>
            </w:pict>
          </mc:Fallback>
        </mc:AlternateContent>
      </w:r>
      <w:r>
        <w:rPr>
          <w:color w:val="auto"/>
          <w:sz w:val="21"/>
        </w:rPr>
        <mc:AlternateContent>
          <mc:Choice Requires="wps">
            <w:drawing>
              <wp:anchor distT="0" distB="0" distL="114300" distR="114300" simplePos="0" relativeHeight="251679744" behindDoc="0" locked="0" layoutInCell="1" allowOverlap="1">
                <wp:simplePos x="0" y="0"/>
                <wp:positionH relativeFrom="column">
                  <wp:posOffset>4409440</wp:posOffset>
                </wp:positionH>
                <wp:positionV relativeFrom="paragraph">
                  <wp:posOffset>3629025</wp:posOffset>
                </wp:positionV>
                <wp:extent cx="666750" cy="471170"/>
                <wp:effectExtent l="568960" t="6350" r="21590" b="227330"/>
                <wp:wrapNone/>
                <wp:docPr id="47" name="矩形标注 47"/>
                <wp:cNvGraphicFramePr/>
                <a:graphic xmlns:a="http://schemas.openxmlformats.org/drawingml/2006/main">
                  <a:graphicData uri="http://schemas.microsoft.com/office/word/2010/wordprocessingShape">
                    <wps:wsp>
                      <wps:cNvSpPr/>
                      <wps:spPr>
                        <a:xfrm>
                          <a:off x="0" y="0"/>
                          <a:ext cx="666750" cy="471170"/>
                        </a:xfrm>
                        <a:prstGeom prst="wedgeRectCallout">
                          <a:avLst>
                            <a:gd name="adj1" fmla="val -128666"/>
                            <a:gd name="adj2" fmla="val 90397"/>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74B8563E">
                            <w:pPr>
                              <w:jc w:val="center"/>
                              <w:rPr>
                                <w:rFonts w:hint="default" w:eastAsia="宋体"/>
                                <w:color w:val="auto"/>
                                <w:lang w:val="en-US" w:eastAsia="zh-CN"/>
                              </w:rPr>
                            </w:pPr>
                            <w:r>
                              <w:rPr>
                                <w:rFonts w:hint="eastAsia"/>
                                <w:color w:val="auto"/>
                                <w:lang w:val="en-US" w:eastAsia="zh-CN"/>
                              </w:rPr>
                              <w:t>危废贮存点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47.2pt;margin-top:285.75pt;height:37.1pt;width:52.5pt;z-index:251679744;v-text-anchor:middle;mso-width-relative:page;mso-height-relative:page;" fillcolor="#FFFFFF [3212]" filled="t" stroked="t" coordsize="21600,21600" o:gfxdata="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ILoVF2gAAAAsBAAAPAAAAAAAAAAEAIAAAACIAAABkcnMv&#10;ZG93bnJldi54bWxQSwECFAAUAAAACACHTuJA4Emh06wCAABlBQAADgAAAAAAAAABACAAAAApAQAA&#10;ZHJzL2Uyb0RvYy54bWxQSwUGAAAAAAYABgBZAQAARwYAAAAA&#10;" adj="-16992,30326">
                <v:fill on="t" focussize="0,0"/>
                <v:stroke weight="1pt" color="#000000 [3213]" miterlimit="8" joinstyle="miter"/>
                <v:imagedata o:title=""/>
                <o:lock v:ext="edit" aspectratio="f"/>
                <v:textbox>
                  <w:txbxContent>
                    <w:p w14:paraId="74B8563E">
                      <w:pPr>
                        <w:jc w:val="center"/>
                        <w:rPr>
                          <w:rFonts w:hint="default" w:eastAsia="宋体"/>
                          <w:color w:val="auto"/>
                          <w:lang w:val="en-US" w:eastAsia="zh-CN"/>
                        </w:rPr>
                      </w:pPr>
                      <w:r>
                        <w:rPr>
                          <w:rFonts w:hint="eastAsia"/>
                          <w:color w:val="auto"/>
                          <w:lang w:val="en-US" w:eastAsia="zh-CN"/>
                        </w:rPr>
                        <w:t>危废贮存点</w:t>
                      </w:r>
                    </w:p>
                  </w:txbxContent>
                </v:textbox>
              </v:shape>
            </w:pict>
          </mc:Fallback>
        </mc:AlternateContent>
      </w:r>
      <w:r>
        <w:rPr>
          <w:color w:val="auto"/>
          <w:sz w:val="21"/>
        </w:rPr>
        <mc:AlternateContent>
          <mc:Choice Requires="wps">
            <w:drawing>
              <wp:anchor distT="0" distB="0" distL="114300" distR="114300" simplePos="0" relativeHeight="251678720" behindDoc="0" locked="0" layoutInCell="1" allowOverlap="1">
                <wp:simplePos x="0" y="0"/>
                <wp:positionH relativeFrom="column">
                  <wp:posOffset>3686810</wp:posOffset>
                </wp:positionH>
                <wp:positionV relativeFrom="paragraph">
                  <wp:posOffset>4145280</wp:posOffset>
                </wp:positionV>
                <wp:extent cx="292100" cy="240665"/>
                <wp:effectExtent l="6350" t="6350" r="6350" b="19685"/>
                <wp:wrapNone/>
                <wp:docPr id="24" name="矩形 24"/>
                <wp:cNvGraphicFramePr/>
                <a:graphic xmlns:a="http://schemas.openxmlformats.org/drawingml/2006/main">
                  <a:graphicData uri="http://schemas.microsoft.com/office/word/2010/wordprocessingShape">
                    <wps:wsp>
                      <wps:cNvSpPr/>
                      <wps:spPr>
                        <a:xfrm>
                          <a:off x="0" y="0"/>
                          <a:ext cx="292100" cy="24066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0.3pt;margin-top:326.4pt;height:18.95pt;width:23pt;z-index:251678720;v-text-anchor:middle;mso-width-relative:page;mso-height-relative:page;" filled="f" stroked="t" coordsize="21600,21600" o:gfxdata="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BPP7qTXAAAACwEAAA8AAAAAAAAAAQAgAAAAIgAAAGRycy9kb3ducmV2LnhtbFBL&#10;AQIUABQAAAAIAIdO4kAsbSM0aQIAAMwEAAAOAAAAAAAAAAEAIAAAACYBAABkcnMvZTJvRG9jLnht&#10;bFBLBQYAAAAABgAGAFkBAAABBgAAAAA=&#10;">
                <v:fill on="f" focussize="0,0"/>
                <v:stroke weight="1pt" color="#FF0000 [24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677696" behindDoc="0" locked="0" layoutInCell="1" allowOverlap="1">
                <wp:simplePos x="0" y="0"/>
                <wp:positionH relativeFrom="column">
                  <wp:posOffset>4411345</wp:posOffset>
                </wp:positionH>
                <wp:positionV relativeFrom="paragraph">
                  <wp:posOffset>2231390</wp:posOffset>
                </wp:positionV>
                <wp:extent cx="666750" cy="287655"/>
                <wp:effectExtent l="521970" t="6350" r="11430" b="10795"/>
                <wp:wrapNone/>
                <wp:docPr id="65" name="矩形标注 65"/>
                <wp:cNvGraphicFramePr/>
                <a:graphic xmlns:a="http://schemas.openxmlformats.org/drawingml/2006/main">
                  <a:graphicData uri="http://schemas.microsoft.com/office/word/2010/wordprocessingShape">
                    <wps:wsp>
                      <wps:cNvSpPr/>
                      <wps:spPr>
                        <a:xfrm>
                          <a:off x="0" y="0"/>
                          <a:ext cx="666750" cy="287655"/>
                        </a:xfrm>
                        <a:prstGeom prst="wedgeRectCallout">
                          <a:avLst>
                            <a:gd name="adj1" fmla="val -120666"/>
                            <a:gd name="adj2" fmla="val -33664"/>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1E454279">
                            <w:pPr>
                              <w:jc w:val="center"/>
                              <w:rPr>
                                <w:rFonts w:hint="default" w:eastAsia="宋体"/>
                                <w:color w:val="auto"/>
                                <w:lang w:val="en-US" w:eastAsia="zh-CN"/>
                              </w:rPr>
                            </w:pPr>
                            <w:r>
                              <w:rPr>
                                <w:rFonts w:hint="eastAsia"/>
                                <w:color w:val="auto"/>
                                <w:lang w:val="en-US" w:eastAsia="zh-CN"/>
                              </w:rPr>
                              <w:t>灰渣间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47.35pt;margin-top:175.7pt;height:22.65pt;width:52.5pt;z-index:251677696;v-text-anchor:middle;mso-width-relative:page;mso-height-relative:page;" fillcolor="#FFFFFF [3212]" filled="t" stroked="t" coordsize="21600,21600" o:gfxdata="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MaSPZ2gAAAAsBAAAPAAAAAAAAAAEAIAAAACIAAABkcnMv&#10;ZG93bnJldi54bWxQSwECFAAUAAAACACHTuJArSst9qwCAABmBQAADgAAAAAAAAABACAAAAApAQAA&#10;ZHJzL2Uyb0RvYy54bWxQSwUGAAAAAAYABgBZAQAARwYAAAAA&#10;" adj="-15264,3529">
                <v:fill on="t" focussize="0,0"/>
                <v:stroke weight="1pt" color="#000000 [3213]" miterlimit="8" joinstyle="miter"/>
                <v:imagedata o:title=""/>
                <o:lock v:ext="edit" aspectratio="f"/>
                <v:textbox>
                  <w:txbxContent>
                    <w:p w14:paraId="1E454279">
                      <w:pPr>
                        <w:jc w:val="center"/>
                        <w:rPr>
                          <w:rFonts w:hint="default" w:eastAsia="宋体"/>
                          <w:color w:val="auto"/>
                          <w:lang w:val="en-US" w:eastAsia="zh-CN"/>
                        </w:rPr>
                      </w:pPr>
                      <w:r>
                        <w:rPr>
                          <w:rFonts w:hint="eastAsia"/>
                          <w:color w:val="auto"/>
                          <w:lang w:val="en-US" w:eastAsia="zh-CN"/>
                        </w:rPr>
                        <w:t>灰渣间</w:t>
                      </w:r>
                    </w:p>
                  </w:txbxContent>
                </v:textbox>
              </v:shape>
            </w:pict>
          </mc:Fallback>
        </mc:AlternateContent>
      </w:r>
      <w:r>
        <w:rPr>
          <w:color w:val="auto"/>
          <w:sz w:val="21"/>
        </w:rPr>
        <mc:AlternateContent>
          <mc:Choice Requires="wps">
            <w:drawing>
              <wp:anchor distT="0" distB="0" distL="114300" distR="114300" simplePos="0" relativeHeight="251676672" behindDoc="0" locked="0" layoutInCell="1" allowOverlap="1">
                <wp:simplePos x="0" y="0"/>
                <wp:positionH relativeFrom="column">
                  <wp:posOffset>3689985</wp:posOffset>
                </wp:positionH>
                <wp:positionV relativeFrom="paragraph">
                  <wp:posOffset>2178050</wp:posOffset>
                </wp:positionV>
                <wp:extent cx="292100" cy="240665"/>
                <wp:effectExtent l="6350" t="6350" r="6350" b="19685"/>
                <wp:wrapNone/>
                <wp:docPr id="64" name="矩形 64"/>
                <wp:cNvGraphicFramePr/>
                <a:graphic xmlns:a="http://schemas.openxmlformats.org/drawingml/2006/main">
                  <a:graphicData uri="http://schemas.microsoft.com/office/word/2010/wordprocessingShape">
                    <wps:wsp>
                      <wps:cNvSpPr/>
                      <wps:spPr>
                        <a:xfrm>
                          <a:off x="0" y="0"/>
                          <a:ext cx="292100" cy="24066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0.55pt;margin-top:171.5pt;height:18.95pt;width:23pt;z-index:251676672;v-text-anchor:middle;mso-width-relative:page;mso-height-relative:page;" filled="f" stroked="t" coordsize="21600,21600" o:gfxdata="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3MLYLtgAAAALAQAADwAAAAAAAAABACAAAAAiAAAAZHJzL2Rvd25yZXYueG1s&#10;UEsBAhQAFAAAAAgAh07iQDD/zA9qAgAAzAQAAA4AAAAAAAAAAQAgAAAAJwEAAGRycy9lMm9Eb2Mu&#10;eG1sUEsFBgAAAAAGAAYAWQEAAAMGAAAAAA==&#10;">
                <v:fill on="f" focussize="0,0"/>
                <v:stroke weight="1pt" color="#FF0000 [24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672576" behindDoc="0" locked="0" layoutInCell="1" allowOverlap="1">
                <wp:simplePos x="0" y="0"/>
                <wp:positionH relativeFrom="column">
                  <wp:posOffset>3353435</wp:posOffset>
                </wp:positionH>
                <wp:positionV relativeFrom="paragraph">
                  <wp:posOffset>1809115</wp:posOffset>
                </wp:positionV>
                <wp:extent cx="403860" cy="661670"/>
                <wp:effectExtent l="0" t="0" r="0" b="0"/>
                <wp:wrapNone/>
                <wp:docPr id="43" name="文本框 43"/>
                <wp:cNvGraphicFramePr/>
                <a:graphic xmlns:a="http://schemas.openxmlformats.org/drawingml/2006/main">
                  <a:graphicData uri="http://schemas.microsoft.com/office/word/2010/wordprocessingShape">
                    <wps:wsp>
                      <wps:cNvSpPr txBox="1"/>
                      <wps:spPr>
                        <a:xfrm>
                          <a:off x="4349750" y="2434590"/>
                          <a:ext cx="403860" cy="661670"/>
                        </a:xfrm>
                        <a:prstGeom prst="rect">
                          <a:avLst/>
                        </a:prstGeom>
                        <a:noFill/>
                        <a:ln w="19050">
                          <a:noFill/>
                        </a:ln>
                      </wps:spPr>
                      <wps:style>
                        <a:lnRef idx="0">
                          <a:schemeClr val="accent1"/>
                        </a:lnRef>
                        <a:fillRef idx="0">
                          <a:schemeClr val="accent1"/>
                        </a:fillRef>
                        <a:effectRef idx="0">
                          <a:schemeClr val="accent1"/>
                        </a:effectRef>
                        <a:fontRef idx="minor">
                          <a:schemeClr val="dk1"/>
                        </a:fontRef>
                      </wps:style>
                      <wps:txbx>
                        <w:txbxContent>
                          <w:p w14:paraId="366B4BE5">
                            <w:pPr>
                              <w:rPr>
                                <w:rFonts w:hint="eastAsia" w:eastAsia="宋体"/>
                                <w:color w:val="auto"/>
                                <w:lang w:val="en-US" w:eastAsia="zh-CN"/>
                              </w:rPr>
                            </w:pPr>
                            <w:r>
                              <w:rPr>
                                <w:rFonts w:hint="eastAsia"/>
                                <w:color w:val="auto"/>
                                <w:lang w:val="en-US" w:eastAsia="zh-CN"/>
                              </w:rPr>
                              <w:t>锅炉房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4.05pt;margin-top:142.45pt;height:52.1pt;width:31.8pt;z-index:251672576;mso-width-relative:page;mso-height-relative:page;" filled="f" stroked="f" coordsize="21600,21600" o:gfxdata="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LypGRrZAAAACwEAAA8AAAAAAAAAAQAg&#10;AAAAIgAAAGRycy9kb3ducmV2LnhtbFBLAQIUABQAAAAIAIdO4kBydKcsRgIAAHQEAAAOAAAAAAAA&#10;AAEAIAAAACgBAABkcnMvZTJvRG9jLnhtbFBLBQYAAAAABgAGAFkBAADgBQAAAAA=&#10;">
                <v:fill on="f" focussize="0,0"/>
                <v:stroke on="f" weight="1.5pt"/>
                <v:imagedata o:title=""/>
                <o:lock v:ext="edit" aspectratio="f"/>
                <v:textbox>
                  <w:txbxContent>
                    <w:p w14:paraId="366B4BE5">
                      <w:pPr>
                        <w:rPr>
                          <w:rFonts w:hint="eastAsia" w:eastAsia="宋体"/>
                          <w:color w:val="auto"/>
                          <w:lang w:val="en-US" w:eastAsia="zh-CN"/>
                        </w:rPr>
                      </w:pPr>
                      <w:r>
                        <w:rPr>
                          <w:rFonts w:hint="eastAsia"/>
                          <w:color w:val="auto"/>
                          <w:lang w:val="en-US" w:eastAsia="zh-CN"/>
                        </w:rPr>
                        <w:t>锅炉房</w:t>
                      </w:r>
                    </w:p>
                  </w:txbxContent>
                </v:textbox>
              </v:shape>
            </w:pict>
          </mc:Fallback>
        </mc:AlternateContent>
      </w:r>
      <w:r>
        <w:rPr>
          <w:color w:val="auto"/>
          <w:sz w:val="21"/>
        </w:rPr>
        <mc:AlternateContent>
          <mc:Choice Requires="wps">
            <w:drawing>
              <wp:anchor distT="0" distB="0" distL="114300" distR="114300" simplePos="0" relativeHeight="251675648" behindDoc="0" locked="0" layoutInCell="1" allowOverlap="1">
                <wp:simplePos x="0" y="0"/>
                <wp:positionH relativeFrom="column">
                  <wp:posOffset>5193665</wp:posOffset>
                </wp:positionH>
                <wp:positionV relativeFrom="paragraph">
                  <wp:posOffset>7348220</wp:posOffset>
                </wp:positionV>
                <wp:extent cx="215900" cy="191135"/>
                <wp:effectExtent l="6350" t="6350" r="6350" b="12065"/>
                <wp:wrapNone/>
                <wp:docPr id="55" name="椭圆 55"/>
                <wp:cNvGraphicFramePr/>
                <a:graphic xmlns:a="http://schemas.openxmlformats.org/drawingml/2006/main">
                  <a:graphicData uri="http://schemas.microsoft.com/office/word/2010/wordprocessingShape">
                    <wps:wsp>
                      <wps:cNvSpPr/>
                      <wps:spPr>
                        <a:xfrm>
                          <a:off x="0" y="0"/>
                          <a:ext cx="215900" cy="191135"/>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08.95pt;margin-top:578.6pt;height:15.05pt;width:17pt;z-index:251675648;v-text-anchor:middle;mso-width-relative:page;mso-height-relative:page;" fillcolor="#FF0000" filled="t" stroked="t" coordsize="21600,21600" o:gfxdata="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64xQu1wAAAA0BAAAPAAAAAAAAAAEAIAAAACIAAABkcnMvZG93bnJl&#10;di54bWxQSwECFAAUAAAACACHTuJAWGMjb3ACAAD4BAAADgAAAAAAAAABACAAAAAmAQAAZHJzL2Uy&#10;b0RvYy54bWxQSwUGAAAAAAYABgBZAQAACAYAAAAA&#10;">
                <v:fill on="t" focussize="0,0"/>
                <v:stroke weight="1pt" color="#FF0000 [24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674624" behindDoc="0" locked="0" layoutInCell="1" allowOverlap="1">
                <wp:simplePos x="0" y="0"/>
                <wp:positionH relativeFrom="column">
                  <wp:posOffset>5095875</wp:posOffset>
                </wp:positionH>
                <wp:positionV relativeFrom="paragraph">
                  <wp:posOffset>6868795</wp:posOffset>
                </wp:positionV>
                <wp:extent cx="823595" cy="772795"/>
                <wp:effectExtent l="9525" t="9525" r="24130" b="17780"/>
                <wp:wrapNone/>
                <wp:docPr id="54" name="文本框 54"/>
                <wp:cNvGraphicFramePr/>
                <a:graphic xmlns:a="http://schemas.openxmlformats.org/drawingml/2006/main">
                  <a:graphicData uri="http://schemas.microsoft.com/office/word/2010/wordprocessingShape">
                    <wps:wsp>
                      <wps:cNvSpPr txBox="1"/>
                      <wps:spPr>
                        <a:xfrm>
                          <a:off x="0" y="0"/>
                          <a:ext cx="823595" cy="772795"/>
                        </a:xfrm>
                        <a:prstGeom prst="rect">
                          <a:avLst/>
                        </a:prstGeom>
                        <a:noFill/>
                        <a:ln w="190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24363F41">
                            <w:pPr>
                              <w:jc w:val="center"/>
                              <w:rPr>
                                <w:rFonts w:hint="eastAsia"/>
                                <w:color w:val="auto"/>
                                <w:sz w:val="32"/>
                                <w:szCs w:val="32"/>
                                <w:lang w:val="en-US" w:eastAsia="zh-CN"/>
                              </w:rPr>
                            </w:pPr>
                            <w:r>
                              <w:rPr>
                                <w:rFonts w:hint="eastAsia"/>
                                <w:color w:val="auto"/>
                                <w:sz w:val="32"/>
                                <w:szCs w:val="32"/>
                                <w:lang w:val="en-US" w:eastAsia="zh-CN"/>
                              </w:rPr>
                              <w:t>图 例</w:t>
                            </w:r>
                          </w:p>
                          <w:p w14:paraId="42447740">
                            <w:pPr>
                              <w:pStyle w:val="47"/>
                              <w:jc w:val="right"/>
                              <w:rPr>
                                <w:rFonts w:hint="eastAsia"/>
                                <w:lang w:val="en-US" w:eastAsia="zh-CN"/>
                              </w:rPr>
                            </w:pPr>
                          </w:p>
                          <w:p w14:paraId="5384BB6F">
                            <w:pPr>
                              <w:pStyle w:val="47"/>
                              <w:jc w:val="right"/>
                              <w:rPr>
                                <w:rFonts w:hint="default"/>
                                <w:lang w:val="en-US" w:eastAsia="zh-CN"/>
                              </w:rPr>
                            </w:pPr>
                            <w:r>
                              <w:rPr>
                                <w:rFonts w:hint="eastAsia"/>
                                <w:lang w:val="en-US" w:eastAsia="zh-CN"/>
                              </w:rPr>
                              <w:t>排气筒</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1.25pt;margin-top:540.85pt;height:60.85pt;width:64.85pt;z-index:251674624;mso-width-relative:page;mso-height-relative:page;" filled="f" stroked="t" coordsize="21600,21600" o:gfxdata="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t7YqJ9wAAAAN&#10;AQAADwAAAAAAAAABACAAAAAiAAAAZHJzL2Rvd25yZXYueG1sUEsBAhQAFAAAAAgAh07iQIJhJLlR&#10;AgAAkQQAAA4AAAAAAAAAAQAgAAAAKwEAAGRycy9lMm9Eb2MueG1sUEsFBgAAAAAGAAYAWQEAAO4F&#10;AAAAAA==&#10;">
                <v:fill on="f" focussize="0,0"/>
                <v:stroke weight="1.5pt" color="#000000 [3213]" joinstyle="round"/>
                <v:imagedata o:title=""/>
                <o:lock v:ext="edit" aspectratio="f"/>
                <v:textbox>
                  <w:txbxContent>
                    <w:p w14:paraId="24363F41">
                      <w:pPr>
                        <w:jc w:val="center"/>
                        <w:rPr>
                          <w:rFonts w:hint="eastAsia"/>
                          <w:color w:val="auto"/>
                          <w:sz w:val="32"/>
                          <w:szCs w:val="32"/>
                          <w:lang w:val="en-US" w:eastAsia="zh-CN"/>
                        </w:rPr>
                      </w:pPr>
                      <w:r>
                        <w:rPr>
                          <w:rFonts w:hint="eastAsia"/>
                          <w:color w:val="auto"/>
                          <w:sz w:val="32"/>
                          <w:szCs w:val="32"/>
                          <w:lang w:val="en-US" w:eastAsia="zh-CN"/>
                        </w:rPr>
                        <w:t>图 例</w:t>
                      </w:r>
                    </w:p>
                    <w:p w14:paraId="42447740">
                      <w:pPr>
                        <w:pStyle w:val="47"/>
                        <w:jc w:val="right"/>
                        <w:rPr>
                          <w:rFonts w:hint="eastAsia"/>
                          <w:lang w:val="en-US" w:eastAsia="zh-CN"/>
                        </w:rPr>
                      </w:pPr>
                    </w:p>
                    <w:p w14:paraId="5384BB6F">
                      <w:pPr>
                        <w:pStyle w:val="47"/>
                        <w:jc w:val="right"/>
                        <w:rPr>
                          <w:rFonts w:hint="default"/>
                          <w:lang w:val="en-US" w:eastAsia="zh-CN"/>
                        </w:rPr>
                      </w:pPr>
                      <w:r>
                        <w:rPr>
                          <w:rFonts w:hint="eastAsia"/>
                          <w:lang w:val="en-US" w:eastAsia="zh-CN"/>
                        </w:rPr>
                        <w:t>排气筒</w:t>
                      </w:r>
                    </w:p>
                  </w:txbxContent>
                </v:textbox>
              </v:shape>
            </w:pict>
          </mc:Fallback>
        </mc:AlternateContent>
      </w:r>
      <w:r>
        <w:rPr>
          <w:color w:val="auto"/>
          <w:sz w:val="21"/>
        </w:rPr>
        <mc:AlternateContent>
          <mc:Choice Requires="wps">
            <w:drawing>
              <wp:anchor distT="0" distB="0" distL="114300" distR="114300" simplePos="0" relativeHeight="251668480" behindDoc="0" locked="0" layoutInCell="1" allowOverlap="1">
                <wp:simplePos x="0" y="0"/>
                <wp:positionH relativeFrom="column">
                  <wp:posOffset>4119880</wp:posOffset>
                </wp:positionH>
                <wp:positionV relativeFrom="paragraph">
                  <wp:posOffset>1435100</wp:posOffset>
                </wp:positionV>
                <wp:extent cx="666750" cy="287655"/>
                <wp:effectExtent l="222250" t="6350" r="6350" b="239395"/>
                <wp:wrapNone/>
                <wp:docPr id="8" name="矩形标注 8"/>
                <wp:cNvGraphicFramePr/>
                <a:graphic xmlns:a="http://schemas.openxmlformats.org/drawingml/2006/main">
                  <a:graphicData uri="http://schemas.microsoft.com/office/word/2010/wordprocessingShape">
                    <wps:wsp>
                      <wps:cNvSpPr/>
                      <wps:spPr>
                        <a:xfrm>
                          <a:off x="3481070" y="4711700"/>
                          <a:ext cx="666750" cy="287655"/>
                        </a:xfrm>
                        <a:prstGeom prst="wedgeRectCallout">
                          <a:avLst>
                            <a:gd name="adj1" fmla="val -76571"/>
                            <a:gd name="adj2" fmla="val 118874"/>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54BA3407">
                            <w:pPr>
                              <w:jc w:val="center"/>
                              <w:rPr>
                                <w:rFonts w:hint="default" w:eastAsia="宋体"/>
                                <w:color w:val="auto"/>
                                <w:lang w:val="en-US" w:eastAsia="zh-CN"/>
                              </w:rPr>
                            </w:pPr>
                            <w:r>
                              <w:rPr>
                                <w:rFonts w:hint="eastAsia"/>
                                <w:color w:val="auto"/>
                                <w:lang w:val="en-US" w:eastAsia="zh-CN"/>
                              </w:rPr>
                              <w:t>DA001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24.4pt;margin-top:113pt;height:22.65pt;width:52.5pt;z-index:251668480;v-text-anchor:middle;mso-width-relative:page;mso-height-relative:page;" fillcolor="#FFFFFF [3212]" filled="t" stroked="t" coordsize="21600,21600" o:gfxdata="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AsdQ9D2QAAAAsBAAAPAAAAAAAAAAEAIAAA&#10;ACIAAABkcnMvZG93bnJldi54bWxQSwECFAAUAAAACACHTuJAi8IPjbYCAABvBQAADgAAAAAAAAAB&#10;ACAAAAAoAQAAZHJzL2Uyb0RvYy54bWxQSwUGAAAAAAYABgBZAQAAUAYAAAAA&#10;" adj="-5739,36477">
                <v:fill on="t" focussize="0,0"/>
                <v:stroke weight="1pt" color="#000000 [3213]" miterlimit="8" joinstyle="miter"/>
                <v:imagedata o:title=""/>
                <o:lock v:ext="edit" aspectratio="f"/>
                <v:textbox>
                  <w:txbxContent>
                    <w:p w14:paraId="54BA3407">
                      <w:pPr>
                        <w:jc w:val="center"/>
                        <w:rPr>
                          <w:rFonts w:hint="default" w:eastAsia="宋体"/>
                          <w:color w:val="auto"/>
                          <w:lang w:val="en-US" w:eastAsia="zh-CN"/>
                        </w:rPr>
                      </w:pPr>
                      <w:r>
                        <w:rPr>
                          <w:rFonts w:hint="eastAsia"/>
                          <w:color w:val="auto"/>
                          <w:lang w:val="en-US" w:eastAsia="zh-CN"/>
                        </w:rPr>
                        <w:t>DA001</w:t>
                      </w:r>
                    </w:p>
                  </w:txbxContent>
                </v:textbox>
              </v:shape>
            </w:pict>
          </mc:Fallback>
        </mc:AlternateContent>
      </w:r>
      <w:r>
        <w:rPr>
          <w:color w:val="auto"/>
          <w:sz w:val="21"/>
        </w:rPr>
        <mc:AlternateContent>
          <mc:Choice Requires="wps">
            <w:drawing>
              <wp:anchor distT="0" distB="0" distL="114300" distR="114300" simplePos="0" relativeHeight="251673600" behindDoc="0" locked="0" layoutInCell="1" allowOverlap="1">
                <wp:simplePos x="0" y="0"/>
                <wp:positionH relativeFrom="column">
                  <wp:posOffset>3771265</wp:posOffset>
                </wp:positionH>
                <wp:positionV relativeFrom="paragraph">
                  <wp:posOffset>1908810</wp:posOffset>
                </wp:positionV>
                <wp:extent cx="215900" cy="191135"/>
                <wp:effectExtent l="6350" t="6350" r="6350" b="12065"/>
                <wp:wrapNone/>
                <wp:docPr id="51" name="椭圆 51"/>
                <wp:cNvGraphicFramePr/>
                <a:graphic xmlns:a="http://schemas.openxmlformats.org/drawingml/2006/main">
                  <a:graphicData uri="http://schemas.microsoft.com/office/word/2010/wordprocessingShape">
                    <wps:wsp>
                      <wps:cNvSpPr/>
                      <wps:spPr>
                        <a:xfrm>
                          <a:off x="4824730" y="3627120"/>
                          <a:ext cx="215900" cy="191135"/>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96.95pt;margin-top:150.3pt;height:15.05pt;width:17pt;z-index:251673600;v-text-anchor:middle;mso-width-relative:page;mso-height-relative:page;" fillcolor="#FF0000" filled="t" stroked="t" coordsize="21600,21600" o:gfxdata="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2TBJwtYAAAALAQAADwAAAAAAAAABACAAAAAiAAAA&#10;ZHJzL2Rvd25yZXYueG1sUEsBAhQAFAAAAAgAh07iQGpxpV97AgAABAUAAA4AAAAAAAAAAQAgAAAA&#10;JQEAAGRycy9lMm9Eb2MueG1sUEsFBgAAAAAGAAYAWQEAABIGAAAAAA==&#10;">
                <v:fill on="t" focussize="0,0"/>
                <v:stroke weight="1pt" color="#FF0000 [24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669504" behindDoc="0" locked="0" layoutInCell="1" allowOverlap="1">
                <wp:simplePos x="0" y="0"/>
                <wp:positionH relativeFrom="column">
                  <wp:posOffset>3877945</wp:posOffset>
                </wp:positionH>
                <wp:positionV relativeFrom="paragraph">
                  <wp:posOffset>2688590</wp:posOffset>
                </wp:positionV>
                <wp:extent cx="666750" cy="287655"/>
                <wp:effectExtent l="295275" t="325755" r="9525" b="15240"/>
                <wp:wrapNone/>
                <wp:docPr id="20" name="矩形标注 20"/>
                <wp:cNvGraphicFramePr/>
                <a:graphic xmlns:a="http://schemas.openxmlformats.org/drawingml/2006/main">
                  <a:graphicData uri="http://schemas.microsoft.com/office/word/2010/wordprocessingShape">
                    <wps:wsp>
                      <wps:cNvSpPr/>
                      <wps:spPr>
                        <a:xfrm>
                          <a:off x="0" y="0"/>
                          <a:ext cx="666750" cy="287655"/>
                        </a:xfrm>
                        <a:prstGeom prst="wedgeRectCallout">
                          <a:avLst>
                            <a:gd name="adj1" fmla="val -87809"/>
                            <a:gd name="adj2" fmla="val -152869"/>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50521928">
                            <w:pPr>
                              <w:jc w:val="center"/>
                              <w:rPr>
                                <w:rFonts w:hint="default" w:eastAsia="宋体"/>
                                <w:color w:val="auto"/>
                                <w:lang w:val="en-US" w:eastAsia="zh-CN"/>
                              </w:rPr>
                            </w:pPr>
                            <w:r>
                              <w:rPr>
                                <w:rFonts w:hint="eastAsia"/>
                                <w:color w:val="auto"/>
                                <w:lang w:val="en-US"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05.35pt;margin-top:211.7pt;height:22.65pt;width:52.5pt;z-index:251669504;v-text-anchor:middle;mso-width-relative:page;mso-height-relative:page;" fillcolor="#FFFFFF [3212]" filled="t" stroked="t" coordsize="21600,21600" o:gfxdata="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Gnvtt2QAAAAsBAAAPAAAAAAAAAAEAIAAAACIAAABkcnMv&#10;ZG93bnJldi54bWxQSwECFAAUAAAACACHTuJABbxQw60CAABmBQAADgAAAAAAAAABACAAAAAoAQAA&#10;ZHJzL2Uyb0RvYy54bWxQSwUGAAAAAAYABgBZAQAARwYAAAAA&#10;" adj="-8167,-22220">
                <v:fill on="t" focussize="0,0"/>
                <v:stroke weight="1pt" color="#000000 [3213]" miterlimit="8" joinstyle="miter"/>
                <v:imagedata o:title=""/>
                <o:lock v:ext="edit" aspectratio="f"/>
                <v:textbox>
                  <w:txbxContent>
                    <w:p w14:paraId="50521928">
                      <w:pPr>
                        <w:jc w:val="center"/>
                        <w:rPr>
                          <w:rFonts w:hint="default" w:eastAsia="宋体"/>
                          <w:color w:val="auto"/>
                          <w:lang w:val="en-US" w:eastAsia="zh-CN"/>
                        </w:rPr>
                      </w:pPr>
                      <w:r>
                        <w:rPr>
                          <w:rFonts w:hint="eastAsia"/>
                          <w:color w:val="auto"/>
                          <w:lang w:val="en-US" w:eastAsia="zh-CN"/>
                        </w:rPr>
                        <w:t>本项目</w:t>
                      </w:r>
                    </w:p>
                  </w:txbxContent>
                </v:textbox>
              </v:shape>
            </w:pict>
          </mc:Fallback>
        </mc:AlternateContent>
      </w:r>
      <w:r>
        <w:rPr>
          <w:b/>
          <w:color w:val="auto"/>
        </w:rPr>
        <w:drawing>
          <wp:anchor distT="0" distB="0" distL="114300" distR="114300" simplePos="0" relativeHeight="251671552" behindDoc="0" locked="0" layoutInCell="1" allowOverlap="1">
            <wp:simplePos x="0" y="0"/>
            <wp:positionH relativeFrom="column">
              <wp:posOffset>4966335</wp:posOffset>
            </wp:positionH>
            <wp:positionV relativeFrom="paragraph">
              <wp:posOffset>130810</wp:posOffset>
            </wp:positionV>
            <wp:extent cx="790575" cy="788035"/>
            <wp:effectExtent l="127000" t="127635" r="130175" b="132080"/>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rot="20147770">
                      <a:off x="0" y="0"/>
                      <a:ext cx="790575" cy="788035"/>
                    </a:xfrm>
                    <a:prstGeom prst="rect">
                      <a:avLst/>
                    </a:prstGeom>
                    <a:noFill/>
                    <a:ln>
                      <a:noFill/>
                    </a:ln>
                  </pic:spPr>
                </pic:pic>
              </a:graphicData>
            </a:graphic>
          </wp:anchor>
        </w:drawing>
      </w:r>
      <w:r>
        <w:rPr>
          <w:color w:val="auto"/>
          <w:sz w:val="21"/>
        </w:rPr>
        <mc:AlternateContent>
          <mc:Choice Requires="wps">
            <w:drawing>
              <wp:anchor distT="0" distB="0" distL="114300" distR="114300" simplePos="0" relativeHeight="251670528" behindDoc="0" locked="0" layoutInCell="1" allowOverlap="1">
                <wp:simplePos x="0" y="0"/>
                <wp:positionH relativeFrom="column">
                  <wp:posOffset>3347085</wp:posOffset>
                </wp:positionH>
                <wp:positionV relativeFrom="paragraph">
                  <wp:posOffset>1844675</wp:posOffset>
                </wp:positionV>
                <wp:extent cx="339725" cy="562610"/>
                <wp:effectExtent l="6350" t="6350" r="15875" b="21590"/>
                <wp:wrapNone/>
                <wp:docPr id="19" name="矩形 19"/>
                <wp:cNvGraphicFramePr/>
                <a:graphic xmlns:a="http://schemas.openxmlformats.org/drawingml/2006/main">
                  <a:graphicData uri="http://schemas.microsoft.com/office/word/2010/wordprocessingShape">
                    <wps:wsp>
                      <wps:cNvSpPr/>
                      <wps:spPr>
                        <a:xfrm>
                          <a:off x="4067175" y="3446780"/>
                          <a:ext cx="339725" cy="56261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3.55pt;margin-top:145.25pt;height:44.3pt;width:26.75pt;z-index:251670528;v-text-anchor:middle;mso-width-relative:page;mso-height-relative:page;" filled="f" stroked="t" coordsize="21600,21600" o:gfxdata="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ToXSbdgAAAALAQAADwAAAAAAAAABACAAAAAiAAAA&#10;ZHJzL2Rvd25yZXYueG1sUEsBAhQAFAAAAAgAh07iQIC+A8R5AgAA2AQAAA4AAAAAAAAAAQAgAAAA&#10;JwEAAGRycy9lMm9Eb2MueG1sUEsFBgAAAAAGAAYAWQEAABIGAAAAAA==&#10;">
                <v:fill on="f" focussize="0,0"/>
                <v:stroke weight="1pt" color="#FF0000 [2404]" miterlimit="8" joinstyle="miter"/>
                <v:imagedata o:title=""/>
                <o:lock v:ext="edit" aspectratio="f"/>
              </v:rect>
            </w:pict>
          </mc:Fallback>
        </mc:AlternateContent>
      </w:r>
      <w:r>
        <w:rPr>
          <w:b/>
          <w:color w:val="auto"/>
          <w:sz w:val="24"/>
        </w:rPr>
        <w:drawing>
          <wp:inline distT="0" distB="0" distL="0" distR="0">
            <wp:extent cx="5760720" cy="7661910"/>
            <wp:effectExtent l="0" t="0" r="11430" b="1524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5760720" cy="7661910"/>
                    </a:xfrm>
                    <a:prstGeom prst="rect">
                      <a:avLst/>
                    </a:prstGeom>
                  </pic:spPr>
                </pic:pic>
              </a:graphicData>
            </a:graphic>
          </wp:inline>
        </w:drawing>
      </w:r>
    </w:p>
    <w:p w14:paraId="1438ED0B">
      <w:pPr>
        <w:rPr>
          <w:color w:val="auto"/>
        </w:rPr>
      </w:pPr>
    </w:p>
    <w:p w14:paraId="09AFF815">
      <w:pPr>
        <w:pStyle w:val="3"/>
        <w:rPr>
          <w:color w:val="auto"/>
        </w:rPr>
      </w:pPr>
    </w:p>
    <w:p w14:paraId="70050645">
      <w:pPr>
        <w:pStyle w:val="4"/>
        <w:rPr>
          <w:color w:val="auto"/>
        </w:rPr>
        <w:sectPr>
          <w:pgSz w:w="11907" w:h="16840"/>
          <w:pgMar w:top="1418" w:right="1134" w:bottom="1418" w:left="1134" w:header="851" w:footer="992" w:gutter="0"/>
          <w:pgBorders>
            <w:top w:val="none" w:sz="0" w:space="0"/>
            <w:left w:val="none" w:sz="0" w:space="0"/>
            <w:bottom w:val="none" w:sz="0" w:space="0"/>
            <w:right w:val="none" w:sz="0" w:space="0"/>
          </w:pgBorders>
          <w:cols w:space="720" w:num="1"/>
          <w:docGrid w:linePitch="326" w:charSpace="0"/>
        </w:sectPr>
      </w:pPr>
    </w:p>
    <w:p w14:paraId="557FFF67">
      <w:pPr>
        <w:jc w:val="left"/>
        <w:outlineLvl w:val="0"/>
        <w:rPr>
          <w:b/>
          <w:bCs/>
          <w:color w:val="auto"/>
          <w:sz w:val="28"/>
        </w:rPr>
      </w:pPr>
      <w:r>
        <w:rPr>
          <w:rFonts w:hint="eastAsia"/>
          <w:b/>
          <w:bCs/>
          <w:color w:val="auto"/>
          <w:sz w:val="28"/>
        </w:rPr>
        <w:t>附图4：项目周边照片</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50"/>
        <w:gridCol w:w="6950"/>
      </w:tblGrid>
      <w:tr w14:paraId="2D9F6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2" w:hRule="atLeast"/>
        </w:trPr>
        <w:tc>
          <w:tcPr>
            <w:tcW w:w="6950" w:type="dxa"/>
            <w:tcBorders>
              <w:tl2br w:val="nil"/>
              <w:tr2bl w:val="nil"/>
            </w:tcBorders>
            <w:vAlign w:val="center"/>
          </w:tcPr>
          <w:p w14:paraId="5A5A3358">
            <w:pPr>
              <w:jc w:val="center"/>
              <w:rPr>
                <w:rFonts w:hint="eastAsia" w:eastAsia="宋体"/>
                <w:color w:val="auto"/>
                <w:lang w:eastAsia="zh-CN"/>
              </w:rPr>
            </w:pPr>
            <w:r>
              <w:rPr>
                <w:rFonts w:hint="eastAsia" w:eastAsia="宋体"/>
                <w:color w:val="auto"/>
                <w:lang w:eastAsia="zh-CN"/>
              </w:rPr>
              <w:drawing>
                <wp:inline distT="0" distB="0" distL="114300" distR="114300">
                  <wp:extent cx="3285490" cy="2464435"/>
                  <wp:effectExtent l="0" t="0" r="10160" b="12065"/>
                  <wp:docPr id="21" name="图片 21" descr="场区东北 荒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场区东北 荒地"/>
                          <pic:cNvPicPr>
                            <a:picLocks noChangeAspect="1"/>
                          </pic:cNvPicPr>
                        </pic:nvPicPr>
                        <pic:blipFill>
                          <a:blip r:embed="rId40"/>
                          <a:stretch>
                            <a:fillRect/>
                          </a:stretch>
                        </pic:blipFill>
                        <pic:spPr>
                          <a:xfrm>
                            <a:off x="0" y="0"/>
                            <a:ext cx="3285490" cy="2464435"/>
                          </a:xfrm>
                          <a:prstGeom prst="rect">
                            <a:avLst/>
                          </a:prstGeom>
                        </pic:spPr>
                      </pic:pic>
                    </a:graphicData>
                  </a:graphic>
                </wp:inline>
              </w:drawing>
            </w:r>
          </w:p>
        </w:tc>
        <w:tc>
          <w:tcPr>
            <w:tcW w:w="6950" w:type="dxa"/>
            <w:tcBorders>
              <w:tl2br w:val="nil"/>
              <w:tr2bl w:val="nil"/>
            </w:tcBorders>
            <w:vAlign w:val="center"/>
          </w:tcPr>
          <w:p w14:paraId="052A4B51">
            <w:pPr>
              <w:jc w:val="center"/>
              <w:rPr>
                <w:rFonts w:hint="eastAsia" w:eastAsia="宋体"/>
                <w:color w:val="auto"/>
                <w:lang w:eastAsia="zh-CN"/>
              </w:rPr>
            </w:pPr>
            <w:r>
              <w:rPr>
                <w:rFonts w:hint="eastAsia" w:eastAsia="宋体"/>
                <w:color w:val="auto"/>
                <w:lang w:eastAsia="zh-CN"/>
              </w:rPr>
              <w:drawing>
                <wp:inline distT="0" distB="0" distL="114300" distR="114300">
                  <wp:extent cx="3310255" cy="2482850"/>
                  <wp:effectExtent l="0" t="0" r="4445" b="12700"/>
                  <wp:docPr id="44" name="图片 44" descr="场区西南 隔路开荒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场区西南 隔路开荒地"/>
                          <pic:cNvPicPr>
                            <a:picLocks noChangeAspect="1"/>
                          </pic:cNvPicPr>
                        </pic:nvPicPr>
                        <pic:blipFill>
                          <a:blip r:embed="rId41"/>
                          <a:stretch>
                            <a:fillRect/>
                          </a:stretch>
                        </pic:blipFill>
                        <pic:spPr>
                          <a:xfrm>
                            <a:off x="0" y="0"/>
                            <a:ext cx="3310255" cy="2482850"/>
                          </a:xfrm>
                          <a:prstGeom prst="rect">
                            <a:avLst/>
                          </a:prstGeom>
                        </pic:spPr>
                      </pic:pic>
                    </a:graphicData>
                  </a:graphic>
                </wp:inline>
              </w:drawing>
            </w:r>
          </w:p>
        </w:tc>
      </w:tr>
      <w:tr w14:paraId="592B4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6950" w:type="dxa"/>
            <w:tcBorders>
              <w:tl2br w:val="nil"/>
              <w:tr2bl w:val="nil"/>
            </w:tcBorders>
            <w:vAlign w:val="center"/>
          </w:tcPr>
          <w:p w14:paraId="5C685499">
            <w:pPr>
              <w:jc w:val="center"/>
              <w:rPr>
                <w:rFonts w:hint="eastAsia" w:eastAsia="宋体"/>
                <w:b/>
                <w:bCs/>
                <w:color w:val="auto"/>
                <w:szCs w:val="21"/>
                <w:lang w:eastAsia="zh-CN"/>
              </w:rPr>
            </w:pPr>
            <w:r>
              <w:rPr>
                <w:b/>
                <w:bCs/>
                <w:color w:val="auto"/>
                <w:szCs w:val="21"/>
              </w:rPr>
              <w:t>厂区东侧</w:t>
            </w:r>
            <w:r>
              <w:rPr>
                <w:rFonts w:hint="eastAsia"/>
                <w:b/>
                <w:bCs/>
                <w:color w:val="auto"/>
                <w:szCs w:val="21"/>
              </w:rPr>
              <w:t>为</w:t>
            </w:r>
            <w:r>
              <w:rPr>
                <w:rFonts w:hint="eastAsia"/>
                <w:b/>
                <w:bCs/>
                <w:color w:val="auto"/>
                <w:szCs w:val="21"/>
                <w:lang w:val="en-US" w:eastAsia="zh-CN"/>
              </w:rPr>
              <w:t>荒地</w:t>
            </w:r>
          </w:p>
        </w:tc>
        <w:tc>
          <w:tcPr>
            <w:tcW w:w="6950" w:type="dxa"/>
            <w:tcBorders>
              <w:tl2br w:val="nil"/>
              <w:tr2bl w:val="nil"/>
            </w:tcBorders>
            <w:vAlign w:val="center"/>
          </w:tcPr>
          <w:p w14:paraId="5B88273C">
            <w:pPr>
              <w:jc w:val="center"/>
              <w:rPr>
                <w:rFonts w:hint="eastAsia" w:eastAsia="宋体"/>
                <w:b/>
                <w:bCs/>
                <w:color w:val="auto"/>
                <w:szCs w:val="21"/>
                <w:lang w:eastAsia="zh-CN"/>
              </w:rPr>
            </w:pPr>
            <w:r>
              <w:rPr>
                <w:b/>
                <w:bCs/>
                <w:color w:val="auto"/>
                <w:szCs w:val="21"/>
              </w:rPr>
              <w:t>厂区南侧为</w:t>
            </w:r>
            <w:r>
              <w:rPr>
                <w:rFonts w:hint="eastAsia"/>
                <w:b/>
                <w:bCs/>
                <w:color w:val="auto"/>
                <w:szCs w:val="21"/>
                <w:lang w:val="en-US" w:eastAsia="zh-CN"/>
              </w:rPr>
              <w:t>荒地</w:t>
            </w:r>
          </w:p>
        </w:tc>
      </w:tr>
      <w:tr w14:paraId="133AB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0" w:hRule="atLeast"/>
        </w:trPr>
        <w:tc>
          <w:tcPr>
            <w:tcW w:w="6950" w:type="dxa"/>
            <w:tcBorders>
              <w:tl2br w:val="nil"/>
              <w:tr2bl w:val="nil"/>
            </w:tcBorders>
            <w:vAlign w:val="center"/>
          </w:tcPr>
          <w:p w14:paraId="290D1891">
            <w:pPr>
              <w:jc w:val="center"/>
              <w:rPr>
                <w:rFonts w:hint="eastAsia" w:eastAsia="宋体"/>
                <w:b/>
                <w:bCs/>
                <w:color w:val="auto"/>
                <w:szCs w:val="21"/>
                <w:lang w:eastAsia="zh-CN"/>
              </w:rPr>
            </w:pPr>
            <w:bookmarkStart w:id="23" w:name="_Toc73523382"/>
            <w:r>
              <w:rPr>
                <w:rFonts w:hint="eastAsia" w:eastAsia="宋体"/>
                <w:b/>
                <w:bCs/>
                <w:color w:val="auto"/>
                <w:szCs w:val="21"/>
                <w:lang w:eastAsia="zh-CN"/>
              </w:rPr>
              <w:drawing>
                <wp:inline distT="0" distB="0" distL="114300" distR="114300">
                  <wp:extent cx="3272155" cy="2454275"/>
                  <wp:effectExtent l="0" t="0" r="4445" b="3175"/>
                  <wp:docPr id="28" name="图片 28" descr="场区西北 开荒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场区西北 开荒地2"/>
                          <pic:cNvPicPr>
                            <a:picLocks noChangeAspect="1"/>
                          </pic:cNvPicPr>
                        </pic:nvPicPr>
                        <pic:blipFill>
                          <a:blip r:embed="rId42"/>
                          <a:stretch>
                            <a:fillRect/>
                          </a:stretch>
                        </pic:blipFill>
                        <pic:spPr>
                          <a:xfrm>
                            <a:off x="0" y="0"/>
                            <a:ext cx="3272155" cy="2454275"/>
                          </a:xfrm>
                          <a:prstGeom prst="rect">
                            <a:avLst/>
                          </a:prstGeom>
                        </pic:spPr>
                      </pic:pic>
                    </a:graphicData>
                  </a:graphic>
                </wp:inline>
              </w:drawing>
            </w:r>
          </w:p>
        </w:tc>
        <w:tc>
          <w:tcPr>
            <w:tcW w:w="6950" w:type="dxa"/>
            <w:tcBorders>
              <w:tl2br w:val="nil"/>
              <w:tr2bl w:val="nil"/>
            </w:tcBorders>
            <w:vAlign w:val="center"/>
          </w:tcPr>
          <w:p w14:paraId="06C4959A">
            <w:pPr>
              <w:jc w:val="center"/>
              <w:rPr>
                <w:rFonts w:hint="eastAsia" w:eastAsia="宋体"/>
                <w:b/>
                <w:bCs/>
                <w:color w:val="auto"/>
                <w:szCs w:val="21"/>
                <w:lang w:eastAsia="zh-CN"/>
              </w:rPr>
            </w:pPr>
            <w:r>
              <w:rPr>
                <w:rFonts w:hint="eastAsia" w:eastAsia="宋体"/>
                <w:b/>
                <w:bCs/>
                <w:color w:val="auto"/>
                <w:szCs w:val="21"/>
                <w:lang w:eastAsia="zh-CN"/>
              </w:rPr>
              <w:drawing>
                <wp:inline distT="0" distB="0" distL="114300" distR="114300">
                  <wp:extent cx="3397250" cy="2547620"/>
                  <wp:effectExtent l="0" t="0" r="12700" b="5080"/>
                  <wp:docPr id="27" name="图片 27" descr="场区西北 开荒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场区西北 开荒地"/>
                          <pic:cNvPicPr>
                            <a:picLocks noChangeAspect="1"/>
                          </pic:cNvPicPr>
                        </pic:nvPicPr>
                        <pic:blipFill>
                          <a:blip r:embed="rId43"/>
                          <a:stretch>
                            <a:fillRect/>
                          </a:stretch>
                        </pic:blipFill>
                        <pic:spPr>
                          <a:xfrm>
                            <a:off x="0" y="0"/>
                            <a:ext cx="3397250" cy="2547620"/>
                          </a:xfrm>
                          <a:prstGeom prst="rect">
                            <a:avLst/>
                          </a:prstGeom>
                        </pic:spPr>
                      </pic:pic>
                    </a:graphicData>
                  </a:graphic>
                </wp:inline>
              </w:drawing>
            </w:r>
          </w:p>
        </w:tc>
      </w:tr>
      <w:tr w14:paraId="777A0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6950" w:type="dxa"/>
            <w:tcBorders>
              <w:tl2br w:val="nil"/>
              <w:tr2bl w:val="nil"/>
            </w:tcBorders>
            <w:vAlign w:val="center"/>
          </w:tcPr>
          <w:p w14:paraId="7F2BAC96">
            <w:pPr>
              <w:jc w:val="center"/>
              <w:rPr>
                <w:rFonts w:hint="eastAsia" w:eastAsia="宋体"/>
                <w:b/>
                <w:bCs/>
                <w:color w:val="auto"/>
                <w:szCs w:val="21"/>
                <w:lang w:val="en-US" w:eastAsia="zh-CN"/>
              </w:rPr>
            </w:pPr>
            <w:r>
              <w:rPr>
                <w:b/>
                <w:bCs/>
                <w:color w:val="auto"/>
                <w:szCs w:val="21"/>
              </w:rPr>
              <w:t>厂区西侧</w:t>
            </w:r>
            <w:r>
              <w:rPr>
                <w:rFonts w:hint="eastAsia"/>
                <w:b/>
                <w:bCs/>
                <w:color w:val="auto"/>
                <w:szCs w:val="21"/>
              </w:rPr>
              <w:t>为</w:t>
            </w:r>
            <w:r>
              <w:rPr>
                <w:rFonts w:hint="eastAsia"/>
                <w:b/>
                <w:bCs/>
                <w:color w:val="auto"/>
                <w:szCs w:val="21"/>
                <w:lang w:val="en-US" w:eastAsia="zh-CN"/>
              </w:rPr>
              <w:t>荒地</w:t>
            </w:r>
          </w:p>
        </w:tc>
        <w:tc>
          <w:tcPr>
            <w:tcW w:w="6950" w:type="dxa"/>
            <w:tcBorders>
              <w:tl2br w:val="nil"/>
              <w:tr2bl w:val="nil"/>
            </w:tcBorders>
            <w:vAlign w:val="center"/>
          </w:tcPr>
          <w:p w14:paraId="553C6887">
            <w:pPr>
              <w:jc w:val="center"/>
              <w:rPr>
                <w:rFonts w:hint="eastAsia" w:eastAsia="宋体"/>
                <w:b/>
                <w:bCs/>
                <w:color w:val="auto"/>
                <w:szCs w:val="21"/>
                <w:lang w:eastAsia="zh-CN"/>
              </w:rPr>
            </w:pPr>
            <w:r>
              <w:rPr>
                <w:b/>
                <w:bCs/>
                <w:color w:val="auto"/>
                <w:szCs w:val="21"/>
              </w:rPr>
              <w:t>厂区北侧为</w:t>
            </w:r>
            <w:r>
              <w:rPr>
                <w:rFonts w:hint="eastAsia"/>
                <w:b/>
                <w:bCs/>
                <w:color w:val="auto"/>
                <w:szCs w:val="21"/>
                <w:lang w:val="en-US" w:eastAsia="zh-CN"/>
              </w:rPr>
              <w:t>荒地</w:t>
            </w:r>
          </w:p>
        </w:tc>
      </w:tr>
      <w:bookmarkEnd w:id="23"/>
    </w:tbl>
    <w:p w14:paraId="7F4EADC3">
      <w:pPr>
        <w:widowControl/>
        <w:jc w:val="left"/>
        <w:outlineLvl w:val="0"/>
        <w:rPr>
          <w:b/>
          <w:bCs/>
          <w:color w:val="auto"/>
          <w:sz w:val="28"/>
        </w:rPr>
        <w:sectPr>
          <w:pgSz w:w="16840" w:h="11907" w:orient="landscape"/>
          <w:pgMar w:top="1134" w:right="1418" w:bottom="1134" w:left="1418" w:header="851" w:footer="992" w:gutter="0"/>
          <w:pgBorders>
            <w:top w:val="none" w:sz="0" w:space="0"/>
            <w:left w:val="none" w:sz="0" w:space="0"/>
            <w:bottom w:val="none" w:sz="0" w:space="0"/>
            <w:right w:val="none" w:sz="0" w:space="0"/>
          </w:pgBorders>
          <w:cols w:space="720" w:num="1"/>
          <w:docGrid w:linePitch="326" w:charSpace="0"/>
        </w:sectPr>
      </w:pPr>
    </w:p>
    <w:p w14:paraId="12200C3A">
      <w:pPr>
        <w:tabs>
          <w:tab w:val="left" w:pos="1159"/>
        </w:tabs>
        <w:outlineLvl w:val="0"/>
        <w:rPr>
          <w:rFonts w:hint="eastAsia"/>
          <w:b/>
          <w:bCs/>
          <w:color w:val="auto"/>
          <w:sz w:val="28"/>
        </w:rPr>
      </w:pPr>
      <w:bookmarkStart w:id="24" w:name="_Toc73523383"/>
      <w:r>
        <w:rPr>
          <w:rFonts w:hint="eastAsia"/>
          <w:b/>
          <w:bCs/>
          <w:color w:val="auto"/>
          <w:sz w:val="28"/>
        </w:rPr>
        <w:t>附件1：营业执照</w:t>
      </w:r>
      <w:bookmarkEnd w:id="24"/>
    </w:p>
    <w:p w14:paraId="5CEA28BD">
      <w:pPr>
        <w:pStyle w:val="47"/>
        <w:rPr>
          <w:rFonts w:hint="eastAsia" w:eastAsia="宋体"/>
          <w:b/>
          <w:bCs/>
          <w:color w:val="auto"/>
          <w:sz w:val="28"/>
          <w:lang w:eastAsia="zh-CN"/>
        </w:rPr>
      </w:pPr>
      <w:r>
        <w:rPr>
          <w:rFonts w:hint="eastAsia" w:eastAsia="宋体"/>
          <w:b/>
          <w:bCs/>
          <w:color w:val="auto"/>
          <w:sz w:val="28"/>
          <w:lang w:eastAsia="zh-CN"/>
        </w:rPr>
        <w:drawing>
          <wp:inline distT="0" distB="0" distL="114300" distR="114300">
            <wp:extent cx="5534025" cy="7620000"/>
            <wp:effectExtent l="0" t="0" r="9525" b="0"/>
            <wp:docPr id="32" name="图片 32" descr="dcd6e6dce982192a17baa00b4aca4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dcd6e6dce982192a17baa00b4aca4c4"/>
                    <pic:cNvPicPr>
                      <a:picLocks noChangeAspect="1"/>
                    </pic:cNvPicPr>
                  </pic:nvPicPr>
                  <pic:blipFill>
                    <a:blip r:embed="rId44"/>
                    <a:stretch>
                      <a:fillRect/>
                    </a:stretch>
                  </pic:blipFill>
                  <pic:spPr>
                    <a:xfrm>
                      <a:off x="0" y="0"/>
                      <a:ext cx="5534025" cy="7620000"/>
                    </a:xfrm>
                    <a:prstGeom prst="rect">
                      <a:avLst/>
                    </a:prstGeom>
                  </pic:spPr>
                </pic:pic>
              </a:graphicData>
            </a:graphic>
          </wp:inline>
        </w:drawing>
      </w:r>
    </w:p>
    <w:p w14:paraId="2938A8D1">
      <w:pPr>
        <w:rPr>
          <w:rFonts w:hint="eastAsia" w:eastAsia="宋体"/>
          <w:b/>
          <w:bCs/>
          <w:color w:val="auto"/>
          <w:sz w:val="28"/>
          <w:lang w:eastAsia="zh-CN"/>
        </w:rPr>
      </w:pPr>
    </w:p>
    <w:p w14:paraId="6AD9A171">
      <w:pPr>
        <w:pStyle w:val="2"/>
        <w:rPr>
          <w:rFonts w:hint="eastAsia"/>
          <w:color w:val="auto"/>
          <w:lang w:eastAsia="zh-CN"/>
        </w:rPr>
      </w:pPr>
    </w:p>
    <w:p w14:paraId="2D6882E8">
      <w:pPr>
        <w:tabs>
          <w:tab w:val="left" w:pos="1159"/>
        </w:tabs>
        <w:outlineLvl w:val="0"/>
        <w:rPr>
          <w:rFonts w:hint="eastAsia"/>
          <w:b/>
          <w:bCs/>
          <w:color w:val="auto"/>
          <w:sz w:val="28"/>
          <w:lang w:val="en-US" w:eastAsia="zh-CN"/>
        </w:rPr>
      </w:pPr>
      <w:r>
        <w:rPr>
          <w:rFonts w:hint="eastAsia"/>
          <w:b/>
          <w:bCs/>
          <w:color w:val="auto"/>
          <w:sz w:val="28"/>
        </w:rPr>
        <w:t>附件</w:t>
      </w:r>
      <w:r>
        <w:rPr>
          <w:rFonts w:hint="eastAsia"/>
          <w:b/>
          <w:bCs/>
          <w:color w:val="auto"/>
          <w:sz w:val="28"/>
          <w:lang w:val="en-US" w:eastAsia="zh-CN"/>
        </w:rPr>
        <w:t>2</w:t>
      </w:r>
      <w:r>
        <w:rPr>
          <w:rFonts w:hint="eastAsia"/>
          <w:b/>
          <w:bCs/>
          <w:color w:val="auto"/>
          <w:sz w:val="28"/>
        </w:rPr>
        <w:t>：</w:t>
      </w:r>
      <w:r>
        <w:rPr>
          <w:rFonts w:hint="eastAsia"/>
          <w:b/>
          <w:bCs/>
          <w:color w:val="auto"/>
          <w:sz w:val="28"/>
          <w:lang w:val="en-US" w:eastAsia="zh-CN"/>
        </w:rPr>
        <w:t>环评批复</w:t>
      </w:r>
    </w:p>
    <w:p w14:paraId="4969D415">
      <w:pPr>
        <w:pStyle w:val="210"/>
        <w:ind w:left="0" w:leftChars="0" w:firstLine="0" w:firstLineChars="0"/>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5271135" cy="7323455"/>
            <wp:effectExtent l="0" t="0" r="5715" b="10795"/>
            <wp:docPr id="59" name="图片 4" descr="石墨环评批复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 descr="石墨环评批复_00"/>
                    <pic:cNvPicPr>
                      <a:picLocks noChangeAspect="1"/>
                    </pic:cNvPicPr>
                  </pic:nvPicPr>
                  <pic:blipFill>
                    <a:blip r:embed="rId45"/>
                    <a:stretch>
                      <a:fillRect/>
                    </a:stretch>
                  </pic:blipFill>
                  <pic:spPr>
                    <a:xfrm>
                      <a:off x="0" y="0"/>
                      <a:ext cx="5271135" cy="7323455"/>
                    </a:xfrm>
                    <a:prstGeom prst="rect">
                      <a:avLst/>
                    </a:prstGeom>
                    <a:noFill/>
                    <a:ln>
                      <a:noFill/>
                    </a:ln>
                  </pic:spPr>
                </pic:pic>
              </a:graphicData>
            </a:graphic>
          </wp:inline>
        </w:drawing>
      </w:r>
      <w:r>
        <w:rPr>
          <w:rFonts w:hint="default" w:ascii="Times New Roman" w:hAnsi="Times New Roman" w:eastAsia="宋体" w:cs="Times New Roman"/>
          <w:color w:val="auto"/>
          <w:lang w:eastAsia="zh-CN"/>
        </w:rPr>
        <w:drawing>
          <wp:inline distT="0" distB="0" distL="114300" distR="114300">
            <wp:extent cx="5269230" cy="7454265"/>
            <wp:effectExtent l="0" t="0" r="7620" b="13335"/>
            <wp:docPr id="69" name="图片 5" descr="石墨环评批复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 descr="石墨环评批复_01"/>
                    <pic:cNvPicPr>
                      <a:picLocks noChangeAspect="1"/>
                    </pic:cNvPicPr>
                  </pic:nvPicPr>
                  <pic:blipFill>
                    <a:blip r:embed="rId46"/>
                    <a:stretch>
                      <a:fillRect/>
                    </a:stretch>
                  </pic:blipFill>
                  <pic:spPr>
                    <a:xfrm>
                      <a:off x="0" y="0"/>
                      <a:ext cx="5269230" cy="7454265"/>
                    </a:xfrm>
                    <a:prstGeom prst="rect">
                      <a:avLst/>
                    </a:prstGeom>
                    <a:noFill/>
                    <a:ln>
                      <a:noFill/>
                    </a:ln>
                  </pic:spPr>
                </pic:pic>
              </a:graphicData>
            </a:graphic>
          </wp:inline>
        </w:drawing>
      </w:r>
      <w:r>
        <w:rPr>
          <w:rFonts w:hint="default" w:ascii="Times New Roman" w:hAnsi="Times New Roman" w:eastAsia="宋体" w:cs="Times New Roman"/>
          <w:color w:val="auto"/>
          <w:lang w:eastAsia="zh-CN"/>
        </w:rPr>
        <w:drawing>
          <wp:inline distT="0" distB="0" distL="114300" distR="114300">
            <wp:extent cx="5269230" cy="7454265"/>
            <wp:effectExtent l="0" t="0" r="7620" b="13335"/>
            <wp:docPr id="67" name="图片 6" descr="石墨环评批复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 descr="石墨环评批复_02"/>
                    <pic:cNvPicPr>
                      <a:picLocks noChangeAspect="1"/>
                    </pic:cNvPicPr>
                  </pic:nvPicPr>
                  <pic:blipFill>
                    <a:blip r:embed="rId47"/>
                    <a:stretch>
                      <a:fillRect/>
                    </a:stretch>
                  </pic:blipFill>
                  <pic:spPr>
                    <a:xfrm>
                      <a:off x="0" y="0"/>
                      <a:ext cx="5269230" cy="7454265"/>
                    </a:xfrm>
                    <a:prstGeom prst="rect">
                      <a:avLst/>
                    </a:prstGeom>
                    <a:noFill/>
                    <a:ln>
                      <a:noFill/>
                    </a:ln>
                  </pic:spPr>
                </pic:pic>
              </a:graphicData>
            </a:graphic>
          </wp:inline>
        </w:drawing>
      </w:r>
      <w:r>
        <w:rPr>
          <w:rFonts w:hint="default" w:ascii="Times New Roman" w:hAnsi="Times New Roman" w:eastAsia="宋体" w:cs="Times New Roman"/>
          <w:color w:val="auto"/>
          <w:lang w:eastAsia="zh-CN"/>
        </w:rPr>
        <w:drawing>
          <wp:inline distT="0" distB="0" distL="114300" distR="114300">
            <wp:extent cx="5269230" cy="7447280"/>
            <wp:effectExtent l="0" t="0" r="7620" b="1270"/>
            <wp:docPr id="46" name="图片 7" descr="石墨环评批复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7" descr="石墨环评批复_03"/>
                    <pic:cNvPicPr>
                      <a:picLocks noChangeAspect="1"/>
                    </pic:cNvPicPr>
                  </pic:nvPicPr>
                  <pic:blipFill>
                    <a:blip r:embed="rId48"/>
                    <a:stretch>
                      <a:fillRect/>
                    </a:stretch>
                  </pic:blipFill>
                  <pic:spPr>
                    <a:xfrm>
                      <a:off x="0" y="0"/>
                      <a:ext cx="5269230" cy="7447280"/>
                    </a:xfrm>
                    <a:prstGeom prst="rect">
                      <a:avLst/>
                    </a:prstGeom>
                    <a:noFill/>
                    <a:ln>
                      <a:noFill/>
                    </a:ln>
                  </pic:spPr>
                </pic:pic>
              </a:graphicData>
            </a:graphic>
          </wp:inline>
        </w:drawing>
      </w:r>
    </w:p>
    <w:p w14:paraId="01F735D2">
      <w:pPr>
        <w:pStyle w:val="47"/>
        <w:jc w:val="center"/>
        <w:rPr>
          <w:rFonts w:hint="default"/>
          <w:color w:val="auto"/>
          <w:lang w:val="en-US" w:eastAsia="zh-CN"/>
        </w:rPr>
      </w:pPr>
    </w:p>
    <w:p w14:paraId="69B560C2">
      <w:pPr>
        <w:jc w:val="center"/>
        <w:rPr>
          <w:rFonts w:hint="default"/>
          <w:color w:val="auto"/>
          <w:lang w:val="en-US" w:eastAsia="zh-CN"/>
        </w:rPr>
      </w:pPr>
    </w:p>
    <w:p w14:paraId="69986A0B">
      <w:pPr>
        <w:pStyle w:val="72"/>
        <w:jc w:val="center"/>
        <w:rPr>
          <w:rFonts w:hint="default"/>
          <w:color w:val="auto"/>
          <w:lang w:val="en-US" w:eastAsia="zh-CN"/>
        </w:rPr>
      </w:pPr>
    </w:p>
    <w:p w14:paraId="13D6D0AA">
      <w:pPr>
        <w:pStyle w:val="72"/>
        <w:jc w:val="center"/>
        <w:rPr>
          <w:rFonts w:hint="default"/>
          <w:color w:val="auto"/>
          <w:lang w:val="en-US" w:eastAsia="zh-CN"/>
        </w:rPr>
      </w:pPr>
    </w:p>
    <w:p w14:paraId="10B9AFB1">
      <w:pPr>
        <w:pStyle w:val="72"/>
        <w:jc w:val="center"/>
        <w:rPr>
          <w:rFonts w:hint="default"/>
          <w:color w:val="auto"/>
          <w:lang w:val="en-US" w:eastAsia="zh-CN"/>
        </w:rPr>
      </w:pPr>
    </w:p>
    <w:p w14:paraId="60CF8D6A">
      <w:pPr>
        <w:tabs>
          <w:tab w:val="left" w:pos="1159"/>
        </w:tabs>
        <w:outlineLvl w:val="0"/>
        <w:rPr>
          <w:rFonts w:hint="default" w:eastAsia="宋体"/>
          <w:b/>
          <w:bCs/>
          <w:color w:val="auto"/>
          <w:sz w:val="28"/>
          <w:lang w:val="en-US" w:eastAsia="zh-CN"/>
        </w:rPr>
      </w:pPr>
      <w:r>
        <w:rPr>
          <w:rFonts w:hint="eastAsia"/>
          <w:b/>
          <w:bCs/>
          <w:color w:val="auto"/>
          <w:sz w:val="28"/>
        </w:rPr>
        <w:t>附件</w:t>
      </w:r>
      <w:r>
        <w:rPr>
          <w:rFonts w:hint="eastAsia"/>
          <w:b/>
          <w:bCs/>
          <w:color w:val="auto"/>
          <w:sz w:val="28"/>
          <w:lang w:val="en-US" w:eastAsia="zh-CN"/>
        </w:rPr>
        <w:t>3</w:t>
      </w:r>
      <w:r>
        <w:rPr>
          <w:rFonts w:hint="eastAsia"/>
          <w:b/>
          <w:bCs/>
          <w:color w:val="auto"/>
          <w:sz w:val="28"/>
        </w:rPr>
        <w:t>：</w:t>
      </w:r>
      <w:r>
        <w:rPr>
          <w:rFonts w:hint="eastAsia"/>
          <w:b/>
          <w:bCs/>
          <w:color w:val="auto"/>
          <w:sz w:val="28"/>
          <w:lang w:val="en-US" w:eastAsia="zh-CN"/>
        </w:rPr>
        <w:t>验收意见</w:t>
      </w:r>
    </w:p>
    <w:p w14:paraId="348A86DC">
      <w:pPr>
        <w:jc w:val="center"/>
        <w:rPr>
          <w:rFonts w:hint="eastAsia" w:eastAsia="宋体"/>
          <w:color w:val="auto"/>
          <w:lang w:eastAsia="zh-CN"/>
        </w:rPr>
      </w:pPr>
      <w:r>
        <w:rPr>
          <w:rFonts w:hint="eastAsia" w:eastAsia="宋体"/>
          <w:color w:val="auto"/>
          <w:lang w:eastAsia="zh-CN"/>
        </w:rPr>
        <w:drawing>
          <wp:inline distT="0" distB="0" distL="114300" distR="114300">
            <wp:extent cx="5186680" cy="8293100"/>
            <wp:effectExtent l="0" t="0" r="13970" b="12700"/>
            <wp:docPr id="79" name="图片 79" descr="09e421788b5a2d2a6ab7a55ffa223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09e421788b5a2d2a6ab7a55ffa223f7"/>
                    <pic:cNvPicPr>
                      <a:picLocks noChangeAspect="1"/>
                    </pic:cNvPicPr>
                  </pic:nvPicPr>
                  <pic:blipFill>
                    <a:blip r:embed="rId49"/>
                    <a:srcRect b="10065"/>
                    <a:stretch>
                      <a:fillRect/>
                    </a:stretch>
                  </pic:blipFill>
                  <pic:spPr>
                    <a:xfrm>
                      <a:off x="0" y="0"/>
                      <a:ext cx="5186680" cy="8293100"/>
                    </a:xfrm>
                    <a:prstGeom prst="rect">
                      <a:avLst/>
                    </a:prstGeom>
                  </pic:spPr>
                </pic:pic>
              </a:graphicData>
            </a:graphic>
          </wp:inline>
        </w:drawing>
      </w:r>
      <w:r>
        <w:rPr>
          <w:rFonts w:hint="eastAsia" w:eastAsia="宋体"/>
          <w:color w:val="auto"/>
          <w:lang w:eastAsia="zh-CN"/>
        </w:rPr>
        <w:drawing>
          <wp:inline distT="0" distB="0" distL="114300" distR="114300">
            <wp:extent cx="5549900" cy="8660130"/>
            <wp:effectExtent l="0" t="0" r="12700" b="7620"/>
            <wp:docPr id="78" name="图片 78" descr="f9bcb7c3ee57f45c25508b03aa97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f9bcb7c3ee57f45c25508b03aa97613"/>
                    <pic:cNvPicPr>
                      <a:picLocks noChangeAspect="1"/>
                    </pic:cNvPicPr>
                  </pic:nvPicPr>
                  <pic:blipFill>
                    <a:blip r:embed="rId50"/>
                    <a:srcRect t="5000" b="7224"/>
                    <a:stretch>
                      <a:fillRect/>
                    </a:stretch>
                  </pic:blipFill>
                  <pic:spPr>
                    <a:xfrm>
                      <a:off x="0" y="0"/>
                      <a:ext cx="5549900" cy="8660130"/>
                    </a:xfrm>
                    <a:prstGeom prst="rect">
                      <a:avLst/>
                    </a:prstGeom>
                  </pic:spPr>
                </pic:pic>
              </a:graphicData>
            </a:graphic>
          </wp:inline>
        </w:drawing>
      </w:r>
      <w:r>
        <w:rPr>
          <w:rFonts w:hint="eastAsia" w:eastAsia="宋体"/>
          <w:color w:val="auto"/>
          <w:lang w:eastAsia="zh-CN"/>
        </w:rPr>
        <w:drawing>
          <wp:inline distT="0" distB="0" distL="114300" distR="114300">
            <wp:extent cx="5599430" cy="8767445"/>
            <wp:effectExtent l="0" t="0" r="1270" b="14605"/>
            <wp:docPr id="77" name="图片 77" descr="cc9627ae152d6f5f3dd65c866c97f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cc9627ae152d6f5f3dd65c866c97f07"/>
                    <pic:cNvPicPr>
                      <a:picLocks noChangeAspect="1"/>
                    </pic:cNvPicPr>
                  </pic:nvPicPr>
                  <pic:blipFill>
                    <a:blip r:embed="rId51"/>
                    <a:srcRect t="11931"/>
                    <a:stretch>
                      <a:fillRect/>
                    </a:stretch>
                  </pic:blipFill>
                  <pic:spPr>
                    <a:xfrm>
                      <a:off x="0" y="0"/>
                      <a:ext cx="5599430" cy="8767445"/>
                    </a:xfrm>
                    <a:prstGeom prst="rect">
                      <a:avLst/>
                    </a:prstGeom>
                  </pic:spPr>
                </pic:pic>
              </a:graphicData>
            </a:graphic>
          </wp:inline>
        </w:drawing>
      </w:r>
      <w:r>
        <w:rPr>
          <w:rFonts w:hint="eastAsia" w:eastAsia="宋体"/>
          <w:color w:val="auto"/>
          <w:lang w:eastAsia="zh-CN"/>
        </w:rPr>
        <w:drawing>
          <wp:inline distT="0" distB="0" distL="114300" distR="114300">
            <wp:extent cx="5598795" cy="8466455"/>
            <wp:effectExtent l="0" t="0" r="1905" b="10795"/>
            <wp:docPr id="76" name="图片 76" descr="b7c675d6dee730f68ca1bb1b38a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b7c675d6dee730f68ca1bb1b38a4179"/>
                    <pic:cNvPicPr>
                      <a:picLocks noChangeAspect="1"/>
                    </pic:cNvPicPr>
                  </pic:nvPicPr>
                  <pic:blipFill>
                    <a:blip r:embed="rId52"/>
                    <a:srcRect b="14944"/>
                    <a:stretch>
                      <a:fillRect/>
                    </a:stretch>
                  </pic:blipFill>
                  <pic:spPr>
                    <a:xfrm>
                      <a:off x="0" y="0"/>
                      <a:ext cx="5598795" cy="8466455"/>
                    </a:xfrm>
                    <a:prstGeom prst="rect">
                      <a:avLst/>
                    </a:prstGeom>
                  </pic:spPr>
                </pic:pic>
              </a:graphicData>
            </a:graphic>
          </wp:inline>
        </w:drawing>
      </w:r>
    </w:p>
    <w:p w14:paraId="62D8FF37">
      <w:pPr>
        <w:pStyle w:val="72"/>
        <w:rPr>
          <w:rFonts w:hint="eastAsia" w:eastAsia="宋体"/>
          <w:color w:val="auto"/>
          <w:lang w:eastAsia="zh-CN"/>
        </w:rPr>
        <w:sectPr>
          <w:footerReference r:id="rId8" w:type="default"/>
          <w:pgSz w:w="11907" w:h="16839"/>
          <w:pgMar w:top="1440" w:right="1080" w:bottom="1440" w:left="1080" w:header="1247" w:footer="1247" w:gutter="0"/>
          <w:pgBorders>
            <w:top w:val="none" w:sz="0" w:space="0"/>
            <w:left w:val="none" w:sz="0" w:space="0"/>
            <w:bottom w:val="none" w:sz="0" w:space="0"/>
            <w:right w:val="none" w:sz="0" w:space="0"/>
          </w:pgBorders>
          <w:cols w:space="425" w:num="1"/>
          <w:docGrid w:type="lines" w:linePitch="312" w:charSpace="0"/>
        </w:sectPr>
      </w:pPr>
    </w:p>
    <w:p w14:paraId="60ED5469">
      <w:pPr>
        <w:tabs>
          <w:tab w:val="left" w:pos="1159"/>
        </w:tabs>
        <w:outlineLvl w:val="0"/>
        <w:rPr>
          <w:rFonts w:hint="default" w:eastAsia="宋体"/>
          <w:b/>
          <w:bCs/>
          <w:color w:val="auto"/>
          <w:sz w:val="28"/>
          <w:lang w:val="en-US" w:eastAsia="zh-CN"/>
        </w:rPr>
      </w:pPr>
      <w:r>
        <w:rPr>
          <w:rFonts w:hint="eastAsia"/>
          <w:b/>
          <w:bCs/>
          <w:color w:val="auto"/>
          <w:sz w:val="28"/>
        </w:rPr>
        <w:t>附件</w:t>
      </w:r>
      <w:r>
        <w:rPr>
          <w:rFonts w:hint="eastAsia"/>
          <w:b/>
          <w:bCs/>
          <w:color w:val="auto"/>
          <w:sz w:val="28"/>
          <w:lang w:val="en-US" w:eastAsia="zh-CN"/>
        </w:rPr>
        <w:t>4</w:t>
      </w:r>
      <w:r>
        <w:rPr>
          <w:rFonts w:hint="eastAsia"/>
          <w:b/>
          <w:bCs/>
          <w:color w:val="auto"/>
          <w:sz w:val="28"/>
        </w:rPr>
        <w:t>：</w:t>
      </w:r>
      <w:r>
        <w:rPr>
          <w:rFonts w:hint="eastAsia"/>
          <w:b/>
          <w:bCs/>
          <w:color w:val="auto"/>
          <w:sz w:val="28"/>
          <w:lang w:val="en-US" w:eastAsia="zh-CN"/>
        </w:rPr>
        <w:t>排污许可证</w:t>
      </w:r>
    </w:p>
    <w:p w14:paraId="0F346380">
      <w:pPr>
        <w:pStyle w:val="72"/>
        <w:ind w:left="0" w:leftChars="0" w:firstLine="0" w:firstLineChars="0"/>
        <w:jc w:val="center"/>
        <w:rPr>
          <w:color w:val="auto"/>
        </w:rPr>
      </w:pPr>
      <w:r>
        <w:rPr>
          <w:color w:val="auto"/>
        </w:rPr>
        <w:drawing>
          <wp:inline distT="0" distB="0" distL="114300" distR="114300">
            <wp:extent cx="7724775" cy="5424170"/>
            <wp:effectExtent l="0" t="0" r="9525" b="5080"/>
            <wp:docPr id="8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
                    <pic:cNvPicPr>
                      <a:picLocks noChangeAspect="1"/>
                    </pic:cNvPicPr>
                  </pic:nvPicPr>
                  <pic:blipFill>
                    <a:blip r:embed="rId53"/>
                    <a:stretch>
                      <a:fillRect/>
                    </a:stretch>
                  </pic:blipFill>
                  <pic:spPr>
                    <a:xfrm>
                      <a:off x="0" y="0"/>
                      <a:ext cx="7724775" cy="5424170"/>
                    </a:xfrm>
                    <a:prstGeom prst="rect">
                      <a:avLst/>
                    </a:prstGeom>
                    <a:noFill/>
                    <a:ln>
                      <a:noFill/>
                    </a:ln>
                  </pic:spPr>
                </pic:pic>
              </a:graphicData>
            </a:graphic>
          </wp:inline>
        </w:drawing>
      </w:r>
    </w:p>
    <w:p w14:paraId="4A559528">
      <w:pPr>
        <w:pStyle w:val="72"/>
        <w:ind w:left="0" w:leftChars="0" w:firstLine="0" w:firstLineChars="0"/>
        <w:rPr>
          <w:color w:val="auto"/>
        </w:rPr>
        <w:sectPr>
          <w:pgSz w:w="16839" w:h="11907" w:orient="landscape"/>
          <w:pgMar w:top="1080" w:right="1440" w:bottom="1080" w:left="1440" w:header="1247" w:footer="1247" w:gutter="0"/>
          <w:pgBorders>
            <w:top w:val="none" w:sz="0" w:space="0"/>
            <w:left w:val="none" w:sz="0" w:space="0"/>
            <w:bottom w:val="none" w:sz="0" w:space="0"/>
            <w:right w:val="none" w:sz="0" w:space="0"/>
          </w:pgBorders>
          <w:cols w:space="425" w:num="1"/>
          <w:docGrid w:type="lines" w:linePitch="312" w:charSpace="0"/>
        </w:sectPr>
      </w:pPr>
    </w:p>
    <w:p w14:paraId="53B3D211">
      <w:pPr>
        <w:tabs>
          <w:tab w:val="left" w:pos="1159"/>
        </w:tabs>
        <w:outlineLvl w:val="0"/>
        <w:rPr>
          <w:rFonts w:hint="default" w:eastAsia="宋体"/>
          <w:b/>
          <w:bCs/>
          <w:color w:val="auto"/>
          <w:sz w:val="28"/>
          <w:lang w:val="en-US" w:eastAsia="zh-CN"/>
        </w:rPr>
      </w:pPr>
      <w:bookmarkStart w:id="25" w:name="_Toc73523386"/>
      <w:r>
        <w:rPr>
          <w:rFonts w:hint="eastAsia"/>
          <w:b/>
          <w:bCs/>
          <w:color w:val="auto"/>
          <w:sz w:val="28"/>
        </w:rPr>
        <w:t>附件</w:t>
      </w:r>
      <w:r>
        <w:rPr>
          <w:rFonts w:hint="eastAsia"/>
          <w:b/>
          <w:bCs/>
          <w:color w:val="auto"/>
          <w:sz w:val="28"/>
          <w:lang w:val="en-US" w:eastAsia="zh-CN"/>
        </w:rPr>
        <w:t>5</w:t>
      </w:r>
      <w:r>
        <w:rPr>
          <w:rFonts w:hint="eastAsia"/>
          <w:b/>
          <w:bCs/>
          <w:color w:val="auto"/>
          <w:sz w:val="28"/>
        </w:rPr>
        <w:t>：</w:t>
      </w:r>
      <w:r>
        <w:rPr>
          <w:rFonts w:hint="eastAsia"/>
          <w:b/>
          <w:bCs/>
          <w:color w:val="auto"/>
          <w:sz w:val="28"/>
          <w:lang w:val="en-US" w:eastAsia="zh-CN"/>
        </w:rPr>
        <w:t>租赁合同</w:t>
      </w:r>
    </w:p>
    <w:p w14:paraId="4285FAA6">
      <w:pPr>
        <w:tabs>
          <w:tab w:val="left" w:pos="1159"/>
        </w:tabs>
        <w:jc w:val="center"/>
        <w:rPr>
          <w:rFonts w:hint="eastAsia" w:eastAsia="宋体"/>
          <w:b/>
          <w:bCs/>
          <w:color w:val="auto"/>
          <w:sz w:val="28"/>
          <w:lang w:eastAsia="zh-CN"/>
        </w:rPr>
      </w:pPr>
      <w:r>
        <w:rPr>
          <w:rFonts w:hint="eastAsia" w:eastAsia="宋体"/>
          <w:b/>
          <w:bCs/>
          <w:color w:val="auto"/>
          <w:sz w:val="28"/>
          <w:lang w:eastAsia="zh-CN"/>
        </w:rPr>
        <w:drawing>
          <wp:inline distT="0" distB="0" distL="114300" distR="114300">
            <wp:extent cx="5869940" cy="8314055"/>
            <wp:effectExtent l="0" t="0" r="16510" b="10795"/>
            <wp:docPr id="12" name="图片 12" descr="20251022_xlffiTfJiiMlKfXWiij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0251022_xlffiTfJiiMlKfXWiij_page-0001"/>
                    <pic:cNvPicPr>
                      <a:picLocks noChangeAspect="1"/>
                    </pic:cNvPicPr>
                  </pic:nvPicPr>
                  <pic:blipFill>
                    <a:blip r:embed="rId54"/>
                    <a:stretch>
                      <a:fillRect/>
                    </a:stretch>
                  </pic:blipFill>
                  <pic:spPr>
                    <a:xfrm>
                      <a:off x="0" y="0"/>
                      <a:ext cx="5869940" cy="8314055"/>
                    </a:xfrm>
                    <a:prstGeom prst="rect">
                      <a:avLst/>
                    </a:prstGeom>
                  </pic:spPr>
                </pic:pic>
              </a:graphicData>
            </a:graphic>
          </wp:inline>
        </w:drawing>
      </w:r>
      <w:r>
        <w:rPr>
          <w:rFonts w:hint="eastAsia" w:eastAsia="宋体"/>
          <w:b/>
          <w:bCs/>
          <w:color w:val="auto"/>
          <w:sz w:val="28"/>
          <w:lang w:eastAsia="zh-CN"/>
        </w:rPr>
        <w:drawing>
          <wp:inline distT="0" distB="0" distL="114300" distR="114300">
            <wp:extent cx="6276340" cy="8891905"/>
            <wp:effectExtent l="0" t="0" r="10160" b="4445"/>
            <wp:docPr id="10" name="图片 10" descr="20251022_xlffiTfJiiMlKfXWiij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20251022_xlffiTfJiiMlKfXWiij_page-0002"/>
                    <pic:cNvPicPr>
                      <a:picLocks noChangeAspect="1"/>
                    </pic:cNvPicPr>
                  </pic:nvPicPr>
                  <pic:blipFill>
                    <a:blip r:embed="rId55"/>
                    <a:stretch>
                      <a:fillRect/>
                    </a:stretch>
                  </pic:blipFill>
                  <pic:spPr>
                    <a:xfrm>
                      <a:off x="0" y="0"/>
                      <a:ext cx="6276340" cy="8891905"/>
                    </a:xfrm>
                    <a:prstGeom prst="rect">
                      <a:avLst/>
                    </a:prstGeom>
                  </pic:spPr>
                </pic:pic>
              </a:graphicData>
            </a:graphic>
          </wp:inline>
        </w:drawing>
      </w:r>
      <w:r>
        <w:rPr>
          <w:rFonts w:hint="eastAsia" w:eastAsia="宋体"/>
          <w:b/>
          <w:bCs/>
          <w:color w:val="auto"/>
          <w:sz w:val="28"/>
          <w:lang w:eastAsia="zh-CN"/>
        </w:rPr>
        <w:drawing>
          <wp:inline distT="0" distB="0" distL="114300" distR="114300">
            <wp:extent cx="6278880" cy="8885555"/>
            <wp:effectExtent l="0" t="0" r="7620" b="10795"/>
            <wp:docPr id="3" name="图片 3" descr="20251022_xlffiTfJiiMlKfXWiij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20251022_xlffiTfJiiMlKfXWiij_page-0003"/>
                    <pic:cNvPicPr>
                      <a:picLocks noChangeAspect="1"/>
                    </pic:cNvPicPr>
                  </pic:nvPicPr>
                  <pic:blipFill>
                    <a:blip r:embed="rId56"/>
                    <a:stretch>
                      <a:fillRect/>
                    </a:stretch>
                  </pic:blipFill>
                  <pic:spPr>
                    <a:xfrm>
                      <a:off x="0" y="0"/>
                      <a:ext cx="6278880" cy="8885555"/>
                    </a:xfrm>
                    <a:prstGeom prst="rect">
                      <a:avLst/>
                    </a:prstGeom>
                  </pic:spPr>
                </pic:pic>
              </a:graphicData>
            </a:graphic>
          </wp:inline>
        </w:drawing>
      </w:r>
      <w:r>
        <w:rPr>
          <w:rFonts w:hint="eastAsia" w:eastAsia="宋体"/>
          <w:b/>
          <w:bCs/>
          <w:color w:val="auto"/>
          <w:sz w:val="28"/>
          <w:lang w:eastAsia="zh-CN"/>
        </w:rPr>
        <w:drawing>
          <wp:inline distT="0" distB="0" distL="114300" distR="114300">
            <wp:extent cx="6303645" cy="8666480"/>
            <wp:effectExtent l="0" t="0" r="1905" b="1270"/>
            <wp:docPr id="1" name="图片 1" descr="afb9c6544ba7d5044e95bd09e1b7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afb9c6544ba7d5044e95bd09e1b7964"/>
                    <pic:cNvPicPr>
                      <a:picLocks noChangeAspect="1"/>
                    </pic:cNvPicPr>
                  </pic:nvPicPr>
                  <pic:blipFill>
                    <a:blip r:embed="rId57"/>
                    <a:stretch>
                      <a:fillRect/>
                    </a:stretch>
                  </pic:blipFill>
                  <pic:spPr>
                    <a:xfrm>
                      <a:off x="0" y="0"/>
                      <a:ext cx="6303645" cy="8666480"/>
                    </a:xfrm>
                    <a:prstGeom prst="rect">
                      <a:avLst/>
                    </a:prstGeom>
                  </pic:spPr>
                </pic:pic>
              </a:graphicData>
            </a:graphic>
          </wp:inline>
        </w:drawing>
      </w:r>
    </w:p>
    <w:p w14:paraId="2BE4EE45">
      <w:pPr>
        <w:tabs>
          <w:tab w:val="left" w:pos="1159"/>
        </w:tabs>
        <w:rPr>
          <w:b/>
          <w:bCs/>
          <w:color w:val="auto"/>
          <w:sz w:val="28"/>
        </w:rPr>
      </w:pPr>
    </w:p>
    <w:p w14:paraId="52A707EA">
      <w:pPr>
        <w:tabs>
          <w:tab w:val="left" w:pos="1159"/>
        </w:tabs>
        <w:outlineLvl w:val="0"/>
        <w:rPr>
          <w:b/>
          <w:bCs/>
          <w:color w:val="auto"/>
          <w:sz w:val="28"/>
        </w:rPr>
        <w:sectPr>
          <w:pgSz w:w="11907" w:h="16840"/>
          <w:pgMar w:top="1418" w:right="836" w:bottom="1418" w:left="1134" w:header="851" w:footer="992" w:gutter="0"/>
          <w:pgBorders>
            <w:top w:val="none" w:sz="0" w:space="0"/>
            <w:left w:val="none" w:sz="0" w:space="0"/>
            <w:bottom w:val="none" w:sz="0" w:space="0"/>
            <w:right w:val="none" w:sz="0" w:space="0"/>
          </w:pgBorders>
          <w:cols w:space="720" w:num="1"/>
          <w:docGrid w:linePitch="326" w:charSpace="0"/>
        </w:sectPr>
      </w:pPr>
    </w:p>
    <w:p w14:paraId="25D3B683">
      <w:pPr>
        <w:tabs>
          <w:tab w:val="left" w:pos="1159"/>
        </w:tabs>
        <w:spacing w:line="360" w:lineRule="auto"/>
        <w:outlineLvl w:val="0"/>
        <w:rPr>
          <w:rFonts w:ascii="Times New Roman" w:hAnsi="Times New Roman" w:eastAsia="宋体" w:cs="Times New Roman"/>
          <w:b/>
          <w:bCs/>
          <w:color w:val="auto"/>
          <w:sz w:val="28"/>
        </w:rPr>
      </w:pPr>
      <w:r>
        <w:rPr>
          <w:rFonts w:ascii="Times New Roman" w:hAnsi="Times New Roman" w:eastAsia="宋体" w:cs="Times New Roman"/>
          <w:b/>
          <w:bCs/>
          <w:color w:val="auto"/>
          <w:sz w:val="28"/>
        </w:rPr>
        <w:t>附件</w:t>
      </w:r>
      <w:r>
        <w:rPr>
          <w:rFonts w:hint="eastAsia" w:ascii="Times New Roman" w:hAnsi="Times New Roman" w:eastAsia="宋体" w:cs="Times New Roman"/>
          <w:b/>
          <w:bCs/>
          <w:color w:val="auto"/>
          <w:sz w:val="28"/>
          <w:lang w:val="en-US" w:eastAsia="zh-CN"/>
        </w:rPr>
        <w:t>6</w:t>
      </w:r>
      <w:r>
        <w:rPr>
          <w:rFonts w:ascii="Times New Roman" w:hAnsi="Times New Roman" w:eastAsia="宋体" w:cs="Times New Roman"/>
          <w:b/>
          <w:bCs/>
          <w:color w:val="auto"/>
          <w:sz w:val="28"/>
        </w:rPr>
        <w:t>：</w:t>
      </w:r>
      <w:r>
        <w:rPr>
          <w:rFonts w:hint="eastAsia" w:ascii="Times New Roman" w:hAnsi="Times New Roman" w:eastAsia="宋体" w:cs="Times New Roman"/>
          <w:b/>
          <w:bCs/>
          <w:color w:val="auto"/>
          <w:sz w:val="28"/>
        </w:rPr>
        <w:t>区域土地</w:t>
      </w:r>
      <w:r>
        <w:rPr>
          <w:rFonts w:ascii="Times New Roman" w:hAnsi="Times New Roman" w:eastAsia="宋体" w:cs="Times New Roman"/>
          <w:b/>
          <w:bCs/>
          <w:color w:val="auto"/>
          <w:sz w:val="28"/>
        </w:rPr>
        <w:t>利用规划图</w:t>
      </w:r>
    </w:p>
    <w:p w14:paraId="58CB12AF">
      <w:pPr>
        <w:tabs>
          <w:tab w:val="left" w:pos="1159"/>
        </w:tabs>
        <w:spacing w:line="360" w:lineRule="auto"/>
        <w:jc w:val="center"/>
        <w:outlineLvl w:val="9"/>
        <w:rPr>
          <w:b/>
          <w:bCs/>
          <w:color w:val="auto"/>
          <w:sz w:val="28"/>
        </w:rPr>
      </w:pPr>
      <w:r>
        <w:rPr>
          <w:b/>
          <w:color w:val="auto"/>
          <w:sz w:val="24"/>
        </w:rPr>
        <w:drawing>
          <wp:inline distT="0" distB="0" distL="0" distR="0">
            <wp:extent cx="6664325" cy="4711700"/>
            <wp:effectExtent l="0" t="0" r="3175" b="1270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664325" cy="4711700"/>
                    </a:xfrm>
                    <a:prstGeom prst="rect">
                      <a:avLst/>
                    </a:prstGeom>
                  </pic:spPr>
                </pic:pic>
              </a:graphicData>
            </a:graphic>
          </wp:inline>
        </w:drawing>
      </w:r>
    </w:p>
    <w:p w14:paraId="4DEA210B">
      <w:pPr>
        <w:tabs>
          <w:tab w:val="left" w:pos="1159"/>
        </w:tabs>
        <w:spacing w:line="360" w:lineRule="auto"/>
        <w:outlineLvl w:val="0"/>
        <w:rPr>
          <w:b/>
          <w:bCs/>
          <w:color w:val="auto"/>
          <w:sz w:val="28"/>
        </w:rPr>
        <w:sectPr>
          <w:pgSz w:w="16838" w:h="11906" w:orient="landscape"/>
          <w:pgMar w:top="1800" w:right="1440" w:bottom="1800" w:left="1440" w:header="851" w:footer="1077" w:gutter="0"/>
          <w:pgBorders>
            <w:top w:val="none" w:sz="0" w:space="0"/>
            <w:left w:val="none" w:sz="0" w:space="0"/>
            <w:bottom w:val="none" w:sz="0" w:space="0"/>
            <w:right w:val="none" w:sz="0" w:space="0"/>
          </w:pgBorders>
          <w:cols w:space="425" w:num="1"/>
          <w:docGrid w:linePitch="312" w:charSpace="0"/>
        </w:sectPr>
      </w:pPr>
    </w:p>
    <w:p w14:paraId="0C9411D1">
      <w:pPr>
        <w:tabs>
          <w:tab w:val="left" w:pos="1159"/>
        </w:tabs>
        <w:spacing w:line="360" w:lineRule="auto"/>
        <w:outlineLvl w:val="0"/>
        <w:rPr>
          <w:rFonts w:hint="default" w:eastAsia="宋体"/>
          <w:b/>
          <w:bCs/>
          <w:color w:val="auto"/>
          <w:sz w:val="28"/>
          <w:lang w:val="en-US" w:eastAsia="zh-CN"/>
        </w:rPr>
      </w:pPr>
      <w:r>
        <w:rPr>
          <w:rFonts w:hint="eastAsia"/>
          <w:b/>
          <w:bCs/>
          <w:color w:val="auto"/>
          <w:sz w:val="28"/>
          <w:lang w:val="en-US" w:eastAsia="zh-CN"/>
        </w:rPr>
        <w:t>附件7：生物质成型燃料检测报告</w:t>
      </w:r>
    </w:p>
    <w:p w14:paraId="1A58A40F">
      <w:pPr>
        <w:keepLines w:val="0"/>
        <w:pageBreakBefore w:val="0"/>
        <w:topLinePunct w:val="0"/>
        <w:bidi w:val="0"/>
        <w:spacing w:beforeAutospacing="0" w:afterAutospacing="0" w:line="360" w:lineRule="auto"/>
        <w:ind w:right="0" w:rightChars="0"/>
        <w:rPr>
          <w:rFonts w:hint="default" w:ascii="Times New Roman" w:hAnsi="Times New Roman" w:eastAsia="黑体" w:cs="Times New Roman"/>
          <w:snapToGrid w:val="0"/>
          <w:color w:val="auto"/>
          <w:sz w:val="32"/>
          <w:szCs w:val="32"/>
          <w:lang w:eastAsia="zh-CN"/>
        </w:rPr>
      </w:pPr>
      <w:r>
        <w:rPr>
          <w:rFonts w:hint="default" w:ascii="Times New Roman" w:hAnsi="Times New Roman" w:eastAsia="黑体" w:cs="Times New Roman"/>
          <w:snapToGrid w:val="0"/>
          <w:color w:val="auto"/>
          <w:sz w:val="32"/>
          <w:szCs w:val="32"/>
          <w:lang w:eastAsia="zh-CN"/>
        </w:rPr>
        <w:drawing>
          <wp:inline distT="0" distB="0" distL="114300" distR="114300">
            <wp:extent cx="5234305" cy="7019290"/>
            <wp:effectExtent l="0" t="0" r="4445" b="10160"/>
            <wp:docPr id="49" name="图片 49" descr="附件4  生物质检测报告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附件4  生物质检测报告_页面_1"/>
                    <pic:cNvPicPr>
                      <a:picLocks noChangeAspect="1"/>
                    </pic:cNvPicPr>
                  </pic:nvPicPr>
                  <pic:blipFill>
                    <a:blip r:embed="rId59"/>
                    <a:srcRect l="16069" t="10881" r="15243" b="24002"/>
                    <a:stretch>
                      <a:fillRect/>
                    </a:stretch>
                  </pic:blipFill>
                  <pic:spPr>
                    <a:xfrm>
                      <a:off x="0" y="0"/>
                      <a:ext cx="5234305" cy="7019290"/>
                    </a:xfrm>
                    <a:prstGeom prst="rect">
                      <a:avLst/>
                    </a:prstGeom>
                  </pic:spPr>
                </pic:pic>
              </a:graphicData>
            </a:graphic>
          </wp:inline>
        </w:drawing>
      </w:r>
      <w:r>
        <w:rPr>
          <w:rFonts w:hint="default" w:ascii="Times New Roman" w:hAnsi="Times New Roman" w:eastAsia="黑体" w:cs="Times New Roman"/>
          <w:snapToGrid w:val="0"/>
          <w:color w:val="auto"/>
          <w:sz w:val="32"/>
          <w:szCs w:val="32"/>
          <w:lang w:eastAsia="zh-CN"/>
        </w:rPr>
        <w:drawing>
          <wp:inline distT="0" distB="0" distL="114300" distR="114300">
            <wp:extent cx="5259070" cy="7100570"/>
            <wp:effectExtent l="0" t="0" r="17780" b="5080"/>
            <wp:docPr id="50" name="图片 50" descr="附件4  生物质检测报告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附件4  生物质检测报告_页面_2"/>
                    <pic:cNvPicPr>
                      <a:picLocks noChangeAspect="1"/>
                    </pic:cNvPicPr>
                  </pic:nvPicPr>
                  <pic:blipFill>
                    <a:blip r:embed="rId60"/>
                    <a:srcRect l="15390" t="8801" r="15390" b="25122"/>
                    <a:stretch>
                      <a:fillRect/>
                    </a:stretch>
                  </pic:blipFill>
                  <pic:spPr>
                    <a:xfrm>
                      <a:off x="0" y="0"/>
                      <a:ext cx="5259070" cy="7100570"/>
                    </a:xfrm>
                    <a:prstGeom prst="rect">
                      <a:avLst/>
                    </a:prstGeom>
                  </pic:spPr>
                </pic:pic>
              </a:graphicData>
            </a:graphic>
          </wp:inline>
        </w:drawing>
      </w:r>
      <w:r>
        <w:rPr>
          <w:rFonts w:hint="default" w:ascii="Times New Roman" w:hAnsi="Times New Roman" w:eastAsia="黑体" w:cs="Times New Roman"/>
          <w:snapToGrid w:val="0"/>
          <w:color w:val="auto"/>
          <w:sz w:val="32"/>
          <w:szCs w:val="32"/>
          <w:lang w:eastAsia="zh-CN"/>
        </w:rPr>
        <w:drawing>
          <wp:inline distT="0" distB="0" distL="114300" distR="114300">
            <wp:extent cx="5269230" cy="7174865"/>
            <wp:effectExtent l="0" t="0" r="7620" b="6985"/>
            <wp:docPr id="53" name="图片 53" descr="附件4  生物质检测报告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附件4  生物质检测报告_页面_3"/>
                    <pic:cNvPicPr>
                      <a:picLocks noChangeAspect="1"/>
                    </pic:cNvPicPr>
                  </pic:nvPicPr>
                  <pic:blipFill>
                    <a:blip r:embed="rId61"/>
                    <a:srcRect l="15164" t="9121" r="16521" b="25122"/>
                    <a:stretch>
                      <a:fillRect/>
                    </a:stretch>
                  </pic:blipFill>
                  <pic:spPr>
                    <a:xfrm>
                      <a:off x="0" y="0"/>
                      <a:ext cx="5269230" cy="7174865"/>
                    </a:xfrm>
                    <a:prstGeom prst="rect">
                      <a:avLst/>
                    </a:prstGeom>
                  </pic:spPr>
                </pic:pic>
              </a:graphicData>
            </a:graphic>
          </wp:inline>
        </w:drawing>
      </w:r>
    </w:p>
    <w:p w14:paraId="248CDACD">
      <w:pPr>
        <w:pStyle w:val="2"/>
        <w:rPr>
          <w:rFonts w:hint="default" w:ascii="Times New Roman" w:hAnsi="Times New Roman" w:eastAsia="黑体" w:cs="Times New Roman"/>
          <w:snapToGrid w:val="0"/>
          <w:color w:val="auto"/>
          <w:sz w:val="32"/>
          <w:szCs w:val="32"/>
          <w:lang w:eastAsia="zh-CN"/>
        </w:rPr>
      </w:pPr>
    </w:p>
    <w:p w14:paraId="096A831B">
      <w:pPr>
        <w:pStyle w:val="4"/>
        <w:rPr>
          <w:rFonts w:hint="default" w:ascii="Times New Roman" w:hAnsi="Times New Roman" w:eastAsia="黑体" w:cs="Times New Roman"/>
          <w:snapToGrid w:val="0"/>
          <w:color w:val="auto"/>
          <w:sz w:val="32"/>
          <w:szCs w:val="32"/>
          <w:lang w:eastAsia="zh-CN"/>
        </w:rPr>
        <w:sectPr>
          <w:pgSz w:w="11906" w:h="16838"/>
          <w:pgMar w:top="1440" w:right="1800" w:bottom="1440" w:left="1800" w:header="851" w:footer="1077" w:gutter="0"/>
          <w:pgBorders>
            <w:top w:val="none" w:sz="0" w:space="0"/>
            <w:left w:val="none" w:sz="0" w:space="0"/>
            <w:bottom w:val="none" w:sz="0" w:space="0"/>
            <w:right w:val="none" w:sz="0" w:space="0"/>
          </w:pgBorders>
          <w:cols w:space="425" w:num="1"/>
          <w:docGrid w:linePitch="312" w:charSpace="0"/>
        </w:sectPr>
      </w:pPr>
    </w:p>
    <w:p w14:paraId="37804B9C">
      <w:pPr>
        <w:tabs>
          <w:tab w:val="left" w:pos="1159"/>
        </w:tabs>
        <w:spacing w:line="360" w:lineRule="auto"/>
        <w:outlineLvl w:val="0"/>
        <w:rPr>
          <w:rFonts w:hint="default" w:eastAsia="宋体"/>
          <w:b/>
          <w:bCs/>
          <w:color w:val="auto"/>
          <w:sz w:val="28"/>
          <w:lang w:val="en-US" w:eastAsia="zh-CN"/>
        </w:rPr>
      </w:pPr>
      <w:r>
        <w:rPr>
          <w:b/>
          <w:bCs/>
          <w:color w:val="auto"/>
          <w:sz w:val="28"/>
        </w:rPr>
        <w:t>附件</w:t>
      </w:r>
      <w:r>
        <w:rPr>
          <w:rFonts w:hint="eastAsia"/>
          <w:b/>
          <w:bCs/>
          <w:color w:val="auto"/>
          <w:sz w:val="28"/>
          <w:lang w:val="en-US" w:eastAsia="zh-CN"/>
        </w:rPr>
        <w:t>8</w:t>
      </w:r>
      <w:r>
        <w:rPr>
          <w:b/>
          <w:bCs/>
          <w:color w:val="auto"/>
          <w:sz w:val="28"/>
        </w:rPr>
        <w:t>：</w:t>
      </w:r>
      <w:r>
        <w:rPr>
          <w:rFonts w:hint="eastAsia"/>
          <w:b/>
          <w:bCs/>
          <w:color w:val="auto"/>
          <w:sz w:val="28"/>
          <w:lang w:val="en-US" w:eastAsia="zh-CN"/>
        </w:rPr>
        <w:t>检测报告</w:t>
      </w:r>
    </w:p>
    <w:p w14:paraId="1538DB15">
      <w:pPr>
        <w:rPr>
          <w:rFonts w:hint="default"/>
          <w:color w:val="auto"/>
          <w:lang w:eastAsia="zh-CN"/>
        </w:rPr>
      </w:pPr>
      <w:r>
        <w:rPr>
          <w:rFonts w:hint="default"/>
          <w:color w:val="auto"/>
          <w:lang w:eastAsia="zh-CN"/>
        </w:rPr>
        <w:drawing>
          <wp:inline distT="0" distB="0" distL="114300" distR="114300">
            <wp:extent cx="5273040" cy="7452360"/>
            <wp:effectExtent l="0" t="0" r="3810" b="15240"/>
            <wp:docPr id="105" name="图片 105" descr="250109-02鸡西市海盛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250109-02鸡西市海盛_page-0001"/>
                    <pic:cNvPicPr>
                      <a:picLocks noChangeAspect="1"/>
                    </pic:cNvPicPr>
                  </pic:nvPicPr>
                  <pic:blipFill>
                    <a:blip r:embed="rId62"/>
                    <a:stretch>
                      <a:fillRect/>
                    </a:stretch>
                  </pic:blipFill>
                  <pic:spPr>
                    <a:xfrm>
                      <a:off x="0" y="0"/>
                      <a:ext cx="5273040" cy="7452360"/>
                    </a:xfrm>
                    <a:prstGeom prst="rect">
                      <a:avLst/>
                    </a:prstGeom>
                  </pic:spPr>
                </pic:pic>
              </a:graphicData>
            </a:graphic>
          </wp:inline>
        </w:drawing>
      </w:r>
      <w:r>
        <w:rPr>
          <w:rFonts w:hint="default"/>
          <w:color w:val="auto"/>
          <w:lang w:eastAsia="zh-CN"/>
        </w:rPr>
        <w:drawing>
          <wp:inline distT="0" distB="0" distL="114300" distR="114300">
            <wp:extent cx="5273040" cy="7452360"/>
            <wp:effectExtent l="0" t="0" r="3810" b="15240"/>
            <wp:docPr id="104" name="图片 104" descr="250109-02鸡西市海盛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250109-02鸡西市海盛_page-0002"/>
                    <pic:cNvPicPr>
                      <a:picLocks noChangeAspect="1"/>
                    </pic:cNvPicPr>
                  </pic:nvPicPr>
                  <pic:blipFill>
                    <a:blip r:embed="rId63"/>
                    <a:stretch>
                      <a:fillRect/>
                    </a:stretch>
                  </pic:blipFill>
                  <pic:spPr>
                    <a:xfrm>
                      <a:off x="0" y="0"/>
                      <a:ext cx="5273040" cy="7452360"/>
                    </a:xfrm>
                    <a:prstGeom prst="rect">
                      <a:avLst/>
                    </a:prstGeom>
                  </pic:spPr>
                </pic:pic>
              </a:graphicData>
            </a:graphic>
          </wp:inline>
        </w:drawing>
      </w:r>
      <w:r>
        <w:rPr>
          <w:rFonts w:hint="default"/>
          <w:color w:val="auto"/>
          <w:lang w:eastAsia="zh-CN"/>
        </w:rPr>
        <w:drawing>
          <wp:inline distT="0" distB="0" distL="114300" distR="114300">
            <wp:extent cx="5273040" cy="7452360"/>
            <wp:effectExtent l="0" t="0" r="3810" b="15240"/>
            <wp:docPr id="103" name="图片 103" descr="250109-02鸡西市海盛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250109-02鸡西市海盛_page-0003"/>
                    <pic:cNvPicPr>
                      <a:picLocks noChangeAspect="1"/>
                    </pic:cNvPicPr>
                  </pic:nvPicPr>
                  <pic:blipFill>
                    <a:blip r:embed="rId64"/>
                    <a:stretch>
                      <a:fillRect/>
                    </a:stretch>
                  </pic:blipFill>
                  <pic:spPr>
                    <a:xfrm>
                      <a:off x="0" y="0"/>
                      <a:ext cx="5273040" cy="7452360"/>
                    </a:xfrm>
                    <a:prstGeom prst="rect">
                      <a:avLst/>
                    </a:prstGeom>
                  </pic:spPr>
                </pic:pic>
              </a:graphicData>
            </a:graphic>
          </wp:inline>
        </w:drawing>
      </w:r>
      <w:r>
        <w:rPr>
          <w:rFonts w:hint="default"/>
          <w:color w:val="auto"/>
          <w:lang w:eastAsia="zh-CN"/>
        </w:rPr>
        <w:drawing>
          <wp:inline distT="0" distB="0" distL="114300" distR="114300">
            <wp:extent cx="5273040" cy="7452360"/>
            <wp:effectExtent l="0" t="0" r="3810" b="15240"/>
            <wp:docPr id="102" name="图片 102" descr="250109-02鸡西市海盛_p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250109-02鸡西市海盛_page-0004"/>
                    <pic:cNvPicPr>
                      <a:picLocks noChangeAspect="1"/>
                    </pic:cNvPicPr>
                  </pic:nvPicPr>
                  <pic:blipFill>
                    <a:blip r:embed="rId65"/>
                    <a:stretch>
                      <a:fillRect/>
                    </a:stretch>
                  </pic:blipFill>
                  <pic:spPr>
                    <a:xfrm>
                      <a:off x="0" y="0"/>
                      <a:ext cx="5273040" cy="7452360"/>
                    </a:xfrm>
                    <a:prstGeom prst="rect">
                      <a:avLst/>
                    </a:prstGeom>
                  </pic:spPr>
                </pic:pic>
              </a:graphicData>
            </a:graphic>
          </wp:inline>
        </w:drawing>
      </w:r>
      <w:r>
        <w:rPr>
          <w:rFonts w:hint="default"/>
          <w:color w:val="auto"/>
          <w:lang w:eastAsia="zh-CN"/>
        </w:rPr>
        <w:drawing>
          <wp:inline distT="0" distB="0" distL="114300" distR="114300">
            <wp:extent cx="5273040" cy="7452360"/>
            <wp:effectExtent l="0" t="0" r="3810" b="15240"/>
            <wp:docPr id="101" name="图片 101" descr="250109-02鸡西市海盛_page-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250109-02鸡西市海盛_page-0005"/>
                    <pic:cNvPicPr>
                      <a:picLocks noChangeAspect="1"/>
                    </pic:cNvPicPr>
                  </pic:nvPicPr>
                  <pic:blipFill>
                    <a:blip r:embed="rId66"/>
                    <a:stretch>
                      <a:fillRect/>
                    </a:stretch>
                  </pic:blipFill>
                  <pic:spPr>
                    <a:xfrm>
                      <a:off x="0" y="0"/>
                      <a:ext cx="5273040" cy="7452360"/>
                    </a:xfrm>
                    <a:prstGeom prst="rect">
                      <a:avLst/>
                    </a:prstGeom>
                  </pic:spPr>
                </pic:pic>
              </a:graphicData>
            </a:graphic>
          </wp:inline>
        </w:drawing>
      </w:r>
      <w:r>
        <w:rPr>
          <w:rFonts w:hint="default"/>
          <w:color w:val="auto"/>
          <w:lang w:eastAsia="zh-CN"/>
        </w:rPr>
        <w:drawing>
          <wp:inline distT="0" distB="0" distL="114300" distR="114300">
            <wp:extent cx="5274310" cy="7519670"/>
            <wp:effectExtent l="0" t="0" r="2540" b="5080"/>
            <wp:docPr id="110" name="图片 110" descr="WT2502136 海盛新材料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WT2502136 海盛新材料_page-0001"/>
                    <pic:cNvPicPr>
                      <a:picLocks noChangeAspect="1"/>
                    </pic:cNvPicPr>
                  </pic:nvPicPr>
                  <pic:blipFill>
                    <a:blip r:embed="rId67"/>
                    <a:stretch>
                      <a:fillRect/>
                    </a:stretch>
                  </pic:blipFill>
                  <pic:spPr>
                    <a:xfrm>
                      <a:off x="0" y="0"/>
                      <a:ext cx="5274310" cy="7519670"/>
                    </a:xfrm>
                    <a:prstGeom prst="rect">
                      <a:avLst/>
                    </a:prstGeom>
                  </pic:spPr>
                </pic:pic>
              </a:graphicData>
            </a:graphic>
          </wp:inline>
        </w:drawing>
      </w:r>
      <w:r>
        <w:rPr>
          <w:rFonts w:hint="default"/>
          <w:color w:val="auto"/>
          <w:lang w:eastAsia="zh-CN"/>
        </w:rPr>
        <w:drawing>
          <wp:inline distT="0" distB="0" distL="114300" distR="114300">
            <wp:extent cx="5274310" cy="7519670"/>
            <wp:effectExtent l="0" t="0" r="2540" b="5080"/>
            <wp:docPr id="109" name="图片 109" descr="WT2502136 海盛新材料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WT2502136 海盛新材料_page-0002"/>
                    <pic:cNvPicPr>
                      <a:picLocks noChangeAspect="1"/>
                    </pic:cNvPicPr>
                  </pic:nvPicPr>
                  <pic:blipFill>
                    <a:blip r:embed="rId68"/>
                    <a:stretch>
                      <a:fillRect/>
                    </a:stretch>
                  </pic:blipFill>
                  <pic:spPr>
                    <a:xfrm>
                      <a:off x="0" y="0"/>
                      <a:ext cx="5274310" cy="7519670"/>
                    </a:xfrm>
                    <a:prstGeom prst="rect">
                      <a:avLst/>
                    </a:prstGeom>
                  </pic:spPr>
                </pic:pic>
              </a:graphicData>
            </a:graphic>
          </wp:inline>
        </w:drawing>
      </w:r>
      <w:r>
        <w:rPr>
          <w:rFonts w:hint="default"/>
          <w:color w:val="auto"/>
          <w:lang w:eastAsia="zh-CN"/>
        </w:rPr>
        <w:drawing>
          <wp:inline distT="0" distB="0" distL="114300" distR="114300">
            <wp:extent cx="5274310" cy="7519670"/>
            <wp:effectExtent l="0" t="0" r="2540" b="5080"/>
            <wp:docPr id="108" name="图片 108" descr="WT2502136 海盛新材料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WT2502136 海盛新材料_page-0003"/>
                    <pic:cNvPicPr>
                      <a:picLocks noChangeAspect="1"/>
                    </pic:cNvPicPr>
                  </pic:nvPicPr>
                  <pic:blipFill>
                    <a:blip r:embed="rId69"/>
                    <a:stretch>
                      <a:fillRect/>
                    </a:stretch>
                  </pic:blipFill>
                  <pic:spPr>
                    <a:xfrm>
                      <a:off x="0" y="0"/>
                      <a:ext cx="5274310" cy="7519670"/>
                    </a:xfrm>
                    <a:prstGeom prst="rect">
                      <a:avLst/>
                    </a:prstGeom>
                  </pic:spPr>
                </pic:pic>
              </a:graphicData>
            </a:graphic>
          </wp:inline>
        </w:drawing>
      </w:r>
      <w:r>
        <w:rPr>
          <w:rFonts w:hint="default"/>
          <w:color w:val="auto"/>
          <w:lang w:eastAsia="zh-CN"/>
        </w:rPr>
        <w:drawing>
          <wp:inline distT="0" distB="0" distL="114300" distR="114300">
            <wp:extent cx="5274310" cy="7519670"/>
            <wp:effectExtent l="0" t="0" r="2540" b="5080"/>
            <wp:docPr id="107" name="图片 107" descr="WT2502136 海盛新材料_p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WT2502136 海盛新材料_page-0004"/>
                    <pic:cNvPicPr>
                      <a:picLocks noChangeAspect="1"/>
                    </pic:cNvPicPr>
                  </pic:nvPicPr>
                  <pic:blipFill>
                    <a:blip r:embed="rId70"/>
                    <a:stretch>
                      <a:fillRect/>
                    </a:stretch>
                  </pic:blipFill>
                  <pic:spPr>
                    <a:xfrm>
                      <a:off x="0" y="0"/>
                      <a:ext cx="5274310" cy="7519670"/>
                    </a:xfrm>
                    <a:prstGeom prst="rect">
                      <a:avLst/>
                    </a:prstGeom>
                  </pic:spPr>
                </pic:pic>
              </a:graphicData>
            </a:graphic>
          </wp:inline>
        </w:drawing>
      </w:r>
      <w:r>
        <w:rPr>
          <w:rFonts w:hint="default"/>
          <w:color w:val="auto"/>
          <w:lang w:eastAsia="zh-CN"/>
        </w:rPr>
        <w:drawing>
          <wp:inline distT="0" distB="0" distL="114300" distR="114300">
            <wp:extent cx="5274310" cy="7519670"/>
            <wp:effectExtent l="0" t="0" r="2540" b="5080"/>
            <wp:docPr id="106" name="图片 106" descr="WT2502136 海盛新材料_page-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WT2502136 海盛新材料_page-0005"/>
                    <pic:cNvPicPr>
                      <a:picLocks noChangeAspect="1"/>
                    </pic:cNvPicPr>
                  </pic:nvPicPr>
                  <pic:blipFill>
                    <a:blip r:embed="rId71"/>
                    <a:stretch>
                      <a:fillRect/>
                    </a:stretch>
                  </pic:blipFill>
                  <pic:spPr>
                    <a:xfrm>
                      <a:off x="0" y="0"/>
                      <a:ext cx="5274310" cy="7519670"/>
                    </a:xfrm>
                    <a:prstGeom prst="rect">
                      <a:avLst/>
                    </a:prstGeom>
                  </pic:spPr>
                </pic:pic>
              </a:graphicData>
            </a:graphic>
          </wp:inline>
        </w:drawing>
      </w:r>
      <w:r>
        <w:rPr>
          <w:rFonts w:hint="default"/>
          <w:color w:val="auto"/>
          <w:lang w:eastAsia="zh-CN"/>
        </w:rPr>
        <w:drawing>
          <wp:inline distT="0" distB="0" distL="114300" distR="114300">
            <wp:extent cx="5274310" cy="7519670"/>
            <wp:effectExtent l="0" t="0" r="2540" b="5080"/>
            <wp:docPr id="115" name="图片 115" descr="WT2504073 海盛新材料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WT2504073 海盛新材料_page-0001"/>
                    <pic:cNvPicPr>
                      <a:picLocks noChangeAspect="1"/>
                    </pic:cNvPicPr>
                  </pic:nvPicPr>
                  <pic:blipFill>
                    <a:blip r:embed="rId72"/>
                    <a:stretch>
                      <a:fillRect/>
                    </a:stretch>
                  </pic:blipFill>
                  <pic:spPr>
                    <a:xfrm>
                      <a:off x="0" y="0"/>
                      <a:ext cx="5274310" cy="7519670"/>
                    </a:xfrm>
                    <a:prstGeom prst="rect">
                      <a:avLst/>
                    </a:prstGeom>
                  </pic:spPr>
                </pic:pic>
              </a:graphicData>
            </a:graphic>
          </wp:inline>
        </w:drawing>
      </w:r>
      <w:r>
        <w:rPr>
          <w:rFonts w:hint="default"/>
          <w:color w:val="auto"/>
          <w:lang w:eastAsia="zh-CN"/>
        </w:rPr>
        <w:drawing>
          <wp:inline distT="0" distB="0" distL="114300" distR="114300">
            <wp:extent cx="5274310" cy="7519670"/>
            <wp:effectExtent l="0" t="0" r="2540" b="5080"/>
            <wp:docPr id="114" name="图片 114" descr="WT2504073 海盛新材料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WT2504073 海盛新材料_page-0002"/>
                    <pic:cNvPicPr>
                      <a:picLocks noChangeAspect="1"/>
                    </pic:cNvPicPr>
                  </pic:nvPicPr>
                  <pic:blipFill>
                    <a:blip r:embed="rId73"/>
                    <a:stretch>
                      <a:fillRect/>
                    </a:stretch>
                  </pic:blipFill>
                  <pic:spPr>
                    <a:xfrm>
                      <a:off x="0" y="0"/>
                      <a:ext cx="5274310" cy="7519670"/>
                    </a:xfrm>
                    <a:prstGeom prst="rect">
                      <a:avLst/>
                    </a:prstGeom>
                  </pic:spPr>
                </pic:pic>
              </a:graphicData>
            </a:graphic>
          </wp:inline>
        </w:drawing>
      </w:r>
      <w:r>
        <w:rPr>
          <w:rFonts w:hint="default"/>
          <w:color w:val="auto"/>
          <w:lang w:eastAsia="zh-CN"/>
        </w:rPr>
        <w:drawing>
          <wp:inline distT="0" distB="0" distL="114300" distR="114300">
            <wp:extent cx="5274310" cy="7519670"/>
            <wp:effectExtent l="0" t="0" r="2540" b="5080"/>
            <wp:docPr id="113" name="图片 113" descr="WT2504073 海盛新材料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WT2504073 海盛新材料_page-0003"/>
                    <pic:cNvPicPr>
                      <a:picLocks noChangeAspect="1"/>
                    </pic:cNvPicPr>
                  </pic:nvPicPr>
                  <pic:blipFill>
                    <a:blip r:embed="rId74"/>
                    <a:stretch>
                      <a:fillRect/>
                    </a:stretch>
                  </pic:blipFill>
                  <pic:spPr>
                    <a:xfrm>
                      <a:off x="0" y="0"/>
                      <a:ext cx="5274310" cy="7519670"/>
                    </a:xfrm>
                    <a:prstGeom prst="rect">
                      <a:avLst/>
                    </a:prstGeom>
                  </pic:spPr>
                </pic:pic>
              </a:graphicData>
            </a:graphic>
          </wp:inline>
        </w:drawing>
      </w:r>
      <w:r>
        <w:rPr>
          <w:rFonts w:hint="default"/>
          <w:color w:val="auto"/>
          <w:lang w:eastAsia="zh-CN"/>
        </w:rPr>
        <w:drawing>
          <wp:inline distT="0" distB="0" distL="114300" distR="114300">
            <wp:extent cx="5274310" cy="7519670"/>
            <wp:effectExtent l="0" t="0" r="2540" b="5080"/>
            <wp:docPr id="112" name="图片 112" descr="WT2504073 海盛新材料_p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WT2504073 海盛新材料_page-0004"/>
                    <pic:cNvPicPr>
                      <a:picLocks noChangeAspect="1"/>
                    </pic:cNvPicPr>
                  </pic:nvPicPr>
                  <pic:blipFill>
                    <a:blip r:embed="rId75"/>
                    <a:stretch>
                      <a:fillRect/>
                    </a:stretch>
                  </pic:blipFill>
                  <pic:spPr>
                    <a:xfrm>
                      <a:off x="0" y="0"/>
                      <a:ext cx="5274310" cy="7519670"/>
                    </a:xfrm>
                    <a:prstGeom prst="rect">
                      <a:avLst/>
                    </a:prstGeom>
                  </pic:spPr>
                </pic:pic>
              </a:graphicData>
            </a:graphic>
          </wp:inline>
        </w:drawing>
      </w:r>
      <w:r>
        <w:rPr>
          <w:rFonts w:hint="default"/>
          <w:color w:val="auto"/>
          <w:lang w:eastAsia="zh-CN"/>
        </w:rPr>
        <w:drawing>
          <wp:inline distT="0" distB="0" distL="114300" distR="114300">
            <wp:extent cx="5274310" cy="7519670"/>
            <wp:effectExtent l="0" t="0" r="2540" b="5080"/>
            <wp:docPr id="111" name="图片 111" descr="WT2504073 海盛新材料_page-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WT2504073 海盛新材料_page-0005"/>
                    <pic:cNvPicPr>
                      <a:picLocks noChangeAspect="1"/>
                    </pic:cNvPicPr>
                  </pic:nvPicPr>
                  <pic:blipFill>
                    <a:blip r:embed="rId76"/>
                    <a:stretch>
                      <a:fillRect/>
                    </a:stretch>
                  </pic:blipFill>
                  <pic:spPr>
                    <a:xfrm>
                      <a:off x="0" y="0"/>
                      <a:ext cx="5274310" cy="7519670"/>
                    </a:xfrm>
                    <a:prstGeom prst="rect">
                      <a:avLst/>
                    </a:prstGeom>
                  </pic:spPr>
                </pic:pic>
              </a:graphicData>
            </a:graphic>
          </wp:inline>
        </w:drawing>
      </w:r>
      <w:r>
        <w:rPr>
          <w:rFonts w:hint="default"/>
          <w:color w:val="auto"/>
          <w:lang w:eastAsia="zh-CN"/>
        </w:rPr>
        <w:drawing>
          <wp:inline distT="0" distB="0" distL="114300" distR="114300">
            <wp:extent cx="5274310" cy="7550785"/>
            <wp:effectExtent l="0" t="0" r="2540" b="12065"/>
            <wp:docPr id="120" name="图片 120" descr="WT2505109 海盛新材料-亿普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WT2505109 海盛新材料-亿普_page-0001"/>
                    <pic:cNvPicPr>
                      <a:picLocks noChangeAspect="1"/>
                    </pic:cNvPicPr>
                  </pic:nvPicPr>
                  <pic:blipFill>
                    <a:blip r:embed="rId77"/>
                    <a:stretch>
                      <a:fillRect/>
                    </a:stretch>
                  </pic:blipFill>
                  <pic:spPr>
                    <a:xfrm>
                      <a:off x="0" y="0"/>
                      <a:ext cx="5274310" cy="7550785"/>
                    </a:xfrm>
                    <a:prstGeom prst="rect">
                      <a:avLst/>
                    </a:prstGeom>
                  </pic:spPr>
                </pic:pic>
              </a:graphicData>
            </a:graphic>
          </wp:inline>
        </w:drawing>
      </w:r>
      <w:r>
        <w:rPr>
          <w:rFonts w:hint="default"/>
          <w:color w:val="auto"/>
          <w:lang w:eastAsia="zh-CN"/>
        </w:rPr>
        <w:drawing>
          <wp:inline distT="0" distB="0" distL="114300" distR="114300">
            <wp:extent cx="5274310" cy="7538085"/>
            <wp:effectExtent l="0" t="0" r="2540" b="5715"/>
            <wp:docPr id="119" name="图片 119" descr="WT2505109 海盛新材料-亿普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WT2505109 海盛新材料-亿普_page-0002"/>
                    <pic:cNvPicPr>
                      <a:picLocks noChangeAspect="1"/>
                    </pic:cNvPicPr>
                  </pic:nvPicPr>
                  <pic:blipFill>
                    <a:blip r:embed="rId78"/>
                    <a:stretch>
                      <a:fillRect/>
                    </a:stretch>
                  </pic:blipFill>
                  <pic:spPr>
                    <a:xfrm>
                      <a:off x="0" y="0"/>
                      <a:ext cx="5274310" cy="7538085"/>
                    </a:xfrm>
                    <a:prstGeom prst="rect">
                      <a:avLst/>
                    </a:prstGeom>
                  </pic:spPr>
                </pic:pic>
              </a:graphicData>
            </a:graphic>
          </wp:inline>
        </w:drawing>
      </w:r>
      <w:r>
        <w:rPr>
          <w:rFonts w:hint="default"/>
          <w:color w:val="auto"/>
          <w:lang w:eastAsia="zh-CN"/>
        </w:rPr>
        <w:drawing>
          <wp:inline distT="0" distB="0" distL="114300" distR="114300">
            <wp:extent cx="5274310" cy="7524750"/>
            <wp:effectExtent l="0" t="0" r="2540" b="0"/>
            <wp:docPr id="118" name="图片 118" descr="WT2505109 海盛新材料-亿普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WT2505109 海盛新材料-亿普_page-0003"/>
                    <pic:cNvPicPr>
                      <a:picLocks noChangeAspect="1"/>
                    </pic:cNvPicPr>
                  </pic:nvPicPr>
                  <pic:blipFill>
                    <a:blip r:embed="rId79"/>
                    <a:stretch>
                      <a:fillRect/>
                    </a:stretch>
                  </pic:blipFill>
                  <pic:spPr>
                    <a:xfrm>
                      <a:off x="0" y="0"/>
                      <a:ext cx="5274310" cy="7524750"/>
                    </a:xfrm>
                    <a:prstGeom prst="rect">
                      <a:avLst/>
                    </a:prstGeom>
                  </pic:spPr>
                </pic:pic>
              </a:graphicData>
            </a:graphic>
          </wp:inline>
        </w:drawing>
      </w:r>
      <w:r>
        <w:rPr>
          <w:rFonts w:hint="default"/>
          <w:color w:val="auto"/>
          <w:lang w:eastAsia="zh-CN"/>
        </w:rPr>
        <w:drawing>
          <wp:inline distT="0" distB="0" distL="114300" distR="114300">
            <wp:extent cx="5274310" cy="7538085"/>
            <wp:effectExtent l="0" t="0" r="2540" b="5715"/>
            <wp:docPr id="117" name="图片 117" descr="WT2505109 海盛新材料-亿普_p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WT2505109 海盛新材料-亿普_page-0004"/>
                    <pic:cNvPicPr>
                      <a:picLocks noChangeAspect="1"/>
                    </pic:cNvPicPr>
                  </pic:nvPicPr>
                  <pic:blipFill>
                    <a:blip r:embed="rId80"/>
                    <a:stretch>
                      <a:fillRect/>
                    </a:stretch>
                  </pic:blipFill>
                  <pic:spPr>
                    <a:xfrm>
                      <a:off x="0" y="0"/>
                      <a:ext cx="5274310" cy="7538085"/>
                    </a:xfrm>
                    <a:prstGeom prst="rect">
                      <a:avLst/>
                    </a:prstGeom>
                  </pic:spPr>
                </pic:pic>
              </a:graphicData>
            </a:graphic>
          </wp:inline>
        </w:drawing>
      </w:r>
      <w:r>
        <w:rPr>
          <w:rFonts w:hint="default"/>
          <w:color w:val="auto"/>
          <w:lang w:eastAsia="zh-CN"/>
        </w:rPr>
        <w:drawing>
          <wp:inline distT="0" distB="0" distL="114300" distR="114300">
            <wp:extent cx="5274310" cy="7546340"/>
            <wp:effectExtent l="0" t="0" r="2540" b="16510"/>
            <wp:docPr id="116" name="图片 116" descr="WT2505109 海盛新材料-亿普_page-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WT2505109 海盛新材料-亿普_page-0005"/>
                    <pic:cNvPicPr>
                      <a:picLocks noChangeAspect="1"/>
                    </pic:cNvPicPr>
                  </pic:nvPicPr>
                  <pic:blipFill>
                    <a:blip r:embed="rId81"/>
                    <a:stretch>
                      <a:fillRect/>
                    </a:stretch>
                  </pic:blipFill>
                  <pic:spPr>
                    <a:xfrm>
                      <a:off x="0" y="0"/>
                      <a:ext cx="5274310" cy="7546340"/>
                    </a:xfrm>
                    <a:prstGeom prst="rect">
                      <a:avLst/>
                    </a:prstGeom>
                  </pic:spPr>
                </pic:pic>
              </a:graphicData>
            </a:graphic>
          </wp:inline>
        </w:drawing>
      </w:r>
    </w:p>
    <w:p w14:paraId="256FBE91">
      <w:pPr>
        <w:pStyle w:val="2"/>
        <w:spacing w:line="240" w:lineRule="auto"/>
        <w:rPr>
          <w:rFonts w:hint="default"/>
          <w:color w:val="auto"/>
          <w:lang w:eastAsia="zh-CN"/>
        </w:rPr>
      </w:pPr>
      <w:r>
        <w:rPr>
          <w:rFonts w:hint="default"/>
          <w:color w:val="auto"/>
          <w:lang w:eastAsia="zh-CN"/>
        </w:rPr>
        <w:drawing>
          <wp:inline distT="0" distB="0" distL="114300" distR="114300">
            <wp:extent cx="5274310" cy="7538085"/>
            <wp:effectExtent l="0" t="0" r="2540" b="5715"/>
            <wp:docPr id="125" name="图片 125" descr="WT2506048 海盛新材料-亿普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WT2506048 海盛新材料-亿普_page-0001"/>
                    <pic:cNvPicPr>
                      <a:picLocks noChangeAspect="1"/>
                    </pic:cNvPicPr>
                  </pic:nvPicPr>
                  <pic:blipFill>
                    <a:blip r:embed="rId82"/>
                    <a:stretch>
                      <a:fillRect/>
                    </a:stretch>
                  </pic:blipFill>
                  <pic:spPr>
                    <a:xfrm>
                      <a:off x="0" y="0"/>
                      <a:ext cx="5274310" cy="7538085"/>
                    </a:xfrm>
                    <a:prstGeom prst="rect">
                      <a:avLst/>
                    </a:prstGeom>
                  </pic:spPr>
                </pic:pic>
              </a:graphicData>
            </a:graphic>
          </wp:inline>
        </w:drawing>
      </w:r>
      <w:r>
        <w:rPr>
          <w:rFonts w:hint="default"/>
          <w:color w:val="auto"/>
          <w:lang w:eastAsia="zh-CN"/>
        </w:rPr>
        <w:drawing>
          <wp:inline distT="0" distB="0" distL="114300" distR="114300">
            <wp:extent cx="5274310" cy="7529195"/>
            <wp:effectExtent l="0" t="0" r="2540" b="14605"/>
            <wp:docPr id="124" name="图片 124" descr="WT2506048 海盛新材料-亿普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WT2506048 海盛新材料-亿普_page-0002"/>
                    <pic:cNvPicPr>
                      <a:picLocks noChangeAspect="1"/>
                    </pic:cNvPicPr>
                  </pic:nvPicPr>
                  <pic:blipFill>
                    <a:blip r:embed="rId83"/>
                    <a:stretch>
                      <a:fillRect/>
                    </a:stretch>
                  </pic:blipFill>
                  <pic:spPr>
                    <a:xfrm>
                      <a:off x="0" y="0"/>
                      <a:ext cx="5274310" cy="7529195"/>
                    </a:xfrm>
                    <a:prstGeom prst="rect">
                      <a:avLst/>
                    </a:prstGeom>
                  </pic:spPr>
                </pic:pic>
              </a:graphicData>
            </a:graphic>
          </wp:inline>
        </w:drawing>
      </w:r>
      <w:r>
        <w:rPr>
          <w:rFonts w:hint="default"/>
          <w:color w:val="auto"/>
          <w:lang w:eastAsia="zh-CN"/>
        </w:rPr>
        <w:drawing>
          <wp:inline distT="0" distB="0" distL="114300" distR="114300">
            <wp:extent cx="5274310" cy="7529195"/>
            <wp:effectExtent l="0" t="0" r="2540" b="14605"/>
            <wp:docPr id="123" name="图片 123" descr="WT2506048 海盛新材料-亿普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WT2506048 海盛新材料-亿普_page-0003"/>
                    <pic:cNvPicPr>
                      <a:picLocks noChangeAspect="1"/>
                    </pic:cNvPicPr>
                  </pic:nvPicPr>
                  <pic:blipFill>
                    <a:blip r:embed="rId84"/>
                    <a:stretch>
                      <a:fillRect/>
                    </a:stretch>
                  </pic:blipFill>
                  <pic:spPr>
                    <a:xfrm>
                      <a:off x="0" y="0"/>
                      <a:ext cx="5274310" cy="7529195"/>
                    </a:xfrm>
                    <a:prstGeom prst="rect">
                      <a:avLst/>
                    </a:prstGeom>
                  </pic:spPr>
                </pic:pic>
              </a:graphicData>
            </a:graphic>
          </wp:inline>
        </w:drawing>
      </w:r>
      <w:r>
        <w:rPr>
          <w:rFonts w:hint="default"/>
          <w:color w:val="auto"/>
          <w:lang w:eastAsia="zh-CN"/>
        </w:rPr>
        <w:drawing>
          <wp:inline distT="0" distB="0" distL="114300" distR="114300">
            <wp:extent cx="5274310" cy="7524750"/>
            <wp:effectExtent l="0" t="0" r="2540" b="0"/>
            <wp:docPr id="122" name="图片 122" descr="WT2506048 海盛新材料-亿普_p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WT2506048 海盛新材料-亿普_page-0004"/>
                    <pic:cNvPicPr>
                      <a:picLocks noChangeAspect="1"/>
                    </pic:cNvPicPr>
                  </pic:nvPicPr>
                  <pic:blipFill>
                    <a:blip r:embed="rId85"/>
                    <a:stretch>
                      <a:fillRect/>
                    </a:stretch>
                  </pic:blipFill>
                  <pic:spPr>
                    <a:xfrm>
                      <a:off x="0" y="0"/>
                      <a:ext cx="5274310" cy="7524750"/>
                    </a:xfrm>
                    <a:prstGeom prst="rect">
                      <a:avLst/>
                    </a:prstGeom>
                  </pic:spPr>
                </pic:pic>
              </a:graphicData>
            </a:graphic>
          </wp:inline>
        </w:drawing>
      </w:r>
      <w:r>
        <w:rPr>
          <w:rFonts w:hint="default"/>
          <w:color w:val="auto"/>
          <w:lang w:eastAsia="zh-CN"/>
        </w:rPr>
        <w:drawing>
          <wp:inline distT="0" distB="0" distL="114300" distR="114300">
            <wp:extent cx="5274310" cy="7538085"/>
            <wp:effectExtent l="0" t="0" r="2540" b="5715"/>
            <wp:docPr id="121" name="图片 121" descr="WT2506048 海盛新材料-亿普_page-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WT2506048 海盛新材料-亿普_page-0005"/>
                    <pic:cNvPicPr>
                      <a:picLocks noChangeAspect="1"/>
                    </pic:cNvPicPr>
                  </pic:nvPicPr>
                  <pic:blipFill>
                    <a:blip r:embed="rId86"/>
                    <a:stretch>
                      <a:fillRect/>
                    </a:stretch>
                  </pic:blipFill>
                  <pic:spPr>
                    <a:xfrm>
                      <a:off x="0" y="0"/>
                      <a:ext cx="5274310" cy="7538085"/>
                    </a:xfrm>
                    <a:prstGeom prst="rect">
                      <a:avLst/>
                    </a:prstGeom>
                  </pic:spPr>
                </pic:pic>
              </a:graphicData>
            </a:graphic>
          </wp:inline>
        </w:drawing>
      </w:r>
    </w:p>
    <w:p w14:paraId="1DA20B6E">
      <w:pPr>
        <w:pStyle w:val="3"/>
        <w:rPr>
          <w:rFonts w:hint="default"/>
          <w:color w:val="auto"/>
          <w:lang w:eastAsia="zh-CN"/>
        </w:rPr>
      </w:pPr>
      <w:r>
        <w:rPr>
          <w:rFonts w:hint="default"/>
          <w:color w:val="auto"/>
          <w:lang w:eastAsia="zh-CN"/>
        </w:rPr>
        <w:drawing>
          <wp:inline distT="0" distB="0" distL="114300" distR="114300">
            <wp:extent cx="5274310" cy="7519670"/>
            <wp:effectExtent l="0" t="0" r="2540" b="5080"/>
            <wp:docPr id="130" name="图片 130" descr="WT2503093 海盛新材料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WT2503093 海盛新材料_page-0001"/>
                    <pic:cNvPicPr>
                      <a:picLocks noChangeAspect="1"/>
                    </pic:cNvPicPr>
                  </pic:nvPicPr>
                  <pic:blipFill>
                    <a:blip r:embed="rId87"/>
                    <a:stretch>
                      <a:fillRect/>
                    </a:stretch>
                  </pic:blipFill>
                  <pic:spPr>
                    <a:xfrm>
                      <a:off x="0" y="0"/>
                      <a:ext cx="5274310" cy="7519670"/>
                    </a:xfrm>
                    <a:prstGeom prst="rect">
                      <a:avLst/>
                    </a:prstGeom>
                  </pic:spPr>
                </pic:pic>
              </a:graphicData>
            </a:graphic>
          </wp:inline>
        </w:drawing>
      </w:r>
      <w:r>
        <w:rPr>
          <w:rFonts w:hint="default"/>
          <w:color w:val="auto"/>
          <w:lang w:eastAsia="zh-CN"/>
        </w:rPr>
        <w:drawing>
          <wp:inline distT="0" distB="0" distL="114300" distR="114300">
            <wp:extent cx="5274310" cy="7519670"/>
            <wp:effectExtent l="0" t="0" r="2540" b="5080"/>
            <wp:docPr id="129" name="图片 129" descr="WT2503093 海盛新材料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WT2503093 海盛新材料_page-0002"/>
                    <pic:cNvPicPr>
                      <a:picLocks noChangeAspect="1"/>
                    </pic:cNvPicPr>
                  </pic:nvPicPr>
                  <pic:blipFill>
                    <a:blip r:embed="rId88"/>
                    <a:stretch>
                      <a:fillRect/>
                    </a:stretch>
                  </pic:blipFill>
                  <pic:spPr>
                    <a:xfrm>
                      <a:off x="0" y="0"/>
                      <a:ext cx="5274310" cy="7519670"/>
                    </a:xfrm>
                    <a:prstGeom prst="rect">
                      <a:avLst/>
                    </a:prstGeom>
                  </pic:spPr>
                </pic:pic>
              </a:graphicData>
            </a:graphic>
          </wp:inline>
        </w:drawing>
      </w:r>
      <w:r>
        <w:rPr>
          <w:rFonts w:hint="default"/>
          <w:color w:val="auto"/>
          <w:lang w:eastAsia="zh-CN"/>
        </w:rPr>
        <w:drawing>
          <wp:inline distT="0" distB="0" distL="114300" distR="114300">
            <wp:extent cx="5274310" cy="7519670"/>
            <wp:effectExtent l="0" t="0" r="2540" b="5080"/>
            <wp:docPr id="128" name="图片 128" descr="WT2503093 海盛新材料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WT2503093 海盛新材料_page-0003"/>
                    <pic:cNvPicPr>
                      <a:picLocks noChangeAspect="1"/>
                    </pic:cNvPicPr>
                  </pic:nvPicPr>
                  <pic:blipFill>
                    <a:blip r:embed="rId89"/>
                    <a:stretch>
                      <a:fillRect/>
                    </a:stretch>
                  </pic:blipFill>
                  <pic:spPr>
                    <a:xfrm>
                      <a:off x="0" y="0"/>
                      <a:ext cx="5274310" cy="7519670"/>
                    </a:xfrm>
                    <a:prstGeom prst="rect">
                      <a:avLst/>
                    </a:prstGeom>
                  </pic:spPr>
                </pic:pic>
              </a:graphicData>
            </a:graphic>
          </wp:inline>
        </w:drawing>
      </w:r>
      <w:r>
        <w:rPr>
          <w:rFonts w:hint="default"/>
          <w:color w:val="auto"/>
          <w:lang w:eastAsia="zh-CN"/>
        </w:rPr>
        <w:drawing>
          <wp:inline distT="0" distB="0" distL="114300" distR="114300">
            <wp:extent cx="5274310" cy="7519670"/>
            <wp:effectExtent l="0" t="0" r="2540" b="5080"/>
            <wp:docPr id="127" name="图片 127" descr="WT2503093 海盛新材料_p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WT2503093 海盛新材料_page-0004"/>
                    <pic:cNvPicPr>
                      <a:picLocks noChangeAspect="1"/>
                    </pic:cNvPicPr>
                  </pic:nvPicPr>
                  <pic:blipFill>
                    <a:blip r:embed="rId90"/>
                    <a:stretch>
                      <a:fillRect/>
                    </a:stretch>
                  </pic:blipFill>
                  <pic:spPr>
                    <a:xfrm>
                      <a:off x="0" y="0"/>
                      <a:ext cx="5274310" cy="7519670"/>
                    </a:xfrm>
                    <a:prstGeom prst="rect">
                      <a:avLst/>
                    </a:prstGeom>
                  </pic:spPr>
                </pic:pic>
              </a:graphicData>
            </a:graphic>
          </wp:inline>
        </w:drawing>
      </w:r>
      <w:r>
        <w:rPr>
          <w:rFonts w:hint="default"/>
          <w:color w:val="auto"/>
          <w:lang w:eastAsia="zh-CN"/>
        </w:rPr>
        <w:drawing>
          <wp:inline distT="0" distB="0" distL="114300" distR="114300">
            <wp:extent cx="5274310" cy="7519670"/>
            <wp:effectExtent l="0" t="0" r="2540" b="5080"/>
            <wp:docPr id="126" name="图片 126" descr="WT2503093 海盛新材料_page-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WT2503093 海盛新材料_page-0005"/>
                    <pic:cNvPicPr>
                      <a:picLocks noChangeAspect="1"/>
                    </pic:cNvPicPr>
                  </pic:nvPicPr>
                  <pic:blipFill>
                    <a:blip r:embed="rId91"/>
                    <a:stretch>
                      <a:fillRect/>
                    </a:stretch>
                  </pic:blipFill>
                  <pic:spPr>
                    <a:xfrm>
                      <a:off x="0" y="0"/>
                      <a:ext cx="5274310" cy="7519670"/>
                    </a:xfrm>
                    <a:prstGeom prst="rect">
                      <a:avLst/>
                    </a:prstGeom>
                  </pic:spPr>
                </pic:pic>
              </a:graphicData>
            </a:graphic>
          </wp:inline>
        </w:drawing>
      </w:r>
    </w:p>
    <w:p w14:paraId="533E05A0">
      <w:pPr>
        <w:pStyle w:val="4"/>
        <w:rPr>
          <w:rFonts w:hint="default"/>
          <w:color w:val="auto"/>
          <w:lang w:eastAsia="zh-CN"/>
        </w:rPr>
      </w:pPr>
    </w:p>
    <w:p w14:paraId="58182666">
      <w:pPr>
        <w:rPr>
          <w:rFonts w:hint="default"/>
          <w:color w:val="auto"/>
          <w:lang w:eastAsia="zh-CN"/>
        </w:rPr>
      </w:pPr>
    </w:p>
    <w:p w14:paraId="72F4158F">
      <w:pPr>
        <w:rPr>
          <w:rFonts w:hint="default"/>
          <w:color w:val="auto"/>
          <w:lang w:eastAsia="zh-CN"/>
        </w:rPr>
      </w:pPr>
    </w:p>
    <w:p w14:paraId="067F74FD">
      <w:pPr>
        <w:rPr>
          <w:rFonts w:hint="default"/>
          <w:color w:val="auto"/>
          <w:lang w:eastAsia="zh-CN"/>
        </w:rPr>
      </w:pPr>
    </w:p>
    <w:p w14:paraId="55AF3093">
      <w:pPr>
        <w:pStyle w:val="4"/>
        <w:ind w:left="0" w:leftChars="0" w:firstLine="0" w:firstLineChars="0"/>
        <w:rPr>
          <w:rFonts w:hint="default"/>
          <w:color w:val="auto"/>
          <w:lang w:eastAsia="zh-CN"/>
        </w:rPr>
      </w:pPr>
      <w:r>
        <w:rPr>
          <w:rFonts w:hint="default"/>
          <w:color w:val="auto"/>
          <w:lang w:eastAsia="zh-CN"/>
        </w:rPr>
        <w:drawing>
          <wp:inline distT="0" distB="0" distL="114300" distR="114300">
            <wp:extent cx="5273040" cy="7452360"/>
            <wp:effectExtent l="0" t="0" r="3810" b="15240"/>
            <wp:docPr id="18" name="图片 18" descr="251021-03鸡西市海盛新能源材料有限公司(1)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51021-03鸡西市海盛新能源材料有限公司(1)_page-0001"/>
                    <pic:cNvPicPr>
                      <a:picLocks noChangeAspect="1"/>
                    </pic:cNvPicPr>
                  </pic:nvPicPr>
                  <pic:blipFill>
                    <a:blip r:embed="rId92"/>
                    <a:stretch>
                      <a:fillRect/>
                    </a:stretch>
                  </pic:blipFill>
                  <pic:spPr>
                    <a:xfrm>
                      <a:off x="0" y="0"/>
                      <a:ext cx="5273040" cy="7452360"/>
                    </a:xfrm>
                    <a:prstGeom prst="rect">
                      <a:avLst/>
                    </a:prstGeom>
                  </pic:spPr>
                </pic:pic>
              </a:graphicData>
            </a:graphic>
          </wp:inline>
        </w:drawing>
      </w:r>
      <w:r>
        <w:rPr>
          <w:rFonts w:hint="default"/>
          <w:color w:val="auto"/>
          <w:lang w:eastAsia="zh-CN"/>
        </w:rPr>
        <w:drawing>
          <wp:inline distT="0" distB="0" distL="114300" distR="114300">
            <wp:extent cx="5273040" cy="7452360"/>
            <wp:effectExtent l="0" t="0" r="3810" b="15240"/>
            <wp:docPr id="6" name="图片 6" descr="251021-03鸡西市海盛新能源材料有限公司(1)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51021-03鸡西市海盛新能源材料有限公司(1)_page-0002"/>
                    <pic:cNvPicPr>
                      <a:picLocks noChangeAspect="1"/>
                    </pic:cNvPicPr>
                  </pic:nvPicPr>
                  <pic:blipFill>
                    <a:blip r:embed="rId93"/>
                    <a:stretch>
                      <a:fillRect/>
                    </a:stretch>
                  </pic:blipFill>
                  <pic:spPr>
                    <a:xfrm>
                      <a:off x="0" y="0"/>
                      <a:ext cx="5273040" cy="7452360"/>
                    </a:xfrm>
                    <a:prstGeom prst="rect">
                      <a:avLst/>
                    </a:prstGeom>
                  </pic:spPr>
                </pic:pic>
              </a:graphicData>
            </a:graphic>
          </wp:inline>
        </w:drawing>
      </w:r>
      <w:r>
        <w:rPr>
          <w:rFonts w:hint="default"/>
          <w:color w:val="auto"/>
          <w:lang w:eastAsia="zh-CN"/>
        </w:rPr>
        <w:drawing>
          <wp:inline distT="0" distB="0" distL="114300" distR="114300">
            <wp:extent cx="5273040" cy="7452360"/>
            <wp:effectExtent l="0" t="0" r="3810" b="15240"/>
            <wp:docPr id="5" name="图片 5" descr="251021-03鸡西市海盛新能源材料有限公司(1)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51021-03鸡西市海盛新能源材料有限公司(1)_page-0003"/>
                    <pic:cNvPicPr>
                      <a:picLocks noChangeAspect="1"/>
                    </pic:cNvPicPr>
                  </pic:nvPicPr>
                  <pic:blipFill>
                    <a:blip r:embed="rId94"/>
                    <a:stretch>
                      <a:fillRect/>
                    </a:stretch>
                  </pic:blipFill>
                  <pic:spPr>
                    <a:xfrm>
                      <a:off x="0" y="0"/>
                      <a:ext cx="5273040" cy="7452360"/>
                    </a:xfrm>
                    <a:prstGeom prst="rect">
                      <a:avLst/>
                    </a:prstGeom>
                  </pic:spPr>
                </pic:pic>
              </a:graphicData>
            </a:graphic>
          </wp:inline>
        </w:drawing>
      </w:r>
      <w:r>
        <w:rPr>
          <w:rFonts w:hint="default"/>
          <w:color w:val="auto"/>
          <w:lang w:eastAsia="zh-CN"/>
        </w:rPr>
        <w:drawing>
          <wp:inline distT="0" distB="0" distL="114300" distR="114300">
            <wp:extent cx="5273040" cy="7452360"/>
            <wp:effectExtent l="0" t="0" r="3810" b="15240"/>
            <wp:docPr id="4" name="图片 4" descr="251021-03鸡西市海盛新能源材料有限公司(1)_p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51021-03鸡西市海盛新能源材料有限公司(1)_page-0004"/>
                    <pic:cNvPicPr>
                      <a:picLocks noChangeAspect="1"/>
                    </pic:cNvPicPr>
                  </pic:nvPicPr>
                  <pic:blipFill>
                    <a:blip r:embed="rId95"/>
                    <a:stretch>
                      <a:fillRect/>
                    </a:stretch>
                  </pic:blipFill>
                  <pic:spPr>
                    <a:xfrm>
                      <a:off x="0" y="0"/>
                      <a:ext cx="5273040" cy="7452360"/>
                    </a:xfrm>
                    <a:prstGeom prst="rect">
                      <a:avLst/>
                    </a:prstGeom>
                  </pic:spPr>
                </pic:pic>
              </a:graphicData>
            </a:graphic>
          </wp:inline>
        </w:drawing>
      </w:r>
      <w:r>
        <w:rPr>
          <w:color w:val="auto"/>
        </w:rPr>
        <w:drawing>
          <wp:inline distT="0" distB="0" distL="114300" distR="114300">
            <wp:extent cx="5274310" cy="7494270"/>
            <wp:effectExtent l="0" t="0" r="2540" b="11430"/>
            <wp:docPr id="13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2"/>
                    <pic:cNvPicPr>
                      <a:picLocks noChangeAspect="1"/>
                    </pic:cNvPicPr>
                  </pic:nvPicPr>
                  <pic:blipFill>
                    <a:blip r:embed="rId96"/>
                    <a:stretch>
                      <a:fillRect/>
                    </a:stretch>
                  </pic:blipFill>
                  <pic:spPr>
                    <a:xfrm>
                      <a:off x="0" y="0"/>
                      <a:ext cx="5274310" cy="7494270"/>
                    </a:xfrm>
                    <a:prstGeom prst="rect">
                      <a:avLst/>
                    </a:prstGeom>
                    <a:noFill/>
                    <a:ln>
                      <a:noFill/>
                    </a:ln>
                  </pic:spPr>
                </pic:pic>
              </a:graphicData>
            </a:graphic>
          </wp:inline>
        </w:drawing>
      </w:r>
      <w:r>
        <w:rPr>
          <w:color w:val="auto"/>
        </w:rPr>
        <w:drawing>
          <wp:inline distT="0" distB="0" distL="114300" distR="114300">
            <wp:extent cx="5274310" cy="7473315"/>
            <wp:effectExtent l="0" t="0" r="2540" b="13335"/>
            <wp:docPr id="1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
                    <pic:cNvPicPr>
                      <a:picLocks noChangeAspect="1"/>
                    </pic:cNvPicPr>
                  </pic:nvPicPr>
                  <pic:blipFill>
                    <a:blip r:embed="rId97"/>
                    <a:stretch>
                      <a:fillRect/>
                    </a:stretch>
                  </pic:blipFill>
                  <pic:spPr>
                    <a:xfrm>
                      <a:off x="0" y="0"/>
                      <a:ext cx="5274310" cy="7473315"/>
                    </a:xfrm>
                    <a:prstGeom prst="rect">
                      <a:avLst/>
                    </a:prstGeom>
                    <a:noFill/>
                    <a:ln>
                      <a:noFill/>
                    </a:ln>
                  </pic:spPr>
                </pic:pic>
              </a:graphicData>
            </a:graphic>
          </wp:inline>
        </w:drawing>
      </w:r>
      <w:r>
        <w:rPr>
          <w:color w:val="auto"/>
        </w:rPr>
        <w:drawing>
          <wp:inline distT="0" distB="0" distL="114300" distR="114300">
            <wp:extent cx="5272405" cy="7487285"/>
            <wp:effectExtent l="0" t="0" r="4445" b="18415"/>
            <wp:docPr id="13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4"/>
                    <pic:cNvPicPr>
                      <a:picLocks noChangeAspect="1"/>
                    </pic:cNvPicPr>
                  </pic:nvPicPr>
                  <pic:blipFill>
                    <a:blip r:embed="rId98"/>
                    <a:stretch>
                      <a:fillRect/>
                    </a:stretch>
                  </pic:blipFill>
                  <pic:spPr>
                    <a:xfrm>
                      <a:off x="0" y="0"/>
                      <a:ext cx="5272405" cy="7487285"/>
                    </a:xfrm>
                    <a:prstGeom prst="rect">
                      <a:avLst/>
                    </a:prstGeom>
                    <a:noFill/>
                    <a:ln>
                      <a:noFill/>
                    </a:ln>
                  </pic:spPr>
                </pic:pic>
              </a:graphicData>
            </a:graphic>
          </wp:inline>
        </w:drawing>
      </w:r>
    </w:p>
    <w:p w14:paraId="609EBBA4">
      <w:pPr>
        <w:rPr>
          <w:rFonts w:hint="default"/>
          <w:color w:val="auto"/>
          <w:lang w:eastAsia="zh-CN"/>
        </w:rPr>
      </w:pPr>
    </w:p>
    <w:p w14:paraId="0BE1037A">
      <w:pPr>
        <w:pStyle w:val="2"/>
        <w:rPr>
          <w:rFonts w:hint="default"/>
          <w:color w:val="auto"/>
          <w:lang w:eastAsia="zh-CN"/>
        </w:rPr>
      </w:pPr>
    </w:p>
    <w:p w14:paraId="6A700FB1">
      <w:pPr>
        <w:pStyle w:val="3"/>
        <w:rPr>
          <w:rFonts w:hint="default"/>
          <w:color w:val="auto"/>
          <w:lang w:eastAsia="zh-CN"/>
        </w:rPr>
      </w:pPr>
    </w:p>
    <w:p w14:paraId="06BEBAAD">
      <w:pPr>
        <w:pStyle w:val="4"/>
        <w:rPr>
          <w:rFonts w:hint="default" w:ascii="Times New Roman" w:hAnsi="Times New Roman" w:eastAsia="黑体" w:cs="Times New Roman"/>
          <w:snapToGrid w:val="0"/>
          <w:color w:val="auto"/>
          <w:sz w:val="32"/>
          <w:szCs w:val="32"/>
          <w:lang w:eastAsia="zh-CN"/>
        </w:rPr>
        <w:sectPr>
          <w:pgSz w:w="11906" w:h="16838"/>
          <w:pgMar w:top="1440" w:right="1800" w:bottom="1440" w:left="1800" w:header="851" w:footer="1077" w:gutter="0"/>
          <w:pgBorders>
            <w:top w:val="none" w:sz="0" w:space="0"/>
            <w:left w:val="none" w:sz="0" w:space="0"/>
            <w:bottom w:val="none" w:sz="0" w:space="0"/>
            <w:right w:val="none" w:sz="0" w:space="0"/>
          </w:pgBorders>
          <w:cols w:space="425" w:num="1"/>
          <w:docGrid w:linePitch="312" w:charSpace="0"/>
        </w:sectPr>
      </w:pPr>
    </w:p>
    <w:p w14:paraId="0F29C370">
      <w:pPr>
        <w:tabs>
          <w:tab w:val="left" w:pos="1159"/>
        </w:tabs>
        <w:spacing w:line="360" w:lineRule="auto"/>
        <w:outlineLvl w:val="0"/>
        <w:rPr>
          <w:rFonts w:hint="default" w:eastAsia="宋体"/>
          <w:b/>
          <w:bCs/>
          <w:color w:val="auto"/>
          <w:sz w:val="28"/>
          <w:lang w:val="en-US" w:eastAsia="zh-CN"/>
        </w:rPr>
      </w:pPr>
      <w:r>
        <w:rPr>
          <w:rFonts w:hint="eastAsia"/>
          <w:b/>
          <w:bCs/>
          <w:color w:val="auto"/>
          <w:sz w:val="28"/>
          <w:lang w:val="en-US" w:eastAsia="zh-CN"/>
        </w:rPr>
        <w:t>附件9：生态环境分区管控分析报告</w:t>
      </w:r>
    </w:p>
    <w:p w14:paraId="5D44A2D0">
      <w:pPr>
        <w:jc w:val="center"/>
        <w:rPr>
          <w:rFonts w:hint="eastAsia"/>
          <w:color w:val="auto"/>
          <w:lang w:val="en-US" w:eastAsia="zh-CN"/>
        </w:rPr>
      </w:pPr>
      <w:r>
        <w:rPr>
          <w:rFonts w:hint="eastAsia"/>
          <w:color w:val="auto"/>
          <w:lang w:val="en-US" w:eastAsia="zh-CN"/>
        </w:rPr>
        <w:drawing>
          <wp:inline distT="0" distB="0" distL="114300" distR="114300">
            <wp:extent cx="6938645" cy="4909820"/>
            <wp:effectExtent l="0" t="0" r="14605" b="5080"/>
            <wp:docPr id="42" name="图片 42" descr="鸡西市海盛新能源材料有限公司锅炉改造_2025年10月22日154239_分析报告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鸡西市海盛新能源材料有限公司锅炉改造_2025年10月22日154239_分析报告_page-0001"/>
                    <pic:cNvPicPr>
                      <a:picLocks noChangeAspect="1"/>
                    </pic:cNvPicPr>
                  </pic:nvPicPr>
                  <pic:blipFill>
                    <a:blip r:embed="rId99"/>
                    <a:stretch>
                      <a:fillRect/>
                    </a:stretch>
                  </pic:blipFill>
                  <pic:spPr>
                    <a:xfrm>
                      <a:off x="0" y="0"/>
                      <a:ext cx="6938645" cy="4909820"/>
                    </a:xfrm>
                    <a:prstGeom prst="rect">
                      <a:avLst/>
                    </a:prstGeom>
                  </pic:spPr>
                </pic:pic>
              </a:graphicData>
            </a:graphic>
          </wp:inline>
        </w:drawing>
      </w:r>
      <w:r>
        <w:rPr>
          <w:rFonts w:hint="eastAsia"/>
          <w:color w:val="auto"/>
          <w:lang w:val="en-US" w:eastAsia="zh-CN"/>
        </w:rPr>
        <w:drawing>
          <wp:inline distT="0" distB="0" distL="114300" distR="114300">
            <wp:extent cx="7452360" cy="5273040"/>
            <wp:effectExtent l="0" t="0" r="15240" b="3810"/>
            <wp:docPr id="41" name="图片 41" descr="鸡西市海盛新能源材料有限公司锅炉改造_2025年10月22日154239_分析报告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鸡西市海盛新能源材料有限公司锅炉改造_2025年10月22日154239_分析报告_page-0002"/>
                    <pic:cNvPicPr>
                      <a:picLocks noChangeAspect="1"/>
                    </pic:cNvPicPr>
                  </pic:nvPicPr>
                  <pic:blipFill>
                    <a:blip r:embed="rId100"/>
                    <a:stretch>
                      <a:fillRect/>
                    </a:stretch>
                  </pic:blipFill>
                  <pic:spPr>
                    <a:xfrm>
                      <a:off x="0" y="0"/>
                      <a:ext cx="7452360" cy="5273040"/>
                    </a:xfrm>
                    <a:prstGeom prst="rect">
                      <a:avLst/>
                    </a:prstGeom>
                  </pic:spPr>
                </pic:pic>
              </a:graphicData>
            </a:graphic>
          </wp:inline>
        </w:drawing>
      </w:r>
      <w:r>
        <w:rPr>
          <w:rFonts w:hint="eastAsia"/>
          <w:color w:val="auto"/>
          <w:lang w:val="en-US" w:eastAsia="zh-CN"/>
        </w:rPr>
        <w:drawing>
          <wp:inline distT="0" distB="0" distL="114300" distR="114300">
            <wp:extent cx="7452360" cy="5273040"/>
            <wp:effectExtent l="0" t="0" r="15240" b="3810"/>
            <wp:docPr id="40" name="图片 40" descr="鸡西市海盛新能源材料有限公司锅炉改造_2025年10月22日154239_分析报告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鸡西市海盛新能源材料有限公司锅炉改造_2025年10月22日154239_分析报告_page-0003"/>
                    <pic:cNvPicPr>
                      <a:picLocks noChangeAspect="1"/>
                    </pic:cNvPicPr>
                  </pic:nvPicPr>
                  <pic:blipFill>
                    <a:blip r:embed="rId101"/>
                    <a:stretch>
                      <a:fillRect/>
                    </a:stretch>
                  </pic:blipFill>
                  <pic:spPr>
                    <a:xfrm>
                      <a:off x="0" y="0"/>
                      <a:ext cx="7452360" cy="5273040"/>
                    </a:xfrm>
                    <a:prstGeom prst="rect">
                      <a:avLst/>
                    </a:prstGeom>
                  </pic:spPr>
                </pic:pic>
              </a:graphicData>
            </a:graphic>
          </wp:inline>
        </w:drawing>
      </w:r>
      <w:r>
        <w:rPr>
          <w:rFonts w:hint="eastAsia"/>
          <w:color w:val="auto"/>
          <w:lang w:val="en-US" w:eastAsia="zh-CN"/>
        </w:rPr>
        <w:drawing>
          <wp:inline distT="0" distB="0" distL="114300" distR="114300">
            <wp:extent cx="7452360" cy="5273040"/>
            <wp:effectExtent l="0" t="0" r="15240" b="3810"/>
            <wp:docPr id="38" name="图片 38" descr="鸡西市海盛新能源材料有限公司锅炉改造_2025年10月22日154239_分析报告_p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鸡西市海盛新能源材料有限公司锅炉改造_2025年10月22日154239_分析报告_page-0004"/>
                    <pic:cNvPicPr>
                      <a:picLocks noChangeAspect="1"/>
                    </pic:cNvPicPr>
                  </pic:nvPicPr>
                  <pic:blipFill>
                    <a:blip r:embed="rId102"/>
                    <a:stretch>
                      <a:fillRect/>
                    </a:stretch>
                  </pic:blipFill>
                  <pic:spPr>
                    <a:xfrm>
                      <a:off x="0" y="0"/>
                      <a:ext cx="7452360" cy="5273040"/>
                    </a:xfrm>
                    <a:prstGeom prst="rect">
                      <a:avLst/>
                    </a:prstGeom>
                  </pic:spPr>
                </pic:pic>
              </a:graphicData>
            </a:graphic>
          </wp:inline>
        </w:drawing>
      </w:r>
      <w:r>
        <w:rPr>
          <w:rFonts w:hint="eastAsia"/>
          <w:color w:val="auto"/>
          <w:lang w:val="en-US" w:eastAsia="zh-CN"/>
        </w:rPr>
        <w:drawing>
          <wp:inline distT="0" distB="0" distL="114300" distR="114300">
            <wp:extent cx="7452360" cy="5273040"/>
            <wp:effectExtent l="0" t="0" r="15240" b="3810"/>
            <wp:docPr id="37" name="图片 37" descr="鸡西市海盛新能源材料有限公司锅炉改造_2025年10月22日154239_分析报告_page-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鸡西市海盛新能源材料有限公司锅炉改造_2025年10月22日154239_分析报告_page-0005"/>
                    <pic:cNvPicPr>
                      <a:picLocks noChangeAspect="1"/>
                    </pic:cNvPicPr>
                  </pic:nvPicPr>
                  <pic:blipFill>
                    <a:blip r:embed="rId103"/>
                    <a:stretch>
                      <a:fillRect/>
                    </a:stretch>
                  </pic:blipFill>
                  <pic:spPr>
                    <a:xfrm>
                      <a:off x="0" y="0"/>
                      <a:ext cx="7452360" cy="5273040"/>
                    </a:xfrm>
                    <a:prstGeom prst="rect">
                      <a:avLst/>
                    </a:prstGeom>
                  </pic:spPr>
                </pic:pic>
              </a:graphicData>
            </a:graphic>
          </wp:inline>
        </w:drawing>
      </w:r>
      <w:r>
        <w:rPr>
          <w:rFonts w:hint="eastAsia"/>
          <w:color w:val="auto"/>
          <w:lang w:val="en-US" w:eastAsia="zh-CN"/>
        </w:rPr>
        <w:drawing>
          <wp:inline distT="0" distB="0" distL="114300" distR="114300">
            <wp:extent cx="7452360" cy="5273040"/>
            <wp:effectExtent l="0" t="0" r="15240" b="3810"/>
            <wp:docPr id="36" name="图片 36" descr="鸡西市海盛新能源材料有限公司锅炉改造_2025年10月22日154239_分析报告_page-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鸡西市海盛新能源材料有限公司锅炉改造_2025年10月22日154239_分析报告_page-0006"/>
                    <pic:cNvPicPr>
                      <a:picLocks noChangeAspect="1"/>
                    </pic:cNvPicPr>
                  </pic:nvPicPr>
                  <pic:blipFill>
                    <a:blip r:embed="rId104"/>
                    <a:stretch>
                      <a:fillRect/>
                    </a:stretch>
                  </pic:blipFill>
                  <pic:spPr>
                    <a:xfrm>
                      <a:off x="0" y="0"/>
                      <a:ext cx="7452360" cy="5273040"/>
                    </a:xfrm>
                    <a:prstGeom prst="rect">
                      <a:avLst/>
                    </a:prstGeom>
                  </pic:spPr>
                </pic:pic>
              </a:graphicData>
            </a:graphic>
          </wp:inline>
        </w:drawing>
      </w:r>
      <w:r>
        <w:rPr>
          <w:rFonts w:hint="eastAsia"/>
          <w:color w:val="auto"/>
          <w:lang w:val="en-US" w:eastAsia="zh-CN"/>
        </w:rPr>
        <w:drawing>
          <wp:inline distT="0" distB="0" distL="114300" distR="114300">
            <wp:extent cx="7452360" cy="5273040"/>
            <wp:effectExtent l="0" t="0" r="15240" b="3810"/>
            <wp:docPr id="35" name="图片 35" descr="鸡西市海盛新能源材料有限公司锅炉改造_2025年10月22日154239_分析报告_page-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鸡西市海盛新能源材料有限公司锅炉改造_2025年10月22日154239_分析报告_page-0007"/>
                    <pic:cNvPicPr>
                      <a:picLocks noChangeAspect="1"/>
                    </pic:cNvPicPr>
                  </pic:nvPicPr>
                  <pic:blipFill>
                    <a:blip r:embed="rId105"/>
                    <a:stretch>
                      <a:fillRect/>
                    </a:stretch>
                  </pic:blipFill>
                  <pic:spPr>
                    <a:xfrm>
                      <a:off x="0" y="0"/>
                      <a:ext cx="7452360" cy="5273040"/>
                    </a:xfrm>
                    <a:prstGeom prst="rect">
                      <a:avLst/>
                    </a:prstGeom>
                  </pic:spPr>
                </pic:pic>
              </a:graphicData>
            </a:graphic>
          </wp:inline>
        </w:drawing>
      </w:r>
      <w:r>
        <w:rPr>
          <w:rFonts w:hint="eastAsia"/>
          <w:color w:val="auto"/>
          <w:lang w:val="en-US" w:eastAsia="zh-CN"/>
        </w:rPr>
        <w:drawing>
          <wp:inline distT="0" distB="0" distL="114300" distR="114300">
            <wp:extent cx="7452360" cy="5273040"/>
            <wp:effectExtent l="0" t="0" r="15240" b="3810"/>
            <wp:docPr id="34" name="图片 34" descr="鸡西市海盛新能源材料有限公司锅炉改造_2025年10月22日154239_分析报告_page-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鸡西市海盛新能源材料有限公司锅炉改造_2025年10月22日154239_分析报告_page-0008"/>
                    <pic:cNvPicPr>
                      <a:picLocks noChangeAspect="1"/>
                    </pic:cNvPicPr>
                  </pic:nvPicPr>
                  <pic:blipFill>
                    <a:blip r:embed="rId106"/>
                    <a:stretch>
                      <a:fillRect/>
                    </a:stretch>
                  </pic:blipFill>
                  <pic:spPr>
                    <a:xfrm>
                      <a:off x="0" y="0"/>
                      <a:ext cx="7452360" cy="5273040"/>
                    </a:xfrm>
                    <a:prstGeom prst="rect">
                      <a:avLst/>
                    </a:prstGeom>
                  </pic:spPr>
                </pic:pic>
              </a:graphicData>
            </a:graphic>
          </wp:inline>
        </w:drawing>
      </w:r>
      <w:r>
        <w:rPr>
          <w:rFonts w:hint="eastAsia"/>
          <w:color w:val="auto"/>
          <w:lang w:val="en-US" w:eastAsia="zh-CN"/>
        </w:rPr>
        <w:drawing>
          <wp:inline distT="0" distB="0" distL="114300" distR="114300">
            <wp:extent cx="7452360" cy="5273040"/>
            <wp:effectExtent l="0" t="0" r="15240" b="3810"/>
            <wp:docPr id="33" name="图片 33" descr="鸡西市海盛新能源材料有限公司锅炉改造_2025年10月22日154239_分析报告_page-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鸡西市海盛新能源材料有限公司锅炉改造_2025年10月22日154239_分析报告_page-0009"/>
                    <pic:cNvPicPr>
                      <a:picLocks noChangeAspect="1"/>
                    </pic:cNvPicPr>
                  </pic:nvPicPr>
                  <pic:blipFill>
                    <a:blip r:embed="rId107"/>
                    <a:stretch>
                      <a:fillRect/>
                    </a:stretch>
                  </pic:blipFill>
                  <pic:spPr>
                    <a:xfrm>
                      <a:off x="0" y="0"/>
                      <a:ext cx="7452360" cy="5273040"/>
                    </a:xfrm>
                    <a:prstGeom prst="rect">
                      <a:avLst/>
                    </a:prstGeom>
                  </pic:spPr>
                </pic:pic>
              </a:graphicData>
            </a:graphic>
          </wp:inline>
        </w:drawing>
      </w:r>
      <w:r>
        <w:rPr>
          <w:rFonts w:hint="eastAsia"/>
          <w:color w:val="auto"/>
          <w:lang w:val="en-US" w:eastAsia="zh-CN"/>
        </w:rPr>
        <w:drawing>
          <wp:inline distT="0" distB="0" distL="114300" distR="114300">
            <wp:extent cx="7452360" cy="5273040"/>
            <wp:effectExtent l="0" t="0" r="15240" b="3810"/>
            <wp:docPr id="17" name="图片 17" descr="鸡西市海盛新能源材料有限公司锅炉改造_2025年10月22日154239_分析报告_page-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鸡西市海盛新能源材料有限公司锅炉改造_2025年10月22日154239_分析报告_page-0010"/>
                    <pic:cNvPicPr>
                      <a:picLocks noChangeAspect="1"/>
                    </pic:cNvPicPr>
                  </pic:nvPicPr>
                  <pic:blipFill>
                    <a:blip r:embed="rId108"/>
                    <a:stretch>
                      <a:fillRect/>
                    </a:stretch>
                  </pic:blipFill>
                  <pic:spPr>
                    <a:xfrm>
                      <a:off x="0" y="0"/>
                      <a:ext cx="7452360" cy="5273040"/>
                    </a:xfrm>
                    <a:prstGeom prst="rect">
                      <a:avLst/>
                    </a:prstGeom>
                  </pic:spPr>
                </pic:pic>
              </a:graphicData>
            </a:graphic>
          </wp:inline>
        </w:drawing>
      </w:r>
      <w:r>
        <w:rPr>
          <w:rFonts w:hint="eastAsia"/>
          <w:color w:val="auto"/>
          <w:lang w:val="en-US" w:eastAsia="zh-CN"/>
        </w:rPr>
        <w:drawing>
          <wp:inline distT="0" distB="0" distL="114300" distR="114300">
            <wp:extent cx="7452360" cy="5273040"/>
            <wp:effectExtent l="0" t="0" r="15240" b="3810"/>
            <wp:docPr id="16" name="图片 16" descr="鸡西市海盛新能源材料有限公司锅炉改造_2025年10月22日154239_分析报告_page-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鸡西市海盛新能源材料有限公司锅炉改造_2025年10月22日154239_分析报告_page-0011"/>
                    <pic:cNvPicPr>
                      <a:picLocks noChangeAspect="1"/>
                    </pic:cNvPicPr>
                  </pic:nvPicPr>
                  <pic:blipFill>
                    <a:blip r:embed="rId109"/>
                    <a:stretch>
                      <a:fillRect/>
                    </a:stretch>
                  </pic:blipFill>
                  <pic:spPr>
                    <a:xfrm>
                      <a:off x="0" y="0"/>
                      <a:ext cx="7452360" cy="5273040"/>
                    </a:xfrm>
                    <a:prstGeom prst="rect">
                      <a:avLst/>
                    </a:prstGeom>
                  </pic:spPr>
                </pic:pic>
              </a:graphicData>
            </a:graphic>
          </wp:inline>
        </w:drawing>
      </w:r>
    </w:p>
    <w:p w14:paraId="342A69AB">
      <w:pPr>
        <w:keepLines w:val="0"/>
        <w:pageBreakBefore w:val="0"/>
        <w:topLinePunct w:val="0"/>
        <w:bidi w:val="0"/>
        <w:spacing w:beforeAutospacing="0" w:afterAutospacing="0" w:line="360" w:lineRule="auto"/>
        <w:ind w:right="0" w:rightChars="0"/>
        <w:jc w:val="both"/>
        <w:rPr>
          <w:rFonts w:hint="eastAsia" w:asciiTheme="minorEastAsia" w:hAnsiTheme="minorEastAsia" w:eastAsiaTheme="minorEastAsia" w:cstheme="minorEastAsia"/>
          <w:color w:val="auto"/>
          <w:kern w:val="0"/>
          <w:sz w:val="24"/>
          <w:szCs w:val="18"/>
          <w:lang w:val="en-US" w:eastAsia="zh-CN" w:bidi="ar-SA"/>
        </w:rPr>
        <w:sectPr>
          <w:pgSz w:w="16838" w:h="11906" w:orient="landscape"/>
          <w:pgMar w:top="1800" w:right="1440" w:bottom="1800" w:left="1440" w:header="851" w:footer="1077" w:gutter="0"/>
          <w:pgBorders>
            <w:top w:val="none" w:sz="0" w:space="0"/>
            <w:left w:val="none" w:sz="0" w:space="0"/>
            <w:bottom w:val="none" w:sz="0" w:space="0"/>
            <w:right w:val="none" w:sz="0" w:space="0"/>
          </w:pgBorders>
          <w:cols w:space="425" w:num="1"/>
          <w:docGrid w:linePitch="312" w:charSpace="0"/>
        </w:sectPr>
      </w:pPr>
    </w:p>
    <w:p w14:paraId="25FF2F58">
      <w:pPr>
        <w:tabs>
          <w:tab w:val="left" w:pos="1159"/>
        </w:tabs>
        <w:spacing w:line="360" w:lineRule="auto"/>
        <w:outlineLvl w:val="0"/>
        <w:rPr>
          <w:b/>
          <w:bCs/>
          <w:color w:val="auto"/>
          <w:sz w:val="28"/>
        </w:rPr>
      </w:pPr>
      <w:r>
        <w:rPr>
          <w:rFonts w:hint="eastAsia"/>
          <w:b/>
          <w:bCs/>
          <w:color w:val="auto"/>
          <w:sz w:val="28"/>
          <w:lang w:val="en-US" w:eastAsia="zh-CN"/>
        </w:rPr>
        <w:t>附件10：</w:t>
      </w:r>
      <w:r>
        <w:rPr>
          <w:b/>
          <w:bCs/>
          <w:color w:val="auto"/>
          <w:sz w:val="28"/>
        </w:rPr>
        <w:t>总量计算说明</w:t>
      </w:r>
    </w:p>
    <w:p w14:paraId="27AF3D83">
      <w:pPr>
        <w:pStyle w:val="15"/>
        <w:adjustRightInd w:val="0"/>
        <w:snapToGrid w:val="0"/>
        <w:spacing w:line="360" w:lineRule="auto"/>
        <w:ind w:firstLine="482" w:firstLineChars="200"/>
        <w:rPr>
          <w:b/>
          <w:bCs/>
          <w:color w:val="auto"/>
          <w:sz w:val="24"/>
        </w:rPr>
      </w:pPr>
      <w:bookmarkStart w:id="26" w:name="_Toc23519"/>
      <w:bookmarkStart w:id="27" w:name="_Toc1243"/>
      <w:bookmarkStart w:id="28" w:name="_Toc6361"/>
      <w:r>
        <w:rPr>
          <w:b/>
          <w:bCs/>
          <w:color w:val="auto"/>
          <w:sz w:val="24"/>
        </w:rPr>
        <w:t>一、核定量计算</w:t>
      </w:r>
      <w:bookmarkEnd w:id="26"/>
    </w:p>
    <w:p w14:paraId="34CA7AFA">
      <w:pPr>
        <w:pStyle w:val="181"/>
        <w:spacing w:line="360" w:lineRule="auto"/>
        <w:ind w:firstLine="480"/>
        <w:rPr>
          <w:rFonts w:hint="default"/>
          <w:color w:val="auto"/>
          <w:lang w:val="en-US" w:eastAsia="zh-CN"/>
        </w:rPr>
      </w:pPr>
      <w:r>
        <w:rPr>
          <w:rFonts w:hint="eastAsia"/>
          <w:color w:val="auto"/>
          <w:lang w:val="en-US" w:eastAsia="zh-CN"/>
        </w:rPr>
        <w:t>1、现有工程</w:t>
      </w:r>
    </w:p>
    <w:p w14:paraId="607DB5E8">
      <w:pPr>
        <w:pStyle w:val="181"/>
        <w:spacing w:line="360" w:lineRule="auto"/>
        <w:ind w:firstLine="480"/>
        <w:rPr>
          <w:rFonts w:hint="eastAsia"/>
          <w:color w:val="auto"/>
          <w:lang w:val="en-US" w:eastAsia="zh-CN"/>
        </w:rPr>
      </w:pPr>
      <w:r>
        <w:rPr>
          <w:rFonts w:hint="eastAsia"/>
          <w:color w:val="auto"/>
          <w:lang w:val="en-US" w:eastAsia="zh-CN"/>
        </w:rPr>
        <w:t>（1）锅炉废气</w:t>
      </w:r>
    </w:p>
    <w:p w14:paraId="14BF7BD3">
      <w:pPr>
        <w:keepNext w:val="0"/>
        <w:keepLines w:val="0"/>
        <w:suppressLineNumbers w:val="0"/>
        <w:adjustRightInd w:val="0"/>
        <w:snapToGrid w:val="0"/>
        <w:spacing w:before="0" w:beforeAutospacing="0" w:after="0" w:afterAutospacing="0" w:line="360" w:lineRule="auto"/>
        <w:ind w:left="0" w:right="0" w:firstLine="480" w:firstLineChars="200"/>
        <w:rPr>
          <w:rFonts w:hint="default"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现有</w:t>
      </w:r>
      <w:r>
        <w:rPr>
          <w:rFonts w:hint="eastAsia"/>
          <w:color w:val="auto"/>
          <w:spacing w:val="4"/>
          <w:sz w:val="24"/>
          <w:lang w:val="en-US" w:eastAsia="zh-CN"/>
        </w:rPr>
        <w:t>2台燃生物质</w:t>
      </w:r>
      <w:r>
        <w:rPr>
          <w:rFonts w:hint="eastAsia"/>
          <w:color w:val="auto"/>
          <w:spacing w:val="4"/>
          <w:sz w:val="24"/>
        </w:rPr>
        <w:t>导热油炉</w:t>
      </w:r>
      <w:r>
        <w:rPr>
          <w:rFonts w:hint="eastAsia" w:cs="Times New Roman"/>
          <w:color w:val="auto"/>
          <w:kern w:val="0"/>
          <w:sz w:val="24"/>
          <w:szCs w:val="24"/>
          <w:highlight w:val="none"/>
          <w:lang w:val="en-US" w:eastAsia="zh-CN" w:bidi="ar-SA"/>
        </w:rPr>
        <w:t>年工作300天，生物质成型燃料年用量为1965.6t/a。锅炉烟气经湿式除尘器处理，由2根20米高排气筒排放。</w:t>
      </w:r>
      <w:r>
        <w:rPr>
          <w:rFonts w:hint="default" w:cs="Times New Roman"/>
          <w:color w:val="auto"/>
          <w:kern w:val="0"/>
          <w:sz w:val="24"/>
          <w:szCs w:val="24"/>
          <w:highlight w:val="none"/>
          <w:lang w:val="en-US" w:eastAsia="zh-CN" w:bidi="ar-SA"/>
        </w:rPr>
        <w:t>锅炉排放的污染物计算情况如下：</w:t>
      </w:r>
    </w:p>
    <w:p w14:paraId="7B300A94">
      <w:pPr>
        <w:pStyle w:val="181"/>
        <w:spacing w:line="360" w:lineRule="auto"/>
        <w:ind w:firstLine="480"/>
        <w:rPr>
          <w:rFonts w:hint="default" w:ascii="Times New Roman" w:hAnsi="Times New Roman" w:cs="Times New Roman"/>
          <w:color w:val="auto"/>
          <w:kern w:val="0"/>
          <w:sz w:val="24"/>
          <w:szCs w:val="24"/>
          <w:highlight w:val="none"/>
          <w:lang w:val="en-US" w:eastAsia="zh-CN" w:bidi="ar-SA"/>
        </w:rPr>
      </w:pPr>
      <w:r>
        <w:rPr>
          <w:rFonts w:hint="default" w:ascii="Times New Roman" w:hAnsi="Times New Roman" w:cs="Times New Roman"/>
          <w:color w:val="auto"/>
          <w:kern w:val="0"/>
          <w:sz w:val="24"/>
          <w:szCs w:val="24"/>
          <w:highlight w:val="none"/>
          <w:lang w:val="en-US" w:eastAsia="zh-CN" w:bidi="ar-SA"/>
        </w:rPr>
        <w:t>干烟气排放量计算参照《排污许可证申请与核发技术规范 锅炉》（HJ953-2018），本项目低位发热量（Qnet，ar）为</w:t>
      </w:r>
      <w:r>
        <w:rPr>
          <w:rFonts w:hint="eastAsia" w:cs="Times New Roman"/>
          <w:color w:val="auto"/>
          <w:kern w:val="0"/>
          <w:sz w:val="24"/>
          <w:szCs w:val="24"/>
          <w:highlight w:val="none"/>
          <w:lang w:val="en-US" w:eastAsia="zh-CN" w:bidi="ar-SA"/>
        </w:rPr>
        <w:t>9.58</w:t>
      </w:r>
      <w:r>
        <w:rPr>
          <w:rFonts w:hint="eastAsia" w:ascii="Times New Roman" w:hAnsi="Times New Roman" w:eastAsia="宋体" w:cs="Times New Roman"/>
          <w:color w:val="auto"/>
          <w:kern w:val="0"/>
          <w:sz w:val="24"/>
          <w:szCs w:val="24"/>
          <w:highlight w:val="none"/>
          <w:lang w:val="en-US" w:eastAsia="zh-CN" w:bidi="ar-SA"/>
        </w:rPr>
        <w:t>MJ/kg</w:t>
      </w:r>
      <w:r>
        <w:rPr>
          <w:rFonts w:hint="default" w:ascii="Times New Roman" w:hAnsi="Times New Roman" w:cs="Times New Roman"/>
          <w:color w:val="auto"/>
          <w:kern w:val="0"/>
          <w:sz w:val="24"/>
          <w:szCs w:val="24"/>
          <w:highlight w:val="none"/>
          <w:lang w:val="en-US" w:eastAsia="zh-CN" w:bidi="ar-SA"/>
        </w:rPr>
        <w:t>，因此基准烟气量采用下式计算：</w:t>
      </w:r>
    </w:p>
    <w:p w14:paraId="69D1362C">
      <w:pPr>
        <w:adjustRightInd w:val="0"/>
        <w:snapToGrid w:val="0"/>
        <w:spacing w:line="360" w:lineRule="auto"/>
        <w:ind w:firstLine="480" w:firstLineChars="200"/>
        <w:jc w:val="center"/>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drawing>
          <wp:inline distT="0" distB="0" distL="114300" distR="114300">
            <wp:extent cx="2614295" cy="583565"/>
            <wp:effectExtent l="0" t="0" r="14605" b="6985"/>
            <wp:docPr id="6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
                    <pic:cNvPicPr>
                      <a:picLocks noChangeAspect="1"/>
                    </pic:cNvPicPr>
                  </pic:nvPicPr>
                  <pic:blipFill>
                    <a:blip r:embed="rId110"/>
                    <a:stretch>
                      <a:fillRect/>
                    </a:stretch>
                  </pic:blipFill>
                  <pic:spPr>
                    <a:xfrm>
                      <a:off x="0" y="0"/>
                      <a:ext cx="2614295" cy="583565"/>
                    </a:xfrm>
                    <a:prstGeom prst="rect">
                      <a:avLst/>
                    </a:prstGeom>
                    <a:noFill/>
                    <a:ln>
                      <a:noFill/>
                    </a:ln>
                  </pic:spPr>
                </pic:pic>
              </a:graphicData>
            </a:graphic>
          </wp:inline>
        </w:drawing>
      </w:r>
    </w:p>
    <w:p w14:paraId="5F943F52">
      <w:pPr>
        <w:pStyle w:val="2"/>
        <w:spacing w:before="0" w:after="0" w:line="360" w:lineRule="auto"/>
        <w:ind w:right="0" w:firstLine="1680" w:firstLineChars="700"/>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t>E---年许可排放量，吨；</w:t>
      </w:r>
    </w:p>
    <w:p w14:paraId="1579F237">
      <w:pPr>
        <w:pStyle w:val="2"/>
        <w:spacing w:before="0" w:after="0" w:line="360" w:lineRule="auto"/>
        <w:ind w:right="0" w:firstLine="1680" w:firstLineChars="700"/>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t>Ci---污染物排放标准浓度限值，毫克/立方米；</w:t>
      </w:r>
    </w:p>
    <w:p w14:paraId="4BFC2E48">
      <w:pPr>
        <w:pStyle w:val="2"/>
        <w:spacing w:before="0" w:after="0" w:line="360" w:lineRule="auto"/>
        <w:ind w:right="0" w:firstLine="1680" w:firstLineChars="700"/>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t>Vi---基准烟气量，立方米/千克；</w:t>
      </w:r>
    </w:p>
    <w:p w14:paraId="051A9643">
      <w:pPr>
        <w:pStyle w:val="2"/>
        <w:spacing w:before="0" w:after="0" w:line="360" w:lineRule="auto"/>
        <w:ind w:right="0" w:firstLine="1680" w:firstLineChars="700"/>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t>Ri---燃料量，吨；</w:t>
      </w:r>
    </w:p>
    <w:p w14:paraId="0B8A5B38">
      <w:pPr>
        <w:pStyle w:val="2"/>
        <w:spacing w:before="0" w:after="0" w:line="360" w:lineRule="auto"/>
        <w:ind w:right="0" w:firstLine="1680" w:firstLineChars="700"/>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object>
          <v:shape id="_x0000_i1027" o:spt="75" type="#_x0000_t75" style="height:13.95pt;width:11pt;" o:ole="t" filled="f" o:preferrelative="t" stroked="f" coordsize="21600,21600">
            <v:path/>
            <v:fill on="f" focussize="0,0"/>
            <v:stroke on="f"/>
            <v:imagedata r:id="rId112" o:title=""/>
            <o:lock v:ext="edit" aspectratio="t"/>
            <w10:wrap type="none"/>
            <w10:anchorlock/>
          </v:shape>
          <o:OLEObject Type="Embed" ProgID="Equation.KSEE3" ShapeID="_x0000_i1027" DrawAspect="Content" ObjectID="_1468075727" r:id="rId111">
            <o:LockedField>false</o:LockedField>
          </o:OLEObject>
        </w:object>
      </w:r>
      <w:r>
        <w:rPr>
          <w:rFonts w:hint="default" w:ascii="Times New Roman" w:hAnsi="Times New Roman" w:eastAsia="宋体" w:cs="Times New Roman"/>
          <w:color w:val="auto"/>
          <w:kern w:val="2"/>
          <w:sz w:val="24"/>
          <w:szCs w:val="20"/>
          <w:lang w:val="en-US" w:eastAsia="zh-CN" w:bidi="ar-SA"/>
        </w:rPr>
        <w:t>i---大气污染物许可排放量调整系数。</w:t>
      </w:r>
    </w:p>
    <w:p w14:paraId="26650A91">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2"/>
          <w:sz w:val="24"/>
          <w:szCs w:val="20"/>
          <w:lang w:val="en-US" w:eastAsia="zh-CN" w:bidi="ar-SA"/>
        </w:rPr>
        <w:t>根据成分分析报告进行计算可知，</w:t>
      </w:r>
      <w:r>
        <w:rPr>
          <w:rFonts w:hint="eastAsia" w:ascii="Times New Roman" w:hAnsi="Times New Roman" w:eastAsia="宋体" w:cs="Times New Roman"/>
          <w:color w:val="auto"/>
          <w:sz w:val="24"/>
          <w:szCs w:val="24"/>
          <w:highlight w:val="none"/>
          <w:lang w:eastAsia="zh-CN"/>
        </w:rPr>
        <w:t>经计算，本项目干烟气量Vg为</w:t>
      </w:r>
      <w:r>
        <w:rPr>
          <w:rFonts w:hint="eastAsia" w:cs="Times New Roman"/>
          <w:color w:val="auto"/>
          <w:sz w:val="24"/>
          <w:szCs w:val="24"/>
          <w:highlight w:val="none"/>
          <w:lang w:eastAsia="zh-CN"/>
        </w:rPr>
        <w:t>4.635</w:t>
      </w:r>
      <w:r>
        <w:rPr>
          <w:rFonts w:hint="eastAsia" w:ascii="Times New Roman" w:hAnsi="Times New Roman" w:eastAsia="宋体" w:cs="Times New Roman"/>
          <w:color w:val="auto"/>
          <w:sz w:val="24"/>
          <w:szCs w:val="24"/>
          <w:highlight w:val="none"/>
          <w:lang w:eastAsia="zh-CN"/>
        </w:rPr>
        <w:t>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/kg。</w:t>
      </w:r>
    </w:p>
    <w:p w14:paraId="753BE12A">
      <w:pPr>
        <w:adjustRightInd w:val="0"/>
        <w:snapToGrid w:val="0"/>
        <w:spacing w:line="360" w:lineRule="auto"/>
        <w:ind w:firstLine="480" w:firstLineChars="200"/>
        <w:rPr>
          <w:rFonts w:hint="default" w:ascii="Times New Roman" w:hAnsi="Times New Roman" w:eastAsia="宋体" w:cs="Times New Roman"/>
          <w:color w:val="auto"/>
          <w:kern w:val="2"/>
          <w:sz w:val="24"/>
          <w:szCs w:val="20"/>
          <w:lang w:val="en-US" w:eastAsia="zh-CN" w:bidi="ar-SA"/>
        </w:rPr>
      </w:pPr>
      <w:r>
        <w:rPr>
          <w:rFonts w:hint="eastAsia" w:ascii="Times New Roman" w:hAnsi="Times New Roman" w:eastAsia="宋体" w:cs="Times New Roman"/>
          <w:color w:val="auto"/>
          <w:sz w:val="24"/>
          <w:szCs w:val="24"/>
          <w:highlight w:val="none"/>
          <w:lang w:eastAsia="zh-CN"/>
        </w:rPr>
        <w:t>本项目年燃生物质量为</w:t>
      </w:r>
      <w:r>
        <w:rPr>
          <w:rFonts w:hint="eastAsia" w:cs="Times New Roman"/>
          <w:color w:val="auto"/>
          <w:kern w:val="0"/>
          <w:sz w:val="24"/>
          <w:szCs w:val="24"/>
          <w:highlight w:val="none"/>
          <w:lang w:val="en-US" w:eastAsia="zh-CN" w:bidi="ar-SA"/>
        </w:rPr>
        <w:t>1965.6</w:t>
      </w:r>
      <w:r>
        <w:rPr>
          <w:rFonts w:hint="eastAsia" w:ascii="Times New Roman" w:hAnsi="Times New Roman" w:eastAsia="宋体" w:cs="Times New Roman"/>
          <w:color w:val="auto"/>
          <w:sz w:val="24"/>
          <w:szCs w:val="24"/>
          <w:highlight w:val="none"/>
          <w:lang w:eastAsia="zh-CN"/>
        </w:rPr>
        <w:t>t</w:t>
      </w:r>
      <w:r>
        <w:rPr>
          <w:rFonts w:hint="eastAsia" w:ascii="Times New Roman" w:hAnsi="Times New Roman" w:eastAsia="宋体" w:cs="Times New Roman"/>
          <w:color w:val="auto"/>
          <w:sz w:val="24"/>
          <w:szCs w:val="24"/>
          <w:highlight w:val="none"/>
          <w:lang w:val="en-US" w:eastAsia="zh-CN"/>
        </w:rPr>
        <w:t>/a，</w:t>
      </w:r>
      <w:r>
        <w:rPr>
          <w:rFonts w:hint="eastAsia" w:ascii="Times New Roman" w:hAnsi="Times New Roman" w:eastAsia="宋体" w:cs="Times New Roman"/>
          <w:color w:val="auto"/>
          <w:sz w:val="24"/>
          <w:szCs w:val="24"/>
          <w:highlight w:val="none"/>
          <w:lang w:eastAsia="zh-CN"/>
        </w:rPr>
        <w:t>年工作</w:t>
      </w:r>
      <w:r>
        <w:rPr>
          <w:rFonts w:hint="eastAsia" w:cs="Times New Roman"/>
          <w:color w:val="auto"/>
          <w:sz w:val="24"/>
          <w:szCs w:val="24"/>
          <w:highlight w:val="none"/>
          <w:lang w:val="en-US" w:eastAsia="zh-CN"/>
        </w:rPr>
        <w:t>720</w:t>
      </w:r>
      <w:r>
        <w:rPr>
          <w:rFonts w:hint="eastAsia" w:ascii="Times New Roman" w:hAnsi="Times New Roman" w:eastAsia="宋体" w:cs="Times New Roman"/>
          <w:color w:val="auto"/>
          <w:sz w:val="24"/>
          <w:szCs w:val="24"/>
          <w:highlight w:val="none"/>
          <w:lang w:val="en-US" w:eastAsia="zh-CN"/>
        </w:rPr>
        <w:t>0</w:t>
      </w:r>
      <w:r>
        <w:rPr>
          <w:rFonts w:hint="eastAsia" w:ascii="Times New Roman" w:hAnsi="Times New Roman" w:eastAsia="宋体" w:cs="Times New Roman"/>
          <w:color w:val="auto"/>
          <w:sz w:val="24"/>
          <w:szCs w:val="24"/>
          <w:highlight w:val="none"/>
          <w:lang w:eastAsia="zh-CN"/>
        </w:rPr>
        <w:t>h，则烟气量为</w:t>
      </w:r>
      <w:r>
        <w:rPr>
          <w:rFonts w:hint="eastAsia" w:ascii="Times New Roman" w:hAnsi="Times New Roman" w:eastAsia="宋体" w:cs="Times New Roman"/>
          <w:color w:val="auto"/>
          <w:sz w:val="24"/>
          <w:szCs w:val="24"/>
          <w:highlight w:val="none"/>
          <w:lang w:val="en-US" w:eastAsia="zh-CN"/>
        </w:rPr>
        <w:t>9110556</w:t>
      </w:r>
      <w:r>
        <w:rPr>
          <w:rFonts w:hint="eastAsia" w:ascii="Times New Roman" w:hAnsi="Times New Roman" w:eastAsia="宋体" w:cs="Times New Roman"/>
          <w:color w:val="auto"/>
          <w:sz w:val="24"/>
          <w:szCs w:val="24"/>
          <w:highlight w:val="none"/>
          <w:lang w:eastAsia="zh-CN"/>
        </w:rPr>
        <w:t>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a。</w:t>
      </w:r>
    </w:p>
    <w:p w14:paraId="0E1750E7">
      <w:pPr>
        <w:adjustRightInd w:val="0"/>
        <w:snapToGrid w:val="0"/>
        <w:spacing w:line="360" w:lineRule="auto"/>
        <w:ind w:firstLine="480" w:firstLineChars="200"/>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t>颗粒物核定排放量=</w:t>
      </w:r>
      <w:r>
        <w:rPr>
          <w:rFonts w:hint="eastAsia" w:ascii="Times New Roman" w:hAnsi="Times New Roman" w:eastAsia="宋体" w:cs="Times New Roman"/>
          <w:color w:val="auto"/>
          <w:sz w:val="24"/>
          <w:szCs w:val="24"/>
          <w:highlight w:val="none"/>
          <w:lang w:val="en-US" w:eastAsia="zh-CN"/>
        </w:rPr>
        <w:t>9110556</w:t>
      </w:r>
      <w:r>
        <w:rPr>
          <w:rFonts w:hint="eastAsia" w:ascii="Times New Roman" w:hAnsi="Times New Roman" w:eastAsia="宋体" w:cs="Times New Roman"/>
          <w:color w:val="auto"/>
          <w:sz w:val="24"/>
          <w:szCs w:val="24"/>
          <w:highlight w:val="none"/>
          <w:lang w:eastAsia="zh-CN"/>
        </w:rPr>
        <w:t>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a</w:t>
      </w:r>
      <w:r>
        <w:rPr>
          <w:rFonts w:hint="default" w:ascii="Times New Roman" w:hAnsi="Times New Roman" w:eastAsia="宋体" w:cs="Times New Roman"/>
          <w:color w:val="auto"/>
          <w:kern w:val="2"/>
          <w:sz w:val="24"/>
          <w:szCs w:val="20"/>
          <w:lang w:val="en-US" w:eastAsia="zh-CN" w:bidi="ar-SA"/>
        </w:rPr>
        <w:t>×</w:t>
      </w:r>
      <w:r>
        <w:rPr>
          <w:rFonts w:hint="eastAsia" w:cs="Times New Roman"/>
          <w:color w:val="auto"/>
          <w:kern w:val="2"/>
          <w:sz w:val="24"/>
          <w:szCs w:val="20"/>
          <w:lang w:val="en-US" w:eastAsia="zh-CN" w:bidi="ar-SA"/>
        </w:rPr>
        <w:t>5</w:t>
      </w:r>
      <w:r>
        <w:rPr>
          <w:rFonts w:hint="eastAsia" w:ascii="Times New Roman" w:hAnsi="Times New Roman" w:cs="Times New Roman"/>
          <w:color w:val="auto"/>
          <w:kern w:val="2"/>
          <w:sz w:val="24"/>
          <w:szCs w:val="20"/>
          <w:lang w:val="en-US" w:eastAsia="zh-CN" w:bidi="ar-SA"/>
        </w:rPr>
        <w:t>0</w:t>
      </w:r>
      <w:r>
        <w:rPr>
          <w:rFonts w:hint="default" w:ascii="Times New Roman" w:hAnsi="Times New Roman" w:eastAsia="宋体" w:cs="Times New Roman"/>
          <w:color w:val="auto"/>
          <w:kern w:val="2"/>
          <w:sz w:val="24"/>
          <w:szCs w:val="20"/>
          <w:lang w:val="en-US" w:eastAsia="zh-CN" w:bidi="ar-SA"/>
        </w:rPr>
        <w:t>mg/m</w:t>
      </w:r>
      <w:r>
        <w:rPr>
          <w:rFonts w:hint="eastAsia" w:ascii="Times New Roman" w:hAnsi="Times New Roman" w:eastAsia="宋体" w:cs="Times New Roman"/>
          <w:color w:val="auto"/>
          <w:kern w:val="2"/>
          <w:sz w:val="24"/>
          <w:szCs w:val="20"/>
          <w:vertAlign w:val="superscript"/>
          <w:lang w:val="en-US" w:eastAsia="zh-CN" w:bidi="ar-SA"/>
        </w:rPr>
        <w:t>3</w:t>
      </w:r>
      <w:r>
        <w:rPr>
          <w:rFonts w:hint="default" w:ascii="Times New Roman" w:hAnsi="Times New Roman" w:eastAsia="宋体" w:cs="Times New Roman"/>
          <w:color w:val="auto"/>
          <w:kern w:val="2"/>
          <w:sz w:val="24"/>
          <w:szCs w:val="20"/>
          <w:lang w:val="en-US" w:eastAsia="zh-CN" w:bidi="ar-SA"/>
        </w:rPr>
        <w:t>×10</w:t>
      </w:r>
      <w:r>
        <w:rPr>
          <w:rFonts w:hint="default" w:ascii="Times New Roman" w:hAnsi="Times New Roman" w:eastAsia="宋体" w:cs="Times New Roman"/>
          <w:color w:val="auto"/>
          <w:kern w:val="2"/>
          <w:sz w:val="24"/>
          <w:szCs w:val="20"/>
          <w:vertAlign w:val="superscript"/>
          <w:lang w:val="en-US" w:eastAsia="zh-CN" w:bidi="ar-SA"/>
        </w:rPr>
        <w:t>-</w:t>
      </w:r>
      <w:r>
        <w:rPr>
          <w:rFonts w:hint="eastAsia" w:cs="Times New Roman"/>
          <w:color w:val="auto"/>
          <w:kern w:val="2"/>
          <w:sz w:val="24"/>
          <w:szCs w:val="20"/>
          <w:vertAlign w:val="superscript"/>
          <w:lang w:val="en-US" w:eastAsia="zh-CN" w:bidi="ar-SA"/>
        </w:rPr>
        <w:t>9</w:t>
      </w:r>
      <w:r>
        <w:rPr>
          <w:rFonts w:hint="default" w:ascii="Times New Roman" w:hAnsi="Times New Roman" w:eastAsia="宋体" w:cs="Times New Roman"/>
          <w:color w:val="auto"/>
          <w:kern w:val="2"/>
          <w:sz w:val="24"/>
          <w:szCs w:val="20"/>
          <w:lang w:val="en-US" w:eastAsia="zh-CN" w:bidi="ar-SA"/>
        </w:rPr>
        <w:t>=</w:t>
      </w:r>
      <w:r>
        <w:rPr>
          <w:rFonts w:hint="eastAsia" w:cs="Times New Roman"/>
          <w:color w:val="auto"/>
          <w:kern w:val="2"/>
          <w:sz w:val="24"/>
          <w:szCs w:val="20"/>
          <w:lang w:val="en-US" w:eastAsia="zh-CN" w:bidi="ar-SA"/>
        </w:rPr>
        <w:t>0.456</w:t>
      </w:r>
      <w:r>
        <w:rPr>
          <w:rFonts w:hint="default" w:ascii="Times New Roman" w:hAnsi="Times New Roman" w:eastAsia="宋体" w:cs="Times New Roman"/>
          <w:color w:val="auto"/>
          <w:kern w:val="2"/>
          <w:sz w:val="24"/>
          <w:szCs w:val="20"/>
          <w:lang w:val="en-US" w:eastAsia="zh-CN" w:bidi="ar-SA"/>
        </w:rPr>
        <w:t>t/a</w:t>
      </w:r>
    </w:p>
    <w:p w14:paraId="1D925AAD">
      <w:pPr>
        <w:adjustRightInd w:val="0"/>
        <w:snapToGrid w:val="0"/>
        <w:spacing w:line="360" w:lineRule="auto"/>
        <w:ind w:firstLine="480" w:firstLineChars="200"/>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t>二氧化硫核定排放量=</w:t>
      </w:r>
      <w:r>
        <w:rPr>
          <w:rFonts w:hint="eastAsia" w:ascii="Times New Roman" w:hAnsi="Times New Roman" w:eastAsia="宋体" w:cs="Times New Roman"/>
          <w:color w:val="auto"/>
          <w:sz w:val="24"/>
          <w:szCs w:val="24"/>
          <w:highlight w:val="none"/>
          <w:lang w:val="en-US" w:eastAsia="zh-CN"/>
        </w:rPr>
        <w:t>9110556</w:t>
      </w:r>
      <w:r>
        <w:rPr>
          <w:rFonts w:hint="eastAsia" w:ascii="Times New Roman" w:hAnsi="Times New Roman" w:eastAsia="宋体" w:cs="Times New Roman"/>
          <w:color w:val="auto"/>
          <w:sz w:val="24"/>
          <w:szCs w:val="24"/>
          <w:highlight w:val="none"/>
          <w:lang w:eastAsia="zh-CN"/>
        </w:rPr>
        <w:t>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a</w:t>
      </w:r>
      <w:r>
        <w:rPr>
          <w:rFonts w:hint="default" w:ascii="Times New Roman" w:hAnsi="Times New Roman" w:eastAsia="宋体" w:cs="Times New Roman"/>
          <w:color w:val="auto"/>
          <w:kern w:val="2"/>
          <w:sz w:val="24"/>
          <w:szCs w:val="20"/>
          <w:lang w:val="en-US" w:eastAsia="zh-CN" w:bidi="ar-SA"/>
        </w:rPr>
        <w:t>×</w:t>
      </w:r>
      <w:r>
        <w:rPr>
          <w:rFonts w:hint="eastAsia" w:cs="Times New Roman"/>
          <w:color w:val="auto"/>
          <w:kern w:val="2"/>
          <w:sz w:val="24"/>
          <w:szCs w:val="20"/>
          <w:lang w:val="en-US" w:eastAsia="zh-CN" w:bidi="ar-SA"/>
        </w:rPr>
        <w:t>3</w:t>
      </w:r>
      <w:r>
        <w:rPr>
          <w:rFonts w:hint="default" w:ascii="Times New Roman" w:hAnsi="Times New Roman" w:eastAsia="宋体" w:cs="Times New Roman"/>
          <w:color w:val="auto"/>
          <w:kern w:val="2"/>
          <w:sz w:val="24"/>
          <w:szCs w:val="20"/>
          <w:lang w:val="en-US" w:eastAsia="zh-CN" w:bidi="ar-SA"/>
        </w:rPr>
        <w:t>00mg/m</w:t>
      </w:r>
      <w:r>
        <w:rPr>
          <w:rFonts w:hint="eastAsia" w:ascii="Times New Roman" w:hAnsi="Times New Roman" w:eastAsia="宋体" w:cs="Times New Roman"/>
          <w:color w:val="auto"/>
          <w:kern w:val="2"/>
          <w:sz w:val="24"/>
          <w:szCs w:val="20"/>
          <w:vertAlign w:val="superscript"/>
          <w:lang w:val="en-US" w:eastAsia="zh-CN" w:bidi="ar-SA"/>
        </w:rPr>
        <w:t>3</w:t>
      </w:r>
      <w:r>
        <w:rPr>
          <w:rFonts w:hint="default" w:ascii="Times New Roman" w:hAnsi="Times New Roman" w:eastAsia="宋体" w:cs="Times New Roman"/>
          <w:color w:val="auto"/>
          <w:kern w:val="2"/>
          <w:sz w:val="24"/>
          <w:szCs w:val="20"/>
          <w:lang w:val="en-US" w:eastAsia="zh-CN" w:bidi="ar-SA"/>
        </w:rPr>
        <w:t>×0.8×10</w:t>
      </w:r>
      <w:r>
        <w:rPr>
          <w:rFonts w:hint="default" w:ascii="Times New Roman" w:hAnsi="Times New Roman" w:eastAsia="宋体" w:cs="Times New Roman"/>
          <w:color w:val="auto"/>
          <w:kern w:val="2"/>
          <w:sz w:val="24"/>
          <w:szCs w:val="20"/>
          <w:vertAlign w:val="superscript"/>
          <w:lang w:val="en-US" w:eastAsia="zh-CN" w:bidi="ar-SA"/>
        </w:rPr>
        <w:t>-</w:t>
      </w:r>
      <w:r>
        <w:rPr>
          <w:rFonts w:hint="eastAsia" w:cs="Times New Roman"/>
          <w:color w:val="auto"/>
          <w:kern w:val="2"/>
          <w:sz w:val="24"/>
          <w:szCs w:val="20"/>
          <w:vertAlign w:val="superscript"/>
          <w:lang w:val="en-US" w:eastAsia="zh-CN" w:bidi="ar-SA"/>
        </w:rPr>
        <w:t>9</w:t>
      </w:r>
      <w:r>
        <w:rPr>
          <w:rFonts w:hint="default" w:ascii="Times New Roman" w:hAnsi="Times New Roman" w:eastAsia="宋体" w:cs="Times New Roman"/>
          <w:color w:val="auto"/>
          <w:kern w:val="2"/>
          <w:sz w:val="24"/>
          <w:szCs w:val="20"/>
          <w:lang w:val="en-US" w:eastAsia="zh-CN" w:bidi="ar-SA"/>
        </w:rPr>
        <w:t>=</w:t>
      </w:r>
      <w:r>
        <w:rPr>
          <w:rFonts w:hint="eastAsia" w:cs="Times New Roman"/>
          <w:color w:val="auto"/>
          <w:kern w:val="2"/>
          <w:sz w:val="24"/>
          <w:szCs w:val="20"/>
          <w:lang w:val="en-US" w:eastAsia="zh-CN" w:bidi="ar-SA"/>
        </w:rPr>
        <w:t>2.186</w:t>
      </w:r>
      <w:r>
        <w:rPr>
          <w:rFonts w:hint="default" w:ascii="Times New Roman" w:hAnsi="Times New Roman" w:eastAsia="宋体" w:cs="Times New Roman"/>
          <w:color w:val="auto"/>
          <w:kern w:val="2"/>
          <w:sz w:val="24"/>
          <w:szCs w:val="20"/>
          <w:lang w:val="en-US" w:eastAsia="zh-CN" w:bidi="ar-SA"/>
        </w:rPr>
        <w:t>t/a</w:t>
      </w:r>
    </w:p>
    <w:p w14:paraId="6F85C6A6">
      <w:pPr>
        <w:adjustRightInd w:val="0"/>
        <w:snapToGrid w:val="0"/>
        <w:spacing w:line="360" w:lineRule="auto"/>
        <w:ind w:firstLine="480" w:firstLineChars="200"/>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t>氮氧化物核定排放量=</w:t>
      </w:r>
      <w:r>
        <w:rPr>
          <w:rFonts w:hint="eastAsia" w:ascii="Times New Roman" w:hAnsi="Times New Roman" w:eastAsia="宋体" w:cs="Times New Roman"/>
          <w:color w:val="auto"/>
          <w:sz w:val="24"/>
          <w:szCs w:val="24"/>
          <w:highlight w:val="none"/>
          <w:lang w:val="en-US" w:eastAsia="zh-CN"/>
        </w:rPr>
        <w:t>9110556</w:t>
      </w:r>
      <w:r>
        <w:rPr>
          <w:rFonts w:hint="eastAsia" w:ascii="Times New Roman" w:hAnsi="Times New Roman" w:eastAsia="宋体" w:cs="Times New Roman"/>
          <w:color w:val="auto"/>
          <w:sz w:val="24"/>
          <w:szCs w:val="24"/>
          <w:highlight w:val="none"/>
          <w:lang w:eastAsia="zh-CN"/>
        </w:rPr>
        <w:t>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a</w:t>
      </w:r>
      <w:r>
        <w:rPr>
          <w:rFonts w:hint="default" w:ascii="Times New Roman" w:hAnsi="Times New Roman" w:eastAsia="宋体" w:cs="Times New Roman"/>
          <w:color w:val="auto"/>
          <w:kern w:val="2"/>
          <w:sz w:val="24"/>
          <w:szCs w:val="20"/>
          <w:lang w:val="en-US" w:eastAsia="zh-CN" w:bidi="ar-SA"/>
        </w:rPr>
        <w:t>×</w:t>
      </w:r>
      <w:r>
        <w:rPr>
          <w:rFonts w:hint="eastAsia" w:cs="Times New Roman"/>
          <w:color w:val="auto"/>
          <w:kern w:val="2"/>
          <w:sz w:val="24"/>
          <w:szCs w:val="20"/>
          <w:lang w:val="en-US" w:eastAsia="zh-CN" w:bidi="ar-SA"/>
        </w:rPr>
        <w:t>3</w:t>
      </w:r>
      <w:r>
        <w:rPr>
          <w:rFonts w:hint="default" w:ascii="Times New Roman" w:hAnsi="Times New Roman" w:eastAsia="宋体" w:cs="Times New Roman"/>
          <w:color w:val="auto"/>
          <w:kern w:val="2"/>
          <w:sz w:val="24"/>
          <w:szCs w:val="20"/>
          <w:lang w:val="en-US" w:eastAsia="zh-CN" w:bidi="ar-SA"/>
        </w:rPr>
        <w:t>00mg/m</w:t>
      </w:r>
      <w:r>
        <w:rPr>
          <w:rFonts w:hint="eastAsia" w:ascii="Times New Roman" w:hAnsi="Times New Roman" w:eastAsia="宋体" w:cs="Times New Roman"/>
          <w:color w:val="auto"/>
          <w:kern w:val="2"/>
          <w:sz w:val="24"/>
          <w:szCs w:val="20"/>
          <w:vertAlign w:val="superscript"/>
          <w:lang w:val="en-US" w:eastAsia="zh-CN" w:bidi="ar-SA"/>
        </w:rPr>
        <w:t>3</w:t>
      </w:r>
      <w:r>
        <w:rPr>
          <w:rFonts w:hint="default" w:ascii="Times New Roman" w:hAnsi="Times New Roman" w:eastAsia="宋体" w:cs="Times New Roman"/>
          <w:color w:val="auto"/>
          <w:kern w:val="2"/>
          <w:sz w:val="24"/>
          <w:szCs w:val="20"/>
          <w:lang w:val="en-US" w:eastAsia="zh-CN" w:bidi="ar-SA"/>
        </w:rPr>
        <w:t>×10</w:t>
      </w:r>
      <w:r>
        <w:rPr>
          <w:rFonts w:hint="default" w:ascii="Times New Roman" w:hAnsi="Times New Roman" w:eastAsia="宋体" w:cs="Times New Roman"/>
          <w:color w:val="auto"/>
          <w:kern w:val="2"/>
          <w:sz w:val="24"/>
          <w:szCs w:val="20"/>
          <w:vertAlign w:val="superscript"/>
          <w:lang w:val="en-US" w:eastAsia="zh-CN" w:bidi="ar-SA"/>
        </w:rPr>
        <w:t>-</w:t>
      </w:r>
      <w:r>
        <w:rPr>
          <w:rFonts w:hint="eastAsia" w:cs="Times New Roman"/>
          <w:color w:val="auto"/>
          <w:kern w:val="2"/>
          <w:sz w:val="24"/>
          <w:szCs w:val="20"/>
          <w:vertAlign w:val="superscript"/>
          <w:lang w:val="en-US" w:eastAsia="zh-CN" w:bidi="ar-SA"/>
        </w:rPr>
        <w:t>9</w:t>
      </w:r>
      <w:r>
        <w:rPr>
          <w:rFonts w:hint="default" w:ascii="Times New Roman" w:hAnsi="Times New Roman" w:eastAsia="宋体" w:cs="Times New Roman"/>
          <w:color w:val="auto"/>
          <w:kern w:val="2"/>
          <w:sz w:val="24"/>
          <w:szCs w:val="20"/>
          <w:lang w:val="en-US" w:eastAsia="zh-CN" w:bidi="ar-SA"/>
        </w:rPr>
        <w:t>=</w:t>
      </w:r>
      <w:r>
        <w:rPr>
          <w:rFonts w:hint="eastAsia" w:cs="Times New Roman"/>
          <w:color w:val="auto"/>
          <w:kern w:val="2"/>
          <w:sz w:val="24"/>
          <w:szCs w:val="20"/>
          <w:lang w:val="en-US" w:eastAsia="zh-CN" w:bidi="ar-SA"/>
        </w:rPr>
        <w:t>2.733</w:t>
      </w:r>
      <w:r>
        <w:rPr>
          <w:rFonts w:hint="default" w:ascii="Times New Roman" w:hAnsi="Times New Roman" w:eastAsia="宋体" w:cs="Times New Roman"/>
          <w:color w:val="auto"/>
          <w:kern w:val="2"/>
          <w:sz w:val="24"/>
          <w:szCs w:val="20"/>
          <w:lang w:val="en-US" w:eastAsia="zh-CN" w:bidi="ar-SA"/>
        </w:rPr>
        <w:t>t/a</w:t>
      </w:r>
    </w:p>
    <w:p w14:paraId="12D5B044">
      <w:pPr>
        <w:adjustRightInd w:val="0"/>
        <w:snapToGrid w:val="0"/>
        <w:spacing w:line="360" w:lineRule="auto"/>
        <w:ind w:firstLine="480" w:firstLineChars="200"/>
        <w:rPr>
          <w:rFonts w:hint="default" w:ascii="Times New Roman" w:hAnsi="Times New Roman" w:eastAsia="宋体" w:cs="Times New Roman"/>
          <w:color w:val="auto"/>
          <w:kern w:val="2"/>
          <w:sz w:val="24"/>
          <w:szCs w:val="20"/>
          <w:lang w:val="en-US" w:eastAsia="zh-CN" w:bidi="ar-SA"/>
        </w:rPr>
      </w:pPr>
      <w:r>
        <w:rPr>
          <w:rFonts w:hint="eastAsia" w:ascii="Times New Roman" w:hAnsi="Times New Roman" w:eastAsia="宋体" w:cs="Times New Roman"/>
          <w:color w:val="auto"/>
          <w:kern w:val="2"/>
          <w:sz w:val="24"/>
          <w:szCs w:val="20"/>
          <w:lang w:val="en-US" w:eastAsia="zh-CN" w:bidi="ar-SA"/>
        </w:rPr>
        <w:t>（2）废水</w:t>
      </w:r>
    </w:p>
    <w:p w14:paraId="68FBFE54">
      <w:pPr>
        <w:adjustRightInd w:val="0"/>
        <w:snapToGrid w:val="0"/>
        <w:spacing w:line="360" w:lineRule="auto"/>
        <w:ind w:firstLine="480" w:firstLineChars="200"/>
        <w:rPr>
          <w:rFonts w:hint="eastAsia" w:ascii="Times New Roman" w:hAnsi="Times New Roman" w:eastAsia="宋体" w:cs="Times New Roman"/>
          <w:color w:val="auto"/>
          <w:kern w:val="2"/>
          <w:sz w:val="24"/>
          <w:szCs w:val="20"/>
          <w:lang w:val="en-US" w:eastAsia="zh-CN" w:bidi="ar-SA"/>
        </w:rPr>
      </w:pPr>
      <w:r>
        <w:rPr>
          <w:rFonts w:hint="eastAsia" w:ascii="Times New Roman" w:hAnsi="Times New Roman" w:eastAsia="宋体" w:cs="Times New Roman"/>
          <w:color w:val="auto"/>
          <w:kern w:val="2"/>
          <w:sz w:val="24"/>
          <w:szCs w:val="20"/>
          <w:lang w:val="en-US" w:eastAsia="zh-CN" w:bidi="ar-SA"/>
        </w:rPr>
        <w:t>现有工程废水量为96t</w:t>
      </w:r>
      <w:r>
        <w:rPr>
          <w:rFonts w:hint="default" w:ascii="Times New Roman" w:hAnsi="Times New Roman" w:eastAsia="宋体" w:cs="Times New Roman"/>
          <w:color w:val="auto"/>
          <w:kern w:val="2"/>
          <w:sz w:val="24"/>
          <w:szCs w:val="20"/>
          <w:lang w:val="en-US" w:eastAsia="zh-CN" w:bidi="ar-SA"/>
        </w:rPr>
        <w:t>/a</w:t>
      </w:r>
      <w:r>
        <w:rPr>
          <w:rFonts w:hint="eastAsia" w:ascii="Times New Roman" w:hAnsi="Times New Roman" w:eastAsia="宋体" w:cs="Times New Roman"/>
          <w:color w:val="auto"/>
          <w:kern w:val="2"/>
          <w:sz w:val="24"/>
          <w:szCs w:val="20"/>
          <w:lang w:val="en-US" w:eastAsia="zh-CN" w:bidi="ar-SA"/>
        </w:rPr>
        <w:t>。</w:t>
      </w:r>
    </w:p>
    <w:p w14:paraId="786B9603">
      <w:pPr>
        <w:keepNext w:val="0"/>
        <w:keepLines w:val="0"/>
        <w:pageBreakBefore w:val="0"/>
        <w:widowControl w:val="0"/>
        <w:kinsoku/>
        <w:wordWrap w:val="0"/>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t>COD核定排放总量=</w:t>
      </w:r>
      <w:r>
        <w:rPr>
          <w:rFonts w:hint="eastAsia" w:ascii="Times New Roman" w:hAnsi="Times New Roman" w:eastAsia="宋体" w:cs="Times New Roman"/>
          <w:color w:val="auto"/>
          <w:kern w:val="2"/>
          <w:sz w:val="24"/>
          <w:szCs w:val="20"/>
          <w:lang w:val="en-US" w:eastAsia="zh-CN" w:bidi="ar-SA"/>
        </w:rPr>
        <w:t>=</w:t>
      </w:r>
      <w:r>
        <w:rPr>
          <w:rFonts w:hint="eastAsia" w:cs="Times New Roman"/>
          <w:color w:val="auto"/>
          <w:kern w:val="2"/>
          <w:sz w:val="24"/>
          <w:szCs w:val="20"/>
          <w:lang w:val="en-US" w:eastAsia="zh-CN" w:bidi="ar-SA"/>
        </w:rPr>
        <w:t>96t/a</w:t>
      </w:r>
      <w:r>
        <w:rPr>
          <w:rFonts w:hint="default" w:ascii="Times New Roman" w:hAnsi="Times New Roman" w:eastAsia="宋体" w:cs="Times New Roman"/>
          <w:color w:val="auto"/>
          <w:kern w:val="2"/>
          <w:sz w:val="24"/>
          <w:szCs w:val="20"/>
          <w:lang w:val="en-US" w:eastAsia="zh-CN" w:bidi="ar-SA"/>
        </w:rPr>
        <w:t>×</w:t>
      </w:r>
      <w:r>
        <w:rPr>
          <w:rFonts w:hint="eastAsia" w:cs="Times New Roman"/>
          <w:color w:val="auto"/>
          <w:kern w:val="2"/>
          <w:sz w:val="24"/>
          <w:szCs w:val="20"/>
          <w:lang w:val="en-US" w:eastAsia="zh-CN" w:bidi="ar-SA"/>
        </w:rPr>
        <w:t>50</w:t>
      </w:r>
      <w:r>
        <w:rPr>
          <w:rFonts w:hint="eastAsia" w:ascii="Times New Roman" w:hAnsi="Times New Roman" w:eastAsia="宋体" w:cs="Times New Roman"/>
          <w:color w:val="auto"/>
          <w:kern w:val="2"/>
          <w:sz w:val="24"/>
          <w:szCs w:val="20"/>
          <w:lang w:val="en-US" w:eastAsia="zh-CN" w:bidi="ar-SA"/>
        </w:rPr>
        <w:t>0</w:t>
      </w:r>
      <w:r>
        <w:rPr>
          <w:rFonts w:hint="default" w:ascii="Times New Roman" w:hAnsi="Times New Roman" w:eastAsia="宋体" w:cs="Times New Roman"/>
          <w:color w:val="auto"/>
          <w:kern w:val="2"/>
          <w:sz w:val="24"/>
          <w:szCs w:val="20"/>
          <w:lang w:val="en-US" w:eastAsia="zh-CN" w:bidi="ar-SA"/>
        </w:rPr>
        <w:t>mg/L×10</w:t>
      </w:r>
      <w:r>
        <w:rPr>
          <w:rFonts w:hint="default" w:ascii="Times New Roman" w:hAnsi="Times New Roman" w:eastAsia="宋体" w:cs="Times New Roman"/>
          <w:color w:val="auto"/>
          <w:kern w:val="2"/>
          <w:sz w:val="24"/>
          <w:szCs w:val="20"/>
          <w:vertAlign w:val="superscript"/>
          <w:lang w:val="en-US" w:eastAsia="zh-CN" w:bidi="ar-SA"/>
        </w:rPr>
        <w:t>-6</w:t>
      </w:r>
      <w:r>
        <w:rPr>
          <w:rFonts w:hint="default" w:ascii="Times New Roman" w:hAnsi="Times New Roman" w:eastAsia="宋体" w:cs="Times New Roman"/>
          <w:color w:val="auto"/>
          <w:kern w:val="2"/>
          <w:sz w:val="24"/>
          <w:szCs w:val="20"/>
          <w:lang w:val="en-US" w:eastAsia="zh-CN" w:bidi="ar-SA"/>
        </w:rPr>
        <w:t>=</w:t>
      </w:r>
      <w:r>
        <w:rPr>
          <w:rFonts w:hint="eastAsia" w:ascii="Times New Roman" w:hAnsi="Times New Roman" w:eastAsia="宋体" w:cs="Times New Roman"/>
          <w:color w:val="auto"/>
          <w:kern w:val="2"/>
          <w:sz w:val="24"/>
          <w:szCs w:val="20"/>
          <w:lang w:val="en-US" w:eastAsia="zh-CN" w:bidi="ar-SA"/>
        </w:rPr>
        <w:t>0.048</w:t>
      </w:r>
      <w:r>
        <w:rPr>
          <w:rFonts w:hint="default" w:ascii="Times New Roman" w:hAnsi="Times New Roman" w:eastAsia="宋体" w:cs="Times New Roman"/>
          <w:color w:val="auto"/>
          <w:kern w:val="2"/>
          <w:sz w:val="24"/>
          <w:szCs w:val="20"/>
          <w:lang w:val="en-US" w:eastAsia="zh-CN" w:bidi="ar-SA"/>
        </w:rPr>
        <w:t>t/a</w:t>
      </w:r>
    </w:p>
    <w:p w14:paraId="61D7EAAC">
      <w:pPr>
        <w:keepNext w:val="0"/>
        <w:keepLines w:val="0"/>
        <w:pageBreakBefore w:val="0"/>
        <w:widowControl w:val="0"/>
        <w:kinsoku/>
        <w:wordWrap w:val="0"/>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0"/>
          <w:lang w:val="en-US" w:eastAsia="zh-CN" w:bidi="ar-SA"/>
        </w:rPr>
      </w:pPr>
      <w:r>
        <w:rPr>
          <w:rFonts w:hint="eastAsia" w:ascii="Times New Roman" w:hAnsi="Times New Roman" w:eastAsia="宋体" w:cs="Times New Roman"/>
          <w:color w:val="auto"/>
          <w:kern w:val="2"/>
          <w:sz w:val="24"/>
          <w:szCs w:val="20"/>
          <w:lang w:val="en-US" w:eastAsia="zh-CN" w:bidi="ar-SA"/>
        </w:rPr>
        <w:t>氨氮</w:t>
      </w:r>
      <w:r>
        <w:rPr>
          <w:rFonts w:hint="default" w:ascii="Times New Roman" w:hAnsi="Times New Roman" w:eastAsia="宋体" w:cs="Times New Roman"/>
          <w:color w:val="auto"/>
          <w:kern w:val="2"/>
          <w:sz w:val="24"/>
          <w:szCs w:val="20"/>
          <w:lang w:val="en-US" w:eastAsia="zh-CN" w:bidi="ar-SA"/>
        </w:rPr>
        <w:t>核定排放总量=</w:t>
      </w:r>
      <w:r>
        <w:rPr>
          <w:rFonts w:hint="eastAsia" w:ascii="Times New Roman" w:hAnsi="Times New Roman" w:eastAsia="宋体" w:cs="Times New Roman"/>
          <w:color w:val="auto"/>
          <w:kern w:val="2"/>
          <w:sz w:val="24"/>
          <w:szCs w:val="20"/>
          <w:lang w:val="en-US" w:eastAsia="zh-CN" w:bidi="ar-SA"/>
        </w:rPr>
        <w:t>=</w:t>
      </w:r>
      <w:r>
        <w:rPr>
          <w:rFonts w:hint="eastAsia" w:cs="Times New Roman"/>
          <w:color w:val="auto"/>
          <w:kern w:val="2"/>
          <w:sz w:val="24"/>
          <w:szCs w:val="20"/>
          <w:lang w:val="en-US" w:eastAsia="zh-CN" w:bidi="ar-SA"/>
        </w:rPr>
        <w:t>预测排放量</w:t>
      </w:r>
      <w:r>
        <w:rPr>
          <w:rFonts w:hint="default" w:ascii="Times New Roman" w:hAnsi="Times New Roman" w:eastAsia="宋体" w:cs="Times New Roman"/>
          <w:color w:val="auto"/>
          <w:kern w:val="2"/>
          <w:sz w:val="24"/>
          <w:szCs w:val="20"/>
          <w:lang w:val="en-US" w:eastAsia="zh-CN" w:bidi="ar-SA"/>
        </w:rPr>
        <w:t>=</w:t>
      </w:r>
      <w:r>
        <w:rPr>
          <w:rFonts w:hint="eastAsia" w:ascii="Times New Roman" w:hAnsi="Times New Roman" w:eastAsia="宋体" w:cs="Times New Roman"/>
          <w:color w:val="auto"/>
          <w:kern w:val="2"/>
          <w:sz w:val="24"/>
          <w:szCs w:val="20"/>
          <w:lang w:val="en-US" w:eastAsia="zh-CN" w:bidi="ar-SA"/>
        </w:rPr>
        <w:t>0.0</w:t>
      </w:r>
      <w:r>
        <w:rPr>
          <w:rFonts w:hint="eastAsia" w:cs="Times New Roman"/>
          <w:color w:val="auto"/>
          <w:kern w:val="2"/>
          <w:sz w:val="24"/>
          <w:szCs w:val="20"/>
          <w:lang w:val="en-US" w:eastAsia="zh-CN" w:bidi="ar-SA"/>
        </w:rPr>
        <w:t>014</w:t>
      </w:r>
      <w:r>
        <w:rPr>
          <w:rFonts w:hint="default" w:ascii="Times New Roman" w:hAnsi="Times New Roman" w:eastAsia="宋体" w:cs="Times New Roman"/>
          <w:color w:val="auto"/>
          <w:kern w:val="2"/>
          <w:sz w:val="24"/>
          <w:szCs w:val="20"/>
          <w:lang w:val="en-US" w:eastAsia="zh-CN" w:bidi="ar-SA"/>
        </w:rPr>
        <w:t>t/a</w:t>
      </w:r>
    </w:p>
    <w:p w14:paraId="31AD4B16">
      <w:pPr>
        <w:pStyle w:val="181"/>
        <w:spacing w:line="360" w:lineRule="auto"/>
        <w:ind w:firstLine="480"/>
        <w:rPr>
          <w:rFonts w:hint="default"/>
          <w:color w:val="auto"/>
          <w:lang w:val="en-US" w:eastAsia="zh-CN"/>
        </w:rPr>
      </w:pPr>
      <w:r>
        <w:rPr>
          <w:rFonts w:hint="eastAsia"/>
          <w:color w:val="auto"/>
          <w:lang w:val="en-US" w:eastAsia="zh-CN"/>
        </w:rPr>
        <w:t>2、本项目</w:t>
      </w:r>
    </w:p>
    <w:p w14:paraId="32B4DA23">
      <w:pPr>
        <w:pStyle w:val="181"/>
        <w:spacing w:line="360" w:lineRule="auto"/>
        <w:ind w:firstLine="480"/>
        <w:rPr>
          <w:rFonts w:hint="eastAsia"/>
          <w:color w:val="auto"/>
          <w:lang w:val="en-US" w:eastAsia="zh-CN"/>
        </w:rPr>
      </w:pPr>
      <w:r>
        <w:rPr>
          <w:rFonts w:hint="eastAsia"/>
          <w:color w:val="auto"/>
          <w:lang w:val="en-US" w:eastAsia="zh-CN"/>
        </w:rPr>
        <w:t>（1）锅炉废气</w:t>
      </w:r>
    </w:p>
    <w:p w14:paraId="50C92460">
      <w:pPr>
        <w:pStyle w:val="181"/>
        <w:spacing w:line="360" w:lineRule="auto"/>
        <w:ind w:firstLine="480"/>
        <w:rPr>
          <w:rFonts w:hint="default" w:ascii="Times New Roman" w:hAnsi="Times New Roman" w:eastAsia="宋体" w:cs="Times New Roman"/>
          <w:color w:val="auto"/>
          <w:kern w:val="2"/>
          <w:sz w:val="24"/>
          <w:szCs w:val="20"/>
          <w:lang w:val="en-US" w:eastAsia="zh-CN" w:bidi="ar-SA"/>
        </w:rPr>
      </w:pPr>
      <w:r>
        <w:rPr>
          <w:rFonts w:hint="eastAsia" w:cs="Times New Roman"/>
          <w:color w:val="auto"/>
          <w:kern w:val="0"/>
          <w:sz w:val="24"/>
          <w:szCs w:val="24"/>
          <w:highlight w:val="none"/>
          <w:lang w:val="en-US" w:eastAsia="zh-CN" w:bidi="ar-SA"/>
        </w:rPr>
        <w:t>本项目</w:t>
      </w:r>
      <w:r>
        <w:rPr>
          <w:rFonts w:hint="eastAsia"/>
          <w:color w:val="auto"/>
          <w:spacing w:val="4"/>
          <w:sz w:val="24"/>
          <w:lang w:val="en-US" w:eastAsia="zh-CN"/>
        </w:rPr>
        <w:t>1800KW燃生物质</w:t>
      </w:r>
      <w:r>
        <w:rPr>
          <w:rFonts w:hint="eastAsia"/>
          <w:color w:val="auto"/>
          <w:spacing w:val="4"/>
          <w:sz w:val="24"/>
        </w:rPr>
        <w:t>导热油炉</w:t>
      </w:r>
      <w:r>
        <w:rPr>
          <w:rFonts w:hint="eastAsia" w:cs="Times New Roman"/>
          <w:color w:val="auto"/>
          <w:kern w:val="0"/>
          <w:sz w:val="24"/>
          <w:szCs w:val="24"/>
          <w:highlight w:val="none"/>
          <w:lang w:val="en-US" w:eastAsia="zh-CN" w:bidi="ar-SA"/>
        </w:rPr>
        <w:t>年工作300天，生物质成型燃料年用量为</w:t>
      </w:r>
      <w:r>
        <w:rPr>
          <w:rFonts w:hint="eastAsia" w:ascii="Times New Roman" w:hAnsi="Times New Roman" w:eastAsia="宋体" w:cs="Times New Roman"/>
          <w:color w:val="auto"/>
          <w:sz w:val="24"/>
          <w:szCs w:val="24"/>
          <w:highlight w:val="none"/>
          <w:lang w:val="en-US" w:eastAsia="zh-CN"/>
        </w:rPr>
        <w:t>6091.2</w:t>
      </w:r>
      <w:r>
        <w:rPr>
          <w:rFonts w:hint="eastAsia" w:cs="Times New Roman"/>
          <w:color w:val="auto"/>
          <w:kern w:val="0"/>
          <w:sz w:val="24"/>
          <w:szCs w:val="24"/>
          <w:highlight w:val="none"/>
          <w:lang w:val="en-US" w:eastAsia="zh-CN" w:bidi="ar-SA"/>
        </w:rPr>
        <w:t>t/a。</w:t>
      </w:r>
      <w:r>
        <w:rPr>
          <w:rFonts w:hint="eastAsia"/>
          <w:color w:val="auto"/>
          <w:lang w:val="en-US" w:eastAsia="zh-CN"/>
        </w:rPr>
        <w:t>锅炉</w:t>
      </w:r>
      <w:r>
        <w:rPr>
          <w:rFonts w:hint="eastAsia"/>
          <w:color w:val="auto"/>
        </w:rPr>
        <w:t>烟气经</w:t>
      </w:r>
      <w:r>
        <w:rPr>
          <w:rFonts w:hint="eastAsia"/>
          <w:color w:val="auto"/>
          <w:lang w:val="en-US" w:eastAsia="zh-CN"/>
        </w:rPr>
        <w:t>旋风除尘+</w:t>
      </w:r>
      <w:r>
        <w:rPr>
          <w:rFonts w:hint="eastAsia"/>
          <w:color w:val="auto"/>
        </w:rPr>
        <w:t>布袋除尘器处理，由1根</w:t>
      </w:r>
      <w:r>
        <w:rPr>
          <w:rFonts w:hint="eastAsia"/>
          <w:color w:val="auto"/>
          <w:lang w:val="en-US" w:eastAsia="zh-CN"/>
        </w:rPr>
        <w:t>30米</w:t>
      </w:r>
      <w:r>
        <w:rPr>
          <w:rFonts w:hint="eastAsia"/>
          <w:color w:val="auto"/>
        </w:rPr>
        <w:t>高</w:t>
      </w:r>
      <w:r>
        <w:rPr>
          <w:rFonts w:hint="eastAsia"/>
          <w:color w:val="auto"/>
          <w:lang w:eastAsia="zh-CN"/>
        </w:rPr>
        <w:t>排气筒</w:t>
      </w:r>
      <w:r>
        <w:rPr>
          <w:rFonts w:hint="eastAsia"/>
          <w:color w:val="auto"/>
        </w:rPr>
        <w:t>排放</w:t>
      </w:r>
      <w:r>
        <w:rPr>
          <w:color w:val="auto"/>
        </w:rPr>
        <w:t>。</w:t>
      </w:r>
      <w:r>
        <w:rPr>
          <w:rFonts w:hint="default" w:ascii="Times New Roman" w:hAnsi="Times New Roman" w:eastAsia="宋体" w:cs="Times New Roman"/>
          <w:color w:val="auto"/>
          <w:kern w:val="2"/>
          <w:sz w:val="24"/>
          <w:szCs w:val="20"/>
          <w:lang w:val="en-US" w:eastAsia="zh-CN" w:bidi="ar-SA"/>
        </w:rPr>
        <w:t>锅炉排放的污染物计算情况如下：</w:t>
      </w:r>
    </w:p>
    <w:p w14:paraId="3F9032C0">
      <w:pPr>
        <w:pStyle w:val="181"/>
        <w:spacing w:line="360" w:lineRule="auto"/>
        <w:ind w:firstLine="480"/>
        <w:rPr>
          <w:rFonts w:hint="default" w:ascii="Times New Roman" w:hAnsi="Times New Roman" w:cs="Times New Roman"/>
          <w:color w:val="auto"/>
          <w:kern w:val="0"/>
          <w:sz w:val="24"/>
          <w:szCs w:val="24"/>
          <w:highlight w:val="none"/>
          <w:lang w:val="en-US" w:eastAsia="zh-CN" w:bidi="ar-SA"/>
        </w:rPr>
      </w:pPr>
      <w:r>
        <w:rPr>
          <w:rFonts w:hint="default" w:ascii="Times New Roman" w:hAnsi="Times New Roman" w:cs="Times New Roman"/>
          <w:color w:val="auto"/>
          <w:kern w:val="0"/>
          <w:sz w:val="24"/>
          <w:szCs w:val="24"/>
          <w:highlight w:val="none"/>
          <w:lang w:val="en-US" w:eastAsia="zh-CN" w:bidi="ar-SA"/>
        </w:rPr>
        <w:t>干烟气排放量计算参照《排污许可证申请与核发技术规范 锅炉》（HJ953-2018），本项目低位发热量（Qnet，ar）为</w:t>
      </w:r>
      <w:r>
        <w:rPr>
          <w:rFonts w:hint="eastAsia" w:cs="Times New Roman"/>
          <w:color w:val="auto"/>
          <w:kern w:val="0"/>
          <w:sz w:val="24"/>
          <w:szCs w:val="24"/>
          <w:highlight w:val="none"/>
          <w:lang w:val="en-US" w:eastAsia="zh-CN" w:bidi="ar-SA"/>
        </w:rPr>
        <w:t>9.58</w:t>
      </w:r>
      <w:r>
        <w:rPr>
          <w:rFonts w:hint="eastAsia" w:ascii="Times New Roman" w:hAnsi="Times New Roman" w:eastAsia="宋体" w:cs="Times New Roman"/>
          <w:color w:val="auto"/>
          <w:kern w:val="0"/>
          <w:sz w:val="24"/>
          <w:szCs w:val="24"/>
          <w:highlight w:val="none"/>
          <w:lang w:val="en-US" w:eastAsia="zh-CN" w:bidi="ar-SA"/>
        </w:rPr>
        <w:t>MJ/kg</w:t>
      </w:r>
      <w:r>
        <w:rPr>
          <w:rFonts w:hint="default" w:ascii="Times New Roman" w:hAnsi="Times New Roman" w:cs="Times New Roman"/>
          <w:color w:val="auto"/>
          <w:kern w:val="0"/>
          <w:sz w:val="24"/>
          <w:szCs w:val="24"/>
          <w:highlight w:val="none"/>
          <w:lang w:val="en-US" w:eastAsia="zh-CN" w:bidi="ar-SA"/>
        </w:rPr>
        <w:t>，因此基准烟气量采用下式计算：</w:t>
      </w:r>
    </w:p>
    <w:p w14:paraId="68C21D6E">
      <w:pPr>
        <w:adjustRightInd w:val="0"/>
        <w:snapToGrid w:val="0"/>
        <w:spacing w:line="360" w:lineRule="auto"/>
        <w:ind w:firstLine="480" w:firstLineChars="200"/>
        <w:jc w:val="center"/>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drawing>
          <wp:inline distT="0" distB="0" distL="114300" distR="114300">
            <wp:extent cx="2614295" cy="583565"/>
            <wp:effectExtent l="0" t="0" r="14605" b="6985"/>
            <wp:docPr id="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
                    <pic:cNvPicPr>
                      <a:picLocks noChangeAspect="1"/>
                    </pic:cNvPicPr>
                  </pic:nvPicPr>
                  <pic:blipFill>
                    <a:blip r:embed="rId110"/>
                    <a:stretch>
                      <a:fillRect/>
                    </a:stretch>
                  </pic:blipFill>
                  <pic:spPr>
                    <a:xfrm>
                      <a:off x="0" y="0"/>
                      <a:ext cx="2614295" cy="583565"/>
                    </a:xfrm>
                    <a:prstGeom prst="rect">
                      <a:avLst/>
                    </a:prstGeom>
                    <a:noFill/>
                    <a:ln>
                      <a:noFill/>
                    </a:ln>
                  </pic:spPr>
                </pic:pic>
              </a:graphicData>
            </a:graphic>
          </wp:inline>
        </w:drawing>
      </w:r>
    </w:p>
    <w:p w14:paraId="566BD2A1">
      <w:pPr>
        <w:pStyle w:val="2"/>
        <w:spacing w:before="0" w:after="0" w:line="360" w:lineRule="auto"/>
        <w:ind w:right="0" w:firstLine="1680" w:firstLineChars="700"/>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t>E---年许可排放量，吨；</w:t>
      </w:r>
    </w:p>
    <w:p w14:paraId="384828F1">
      <w:pPr>
        <w:pStyle w:val="2"/>
        <w:spacing w:before="0" w:after="0" w:line="360" w:lineRule="auto"/>
        <w:ind w:right="0" w:firstLine="1680" w:firstLineChars="700"/>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t>Ci---污染物排放标准浓度限值，毫克/立方米；</w:t>
      </w:r>
    </w:p>
    <w:p w14:paraId="254E4DE9">
      <w:pPr>
        <w:pStyle w:val="2"/>
        <w:spacing w:before="0" w:after="0" w:line="360" w:lineRule="auto"/>
        <w:ind w:right="0" w:firstLine="1680" w:firstLineChars="700"/>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t>Vi---基准烟气量，立方米/千克；</w:t>
      </w:r>
    </w:p>
    <w:p w14:paraId="77CF7B42">
      <w:pPr>
        <w:pStyle w:val="2"/>
        <w:spacing w:before="0" w:after="0" w:line="360" w:lineRule="auto"/>
        <w:ind w:right="0" w:firstLine="1680" w:firstLineChars="700"/>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t>Ri---燃料量，吨；</w:t>
      </w:r>
    </w:p>
    <w:p w14:paraId="0836F79E">
      <w:pPr>
        <w:pStyle w:val="2"/>
        <w:spacing w:before="0" w:after="0" w:line="360" w:lineRule="auto"/>
        <w:ind w:right="0" w:firstLine="1680" w:firstLineChars="700"/>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object>
          <v:shape id="_x0000_i1028" o:spt="75" type="#_x0000_t75" style="height:13.95pt;width:11pt;" o:ole="t" filled="f" o:preferrelative="t" stroked="f" coordsize="21600,21600">
            <v:path/>
            <v:fill on="f" focussize="0,0"/>
            <v:stroke on="f"/>
            <v:imagedata r:id="rId112" o:title=""/>
            <o:lock v:ext="edit" aspectratio="t"/>
            <w10:wrap type="none"/>
            <w10:anchorlock/>
          </v:shape>
          <o:OLEObject Type="Embed" ProgID="Equation.KSEE3" ShapeID="_x0000_i1028" DrawAspect="Content" ObjectID="_1468075728" r:id="rId113">
            <o:LockedField>false</o:LockedField>
          </o:OLEObject>
        </w:object>
      </w:r>
      <w:r>
        <w:rPr>
          <w:rFonts w:hint="default" w:ascii="Times New Roman" w:hAnsi="Times New Roman" w:eastAsia="宋体" w:cs="Times New Roman"/>
          <w:color w:val="auto"/>
          <w:kern w:val="2"/>
          <w:sz w:val="24"/>
          <w:szCs w:val="20"/>
          <w:lang w:val="en-US" w:eastAsia="zh-CN" w:bidi="ar-SA"/>
        </w:rPr>
        <w:t>i---大气污染物许可排放量调整系数。</w:t>
      </w:r>
    </w:p>
    <w:p w14:paraId="558EB181">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2"/>
          <w:sz w:val="24"/>
          <w:szCs w:val="20"/>
          <w:lang w:val="en-US" w:eastAsia="zh-CN" w:bidi="ar-SA"/>
        </w:rPr>
        <w:t>根据成分分析报告进行计算可知，</w:t>
      </w:r>
      <w:r>
        <w:rPr>
          <w:rFonts w:hint="eastAsia" w:ascii="Times New Roman" w:hAnsi="Times New Roman" w:eastAsia="宋体" w:cs="Times New Roman"/>
          <w:color w:val="auto"/>
          <w:sz w:val="24"/>
          <w:szCs w:val="24"/>
          <w:highlight w:val="none"/>
          <w:lang w:eastAsia="zh-CN"/>
        </w:rPr>
        <w:t>经计算，本项目干烟气量Vg为</w:t>
      </w:r>
      <w:r>
        <w:rPr>
          <w:rFonts w:hint="eastAsia" w:cs="Times New Roman"/>
          <w:color w:val="auto"/>
          <w:sz w:val="24"/>
          <w:szCs w:val="24"/>
          <w:highlight w:val="none"/>
          <w:lang w:eastAsia="zh-CN"/>
        </w:rPr>
        <w:t>4.635</w:t>
      </w:r>
      <w:r>
        <w:rPr>
          <w:rFonts w:hint="eastAsia" w:ascii="Times New Roman" w:hAnsi="Times New Roman" w:eastAsia="宋体" w:cs="Times New Roman"/>
          <w:color w:val="auto"/>
          <w:sz w:val="24"/>
          <w:szCs w:val="24"/>
          <w:highlight w:val="none"/>
          <w:lang w:eastAsia="zh-CN"/>
        </w:rPr>
        <w:t>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/kg。</w:t>
      </w:r>
    </w:p>
    <w:p w14:paraId="46FBB09D">
      <w:pPr>
        <w:adjustRightInd w:val="0"/>
        <w:snapToGrid w:val="0"/>
        <w:spacing w:line="360" w:lineRule="auto"/>
        <w:ind w:firstLine="480" w:firstLineChars="200"/>
        <w:rPr>
          <w:rFonts w:hint="default" w:ascii="Times New Roman" w:hAnsi="Times New Roman" w:eastAsia="宋体" w:cs="Times New Roman"/>
          <w:color w:val="auto"/>
          <w:kern w:val="2"/>
          <w:sz w:val="24"/>
          <w:szCs w:val="20"/>
          <w:lang w:val="en-US" w:eastAsia="zh-CN" w:bidi="ar-SA"/>
        </w:rPr>
      </w:pPr>
      <w:r>
        <w:rPr>
          <w:rFonts w:hint="eastAsia" w:ascii="Times New Roman" w:hAnsi="Times New Roman" w:eastAsia="宋体" w:cs="Times New Roman"/>
          <w:color w:val="auto"/>
          <w:sz w:val="24"/>
          <w:szCs w:val="24"/>
          <w:highlight w:val="none"/>
          <w:lang w:eastAsia="zh-CN"/>
        </w:rPr>
        <w:t>本项目年燃生物质量为</w:t>
      </w:r>
      <w:r>
        <w:rPr>
          <w:rFonts w:hint="eastAsia" w:ascii="Times New Roman" w:hAnsi="Times New Roman" w:eastAsia="宋体" w:cs="Times New Roman"/>
          <w:color w:val="auto"/>
          <w:sz w:val="24"/>
          <w:szCs w:val="24"/>
          <w:highlight w:val="none"/>
          <w:lang w:val="en-US" w:eastAsia="zh-CN"/>
        </w:rPr>
        <w:t>6091.2</w:t>
      </w:r>
      <w:r>
        <w:rPr>
          <w:rFonts w:hint="eastAsia" w:ascii="Times New Roman" w:hAnsi="Times New Roman" w:eastAsia="宋体" w:cs="Times New Roman"/>
          <w:color w:val="auto"/>
          <w:sz w:val="24"/>
          <w:szCs w:val="24"/>
          <w:highlight w:val="none"/>
          <w:lang w:eastAsia="zh-CN"/>
        </w:rPr>
        <w:t>t</w:t>
      </w:r>
      <w:r>
        <w:rPr>
          <w:rFonts w:hint="eastAsia" w:ascii="Times New Roman" w:hAnsi="Times New Roman" w:eastAsia="宋体" w:cs="Times New Roman"/>
          <w:color w:val="auto"/>
          <w:sz w:val="24"/>
          <w:szCs w:val="24"/>
          <w:highlight w:val="none"/>
          <w:lang w:val="en-US" w:eastAsia="zh-CN"/>
        </w:rPr>
        <w:t>/a，</w:t>
      </w:r>
      <w:r>
        <w:rPr>
          <w:rFonts w:hint="eastAsia" w:ascii="Times New Roman" w:hAnsi="Times New Roman" w:eastAsia="宋体" w:cs="Times New Roman"/>
          <w:color w:val="auto"/>
          <w:sz w:val="24"/>
          <w:szCs w:val="24"/>
          <w:highlight w:val="none"/>
          <w:lang w:eastAsia="zh-CN"/>
        </w:rPr>
        <w:t>则烟气量为</w:t>
      </w:r>
      <w:r>
        <w:rPr>
          <w:rFonts w:hint="eastAsia" w:ascii="Times New Roman" w:hAnsi="Times New Roman" w:eastAsia="宋体" w:cs="Times New Roman"/>
          <w:color w:val="auto"/>
          <w:sz w:val="24"/>
          <w:szCs w:val="24"/>
          <w:highlight w:val="none"/>
          <w:lang w:val="en-US" w:eastAsia="zh-CN"/>
        </w:rPr>
        <w:t>28232712</w:t>
      </w:r>
      <w:r>
        <w:rPr>
          <w:rFonts w:hint="eastAsia" w:ascii="Times New Roman" w:hAnsi="Times New Roman" w:eastAsia="宋体" w:cs="Times New Roman"/>
          <w:color w:val="auto"/>
          <w:sz w:val="24"/>
          <w:szCs w:val="24"/>
          <w:highlight w:val="none"/>
          <w:lang w:eastAsia="zh-CN"/>
        </w:rPr>
        <w:t>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a</w:t>
      </w:r>
      <w:r>
        <w:rPr>
          <w:rFonts w:hint="eastAsia" w:ascii="Times New Roman" w:hAnsi="Times New Roman" w:eastAsia="宋体" w:cs="Times New Roman"/>
          <w:color w:val="auto"/>
          <w:sz w:val="24"/>
          <w:szCs w:val="24"/>
          <w:highlight w:val="none"/>
          <w:lang w:eastAsia="zh-CN"/>
        </w:rPr>
        <w:t>。</w:t>
      </w:r>
    </w:p>
    <w:p w14:paraId="2224D754">
      <w:pPr>
        <w:adjustRightInd w:val="0"/>
        <w:snapToGrid w:val="0"/>
        <w:spacing w:line="360" w:lineRule="auto"/>
        <w:ind w:firstLine="480" w:firstLineChars="200"/>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t>颗粒物核定排放量=</w:t>
      </w:r>
      <w:r>
        <w:rPr>
          <w:rFonts w:hint="eastAsia" w:ascii="Times New Roman" w:hAnsi="Times New Roman" w:eastAsia="宋体" w:cs="Times New Roman"/>
          <w:color w:val="auto"/>
          <w:sz w:val="24"/>
          <w:szCs w:val="24"/>
          <w:highlight w:val="none"/>
          <w:lang w:val="en-US" w:eastAsia="zh-CN"/>
        </w:rPr>
        <w:t>28232712</w:t>
      </w:r>
      <w:r>
        <w:rPr>
          <w:rFonts w:hint="eastAsia" w:ascii="Times New Roman" w:hAnsi="Times New Roman" w:eastAsia="宋体" w:cs="Times New Roman"/>
          <w:color w:val="auto"/>
          <w:sz w:val="24"/>
          <w:szCs w:val="24"/>
          <w:highlight w:val="none"/>
          <w:lang w:eastAsia="zh-CN"/>
        </w:rPr>
        <w:t>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a</w:t>
      </w:r>
      <w:r>
        <w:rPr>
          <w:rFonts w:hint="default" w:ascii="Times New Roman" w:hAnsi="Times New Roman" w:eastAsia="宋体" w:cs="Times New Roman"/>
          <w:color w:val="auto"/>
          <w:kern w:val="2"/>
          <w:sz w:val="24"/>
          <w:szCs w:val="20"/>
          <w:lang w:val="en-US" w:eastAsia="zh-CN" w:bidi="ar-SA"/>
        </w:rPr>
        <w:t>×</w:t>
      </w:r>
      <w:r>
        <w:rPr>
          <w:rFonts w:hint="eastAsia" w:cs="Times New Roman"/>
          <w:color w:val="auto"/>
          <w:kern w:val="2"/>
          <w:sz w:val="24"/>
          <w:szCs w:val="20"/>
          <w:lang w:val="en-US" w:eastAsia="zh-CN" w:bidi="ar-SA"/>
        </w:rPr>
        <w:t>5</w:t>
      </w:r>
      <w:r>
        <w:rPr>
          <w:rFonts w:hint="eastAsia" w:ascii="Times New Roman" w:hAnsi="Times New Roman" w:cs="Times New Roman"/>
          <w:color w:val="auto"/>
          <w:kern w:val="2"/>
          <w:sz w:val="24"/>
          <w:szCs w:val="20"/>
          <w:lang w:val="en-US" w:eastAsia="zh-CN" w:bidi="ar-SA"/>
        </w:rPr>
        <w:t>0</w:t>
      </w:r>
      <w:r>
        <w:rPr>
          <w:rFonts w:hint="default" w:ascii="Times New Roman" w:hAnsi="Times New Roman" w:eastAsia="宋体" w:cs="Times New Roman"/>
          <w:color w:val="auto"/>
          <w:kern w:val="2"/>
          <w:sz w:val="24"/>
          <w:szCs w:val="20"/>
          <w:lang w:val="en-US" w:eastAsia="zh-CN" w:bidi="ar-SA"/>
        </w:rPr>
        <w:t>mg/m</w:t>
      </w:r>
      <w:r>
        <w:rPr>
          <w:rFonts w:hint="eastAsia" w:ascii="Times New Roman" w:hAnsi="Times New Roman" w:eastAsia="宋体" w:cs="Times New Roman"/>
          <w:color w:val="auto"/>
          <w:kern w:val="2"/>
          <w:sz w:val="24"/>
          <w:szCs w:val="20"/>
          <w:vertAlign w:val="superscript"/>
          <w:lang w:val="en-US" w:eastAsia="zh-CN" w:bidi="ar-SA"/>
        </w:rPr>
        <w:t>3</w:t>
      </w:r>
      <w:r>
        <w:rPr>
          <w:rFonts w:hint="default" w:ascii="Times New Roman" w:hAnsi="Times New Roman" w:eastAsia="宋体" w:cs="Times New Roman"/>
          <w:color w:val="auto"/>
          <w:kern w:val="2"/>
          <w:sz w:val="24"/>
          <w:szCs w:val="20"/>
          <w:lang w:val="en-US" w:eastAsia="zh-CN" w:bidi="ar-SA"/>
        </w:rPr>
        <w:t>×10</w:t>
      </w:r>
      <w:r>
        <w:rPr>
          <w:rFonts w:hint="default" w:ascii="Times New Roman" w:hAnsi="Times New Roman" w:eastAsia="宋体" w:cs="Times New Roman"/>
          <w:color w:val="auto"/>
          <w:kern w:val="2"/>
          <w:sz w:val="24"/>
          <w:szCs w:val="20"/>
          <w:vertAlign w:val="superscript"/>
          <w:lang w:val="en-US" w:eastAsia="zh-CN" w:bidi="ar-SA"/>
        </w:rPr>
        <w:t>-</w:t>
      </w:r>
      <w:r>
        <w:rPr>
          <w:rFonts w:hint="eastAsia" w:cs="Times New Roman"/>
          <w:color w:val="auto"/>
          <w:kern w:val="2"/>
          <w:sz w:val="24"/>
          <w:szCs w:val="20"/>
          <w:vertAlign w:val="superscript"/>
          <w:lang w:val="en-US" w:eastAsia="zh-CN" w:bidi="ar-SA"/>
        </w:rPr>
        <w:t>9</w:t>
      </w:r>
      <w:r>
        <w:rPr>
          <w:rFonts w:hint="default" w:ascii="Times New Roman" w:hAnsi="Times New Roman" w:eastAsia="宋体" w:cs="Times New Roman"/>
          <w:color w:val="auto"/>
          <w:kern w:val="2"/>
          <w:sz w:val="24"/>
          <w:szCs w:val="20"/>
          <w:lang w:val="en-US" w:eastAsia="zh-CN" w:bidi="ar-SA"/>
        </w:rPr>
        <w:t>=</w:t>
      </w:r>
      <w:r>
        <w:rPr>
          <w:rFonts w:hint="eastAsia" w:cs="Times New Roman"/>
          <w:color w:val="auto"/>
          <w:kern w:val="2"/>
          <w:sz w:val="24"/>
          <w:szCs w:val="20"/>
          <w:lang w:val="en-US" w:eastAsia="zh-CN" w:bidi="ar-SA"/>
        </w:rPr>
        <w:t>1.412</w:t>
      </w:r>
      <w:r>
        <w:rPr>
          <w:rFonts w:hint="default" w:ascii="Times New Roman" w:hAnsi="Times New Roman" w:eastAsia="宋体" w:cs="Times New Roman"/>
          <w:color w:val="auto"/>
          <w:kern w:val="2"/>
          <w:sz w:val="24"/>
          <w:szCs w:val="20"/>
          <w:lang w:val="en-US" w:eastAsia="zh-CN" w:bidi="ar-SA"/>
        </w:rPr>
        <w:t>t/a</w:t>
      </w:r>
    </w:p>
    <w:p w14:paraId="545889CC">
      <w:pPr>
        <w:adjustRightInd w:val="0"/>
        <w:snapToGrid w:val="0"/>
        <w:spacing w:line="360" w:lineRule="auto"/>
        <w:ind w:firstLine="480" w:firstLineChars="200"/>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t>二氧化硫核定排放量=</w:t>
      </w:r>
      <w:r>
        <w:rPr>
          <w:rFonts w:hint="eastAsia" w:ascii="Times New Roman" w:hAnsi="Times New Roman" w:eastAsia="宋体" w:cs="Times New Roman"/>
          <w:color w:val="auto"/>
          <w:sz w:val="24"/>
          <w:szCs w:val="24"/>
          <w:highlight w:val="none"/>
          <w:lang w:val="en-US" w:eastAsia="zh-CN"/>
        </w:rPr>
        <w:t>28232712</w:t>
      </w:r>
      <w:r>
        <w:rPr>
          <w:rFonts w:hint="eastAsia" w:ascii="Times New Roman" w:hAnsi="Times New Roman" w:eastAsia="宋体" w:cs="Times New Roman"/>
          <w:color w:val="auto"/>
          <w:sz w:val="24"/>
          <w:szCs w:val="24"/>
          <w:highlight w:val="none"/>
          <w:lang w:eastAsia="zh-CN"/>
        </w:rPr>
        <w:t>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a</w:t>
      </w:r>
      <w:r>
        <w:rPr>
          <w:rFonts w:hint="default" w:ascii="Times New Roman" w:hAnsi="Times New Roman" w:eastAsia="宋体" w:cs="Times New Roman"/>
          <w:color w:val="auto"/>
          <w:kern w:val="2"/>
          <w:sz w:val="24"/>
          <w:szCs w:val="20"/>
          <w:lang w:val="en-US" w:eastAsia="zh-CN" w:bidi="ar-SA"/>
        </w:rPr>
        <w:t>×</w:t>
      </w:r>
      <w:r>
        <w:rPr>
          <w:rFonts w:hint="eastAsia" w:cs="Times New Roman"/>
          <w:color w:val="auto"/>
          <w:kern w:val="2"/>
          <w:sz w:val="24"/>
          <w:szCs w:val="20"/>
          <w:lang w:val="en-US" w:eastAsia="zh-CN" w:bidi="ar-SA"/>
        </w:rPr>
        <w:t>3</w:t>
      </w:r>
      <w:r>
        <w:rPr>
          <w:rFonts w:hint="default" w:ascii="Times New Roman" w:hAnsi="Times New Roman" w:eastAsia="宋体" w:cs="Times New Roman"/>
          <w:color w:val="auto"/>
          <w:kern w:val="2"/>
          <w:sz w:val="24"/>
          <w:szCs w:val="20"/>
          <w:lang w:val="en-US" w:eastAsia="zh-CN" w:bidi="ar-SA"/>
        </w:rPr>
        <w:t>00mg/m</w:t>
      </w:r>
      <w:r>
        <w:rPr>
          <w:rFonts w:hint="eastAsia" w:ascii="Times New Roman" w:hAnsi="Times New Roman" w:eastAsia="宋体" w:cs="Times New Roman"/>
          <w:color w:val="auto"/>
          <w:kern w:val="2"/>
          <w:sz w:val="24"/>
          <w:szCs w:val="20"/>
          <w:vertAlign w:val="superscript"/>
          <w:lang w:val="en-US" w:eastAsia="zh-CN" w:bidi="ar-SA"/>
        </w:rPr>
        <w:t>3</w:t>
      </w:r>
      <w:r>
        <w:rPr>
          <w:rFonts w:hint="default" w:ascii="Times New Roman" w:hAnsi="Times New Roman" w:eastAsia="宋体" w:cs="Times New Roman"/>
          <w:color w:val="auto"/>
          <w:kern w:val="2"/>
          <w:sz w:val="24"/>
          <w:szCs w:val="20"/>
          <w:lang w:val="en-US" w:eastAsia="zh-CN" w:bidi="ar-SA"/>
        </w:rPr>
        <w:t>×0.8×10</w:t>
      </w:r>
      <w:r>
        <w:rPr>
          <w:rFonts w:hint="default" w:ascii="Times New Roman" w:hAnsi="Times New Roman" w:eastAsia="宋体" w:cs="Times New Roman"/>
          <w:color w:val="auto"/>
          <w:kern w:val="2"/>
          <w:sz w:val="24"/>
          <w:szCs w:val="20"/>
          <w:vertAlign w:val="superscript"/>
          <w:lang w:val="en-US" w:eastAsia="zh-CN" w:bidi="ar-SA"/>
        </w:rPr>
        <w:t>-</w:t>
      </w:r>
      <w:r>
        <w:rPr>
          <w:rFonts w:hint="eastAsia" w:cs="Times New Roman"/>
          <w:color w:val="auto"/>
          <w:kern w:val="2"/>
          <w:sz w:val="24"/>
          <w:szCs w:val="20"/>
          <w:vertAlign w:val="superscript"/>
          <w:lang w:val="en-US" w:eastAsia="zh-CN" w:bidi="ar-SA"/>
        </w:rPr>
        <w:t>9</w:t>
      </w:r>
      <w:r>
        <w:rPr>
          <w:rFonts w:hint="default" w:ascii="Times New Roman" w:hAnsi="Times New Roman" w:eastAsia="宋体" w:cs="Times New Roman"/>
          <w:color w:val="auto"/>
          <w:kern w:val="2"/>
          <w:sz w:val="24"/>
          <w:szCs w:val="20"/>
          <w:lang w:val="en-US" w:eastAsia="zh-CN" w:bidi="ar-SA"/>
        </w:rPr>
        <w:t>=</w:t>
      </w:r>
      <w:r>
        <w:rPr>
          <w:rFonts w:hint="eastAsia" w:cs="Times New Roman"/>
          <w:color w:val="auto"/>
          <w:kern w:val="2"/>
          <w:sz w:val="24"/>
          <w:szCs w:val="20"/>
          <w:lang w:val="en-US" w:eastAsia="zh-CN" w:bidi="ar-SA"/>
        </w:rPr>
        <w:t>6.776</w:t>
      </w:r>
      <w:r>
        <w:rPr>
          <w:rFonts w:hint="default" w:ascii="Times New Roman" w:hAnsi="Times New Roman" w:eastAsia="宋体" w:cs="Times New Roman"/>
          <w:color w:val="auto"/>
          <w:kern w:val="2"/>
          <w:sz w:val="24"/>
          <w:szCs w:val="20"/>
          <w:lang w:val="en-US" w:eastAsia="zh-CN" w:bidi="ar-SA"/>
        </w:rPr>
        <w:t>t/a</w:t>
      </w:r>
    </w:p>
    <w:p w14:paraId="67F14F7A">
      <w:pPr>
        <w:adjustRightInd w:val="0"/>
        <w:snapToGrid w:val="0"/>
        <w:spacing w:line="360" w:lineRule="auto"/>
        <w:ind w:firstLine="480" w:firstLineChars="200"/>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t>氮氧化物核定排放量=</w:t>
      </w:r>
      <w:r>
        <w:rPr>
          <w:rFonts w:hint="eastAsia" w:ascii="Times New Roman" w:hAnsi="Times New Roman" w:eastAsia="宋体" w:cs="Times New Roman"/>
          <w:color w:val="auto"/>
          <w:sz w:val="24"/>
          <w:szCs w:val="24"/>
          <w:highlight w:val="none"/>
          <w:lang w:val="en-US" w:eastAsia="zh-CN"/>
        </w:rPr>
        <w:t>28232712</w:t>
      </w:r>
      <w:r>
        <w:rPr>
          <w:rFonts w:hint="eastAsia" w:ascii="Times New Roman" w:hAnsi="Times New Roman" w:eastAsia="宋体" w:cs="Times New Roman"/>
          <w:color w:val="auto"/>
          <w:sz w:val="24"/>
          <w:szCs w:val="24"/>
          <w:highlight w:val="none"/>
          <w:lang w:eastAsia="zh-CN"/>
        </w:rPr>
        <w:t>m</w:t>
      </w:r>
      <w:r>
        <w:rPr>
          <w:rFonts w:hint="eastAsia" w:ascii="Times New Roman" w:hAnsi="Times New Roman" w:eastAsia="宋体" w:cs="Times New Roman"/>
          <w:color w:val="auto"/>
          <w:sz w:val="24"/>
          <w:szCs w:val="24"/>
          <w:highlight w:val="none"/>
          <w:vertAlign w:val="superscript"/>
          <w:lang w:eastAsia="zh-CN"/>
        </w:rPr>
        <w:t>3</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a</w:t>
      </w:r>
      <w:r>
        <w:rPr>
          <w:rFonts w:hint="default" w:ascii="Times New Roman" w:hAnsi="Times New Roman" w:eastAsia="宋体" w:cs="Times New Roman"/>
          <w:color w:val="auto"/>
          <w:kern w:val="2"/>
          <w:sz w:val="24"/>
          <w:szCs w:val="20"/>
          <w:lang w:val="en-US" w:eastAsia="zh-CN" w:bidi="ar-SA"/>
        </w:rPr>
        <w:t>×</w:t>
      </w:r>
      <w:r>
        <w:rPr>
          <w:rFonts w:hint="eastAsia" w:cs="Times New Roman"/>
          <w:color w:val="auto"/>
          <w:kern w:val="2"/>
          <w:sz w:val="24"/>
          <w:szCs w:val="20"/>
          <w:lang w:val="en-US" w:eastAsia="zh-CN" w:bidi="ar-SA"/>
        </w:rPr>
        <w:t>3</w:t>
      </w:r>
      <w:r>
        <w:rPr>
          <w:rFonts w:hint="default" w:ascii="Times New Roman" w:hAnsi="Times New Roman" w:eastAsia="宋体" w:cs="Times New Roman"/>
          <w:color w:val="auto"/>
          <w:kern w:val="2"/>
          <w:sz w:val="24"/>
          <w:szCs w:val="20"/>
          <w:lang w:val="en-US" w:eastAsia="zh-CN" w:bidi="ar-SA"/>
        </w:rPr>
        <w:t>00mg/m</w:t>
      </w:r>
      <w:r>
        <w:rPr>
          <w:rFonts w:hint="eastAsia" w:ascii="Times New Roman" w:hAnsi="Times New Roman" w:eastAsia="宋体" w:cs="Times New Roman"/>
          <w:color w:val="auto"/>
          <w:kern w:val="2"/>
          <w:sz w:val="24"/>
          <w:szCs w:val="20"/>
          <w:vertAlign w:val="superscript"/>
          <w:lang w:val="en-US" w:eastAsia="zh-CN" w:bidi="ar-SA"/>
        </w:rPr>
        <w:t>3</w:t>
      </w:r>
      <w:r>
        <w:rPr>
          <w:rFonts w:hint="default" w:ascii="Times New Roman" w:hAnsi="Times New Roman" w:eastAsia="宋体" w:cs="Times New Roman"/>
          <w:color w:val="auto"/>
          <w:kern w:val="2"/>
          <w:sz w:val="24"/>
          <w:szCs w:val="20"/>
          <w:lang w:val="en-US" w:eastAsia="zh-CN" w:bidi="ar-SA"/>
        </w:rPr>
        <w:t>×10</w:t>
      </w:r>
      <w:r>
        <w:rPr>
          <w:rFonts w:hint="default" w:ascii="Times New Roman" w:hAnsi="Times New Roman" w:eastAsia="宋体" w:cs="Times New Roman"/>
          <w:color w:val="auto"/>
          <w:kern w:val="2"/>
          <w:sz w:val="24"/>
          <w:szCs w:val="20"/>
          <w:vertAlign w:val="superscript"/>
          <w:lang w:val="en-US" w:eastAsia="zh-CN" w:bidi="ar-SA"/>
        </w:rPr>
        <w:t>-</w:t>
      </w:r>
      <w:r>
        <w:rPr>
          <w:rFonts w:hint="eastAsia" w:cs="Times New Roman"/>
          <w:color w:val="auto"/>
          <w:kern w:val="2"/>
          <w:sz w:val="24"/>
          <w:szCs w:val="20"/>
          <w:vertAlign w:val="superscript"/>
          <w:lang w:val="en-US" w:eastAsia="zh-CN" w:bidi="ar-SA"/>
        </w:rPr>
        <w:t>9</w:t>
      </w:r>
      <w:r>
        <w:rPr>
          <w:rFonts w:hint="default" w:ascii="Times New Roman" w:hAnsi="Times New Roman" w:eastAsia="宋体" w:cs="Times New Roman"/>
          <w:color w:val="auto"/>
          <w:kern w:val="2"/>
          <w:sz w:val="24"/>
          <w:szCs w:val="20"/>
          <w:lang w:val="en-US" w:eastAsia="zh-CN" w:bidi="ar-SA"/>
        </w:rPr>
        <w:t>=</w:t>
      </w:r>
      <w:r>
        <w:rPr>
          <w:rFonts w:hint="eastAsia" w:cs="Times New Roman"/>
          <w:color w:val="auto"/>
          <w:kern w:val="2"/>
          <w:sz w:val="24"/>
          <w:szCs w:val="20"/>
          <w:lang w:val="en-US" w:eastAsia="zh-CN" w:bidi="ar-SA"/>
        </w:rPr>
        <w:t>8.47</w:t>
      </w:r>
      <w:r>
        <w:rPr>
          <w:rFonts w:hint="default" w:ascii="Times New Roman" w:hAnsi="Times New Roman" w:eastAsia="宋体" w:cs="Times New Roman"/>
          <w:color w:val="auto"/>
          <w:kern w:val="2"/>
          <w:sz w:val="24"/>
          <w:szCs w:val="20"/>
          <w:lang w:val="en-US" w:eastAsia="zh-CN" w:bidi="ar-SA"/>
        </w:rPr>
        <w:t>t/a</w:t>
      </w:r>
    </w:p>
    <w:p w14:paraId="31262BE8">
      <w:pPr>
        <w:pStyle w:val="15"/>
        <w:numPr>
          <w:ilvl w:val="0"/>
          <w:numId w:val="5"/>
        </w:numPr>
        <w:adjustRightInd w:val="0"/>
        <w:snapToGrid w:val="0"/>
        <w:spacing w:line="360" w:lineRule="auto"/>
        <w:ind w:firstLine="482" w:firstLineChars="200"/>
        <w:rPr>
          <w:b/>
          <w:bCs/>
          <w:color w:val="auto"/>
          <w:sz w:val="24"/>
        </w:rPr>
      </w:pPr>
      <w:bookmarkStart w:id="29" w:name="_Toc9837"/>
      <w:r>
        <w:rPr>
          <w:b/>
          <w:bCs/>
          <w:color w:val="auto"/>
          <w:sz w:val="24"/>
        </w:rPr>
        <w:t>污染物排放核定量</w:t>
      </w:r>
      <w:bookmarkEnd w:id="25"/>
      <w:bookmarkEnd w:id="27"/>
      <w:bookmarkEnd w:id="28"/>
      <w:bookmarkEnd w:id="29"/>
    </w:p>
    <w:p w14:paraId="6A6F3DB6">
      <w:pPr>
        <w:pStyle w:val="4"/>
        <w:spacing w:line="20" w:lineRule="exact"/>
        <w:ind w:left="0" w:leftChars="0"/>
        <w:rPr>
          <w:color w:val="auto"/>
        </w:rPr>
      </w:pPr>
    </w:p>
    <w:p w14:paraId="462E0C37">
      <w:pPr>
        <w:pStyle w:val="196"/>
        <w:adjustRightInd w:val="0"/>
        <w:snapToGrid w:val="0"/>
        <w:ind w:firstLine="422" w:firstLineChars="200"/>
        <w:jc w:val="center"/>
        <w:rPr>
          <w:b/>
          <w:bCs/>
          <w:color w:val="auto"/>
          <w:sz w:val="21"/>
          <w:szCs w:val="21"/>
        </w:rPr>
      </w:pPr>
      <w:r>
        <w:rPr>
          <w:b/>
          <w:bCs/>
          <w:color w:val="auto"/>
          <w:sz w:val="21"/>
          <w:szCs w:val="21"/>
        </w:rPr>
        <w:t>表1</w:t>
      </w:r>
      <w:r>
        <w:rPr>
          <w:rFonts w:hint="eastAsia"/>
          <w:b/>
          <w:bCs/>
          <w:color w:val="auto"/>
          <w:sz w:val="21"/>
          <w:szCs w:val="21"/>
        </w:rPr>
        <w:t xml:space="preserve">  </w:t>
      </w:r>
      <w:r>
        <w:rPr>
          <w:b/>
          <w:bCs/>
          <w:color w:val="auto"/>
          <w:sz w:val="21"/>
          <w:szCs w:val="21"/>
        </w:rPr>
        <w:t>污染物核定排放量统计表</w:t>
      </w:r>
    </w:p>
    <w:tbl>
      <w:tblPr>
        <w:tblStyle w:val="4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90"/>
        <w:gridCol w:w="1631"/>
        <w:gridCol w:w="1631"/>
        <w:gridCol w:w="1631"/>
        <w:gridCol w:w="1633"/>
        <w:gridCol w:w="1633"/>
      </w:tblGrid>
      <w:tr w14:paraId="399F2F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980" w:type="pct"/>
            <w:vAlign w:val="center"/>
          </w:tcPr>
          <w:p w14:paraId="7D90B076">
            <w:pPr>
              <w:pStyle w:val="10"/>
              <w:adjustRightInd w:val="0"/>
              <w:snapToGrid w:val="0"/>
              <w:spacing w:after="0"/>
              <w:ind w:firstLine="0" w:firstLineChars="0"/>
              <w:jc w:val="center"/>
              <w:rPr>
                <w:color w:val="auto"/>
                <w:kern w:val="0"/>
                <w:szCs w:val="21"/>
              </w:rPr>
            </w:pPr>
          </w:p>
        </w:tc>
        <w:tc>
          <w:tcPr>
            <w:tcW w:w="803" w:type="pct"/>
            <w:vAlign w:val="center"/>
          </w:tcPr>
          <w:p w14:paraId="0C38BA5F">
            <w:pPr>
              <w:pStyle w:val="10"/>
              <w:adjustRightInd w:val="0"/>
              <w:snapToGrid w:val="0"/>
              <w:spacing w:after="0"/>
              <w:ind w:firstLine="0" w:firstLineChars="0"/>
              <w:jc w:val="center"/>
              <w:rPr>
                <w:color w:val="auto"/>
                <w:kern w:val="0"/>
                <w:szCs w:val="21"/>
              </w:rPr>
            </w:pPr>
            <w:r>
              <w:rPr>
                <w:rFonts w:hint="eastAsia"/>
                <w:color w:val="auto"/>
                <w:kern w:val="0"/>
                <w:szCs w:val="21"/>
                <w:lang w:val="en-US" w:eastAsia="zh-CN"/>
              </w:rPr>
              <w:t>颗粒物</w:t>
            </w:r>
            <w:r>
              <w:rPr>
                <w:color w:val="auto"/>
                <w:kern w:val="0"/>
                <w:szCs w:val="21"/>
              </w:rPr>
              <w:t>（t/a）</w:t>
            </w:r>
          </w:p>
        </w:tc>
        <w:tc>
          <w:tcPr>
            <w:tcW w:w="803" w:type="pct"/>
            <w:vAlign w:val="center"/>
          </w:tcPr>
          <w:p w14:paraId="157D3633">
            <w:pPr>
              <w:pStyle w:val="10"/>
              <w:adjustRightInd w:val="0"/>
              <w:snapToGrid w:val="0"/>
              <w:spacing w:after="0"/>
              <w:ind w:firstLine="0" w:firstLineChars="0"/>
              <w:jc w:val="center"/>
              <w:rPr>
                <w:color w:val="auto"/>
                <w:kern w:val="0"/>
                <w:szCs w:val="21"/>
              </w:rPr>
            </w:pPr>
            <w:r>
              <w:rPr>
                <w:rFonts w:hint="eastAsia"/>
                <w:color w:val="auto"/>
                <w:kern w:val="0"/>
                <w:szCs w:val="21"/>
                <w:lang w:val="en-US" w:eastAsia="zh-CN"/>
              </w:rPr>
              <w:t>SO</w:t>
            </w:r>
            <w:r>
              <w:rPr>
                <w:rFonts w:hint="eastAsia"/>
                <w:color w:val="auto"/>
                <w:kern w:val="0"/>
                <w:szCs w:val="21"/>
                <w:vertAlign w:val="subscript"/>
                <w:lang w:val="en-US" w:eastAsia="zh-CN"/>
              </w:rPr>
              <w:t>2</w:t>
            </w:r>
            <w:r>
              <w:rPr>
                <w:color w:val="auto"/>
                <w:kern w:val="0"/>
                <w:szCs w:val="21"/>
              </w:rPr>
              <w:t>（t/a）</w:t>
            </w:r>
          </w:p>
        </w:tc>
        <w:tc>
          <w:tcPr>
            <w:tcW w:w="803" w:type="pct"/>
            <w:vAlign w:val="center"/>
          </w:tcPr>
          <w:p w14:paraId="37C9B8B1">
            <w:pPr>
              <w:pStyle w:val="10"/>
              <w:adjustRightInd w:val="0"/>
              <w:snapToGrid w:val="0"/>
              <w:spacing w:after="0"/>
              <w:ind w:firstLine="0" w:firstLineChars="0"/>
              <w:jc w:val="center"/>
              <w:rPr>
                <w:rFonts w:hint="default" w:eastAsia="宋体"/>
                <w:color w:val="auto"/>
                <w:kern w:val="0"/>
                <w:szCs w:val="21"/>
                <w:lang w:val="en-US" w:eastAsia="zh-CN"/>
              </w:rPr>
            </w:pPr>
            <w:r>
              <w:rPr>
                <w:rFonts w:hint="eastAsia"/>
                <w:color w:val="auto"/>
                <w:kern w:val="0"/>
                <w:szCs w:val="21"/>
                <w:lang w:val="en-US" w:eastAsia="zh-CN"/>
              </w:rPr>
              <w:t>NOx</w:t>
            </w:r>
            <w:r>
              <w:rPr>
                <w:color w:val="auto"/>
                <w:kern w:val="0"/>
                <w:szCs w:val="21"/>
              </w:rPr>
              <w:t>（t/a）</w:t>
            </w:r>
          </w:p>
        </w:tc>
        <w:tc>
          <w:tcPr>
            <w:tcW w:w="804" w:type="pct"/>
            <w:vAlign w:val="center"/>
          </w:tcPr>
          <w:p w14:paraId="4A91D40D">
            <w:pPr>
              <w:pStyle w:val="10"/>
              <w:adjustRightInd w:val="0"/>
              <w:snapToGrid w:val="0"/>
              <w:spacing w:after="0"/>
              <w:ind w:firstLine="0" w:firstLineChars="0"/>
              <w:jc w:val="center"/>
              <w:rPr>
                <w:rFonts w:hint="default"/>
                <w:color w:val="auto"/>
                <w:kern w:val="0"/>
                <w:szCs w:val="21"/>
                <w:lang w:val="en-US" w:eastAsia="zh-CN"/>
              </w:rPr>
            </w:pPr>
            <w:r>
              <w:rPr>
                <w:rFonts w:hint="eastAsia"/>
                <w:color w:val="auto"/>
                <w:kern w:val="0"/>
                <w:szCs w:val="21"/>
                <w:lang w:val="en-US" w:eastAsia="zh-CN"/>
              </w:rPr>
              <w:t>COD</w:t>
            </w:r>
            <w:r>
              <w:rPr>
                <w:color w:val="auto"/>
                <w:kern w:val="0"/>
                <w:szCs w:val="21"/>
              </w:rPr>
              <w:t>（t/a）</w:t>
            </w:r>
          </w:p>
        </w:tc>
        <w:tc>
          <w:tcPr>
            <w:tcW w:w="804" w:type="pct"/>
            <w:vAlign w:val="center"/>
          </w:tcPr>
          <w:p w14:paraId="580BCF30">
            <w:pPr>
              <w:pStyle w:val="10"/>
              <w:adjustRightInd w:val="0"/>
              <w:snapToGrid w:val="0"/>
              <w:spacing w:after="0"/>
              <w:ind w:firstLine="0" w:firstLineChars="0"/>
              <w:jc w:val="center"/>
              <w:rPr>
                <w:rFonts w:hint="default"/>
                <w:color w:val="auto"/>
                <w:kern w:val="0"/>
                <w:szCs w:val="21"/>
                <w:lang w:val="en-US" w:eastAsia="zh-CN"/>
              </w:rPr>
            </w:pPr>
            <w:r>
              <w:rPr>
                <w:rFonts w:hint="eastAsia"/>
                <w:color w:val="auto"/>
                <w:kern w:val="0"/>
                <w:szCs w:val="21"/>
                <w:lang w:val="en-US" w:eastAsia="zh-CN"/>
              </w:rPr>
              <w:t>氨氮</w:t>
            </w:r>
            <w:r>
              <w:rPr>
                <w:color w:val="auto"/>
                <w:kern w:val="0"/>
                <w:szCs w:val="21"/>
              </w:rPr>
              <w:t>（t/a）</w:t>
            </w:r>
          </w:p>
        </w:tc>
      </w:tr>
      <w:tr w14:paraId="087E27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980" w:type="pct"/>
            <w:vAlign w:val="center"/>
          </w:tcPr>
          <w:p w14:paraId="7C6411E0">
            <w:pPr>
              <w:pStyle w:val="10"/>
              <w:adjustRightInd w:val="0"/>
              <w:snapToGrid w:val="0"/>
              <w:spacing w:after="0"/>
              <w:ind w:firstLine="0" w:firstLineChars="0"/>
              <w:jc w:val="center"/>
              <w:rPr>
                <w:rFonts w:hint="eastAsia"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现有工程</w:t>
            </w:r>
          </w:p>
        </w:tc>
        <w:tc>
          <w:tcPr>
            <w:tcW w:w="803" w:type="pct"/>
            <w:vAlign w:val="center"/>
          </w:tcPr>
          <w:p w14:paraId="55E64112">
            <w:pPr>
              <w:pStyle w:val="10"/>
              <w:adjustRightInd w:val="0"/>
              <w:snapToGrid w:val="0"/>
              <w:spacing w:after="0"/>
              <w:ind w:firstLine="0" w:firstLineChars="0"/>
              <w:jc w:val="center"/>
              <w:rPr>
                <w:rFonts w:hint="default" w:ascii="Times New Roman" w:hAnsi="Times New Roman" w:eastAsia="宋体" w:cs="Times New Roman"/>
                <w:color w:val="auto"/>
                <w:kern w:val="0"/>
                <w:szCs w:val="21"/>
                <w:lang w:val="en-US" w:eastAsia="zh-CN"/>
              </w:rPr>
            </w:pPr>
            <w:r>
              <w:rPr>
                <w:rFonts w:hint="eastAsia" w:cs="Times New Roman"/>
                <w:color w:val="auto"/>
                <w:kern w:val="0"/>
                <w:szCs w:val="21"/>
                <w:lang w:val="en-US" w:eastAsia="zh-CN"/>
              </w:rPr>
              <w:t>0.456</w:t>
            </w:r>
          </w:p>
        </w:tc>
        <w:tc>
          <w:tcPr>
            <w:tcW w:w="803" w:type="pct"/>
            <w:vAlign w:val="center"/>
          </w:tcPr>
          <w:p w14:paraId="0EF2063B">
            <w:pPr>
              <w:pStyle w:val="10"/>
              <w:adjustRightInd w:val="0"/>
              <w:snapToGrid w:val="0"/>
              <w:spacing w:after="0"/>
              <w:ind w:firstLine="0" w:firstLineChars="0"/>
              <w:jc w:val="center"/>
              <w:rPr>
                <w:rFonts w:hint="default" w:ascii="Times New Roman" w:hAnsi="Times New Roman" w:eastAsia="宋体" w:cs="Times New Roman"/>
                <w:color w:val="auto"/>
                <w:kern w:val="0"/>
                <w:szCs w:val="21"/>
                <w:lang w:val="en-US" w:eastAsia="zh-CN"/>
              </w:rPr>
            </w:pPr>
            <w:r>
              <w:rPr>
                <w:rFonts w:hint="eastAsia" w:cs="Times New Roman"/>
                <w:color w:val="auto"/>
                <w:kern w:val="0"/>
                <w:szCs w:val="21"/>
                <w:lang w:val="en-US" w:eastAsia="zh-CN"/>
              </w:rPr>
              <w:t>2.186</w:t>
            </w:r>
          </w:p>
        </w:tc>
        <w:tc>
          <w:tcPr>
            <w:tcW w:w="803" w:type="pct"/>
            <w:vAlign w:val="center"/>
          </w:tcPr>
          <w:p w14:paraId="32962292">
            <w:pPr>
              <w:pStyle w:val="10"/>
              <w:adjustRightInd w:val="0"/>
              <w:snapToGrid w:val="0"/>
              <w:spacing w:after="0"/>
              <w:ind w:firstLine="0" w:firstLineChars="0"/>
              <w:jc w:val="center"/>
              <w:rPr>
                <w:rFonts w:hint="default" w:ascii="Times New Roman" w:hAnsi="Times New Roman" w:eastAsia="宋体" w:cs="Times New Roman"/>
                <w:color w:val="auto"/>
                <w:kern w:val="0"/>
                <w:szCs w:val="21"/>
                <w:lang w:val="en-US" w:eastAsia="zh-CN"/>
              </w:rPr>
            </w:pPr>
            <w:r>
              <w:rPr>
                <w:rFonts w:hint="eastAsia" w:cs="Times New Roman"/>
                <w:color w:val="auto"/>
                <w:kern w:val="0"/>
                <w:szCs w:val="21"/>
                <w:lang w:val="en-US" w:eastAsia="zh-CN"/>
              </w:rPr>
              <w:t>2.733</w:t>
            </w:r>
          </w:p>
        </w:tc>
        <w:tc>
          <w:tcPr>
            <w:tcW w:w="804" w:type="pct"/>
            <w:vAlign w:val="center"/>
          </w:tcPr>
          <w:p w14:paraId="71915776">
            <w:pPr>
              <w:pStyle w:val="10"/>
              <w:adjustRightInd w:val="0"/>
              <w:snapToGrid w:val="0"/>
              <w:spacing w:after="0"/>
              <w:ind w:firstLine="0" w:firstLineChars="0"/>
              <w:jc w:val="center"/>
              <w:rPr>
                <w:rFonts w:hint="default" w:ascii="Times New Roman" w:hAnsi="Times New Roman" w:eastAsia="宋体" w:cs="Times New Roman"/>
                <w:color w:val="auto"/>
                <w:kern w:val="0"/>
                <w:szCs w:val="21"/>
                <w:lang w:val="en-US" w:eastAsia="zh-CN"/>
              </w:rPr>
            </w:pPr>
            <w:r>
              <w:rPr>
                <w:rFonts w:hint="eastAsia" w:cs="Times New Roman"/>
                <w:color w:val="auto"/>
                <w:kern w:val="0"/>
                <w:szCs w:val="21"/>
                <w:lang w:val="en-US" w:eastAsia="zh-CN"/>
              </w:rPr>
              <w:t>0.048</w:t>
            </w:r>
          </w:p>
        </w:tc>
        <w:tc>
          <w:tcPr>
            <w:tcW w:w="804" w:type="pct"/>
            <w:vAlign w:val="center"/>
          </w:tcPr>
          <w:p w14:paraId="1368741C">
            <w:pPr>
              <w:pStyle w:val="10"/>
              <w:adjustRightInd w:val="0"/>
              <w:snapToGrid w:val="0"/>
              <w:spacing w:after="0"/>
              <w:ind w:firstLine="0" w:firstLineChars="0"/>
              <w:jc w:val="center"/>
              <w:rPr>
                <w:rFonts w:hint="default" w:ascii="Times New Roman" w:hAnsi="Times New Roman" w:eastAsia="宋体" w:cs="Times New Roman"/>
                <w:color w:val="auto"/>
                <w:kern w:val="0"/>
                <w:szCs w:val="21"/>
                <w:lang w:val="en-US" w:eastAsia="zh-CN"/>
              </w:rPr>
            </w:pPr>
            <w:r>
              <w:rPr>
                <w:rFonts w:hint="eastAsia" w:cs="Times New Roman"/>
                <w:color w:val="auto"/>
                <w:kern w:val="0"/>
                <w:szCs w:val="21"/>
                <w:lang w:val="en-US" w:eastAsia="zh-CN"/>
              </w:rPr>
              <w:t>0.0014</w:t>
            </w:r>
          </w:p>
        </w:tc>
      </w:tr>
      <w:tr w14:paraId="712827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980" w:type="pct"/>
            <w:vAlign w:val="center"/>
          </w:tcPr>
          <w:p w14:paraId="30AC65C4">
            <w:pPr>
              <w:pStyle w:val="10"/>
              <w:adjustRightInd w:val="0"/>
              <w:snapToGrid w:val="0"/>
              <w:spacing w:after="0"/>
              <w:ind w:firstLine="0" w:firstLineChars="0"/>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本项目</w:t>
            </w:r>
          </w:p>
        </w:tc>
        <w:tc>
          <w:tcPr>
            <w:tcW w:w="803" w:type="pct"/>
            <w:shd w:val="clear" w:color="auto" w:fill="auto"/>
            <w:vAlign w:val="center"/>
          </w:tcPr>
          <w:p w14:paraId="0D107908">
            <w:pPr>
              <w:pStyle w:val="10"/>
              <w:adjustRightInd w:val="0"/>
              <w:snapToGrid w:val="0"/>
              <w:spacing w:after="0"/>
              <w:ind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1.412</w:t>
            </w:r>
          </w:p>
        </w:tc>
        <w:tc>
          <w:tcPr>
            <w:tcW w:w="803" w:type="pct"/>
            <w:shd w:val="clear" w:color="auto" w:fill="auto"/>
            <w:vAlign w:val="center"/>
          </w:tcPr>
          <w:p w14:paraId="1FCB67B6">
            <w:pPr>
              <w:pStyle w:val="10"/>
              <w:adjustRightInd w:val="0"/>
              <w:snapToGrid w:val="0"/>
              <w:spacing w:after="0"/>
              <w:ind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6.776</w:t>
            </w:r>
          </w:p>
        </w:tc>
        <w:tc>
          <w:tcPr>
            <w:tcW w:w="803" w:type="pct"/>
            <w:shd w:val="clear" w:color="auto" w:fill="auto"/>
            <w:vAlign w:val="center"/>
          </w:tcPr>
          <w:p w14:paraId="6986EB10">
            <w:pPr>
              <w:pStyle w:val="10"/>
              <w:adjustRightInd w:val="0"/>
              <w:snapToGrid w:val="0"/>
              <w:spacing w:after="0"/>
              <w:ind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8.47</w:t>
            </w:r>
          </w:p>
        </w:tc>
        <w:tc>
          <w:tcPr>
            <w:tcW w:w="804" w:type="pct"/>
            <w:vAlign w:val="center"/>
          </w:tcPr>
          <w:p w14:paraId="1DF9C6C2">
            <w:pPr>
              <w:pStyle w:val="10"/>
              <w:adjustRightInd w:val="0"/>
              <w:snapToGrid w:val="0"/>
              <w:spacing w:after="0"/>
              <w:ind w:firstLine="0" w:firstLineChars="0"/>
              <w:jc w:val="center"/>
              <w:rPr>
                <w:rFonts w:hint="eastAsia" w:ascii="Times New Roman" w:hAnsi="Times New Roman" w:eastAsia="宋体" w:cs="Times New Roman"/>
                <w:color w:val="auto"/>
                <w:kern w:val="0"/>
                <w:szCs w:val="21"/>
                <w:lang w:val="en-US" w:eastAsia="zh-CN"/>
              </w:rPr>
            </w:pPr>
            <w:r>
              <w:rPr>
                <w:rFonts w:hint="eastAsia"/>
                <w:color w:val="auto"/>
                <w:kern w:val="0"/>
                <w:szCs w:val="21"/>
                <w:lang w:val="en-US" w:eastAsia="zh-CN"/>
              </w:rPr>
              <w:t>/</w:t>
            </w:r>
          </w:p>
        </w:tc>
        <w:tc>
          <w:tcPr>
            <w:tcW w:w="804" w:type="pct"/>
            <w:vAlign w:val="center"/>
          </w:tcPr>
          <w:p w14:paraId="25FBB1B0">
            <w:pPr>
              <w:pStyle w:val="10"/>
              <w:adjustRightInd w:val="0"/>
              <w:snapToGrid w:val="0"/>
              <w:spacing w:after="0"/>
              <w:ind w:firstLine="0" w:firstLineChars="0"/>
              <w:jc w:val="center"/>
              <w:rPr>
                <w:rFonts w:hint="eastAsia" w:ascii="Times New Roman" w:hAnsi="Times New Roman" w:eastAsia="宋体" w:cs="Times New Roman"/>
                <w:color w:val="auto"/>
                <w:kern w:val="0"/>
                <w:szCs w:val="21"/>
                <w:lang w:val="en-US" w:eastAsia="zh-CN"/>
              </w:rPr>
            </w:pPr>
            <w:r>
              <w:rPr>
                <w:rFonts w:hint="eastAsia"/>
                <w:color w:val="auto"/>
                <w:kern w:val="0"/>
                <w:szCs w:val="21"/>
                <w:lang w:val="en-US" w:eastAsia="zh-CN"/>
              </w:rPr>
              <w:t>/</w:t>
            </w:r>
          </w:p>
        </w:tc>
      </w:tr>
      <w:tr w14:paraId="3B6525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980" w:type="pct"/>
            <w:vAlign w:val="center"/>
          </w:tcPr>
          <w:p w14:paraId="6B668801">
            <w:pPr>
              <w:pStyle w:val="10"/>
              <w:adjustRightInd w:val="0"/>
              <w:snapToGrid w:val="0"/>
              <w:spacing w:after="0"/>
              <w:ind w:firstLine="0" w:firstLineChars="0"/>
              <w:jc w:val="center"/>
              <w:rPr>
                <w:rFonts w:hint="eastAsia" w:eastAsia="宋体"/>
                <w:color w:val="auto"/>
                <w:kern w:val="0"/>
                <w:szCs w:val="21"/>
                <w:lang w:val="en-US" w:eastAsia="zh-CN"/>
              </w:rPr>
            </w:pPr>
            <w:r>
              <w:rPr>
                <w:rFonts w:hint="eastAsia"/>
                <w:color w:val="auto"/>
                <w:kern w:val="0"/>
                <w:szCs w:val="21"/>
                <w:lang w:val="en-US" w:eastAsia="zh-CN"/>
              </w:rPr>
              <w:t>变化量</w:t>
            </w:r>
          </w:p>
        </w:tc>
        <w:tc>
          <w:tcPr>
            <w:tcW w:w="803" w:type="pct"/>
            <w:vAlign w:val="center"/>
          </w:tcPr>
          <w:p w14:paraId="03424156">
            <w:pPr>
              <w:pStyle w:val="10"/>
              <w:adjustRightInd w:val="0"/>
              <w:snapToGrid w:val="0"/>
              <w:spacing w:after="0"/>
              <w:ind w:firstLine="0" w:firstLineChars="0"/>
              <w:jc w:val="center"/>
              <w:rPr>
                <w:rFonts w:hint="default"/>
                <w:color w:val="auto"/>
                <w:kern w:val="0"/>
                <w:szCs w:val="21"/>
                <w:lang w:val="en-US" w:eastAsia="zh-CN"/>
              </w:rPr>
            </w:pPr>
            <w:r>
              <w:rPr>
                <w:rFonts w:hint="eastAsia"/>
                <w:color w:val="auto"/>
                <w:kern w:val="0"/>
                <w:szCs w:val="21"/>
                <w:lang w:val="en-US" w:eastAsia="zh-CN"/>
              </w:rPr>
              <w:t>0.956</w:t>
            </w:r>
          </w:p>
        </w:tc>
        <w:tc>
          <w:tcPr>
            <w:tcW w:w="803" w:type="pct"/>
            <w:vAlign w:val="center"/>
          </w:tcPr>
          <w:p w14:paraId="539EE2A1">
            <w:pPr>
              <w:pStyle w:val="10"/>
              <w:adjustRightInd w:val="0"/>
              <w:snapToGrid w:val="0"/>
              <w:spacing w:after="0"/>
              <w:ind w:firstLine="0" w:firstLineChars="0"/>
              <w:jc w:val="center"/>
              <w:rPr>
                <w:rFonts w:hint="default"/>
                <w:color w:val="auto"/>
                <w:kern w:val="0"/>
                <w:szCs w:val="21"/>
                <w:lang w:val="en-US" w:eastAsia="zh-CN"/>
              </w:rPr>
            </w:pPr>
            <w:r>
              <w:rPr>
                <w:rFonts w:hint="eastAsia"/>
                <w:color w:val="auto"/>
                <w:kern w:val="0"/>
                <w:szCs w:val="21"/>
                <w:lang w:val="en-US" w:eastAsia="zh-CN"/>
              </w:rPr>
              <w:t>4.59</w:t>
            </w:r>
          </w:p>
        </w:tc>
        <w:tc>
          <w:tcPr>
            <w:tcW w:w="803" w:type="pct"/>
            <w:vAlign w:val="center"/>
          </w:tcPr>
          <w:p w14:paraId="103C46D1">
            <w:pPr>
              <w:pStyle w:val="10"/>
              <w:adjustRightInd w:val="0"/>
              <w:snapToGrid w:val="0"/>
              <w:spacing w:after="0"/>
              <w:ind w:firstLine="0" w:firstLineChars="0"/>
              <w:jc w:val="center"/>
              <w:rPr>
                <w:rFonts w:hint="default"/>
                <w:color w:val="auto"/>
                <w:kern w:val="0"/>
                <w:szCs w:val="21"/>
                <w:lang w:val="en-US" w:eastAsia="zh-CN"/>
              </w:rPr>
            </w:pPr>
            <w:r>
              <w:rPr>
                <w:rFonts w:hint="eastAsia"/>
                <w:color w:val="auto"/>
                <w:kern w:val="0"/>
                <w:szCs w:val="21"/>
                <w:lang w:val="en-US" w:eastAsia="zh-CN"/>
              </w:rPr>
              <w:t>5.737</w:t>
            </w:r>
          </w:p>
        </w:tc>
        <w:tc>
          <w:tcPr>
            <w:tcW w:w="804" w:type="pct"/>
            <w:vAlign w:val="center"/>
          </w:tcPr>
          <w:p w14:paraId="3D3B2663">
            <w:pPr>
              <w:pStyle w:val="10"/>
              <w:adjustRightInd w:val="0"/>
              <w:snapToGrid w:val="0"/>
              <w:spacing w:after="0"/>
              <w:ind w:firstLine="0" w:firstLineChars="0"/>
              <w:jc w:val="center"/>
              <w:rPr>
                <w:rFonts w:hint="default"/>
                <w:color w:val="auto"/>
                <w:kern w:val="0"/>
                <w:szCs w:val="21"/>
                <w:lang w:val="en-US" w:eastAsia="zh-CN"/>
              </w:rPr>
            </w:pPr>
            <w:r>
              <w:rPr>
                <w:rFonts w:hint="eastAsia"/>
                <w:color w:val="auto"/>
                <w:kern w:val="0"/>
                <w:szCs w:val="21"/>
                <w:lang w:val="en-US" w:eastAsia="zh-CN"/>
              </w:rPr>
              <w:t>/</w:t>
            </w:r>
          </w:p>
        </w:tc>
        <w:tc>
          <w:tcPr>
            <w:tcW w:w="804" w:type="pct"/>
            <w:vAlign w:val="center"/>
          </w:tcPr>
          <w:p w14:paraId="6DF1F276">
            <w:pPr>
              <w:pStyle w:val="10"/>
              <w:adjustRightInd w:val="0"/>
              <w:snapToGrid w:val="0"/>
              <w:spacing w:after="0"/>
              <w:ind w:firstLine="0" w:firstLineChars="0"/>
              <w:jc w:val="center"/>
              <w:rPr>
                <w:rFonts w:hint="default"/>
                <w:color w:val="auto"/>
                <w:kern w:val="0"/>
                <w:szCs w:val="21"/>
                <w:lang w:val="en-US" w:eastAsia="zh-CN"/>
              </w:rPr>
            </w:pPr>
            <w:r>
              <w:rPr>
                <w:rFonts w:hint="eastAsia"/>
                <w:color w:val="auto"/>
                <w:kern w:val="0"/>
                <w:szCs w:val="21"/>
                <w:lang w:val="en-US" w:eastAsia="zh-CN"/>
              </w:rPr>
              <w:t>/</w:t>
            </w:r>
          </w:p>
        </w:tc>
      </w:tr>
    </w:tbl>
    <w:p w14:paraId="11746D70">
      <w:pPr>
        <w:rPr>
          <w:color w:val="auto"/>
        </w:rPr>
      </w:pPr>
    </w:p>
    <w:p w14:paraId="7598AE6C">
      <w:pPr>
        <w:pStyle w:val="2"/>
        <w:rPr>
          <w:color w:val="auto"/>
        </w:rPr>
      </w:pPr>
    </w:p>
    <w:p w14:paraId="004BDDBB">
      <w:pPr>
        <w:pStyle w:val="3"/>
        <w:rPr>
          <w:color w:val="auto"/>
        </w:rPr>
      </w:pPr>
    </w:p>
    <w:p w14:paraId="42C16239">
      <w:pPr>
        <w:jc w:val="both"/>
        <w:rPr>
          <w:color w:val="auto"/>
        </w:rPr>
      </w:pPr>
    </w:p>
    <w:sectPr>
      <w:pgSz w:w="11907" w:h="16840"/>
      <w:pgMar w:top="1418" w:right="836" w:bottom="1418" w:left="1134" w:header="851" w:footer="992" w:gutter="0"/>
      <w:pgBorders>
        <w:top w:val="none" w:sz="0" w:space="0"/>
        <w:left w:val="none" w:sz="0" w:space="0"/>
        <w:bottom w:val="none" w:sz="0" w:space="0"/>
        <w:right w:val="none" w:sz="0" w:space="0"/>
      </w:pgBorders>
      <w:cols w:space="720" w:num="1"/>
      <w:docGrid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中宋">
    <w:panose1 w:val="02010600040101010101"/>
    <w:charset w:val="86"/>
    <w:family w:val="auto"/>
    <w:pitch w:val="default"/>
    <w:sig w:usb0="00000287" w:usb1="080F0000" w:usb2="00000000" w:usb3="00000000" w:csb0="0004009F" w:csb1="DFD70000"/>
  </w:font>
  <w:font w:name="华文行楷">
    <w:panose1 w:val="02010800040101010101"/>
    <w:charset w:val="86"/>
    <w:family w:val="auto"/>
    <w:pitch w:val="default"/>
    <w:sig w:usb0="00000001" w:usb1="080F0000" w:usb2="00000000" w:usb3="00000000" w:csb0="00040000" w:csb1="00000000"/>
  </w:font>
  <w:font w:name="等线 Light">
    <w:panose1 w:val="02010600030101010101"/>
    <w:charset w:val="86"/>
    <w:family w:val="auto"/>
    <w:pitch w:val="default"/>
    <w:sig w:usb0="A00002BF" w:usb1="38CF7CFA" w:usb2="00000016" w:usb3="00000000" w:csb0="0004000F" w:csb1="00000000"/>
  </w:font>
  <w:font w:name="Verdana">
    <w:panose1 w:val="020B0604030504040204"/>
    <w:charset w:val="00"/>
    <w:family w:val="swiss"/>
    <w:pitch w:val="default"/>
    <w:sig w:usb0="A00006FF" w:usb1="4000205B" w:usb2="00000010" w:usb3="00000000" w:csb0="2000019F" w:csb1="00000000"/>
  </w:font>
  <w:font w:name="仿宋_GB2312">
    <w:panose1 w:val="02010609030101010101"/>
    <w:charset w:val="86"/>
    <w:family w:val="modern"/>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Calibri Light">
    <w:panose1 w:val="020F03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楷体">
    <w:panose1 w:val="02010609060101010101"/>
    <w:charset w:val="86"/>
    <w:family w:val="modern"/>
    <w:pitch w:val="default"/>
    <w:sig w:usb0="800002BF" w:usb1="38CF7CFA" w:usb2="00000016" w:usb3="00000000" w:csb0="00040001" w:csb1="00000000"/>
  </w:font>
  <w:font w:name="华文仿宋">
    <w:panose1 w:val="02010600040101010101"/>
    <w:charset w:val="86"/>
    <w:family w:val="auto"/>
    <w:pitch w:val="default"/>
    <w:sig w:usb0="00000287" w:usb1="080F0000" w:usb2="00000000" w:usb3="00000000" w:csb0="0004009F" w:csb1="DFD70000"/>
  </w:font>
  <w:font w:name="Wingdings 2">
    <w:panose1 w:val="05020102010507070707"/>
    <w:charset w:val="02"/>
    <w:family w:val="roman"/>
    <w:pitch w:val="default"/>
    <w:sig w:usb0="00000000" w:usb1="00000000" w:usb2="00000000" w:usb3="00000000" w:csb0="80000000" w:csb1="00000000"/>
  </w:font>
  <w:font w:name="Segoe UI">
    <w:panose1 w:val="020B0502040204020203"/>
    <w:charset w:val="00"/>
    <w:family w:val="auto"/>
    <w:pitch w:val="default"/>
    <w:sig w:usb0="E4002EFF" w:usb1="C000E47F" w:usb2="00000009" w:usb3="00000000" w:csb0="200001F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785F02">
    <w:pPr>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178A76">
    <w:pPr>
      <w:framePr w:wrap="around" w:vAnchor="text" w:hAnchor="margin" w:xAlign="center" w:y="1"/>
      <w:rPr>
        <w:rStyle w:val="67"/>
      </w:rPr>
    </w:pPr>
    <w:r>
      <w:fldChar w:fldCharType="begin"/>
    </w:r>
    <w:r>
      <w:rPr>
        <w:rStyle w:val="67"/>
      </w:rPr>
      <w:instrText xml:space="preserve">PAGE  </w:instrText>
    </w:r>
    <w:r>
      <w:fldChar w:fldCharType="end"/>
    </w:r>
  </w:p>
  <w:p w14:paraId="39EA39F5">
    <w:pPr>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0E1018">
    <w:pPr>
      <w:ind w:right="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1" name="文本框 7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25C2DE">
                          <w:pPr>
                            <w:pStyle w:val="2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4m48CwCAABXBAAADgAAAAAAAAABACAAAAAfAQAAZHJzL2Uyb0RvYy54bWxQSwUGAAAAAAYA&#10;BgBZAQAAvQUAAAAA&#10;">
              <v:fill on="f" focussize="0,0"/>
              <v:stroke on="f" weight="0.5pt"/>
              <v:imagedata o:title=""/>
              <o:lock v:ext="edit" aspectratio="f"/>
              <v:textbox inset="0mm,0mm,0mm,0mm" style="mso-fit-shape-to-text:t;">
                <w:txbxContent>
                  <w:p w14:paraId="0025C2DE">
                    <w:pPr>
                      <w:pStyle w:val="28"/>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9BD5BD">
    <w:pPr>
      <w:ind w:right="36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72" name="文本框 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3A5C6E">
                          <w:pPr>
                            <w:pStyle w:val="28"/>
                          </w:pPr>
                          <w:r>
                            <w:fldChar w:fldCharType="begin"/>
                          </w:r>
                          <w:r>
                            <w:instrText xml:space="preserve"> PAGE  \* MERGEFORMAT </w:instrText>
                          </w:r>
                          <w:r>
                            <w:fldChar w:fldCharType="separate"/>
                          </w:r>
                          <w:r>
                            <w:t>11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tfTTAt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CtfTTAtAgAAVwQAAA4AAAAAAAAAAQAgAAAAHwEAAGRycy9lMm9Eb2MueG1sUEsFBgAAAAAG&#10;AAYAWQEAAL4FAAAAAA==&#10;">
              <v:fill on="f" focussize="0,0"/>
              <v:stroke on="f" weight="0.5pt"/>
              <v:imagedata o:title=""/>
              <o:lock v:ext="edit" aspectratio="f"/>
              <v:textbox inset="0mm,0mm,0mm,0mm" style="mso-fit-shape-to-text:t;">
                <w:txbxContent>
                  <w:p w14:paraId="103A5C6E">
                    <w:pPr>
                      <w:pStyle w:val="28"/>
                    </w:pPr>
                    <w:r>
                      <w:fldChar w:fldCharType="begin"/>
                    </w:r>
                    <w:r>
                      <w:instrText xml:space="preserve"> PAGE  \* MERGEFORMAT </w:instrText>
                    </w:r>
                    <w:r>
                      <w:fldChar w:fldCharType="separate"/>
                    </w:r>
                    <w:r>
                      <w:t>11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103921">
    <w:pPr>
      <w:pStyle w:val="28"/>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E405606">
                          <w:pPr>
                            <w:pStyle w:val="28"/>
                          </w:pPr>
                          <w:r>
                            <w:fldChar w:fldCharType="begin"/>
                          </w:r>
                          <w:r>
                            <w:instrText xml:space="preserve"> PAGE  \* MERGEFORMAT </w:instrText>
                          </w:r>
                          <w:r>
                            <w:fldChar w:fldCharType="separate"/>
                          </w:r>
                          <w:r>
                            <w:t>51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K5hCotAgAAVwQAAA4AAABkcnMvZTJvRG9jLnhtbK1UzY7TMBC+I/EO&#10;lu80adEu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5ok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DK5hCotAgAAVwQAAA4AAAAAAAAAAQAgAAAAHwEAAGRycy9lMm9Eb2MueG1sUEsFBgAAAAAG&#10;AAYAWQEAAL4FAAAAAA==&#10;">
              <v:fill on="f" focussize="0,0"/>
              <v:stroke on="f" weight="0.5pt"/>
              <v:imagedata o:title=""/>
              <o:lock v:ext="edit" aspectratio="f"/>
              <v:textbox inset="0mm,0mm,0mm,0mm" style="mso-fit-shape-to-text:t;">
                <w:txbxContent>
                  <w:p w14:paraId="4E405606">
                    <w:pPr>
                      <w:pStyle w:val="28"/>
                    </w:pPr>
                    <w:r>
                      <w:fldChar w:fldCharType="begin"/>
                    </w:r>
                    <w:r>
                      <w:instrText xml:space="preserve"> PAGE  \* MERGEFORMAT </w:instrText>
                    </w:r>
                    <w:r>
                      <w:fldChar w:fldCharType="separate"/>
                    </w:r>
                    <w:r>
                      <w:t>51</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C3EFB3">
    <w:pPr>
      <w:pStyle w:val="28"/>
      <w:ind w:right="360" w:firstLine="360"/>
      <w:jc w:val="both"/>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B969E87">
                          <w:pPr>
                            <w:pStyle w:val="28"/>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WYmoEtAgAAVwQAAA4AAABkcnMvZTJvRG9jLnhtbK1UzY7TMBC+I/EO&#10;lu80adFW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t/epO2FqwfgUiNHJNE9Nlqh2Tc9s73J&#10;zyDmTNcb3vJNheRb5sMDc2gGPBjjEu6xFNIgiektSkrjvv7rPMajRvBSUqO5MqoxS5TIDxq1A2AY&#10;DDcY+8HQR3Vn0K1jjKHlrYkLLsjBLJxRXzBDq5gDLqY5MmU0DOZd6BocM8jFatUGodssC1u9szxC&#10;R/G8XR0DBGx1jaJ0SvRaod/ayvSzERv6z30b9fQ/WD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KWYmoEtAgAAVwQAAA4AAAAAAAAAAQAgAAAAHwEAAGRycy9lMm9Eb2MueG1sUEsFBgAAAAAG&#10;AAYAWQEAAL4FAAAAAA==&#10;">
              <v:fill on="f" focussize="0,0"/>
              <v:stroke on="f" weight="0.5pt"/>
              <v:imagedata o:title=""/>
              <o:lock v:ext="edit" aspectratio="f"/>
              <v:textbox inset="0mm,0mm,0mm,0mm" style="mso-fit-shape-to-text:t;">
                <w:txbxContent>
                  <w:p w14:paraId="6B969E87">
                    <w:pPr>
                      <w:pStyle w:val="28"/>
                    </w:pPr>
                    <w:r>
                      <w:fldChar w:fldCharType="begin"/>
                    </w:r>
                    <w:r>
                      <w:instrText xml:space="preserve"> PAGE  \* MERGEFORMAT </w:instrText>
                    </w:r>
                    <w:r>
                      <w:fldChar w:fldCharType="separate"/>
                    </w:r>
                    <w:r>
                      <w:t>2</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29B110B"/>
    <w:multiLevelType w:val="singleLevel"/>
    <w:tmpl w:val="B29B110B"/>
    <w:lvl w:ilvl="0" w:tentative="0">
      <w:start w:val="2"/>
      <w:numFmt w:val="chineseCounting"/>
      <w:suff w:val="nothing"/>
      <w:lvlText w:val="%1、"/>
      <w:lvlJc w:val="left"/>
      <w:rPr>
        <w:rFonts w:hint="eastAsia"/>
      </w:rPr>
    </w:lvl>
  </w:abstractNum>
  <w:abstractNum w:abstractNumId="1">
    <w:nsid w:val="C053C378"/>
    <w:multiLevelType w:val="singleLevel"/>
    <w:tmpl w:val="C053C378"/>
    <w:lvl w:ilvl="0" w:tentative="0">
      <w:start w:val="2"/>
      <w:numFmt w:val="decimal"/>
      <w:suff w:val="nothing"/>
      <w:lvlText w:val="（%1）"/>
      <w:lvlJc w:val="left"/>
    </w:lvl>
  </w:abstractNum>
  <w:abstractNum w:abstractNumId="2">
    <w:nsid w:val="00000006"/>
    <w:multiLevelType w:val="multilevel"/>
    <w:tmpl w:val="00000006"/>
    <w:lvl w:ilvl="0" w:tentative="0">
      <w:start w:val="1"/>
      <w:numFmt w:val="decimal"/>
      <w:isLgl/>
      <w:suff w:val="space"/>
      <w:lvlText w:val="%1、"/>
      <w:lvlJc w:val="left"/>
      <w:pPr>
        <w:ind w:left="672" w:hanging="432"/>
      </w:pPr>
      <w:rPr>
        <w:rFonts w:hint="eastAsia"/>
      </w:rPr>
    </w:lvl>
    <w:lvl w:ilvl="1" w:tentative="0">
      <w:start w:val="1"/>
      <w:numFmt w:val="decimal"/>
      <w:isLgl/>
      <w:suff w:val="space"/>
      <w:lvlText w:val="%1.%2"/>
      <w:lvlJc w:val="left"/>
      <w:pPr>
        <w:ind w:left="576" w:hanging="576"/>
      </w:pPr>
      <w:rPr>
        <w:rFonts w:hint="eastAsia"/>
      </w:rPr>
    </w:lvl>
    <w:lvl w:ilvl="2" w:tentative="0">
      <w:start w:val="1"/>
      <w:numFmt w:val="decimal"/>
      <w:suff w:val="space"/>
      <w:lvlText w:val="%1.%2.%3"/>
      <w:lvlJc w:val="left"/>
      <w:pPr>
        <w:ind w:left="720" w:hanging="720"/>
      </w:pPr>
      <w:rPr>
        <w:rFonts w:hint="eastAsia"/>
      </w:rPr>
    </w:lvl>
    <w:lvl w:ilvl="3" w:tentative="0">
      <w:start w:val="1"/>
      <w:numFmt w:val="chineseCountingThousand"/>
      <w:suff w:val="space"/>
      <w:lvlText w:val="（%4）"/>
      <w:lvlJc w:val="left"/>
      <w:pPr>
        <w:ind w:left="864" w:hanging="864"/>
      </w:pPr>
      <w:rPr>
        <w:rFonts w:hint="default" w:ascii="Times New Roman" w:hAnsi="Times New Roman"/>
        <w:b w:val="0"/>
        <w:i w:val="0"/>
        <w:sz w:val="24"/>
        <w:lang w:val="en-US"/>
      </w:rPr>
    </w:lvl>
    <w:lvl w:ilvl="4" w:tentative="0">
      <w:start w:val="1"/>
      <w:numFmt w:val="decimal"/>
      <w:suff w:val="space"/>
      <w:lvlText w:val="（%5）"/>
      <w:lvlJc w:val="left"/>
      <w:pPr>
        <w:ind w:left="687" w:hanging="567"/>
      </w:pPr>
      <w:rPr>
        <w:rFonts w:hint="eastAsia"/>
      </w:rPr>
    </w:lvl>
    <w:lvl w:ilvl="5" w:tentative="0">
      <w:start w:val="1"/>
      <w:numFmt w:val="decimal"/>
      <w:suff w:val="space"/>
      <w:lvlText w:val="  %6、"/>
      <w:lvlJc w:val="left"/>
      <w:pPr>
        <w:ind w:left="851" w:hanging="567"/>
      </w:pPr>
      <w:rPr>
        <w:rFonts w:hint="eastAsia"/>
      </w:rPr>
    </w:lvl>
    <w:lvl w:ilvl="6" w:tentative="0">
      <w:start w:val="1"/>
      <w:numFmt w:val="upperLetter"/>
      <w:pStyle w:val="12"/>
      <w:suff w:val="space"/>
      <w:lvlText w:val="   %7&gt;"/>
      <w:lvlJc w:val="left"/>
      <w:pPr>
        <w:ind w:left="851" w:hanging="567"/>
      </w:pPr>
      <w:rPr>
        <w:rFonts w:hint="eastAsia"/>
      </w:rPr>
    </w:lvl>
    <w:lvl w:ilvl="7" w:tentative="0">
      <w:start w:val="1"/>
      <w:numFmt w:val="upperLetter"/>
      <w:pStyle w:val="13"/>
      <w:suff w:val="space"/>
      <w:lvlText w:val="     %8&gt;"/>
      <w:lvlJc w:val="left"/>
      <w:pPr>
        <w:ind w:left="851" w:hanging="567"/>
      </w:pPr>
      <w:rPr>
        <w:rFonts w:hint="eastAsia"/>
      </w:rPr>
    </w:lvl>
    <w:lvl w:ilvl="8" w:tentative="0">
      <w:start w:val="1"/>
      <w:numFmt w:val="lowerLetter"/>
      <w:pStyle w:val="14"/>
      <w:suff w:val="space"/>
      <w:lvlText w:val="     %9&gt;"/>
      <w:lvlJc w:val="left"/>
      <w:pPr>
        <w:ind w:left="851" w:hanging="567"/>
      </w:pPr>
      <w:rPr>
        <w:rFonts w:hint="eastAsia"/>
      </w:rPr>
    </w:lvl>
  </w:abstractNum>
  <w:abstractNum w:abstractNumId="3">
    <w:nsid w:val="178FD8E2"/>
    <w:multiLevelType w:val="singleLevel"/>
    <w:tmpl w:val="178FD8E2"/>
    <w:lvl w:ilvl="0" w:tentative="0">
      <w:start w:val="1"/>
      <w:numFmt w:val="decimal"/>
      <w:suff w:val="nothing"/>
      <w:lvlText w:val="（%1）"/>
      <w:lvlJc w:val="left"/>
    </w:lvl>
  </w:abstractNum>
  <w:abstractNum w:abstractNumId="4">
    <w:nsid w:val="25FB4F54"/>
    <w:multiLevelType w:val="singleLevel"/>
    <w:tmpl w:val="25FB4F54"/>
    <w:lvl w:ilvl="0" w:tentative="0">
      <w:start w:val="3"/>
      <w:numFmt w:val="decimal"/>
      <w:suff w:val="nothing"/>
      <w:lvlText w:val="%1、"/>
      <w:lvlJc w:val="left"/>
    </w:lvl>
  </w:abstractNum>
  <w:num w:numId="1">
    <w:abstractNumId w:val="2"/>
  </w:num>
  <w:num w:numId="2">
    <w:abstractNumId w:val="1"/>
  </w:num>
  <w:num w:numId="3">
    <w:abstractNumId w:val="3"/>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WMxYWY3NDlhNWQwMjI5ZjliNjQzMjQ1YjI3Y2EwNDgifQ=="/>
    <w:docVar w:name="KSO_WPS_MARK_KEY" w:val="635b8df8-2a3e-4aee-93dc-5bef1659b978"/>
  </w:docVars>
  <w:rsids>
    <w:rsidRoot w:val="0F875D14"/>
    <w:rsid w:val="000337D1"/>
    <w:rsid w:val="000F500E"/>
    <w:rsid w:val="00101496"/>
    <w:rsid w:val="001F04EC"/>
    <w:rsid w:val="00234A99"/>
    <w:rsid w:val="002D7CD9"/>
    <w:rsid w:val="00360D40"/>
    <w:rsid w:val="00392BE3"/>
    <w:rsid w:val="00394B54"/>
    <w:rsid w:val="003E771F"/>
    <w:rsid w:val="00402647"/>
    <w:rsid w:val="004936E2"/>
    <w:rsid w:val="00512DA8"/>
    <w:rsid w:val="00530B23"/>
    <w:rsid w:val="00547A7F"/>
    <w:rsid w:val="005D2D67"/>
    <w:rsid w:val="005E701B"/>
    <w:rsid w:val="005F0DD4"/>
    <w:rsid w:val="005F4BB8"/>
    <w:rsid w:val="006A560D"/>
    <w:rsid w:val="006C0109"/>
    <w:rsid w:val="006E02A9"/>
    <w:rsid w:val="006E6635"/>
    <w:rsid w:val="007B19FB"/>
    <w:rsid w:val="008447C5"/>
    <w:rsid w:val="008C0CB5"/>
    <w:rsid w:val="008C31EC"/>
    <w:rsid w:val="00914298"/>
    <w:rsid w:val="00924300"/>
    <w:rsid w:val="00961064"/>
    <w:rsid w:val="009655E7"/>
    <w:rsid w:val="00970F4D"/>
    <w:rsid w:val="009818A7"/>
    <w:rsid w:val="009A606F"/>
    <w:rsid w:val="00A342CB"/>
    <w:rsid w:val="00A632B8"/>
    <w:rsid w:val="00AB2409"/>
    <w:rsid w:val="00AB3CD6"/>
    <w:rsid w:val="00AB58C2"/>
    <w:rsid w:val="00AC4DE6"/>
    <w:rsid w:val="00B212AF"/>
    <w:rsid w:val="00B35B78"/>
    <w:rsid w:val="00B56430"/>
    <w:rsid w:val="00BD522A"/>
    <w:rsid w:val="00C07053"/>
    <w:rsid w:val="00C76CA1"/>
    <w:rsid w:val="00C80F13"/>
    <w:rsid w:val="00CC6B70"/>
    <w:rsid w:val="00CE16A4"/>
    <w:rsid w:val="00CF485F"/>
    <w:rsid w:val="00D348C5"/>
    <w:rsid w:val="00D44F28"/>
    <w:rsid w:val="00D673B9"/>
    <w:rsid w:val="00D8324D"/>
    <w:rsid w:val="00DA11E7"/>
    <w:rsid w:val="00DD53E9"/>
    <w:rsid w:val="00E40DDF"/>
    <w:rsid w:val="00E43E4C"/>
    <w:rsid w:val="00E93B46"/>
    <w:rsid w:val="00EC471B"/>
    <w:rsid w:val="00EF5E20"/>
    <w:rsid w:val="00F17966"/>
    <w:rsid w:val="0186274F"/>
    <w:rsid w:val="01940CB9"/>
    <w:rsid w:val="019E703D"/>
    <w:rsid w:val="01BA27EF"/>
    <w:rsid w:val="01BD686F"/>
    <w:rsid w:val="01E262C8"/>
    <w:rsid w:val="01F96B07"/>
    <w:rsid w:val="025525D8"/>
    <w:rsid w:val="02A947F3"/>
    <w:rsid w:val="030E042E"/>
    <w:rsid w:val="032C7105"/>
    <w:rsid w:val="03346F0C"/>
    <w:rsid w:val="034C14B4"/>
    <w:rsid w:val="03B112C5"/>
    <w:rsid w:val="041455EC"/>
    <w:rsid w:val="048D3646"/>
    <w:rsid w:val="04DF5B78"/>
    <w:rsid w:val="04F70879"/>
    <w:rsid w:val="05093FF7"/>
    <w:rsid w:val="05152999"/>
    <w:rsid w:val="052E5BF3"/>
    <w:rsid w:val="05540914"/>
    <w:rsid w:val="056C0E98"/>
    <w:rsid w:val="05F37B3B"/>
    <w:rsid w:val="0661309E"/>
    <w:rsid w:val="06867852"/>
    <w:rsid w:val="06BB3E7B"/>
    <w:rsid w:val="06E65352"/>
    <w:rsid w:val="071D6C3C"/>
    <w:rsid w:val="07661894"/>
    <w:rsid w:val="07755C25"/>
    <w:rsid w:val="07910674"/>
    <w:rsid w:val="079B29D5"/>
    <w:rsid w:val="07B40CE6"/>
    <w:rsid w:val="07B90E6A"/>
    <w:rsid w:val="07C437C6"/>
    <w:rsid w:val="07C55C94"/>
    <w:rsid w:val="07DF01B8"/>
    <w:rsid w:val="08A67F4C"/>
    <w:rsid w:val="08B55CBF"/>
    <w:rsid w:val="08C841F5"/>
    <w:rsid w:val="090E61F2"/>
    <w:rsid w:val="09151EF2"/>
    <w:rsid w:val="09696D8E"/>
    <w:rsid w:val="09B2309E"/>
    <w:rsid w:val="09B53082"/>
    <w:rsid w:val="09C13484"/>
    <w:rsid w:val="09F76A01"/>
    <w:rsid w:val="0A0E6D4C"/>
    <w:rsid w:val="0A244AC4"/>
    <w:rsid w:val="0AA81DBF"/>
    <w:rsid w:val="0AF318DF"/>
    <w:rsid w:val="0B08176E"/>
    <w:rsid w:val="0B47196E"/>
    <w:rsid w:val="0B5231BD"/>
    <w:rsid w:val="0BB45A28"/>
    <w:rsid w:val="0BFB0672"/>
    <w:rsid w:val="0C2F6111"/>
    <w:rsid w:val="0C3575F0"/>
    <w:rsid w:val="0C9D3938"/>
    <w:rsid w:val="0CA04645"/>
    <w:rsid w:val="0CF32214"/>
    <w:rsid w:val="0D4D6D28"/>
    <w:rsid w:val="0D624B01"/>
    <w:rsid w:val="0D7061EB"/>
    <w:rsid w:val="0E300FD6"/>
    <w:rsid w:val="0E4839CD"/>
    <w:rsid w:val="0E7F3132"/>
    <w:rsid w:val="0EED14F2"/>
    <w:rsid w:val="0F4A210F"/>
    <w:rsid w:val="0F875D14"/>
    <w:rsid w:val="0FAB155C"/>
    <w:rsid w:val="0FEF2662"/>
    <w:rsid w:val="0FF3550A"/>
    <w:rsid w:val="0FF35B49"/>
    <w:rsid w:val="1040260D"/>
    <w:rsid w:val="104165D0"/>
    <w:rsid w:val="10C1124A"/>
    <w:rsid w:val="10CD1330"/>
    <w:rsid w:val="10E917E1"/>
    <w:rsid w:val="119468F9"/>
    <w:rsid w:val="12113D28"/>
    <w:rsid w:val="121E64D2"/>
    <w:rsid w:val="12470516"/>
    <w:rsid w:val="12666313"/>
    <w:rsid w:val="12686BF7"/>
    <w:rsid w:val="127D2355"/>
    <w:rsid w:val="12AB1D0D"/>
    <w:rsid w:val="12DE460E"/>
    <w:rsid w:val="12E306BE"/>
    <w:rsid w:val="13077ACB"/>
    <w:rsid w:val="132122AD"/>
    <w:rsid w:val="1353377D"/>
    <w:rsid w:val="1365277C"/>
    <w:rsid w:val="13830454"/>
    <w:rsid w:val="13E673ED"/>
    <w:rsid w:val="142A7B7A"/>
    <w:rsid w:val="1444057E"/>
    <w:rsid w:val="14604502"/>
    <w:rsid w:val="146D37DD"/>
    <w:rsid w:val="14CC65B6"/>
    <w:rsid w:val="15141739"/>
    <w:rsid w:val="15194B44"/>
    <w:rsid w:val="1530530D"/>
    <w:rsid w:val="153B0D7E"/>
    <w:rsid w:val="15911F71"/>
    <w:rsid w:val="159D5E57"/>
    <w:rsid w:val="15C456C9"/>
    <w:rsid w:val="15F52A63"/>
    <w:rsid w:val="160974C5"/>
    <w:rsid w:val="16471E92"/>
    <w:rsid w:val="167438F9"/>
    <w:rsid w:val="16A012E3"/>
    <w:rsid w:val="16AB1993"/>
    <w:rsid w:val="16B446F8"/>
    <w:rsid w:val="16BA79A9"/>
    <w:rsid w:val="16F36FAE"/>
    <w:rsid w:val="17312CB3"/>
    <w:rsid w:val="173163E7"/>
    <w:rsid w:val="17B36C2C"/>
    <w:rsid w:val="17FA322F"/>
    <w:rsid w:val="17FD7758"/>
    <w:rsid w:val="18190B21"/>
    <w:rsid w:val="18A21388"/>
    <w:rsid w:val="18A45F03"/>
    <w:rsid w:val="18C73EF8"/>
    <w:rsid w:val="18FB23FC"/>
    <w:rsid w:val="1945781E"/>
    <w:rsid w:val="19550E2D"/>
    <w:rsid w:val="198549F0"/>
    <w:rsid w:val="19D34E67"/>
    <w:rsid w:val="1A0E76AD"/>
    <w:rsid w:val="1A5042AC"/>
    <w:rsid w:val="1A6246B2"/>
    <w:rsid w:val="1A681369"/>
    <w:rsid w:val="1A7C00CB"/>
    <w:rsid w:val="1A8C1A3A"/>
    <w:rsid w:val="1AC335A7"/>
    <w:rsid w:val="1AD72501"/>
    <w:rsid w:val="1ADD36FA"/>
    <w:rsid w:val="1B0954D5"/>
    <w:rsid w:val="1B0E65F2"/>
    <w:rsid w:val="1B221AD8"/>
    <w:rsid w:val="1B955A4B"/>
    <w:rsid w:val="1C044C25"/>
    <w:rsid w:val="1C7E5CA6"/>
    <w:rsid w:val="1C7F54AD"/>
    <w:rsid w:val="1CBE1D04"/>
    <w:rsid w:val="1CCB7204"/>
    <w:rsid w:val="1CD53FD9"/>
    <w:rsid w:val="1CF32970"/>
    <w:rsid w:val="1D11562C"/>
    <w:rsid w:val="1D3C544F"/>
    <w:rsid w:val="1D573997"/>
    <w:rsid w:val="1DAE2D7C"/>
    <w:rsid w:val="1DC97390"/>
    <w:rsid w:val="1DD92BD9"/>
    <w:rsid w:val="1E0F45E2"/>
    <w:rsid w:val="1E8E2C7E"/>
    <w:rsid w:val="1E997892"/>
    <w:rsid w:val="1EC17EDD"/>
    <w:rsid w:val="1F501ED4"/>
    <w:rsid w:val="1F5677B5"/>
    <w:rsid w:val="1F6421F1"/>
    <w:rsid w:val="1F7D0D44"/>
    <w:rsid w:val="1F877DF8"/>
    <w:rsid w:val="1F900A59"/>
    <w:rsid w:val="1FA74A4B"/>
    <w:rsid w:val="1FB030AA"/>
    <w:rsid w:val="1FE50445"/>
    <w:rsid w:val="20175426"/>
    <w:rsid w:val="20416B78"/>
    <w:rsid w:val="20484A3E"/>
    <w:rsid w:val="20AC32A6"/>
    <w:rsid w:val="20CD2DF2"/>
    <w:rsid w:val="2121223D"/>
    <w:rsid w:val="21697B56"/>
    <w:rsid w:val="21B42832"/>
    <w:rsid w:val="21D9571D"/>
    <w:rsid w:val="21E9223B"/>
    <w:rsid w:val="22074D65"/>
    <w:rsid w:val="22422561"/>
    <w:rsid w:val="22710F15"/>
    <w:rsid w:val="228E786B"/>
    <w:rsid w:val="22A845C1"/>
    <w:rsid w:val="22AB19AF"/>
    <w:rsid w:val="22B71704"/>
    <w:rsid w:val="22D27C76"/>
    <w:rsid w:val="22EF64A4"/>
    <w:rsid w:val="22FC07A9"/>
    <w:rsid w:val="2379634E"/>
    <w:rsid w:val="239F615F"/>
    <w:rsid w:val="23B33272"/>
    <w:rsid w:val="23CC7CE4"/>
    <w:rsid w:val="24243179"/>
    <w:rsid w:val="246576C8"/>
    <w:rsid w:val="24D3762A"/>
    <w:rsid w:val="252742D0"/>
    <w:rsid w:val="25292B82"/>
    <w:rsid w:val="25A533D7"/>
    <w:rsid w:val="25C7069A"/>
    <w:rsid w:val="265F3130"/>
    <w:rsid w:val="26841D85"/>
    <w:rsid w:val="26AB3C52"/>
    <w:rsid w:val="26AB3F02"/>
    <w:rsid w:val="26AE089C"/>
    <w:rsid w:val="26B34D29"/>
    <w:rsid w:val="26BD589B"/>
    <w:rsid w:val="26E56163"/>
    <w:rsid w:val="26EC1FC2"/>
    <w:rsid w:val="27B858C9"/>
    <w:rsid w:val="27BF3042"/>
    <w:rsid w:val="280477E3"/>
    <w:rsid w:val="281E30DC"/>
    <w:rsid w:val="28433EA2"/>
    <w:rsid w:val="284404BD"/>
    <w:rsid w:val="285000BD"/>
    <w:rsid w:val="287F7D30"/>
    <w:rsid w:val="28880F83"/>
    <w:rsid w:val="28BC42CC"/>
    <w:rsid w:val="28C31E6D"/>
    <w:rsid w:val="28C97B40"/>
    <w:rsid w:val="299D41FF"/>
    <w:rsid w:val="29B73A74"/>
    <w:rsid w:val="29C10A43"/>
    <w:rsid w:val="29E26EDA"/>
    <w:rsid w:val="29F25E0F"/>
    <w:rsid w:val="2A0271F7"/>
    <w:rsid w:val="2A923E94"/>
    <w:rsid w:val="2A9867E9"/>
    <w:rsid w:val="2AB328C3"/>
    <w:rsid w:val="2AC0415E"/>
    <w:rsid w:val="2AD978B4"/>
    <w:rsid w:val="2AE40C55"/>
    <w:rsid w:val="2AF60E34"/>
    <w:rsid w:val="2B033CA6"/>
    <w:rsid w:val="2B4509F8"/>
    <w:rsid w:val="2B754151"/>
    <w:rsid w:val="2BA9559E"/>
    <w:rsid w:val="2BC555E5"/>
    <w:rsid w:val="2C3A4539"/>
    <w:rsid w:val="2C50376F"/>
    <w:rsid w:val="2C647BDA"/>
    <w:rsid w:val="2C665C79"/>
    <w:rsid w:val="2CB35229"/>
    <w:rsid w:val="2CBC2ED1"/>
    <w:rsid w:val="2D132194"/>
    <w:rsid w:val="2D304152"/>
    <w:rsid w:val="2D9E1706"/>
    <w:rsid w:val="2DA51482"/>
    <w:rsid w:val="2E426266"/>
    <w:rsid w:val="2E713D1E"/>
    <w:rsid w:val="2EB21923"/>
    <w:rsid w:val="2EB9410A"/>
    <w:rsid w:val="2EBD3586"/>
    <w:rsid w:val="2EC631E2"/>
    <w:rsid w:val="2ECB123F"/>
    <w:rsid w:val="2EEA428E"/>
    <w:rsid w:val="2EEC6E1E"/>
    <w:rsid w:val="2EEE3183"/>
    <w:rsid w:val="2F4B0FCA"/>
    <w:rsid w:val="2F4D0DF2"/>
    <w:rsid w:val="2F7F7CB1"/>
    <w:rsid w:val="2F823EB2"/>
    <w:rsid w:val="2F8435ED"/>
    <w:rsid w:val="2FBE65BC"/>
    <w:rsid w:val="30022598"/>
    <w:rsid w:val="30134C8F"/>
    <w:rsid w:val="302A04A7"/>
    <w:rsid w:val="3060755E"/>
    <w:rsid w:val="3135409C"/>
    <w:rsid w:val="313C2391"/>
    <w:rsid w:val="31707AA4"/>
    <w:rsid w:val="31792AC7"/>
    <w:rsid w:val="317D451C"/>
    <w:rsid w:val="31EF6BC5"/>
    <w:rsid w:val="32395E97"/>
    <w:rsid w:val="32442FA6"/>
    <w:rsid w:val="325129E7"/>
    <w:rsid w:val="32553C54"/>
    <w:rsid w:val="327C45FF"/>
    <w:rsid w:val="328459B9"/>
    <w:rsid w:val="32897C9A"/>
    <w:rsid w:val="32E8061C"/>
    <w:rsid w:val="33026176"/>
    <w:rsid w:val="335B2C54"/>
    <w:rsid w:val="335C0580"/>
    <w:rsid w:val="33A24A2D"/>
    <w:rsid w:val="33D7006F"/>
    <w:rsid w:val="33ED4D80"/>
    <w:rsid w:val="33F44A7D"/>
    <w:rsid w:val="34271858"/>
    <w:rsid w:val="34590A3E"/>
    <w:rsid w:val="348D33AC"/>
    <w:rsid w:val="34D57286"/>
    <w:rsid w:val="353713FA"/>
    <w:rsid w:val="35575BFB"/>
    <w:rsid w:val="35D043B2"/>
    <w:rsid w:val="361651B5"/>
    <w:rsid w:val="36683442"/>
    <w:rsid w:val="36C26992"/>
    <w:rsid w:val="36F70300"/>
    <w:rsid w:val="3719535C"/>
    <w:rsid w:val="3728651D"/>
    <w:rsid w:val="372B7918"/>
    <w:rsid w:val="37757028"/>
    <w:rsid w:val="3775725F"/>
    <w:rsid w:val="37934AC1"/>
    <w:rsid w:val="38003C0F"/>
    <w:rsid w:val="385D5D36"/>
    <w:rsid w:val="386F19CE"/>
    <w:rsid w:val="3876797F"/>
    <w:rsid w:val="38827A57"/>
    <w:rsid w:val="389E7656"/>
    <w:rsid w:val="394D6D80"/>
    <w:rsid w:val="39581364"/>
    <w:rsid w:val="398014AC"/>
    <w:rsid w:val="39CB3D75"/>
    <w:rsid w:val="3A0B14F7"/>
    <w:rsid w:val="3A3560B0"/>
    <w:rsid w:val="3A851CAF"/>
    <w:rsid w:val="3A93165B"/>
    <w:rsid w:val="3AC23755"/>
    <w:rsid w:val="3AC607F4"/>
    <w:rsid w:val="3AD03D8A"/>
    <w:rsid w:val="3AF85BFE"/>
    <w:rsid w:val="3B030BAA"/>
    <w:rsid w:val="3B100D86"/>
    <w:rsid w:val="3B203FEF"/>
    <w:rsid w:val="3B270D8E"/>
    <w:rsid w:val="3B795774"/>
    <w:rsid w:val="3B820ED1"/>
    <w:rsid w:val="3BB25D2B"/>
    <w:rsid w:val="3BC76F39"/>
    <w:rsid w:val="3BD26037"/>
    <w:rsid w:val="3C1D7D30"/>
    <w:rsid w:val="3C235974"/>
    <w:rsid w:val="3C40666B"/>
    <w:rsid w:val="3C651614"/>
    <w:rsid w:val="3C793C7B"/>
    <w:rsid w:val="3CA771EF"/>
    <w:rsid w:val="3CE85AEE"/>
    <w:rsid w:val="3CF96804"/>
    <w:rsid w:val="3D5372AD"/>
    <w:rsid w:val="3D8557CC"/>
    <w:rsid w:val="3D9E5535"/>
    <w:rsid w:val="3DAA6C6A"/>
    <w:rsid w:val="3DBF2EE8"/>
    <w:rsid w:val="3DF27DB9"/>
    <w:rsid w:val="3E1A5D58"/>
    <w:rsid w:val="3E1D068E"/>
    <w:rsid w:val="3E366647"/>
    <w:rsid w:val="3E843D2C"/>
    <w:rsid w:val="3E954A0E"/>
    <w:rsid w:val="3EF94909"/>
    <w:rsid w:val="3EFC1CAB"/>
    <w:rsid w:val="3F3A7CA4"/>
    <w:rsid w:val="3F737E95"/>
    <w:rsid w:val="3F8530C7"/>
    <w:rsid w:val="3F945A0E"/>
    <w:rsid w:val="3FB012A2"/>
    <w:rsid w:val="3FC472A7"/>
    <w:rsid w:val="40111D90"/>
    <w:rsid w:val="405B129C"/>
    <w:rsid w:val="40D80116"/>
    <w:rsid w:val="41114317"/>
    <w:rsid w:val="415B7E1B"/>
    <w:rsid w:val="41756EBF"/>
    <w:rsid w:val="419F33C4"/>
    <w:rsid w:val="41CE4CAE"/>
    <w:rsid w:val="41D44979"/>
    <w:rsid w:val="41E76104"/>
    <w:rsid w:val="42267C93"/>
    <w:rsid w:val="422B0D7F"/>
    <w:rsid w:val="42507232"/>
    <w:rsid w:val="427242E0"/>
    <w:rsid w:val="42970E8B"/>
    <w:rsid w:val="4298742C"/>
    <w:rsid w:val="42DF6078"/>
    <w:rsid w:val="42E10EFC"/>
    <w:rsid w:val="42E2007B"/>
    <w:rsid w:val="42F952A4"/>
    <w:rsid w:val="42FA6BE5"/>
    <w:rsid w:val="430B682E"/>
    <w:rsid w:val="43313118"/>
    <w:rsid w:val="434F033E"/>
    <w:rsid w:val="439B2655"/>
    <w:rsid w:val="43C722F6"/>
    <w:rsid w:val="43EC2768"/>
    <w:rsid w:val="43F748C9"/>
    <w:rsid w:val="44193797"/>
    <w:rsid w:val="4444668B"/>
    <w:rsid w:val="444A6AE3"/>
    <w:rsid w:val="444E55CC"/>
    <w:rsid w:val="4459494B"/>
    <w:rsid w:val="44A06291"/>
    <w:rsid w:val="44CB170E"/>
    <w:rsid w:val="44D3085E"/>
    <w:rsid w:val="44D56AAB"/>
    <w:rsid w:val="44DD0AD1"/>
    <w:rsid w:val="452D697A"/>
    <w:rsid w:val="452F57FE"/>
    <w:rsid w:val="4573152A"/>
    <w:rsid w:val="45893C91"/>
    <w:rsid w:val="45B3035E"/>
    <w:rsid w:val="45C90B0C"/>
    <w:rsid w:val="460B162B"/>
    <w:rsid w:val="4623378C"/>
    <w:rsid w:val="466A4950"/>
    <w:rsid w:val="46F0122C"/>
    <w:rsid w:val="46FF01FE"/>
    <w:rsid w:val="47147927"/>
    <w:rsid w:val="472742AF"/>
    <w:rsid w:val="47377FC8"/>
    <w:rsid w:val="475768EF"/>
    <w:rsid w:val="476873D1"/>
    <w:rsid w:val="47877B88"/>
    <w:rsid w:val="47B83171"/>
    <w:rsid w:val="47C02C73"/>
    <w:rsid w:val="47C42CC3"/>
    <w:rsid w:val="480C1B8D"/>
    <w:rsid w:val="480E558D"/>
    <w:rsid w:val="483B2102"/>
    <w:rsid w:val="48462657"/>
    <w:rsid w:val="48520173"/>
    <w:rsid w:val="48916F5A"/>
    <w:rsid w:val="48BF76AF"/>
    <w:rsid w:val="48EC0BB2"/>
    <w:rsid w:val="49242EFE"/>
    <w:rsid w:val="493F6D11"/>
    <w:rsid w:val="49535A21"/>
    <w:rsid w:val="49A349AF"/>
    <w:rsid w:val="4A010296"/>
    <w:rsid w:val="4A093A25"/>
    <w:rsid w:val="4A1A017F"/>
    <w:rsid w:val="4A83580F"/>
    <w:rsid w:val="4A9602D4"/>
    <w:rsid w:val="4AC722E3"/>
    <w:rsid w:val="4AD47185"/>
    <w:rsid w:val="4ADF521C"/>
    <w:rsid w:val="4AE55364"/>
    <w:rsid w:val="4AE87BBC"/>
    <w:rsid w:val="4B233FAC"/>
    <w:rsid w:val="4BA60641"/>
    <w:rsid w:val="4BF93355"/>
    <w:rsid w:val="4C246891"/>
    <w:rsid w:val="4C5D21D5"/>
    <w:rsid w:val="4C7C3323"/>
    <w:rsid w:val="4CAA0C7E"/>
    <w:rsid w:val="4CAB7B10"/>
    <w:rsid w:val="4CD913FF"/>
    <w:rsid w:val="4D155FC0"/>
    <w:rsid w:val="4D1A78FC"/>
    <w:rsid w:val="4D2B4E4D"/>
    <w:rsid w:val="4D8F7C13"/>
    <w:rsid w:val="4D904043"/>
    <w:rsid w:val="4E192B90"/>
    <w:rsid w:val="4E615FE8"/>
    <w:rsid w:val="4E725959"/>
    <w:rsid w:val="4EE14492"/>
    <w:rsid w:val="4F092213"/>
    <w:rsid w:val="4F6B5FB0"/>
    <w:rsid w:val="4F764EAD"/>
    <w:rsid w:val="4FBC4CAE"/>
    <w:rsid w:val="4FDC6194"/>
    <w:rsid w:val="4FDC68BF"/>
    <w:rsid w:val="4FF67008"/>
    <w:rsid w:val="4FF85BDB"/>
    <w:rsid w:val="50546455"/>
    <w:rsid w:val="5055610A"/>
    <w:rsid w:val="505808E6"/>
    <w:rsid w:val="508609A7"/>
    <w:rsid w:val="50D24543"/>
    <w:rsid w:val="50F93AC2"/>
    <w:rsid w:val="50FD5065"/>
    <w:rsid w:val="50FD646D"/>
    <w:rsid w:val="517E154B"/>
    <w:rsid w:val="51937A80"/>
    <w:rsid w:val="519A73DD"/>
    <w:rsid w:val="519D68B2"/>
    <w:rsid w:val="51A246EA"/>
    <w:rsid w:val="51C21FC2"/>
    <w:rsid w:val="51CD0711"/>
    <w:rsid w:val="51D65E36"/>
    <w:rsid w:val="51E058B7"/>
    <w:rsid w:val="51E10B0F"/>
    <w:rsid w:val="52035F49"/>
    <w:rsid w:val="52163910"/>
    <w:rsid w:val="5223693D"/>
    <w:rsid w:val="5263182B"/>
    <w:rsid w:val="527E4FF6"/>
    <w:rsid w:val="528976DB"/>
    <w:rsid w:val="52BC700D"/>
    <w:rsid w:val="52C871E0"/>
    <w:rsid w:val="52D77503"/>
    <w:rsid w:val="52E21F35"/>
    <w:rsid w:val="531253A7"/>
    <w:rsid w:val="533A2474"/>
    <w:rsid w:val="534805A3"/>
    <w:rsid w:val="5385372E"/>
    <w:rsid w:val="53CB54BA"/>
    <w:rsid w:val="53E5508F"/>
    <w:rsid w:val="53E82EE4"/>
    <w:rsid w:val="53F73C0A"/>
    <w:rsid w:val="54026A66"/>
    <w:rsid w:val="540C68B8"/>
    <w:rsid w:val="54255BBB"/>
    <w:rsid w:val="5443129A"/>
    <w:rsid w:val="54792CEB"/>
    <w:rsid w:val="547A0454"/>
    <w:rsid w:val="54ED0ECF"/>
    <w:rsid w:val="550F4A84"/>
    <w:rsid w:val="55466B3C"/>
    <w:rsid w:val="554B4FFC"/>
    <w:rsid w:val="55797FBA"/>
    <w:rsid w:val="55C130FD"/>
    <w:rsid w:val="569533E6"/>
    <w:rsid w:val="56C54CD4"/>
    <w:rsid w:val="56DB3F04"/>
    <w:rsid w:val="56DC7B3C"/>
    <w:rsid w:val="57332BFE"/>
    <w:rsid w:val="574E0820"/>
    <w:rsid w:val="57F22F13"/>
    <w:rsid w:val="580C2E32"/>
    <w:rsid w:val="582D18C2"/>
    <w:rsid w:val="584014F5"/>
    <w:rsid w:val="584C0985"/>
    <w:rsid w:val="584F30BC"/>
    <w:rsid w:val="586A3E39"/>
    <w:rsid w:val="586F5882"/>
    <w:rsid w:val="589E6E07"/>
    <w:rsid w:val="58B57158"/>
    <w:rsid w:val="58BF6C17"/>
    <w:rsid w:val="58F15DB0"/>
    <w:rsid w:val="595B369B"/>
    <w:rsid w:val="595C6716"/>
    <w:rsid w:val="59AE7815"/>
    <w:rsid w:val="59C578B4"/>
    <w:rsid w:val="59DB683F"/>
    <w:rsid w:val="59F53388"/>
    <w:rsid w:val="5A031D34"/>
    <w:rsid w:val="5A153CE1"/>
    <w:rsid w:val="5AA03158"/>
    <w:rsid w:val="5AB20EED"/>
    <w:rsid w:val="5AD526E3"/>
    <w:rsid w:val="5B832BA4"/>
    <w:rsid w:val="5BB60859"/>
    <w:rsid w:val="5BE82282"/>
    <w:rsid w:val="5BE9548E"/>
    <w:rsid w:val="5C24498F"/>
    <w:rsid w:val="5C37225F"/>
    <w:rsid w:val="5C65361F"/>
    <w:rsid w:val="5C7345CF"/>
    <w:rsid w:val="5C88062C"/>
    <w:rsid w:val="5CB309A7"/>
    <w:rsid w:val="5CD2031B"/>
    <w:rsid w:val="5CDE09BA"/>
    <w:rsid w:val="5CFA291C"/>
    <w:rsid w:val="5D08403C"/>
    <w:rsid w:val="5D1B335A"/>
    <w:rsid w:val="5D2921A9"/>
    <w:rsid w:val="5D2D24DF"/>
    <w:rsid w:val="5DA44EA9"/>
    <w:rsid w:val="5DB5674B"/>
    <w:rsid w:val="5E074257"/>
    <w:rsid w:val="5E0E0A4D"/>
    <w:rsid w:val="5EA27753"/>
    <w:rsid w:val="5EDB37B4"/>
    <w:rsid w:val="5EEA5972"/>
    <w:rsid w:val="5F443F88"/>
    <w:rsid w:val="5FB93B0B"/>
    <w:rsid w:val="5FD55896"/>
    <w:rsid w:val="60027BA5"/>
    <w:rsid w:val="601479AF"/>
    <w:rsid w:val="602B51F2"/>
    <w:rsid w:val="60835E99"/>
    <w:rsid w:val="60A823FC"/>
    <w:rsid w:val="60A9539F"/>
    <w:rsid w:val="60D65C21"/>
    <w:rsid w:val="61226E74"/>
    <w:rsid w:val="61253681"/>
    <w:rsid w:val="61327A53"/>
    <w:rsid w:val="614D66DD"/>
    <w:rsid w:val="61C50516"/>
    <w:rsid w:val="61E635CD"/>
    <w:rsid w:val="62357F07"/>
    <w:rsid w:val="625D1976"/>
    <w:rsid w:val="6264392C"/>
    <w:rsid w:val="629410DD"/>
    <w:rsid w:val="62A3423A"/>
    <w:rsid w:val="634405AB"/>
    <w:rsid w:val="63B500CE"/>
    <w:rsid w:val="64772B19"/>
    <w:rsid w:val="648C53AF"/>
    <w:rsid w:val="64F03020"/>
    <w:rsid w:val="65310536"/>
    <w:rsid w:val="65705666"/>
    <w:rsid w:val="65B83FD3"/>
    <w:rsid w:val="65BF254C"/>
    <w:rsid w:val="661F4970"/>
    <w:rsid w:val="6633124C"/>
    <w:rsid w:val="66523CE7"/>
    <w:rsid w:val="66780355"/>
    <w:rsid w:val="66961C53"/>
    <w:rsid w:val="6702274A"/>
    <w:rsid w:val="67053DD6"/>
    <w:rsid w:val="67187B4E"/>
    <w:rsid w:val="67681AF5"/>
    <w:rsid w:val="67810B91"/>
    <w:rsid w:val="679006EC"/>
    <w:rsid w:val="67D4265E"/>
    <w:rsid w:val="680322BB"/>
    <w:rsid w:val="680B55A3"/>
    <w:rsid w:val="6855196A"/>
    <w:rsid w:val="69043398"/>
    <w:rsid w:val="69065C8F"/>
    <w:rsid w:val="69692E7C"/>
    <w:rsid w:val="69D16F2D"/>
    <w:rsid w:val="69DC7E68"/>
    <w:rsid w:val="6A0348C0"/>
    <w:rsid w:val="6A0561E6"/>
    <w:rsid w:val="6A1F5237"/>
    <w:rsid w:val="6A3310D2"/>
    <w:rsid w:val="6A5317A6"/>
    <w:rsid w:val="6A6C376C"/>
    <w:rsid w:val="6AA816AD"/>
    <w:rsid w:val="6B420E6A"/>
    <w:rsid w:val="6B60238B"/>
    <w:rsid w:val="6BA87826"/>
    <w:rsid w:val="6BD010C3"/>
    <w:rsid w:val="6BD200C4"/>
    <w:rsid w:val="6BDB75D3"/>
    <w:rsid w:val="6BF24AFD"/>
    <w:rsid w:val="6BF72843"/>
    <w:rsid w:val="6C41422E"/>
    <w:rsid w:val="6C6E6A1E"/>
    <w:rsid w:val="6CC876B5"/>
    <w:rsid w:val="6CCA7595"/>
    <w:rsid w:val="6D294477"/>
    <w:rsid w:val="6D5F4B4E"/>
    <w:rsid w:val="6D867A31"/>
    <w:rsid w:val="6D9046E3"/>
    <w:rsid w:val="6D954B3B"/>
    <w:rsid w:val="6DC8130A"/>
    <w:rsid w:val="6DCB1CD9"/>
    <w:rsid w:val="6DDB5C14"/>
    <w:rsid w:val="6DDE7A33"/>
    <w:rsid w:val="6DE501CF"/>
    <w:rsid w:val="6E005C75"/>
    <w:rsid w:val="6E0E298B"/>
    <w:rsid w:val="6E2E5760"/>
    <w:rsid w:val="6E517793"/>
    <w:rsid w:val="6E881288"/>
    <w:rsid w:val="6EA2440F"/>
    <w:rsid w:val="6EFFD2C4"/>
    <w:rsid w:val="6F157FCC"/>
    <w:rsid w:val="6F2E5070"/>
    <w:rsid w:val="6F543EB3"/>
    <w:rsid w:val="6F5F548B"/>
    <w:rsid w:val="6F861085"/>
    <w:rsid w:val="6F8F5903"/>
    <w:rsid w:val="6FBA1653"/>
    <w:rsid w:val="6FC543CE"/>
    <w:rsid w:val="6FCC2140"/>
    <w:rsid w:val="6FCD6A0E"/>
    <w:rsid w:val="6FD1766A"/>
    <w:rsid w:val="6FD30E52"/>
    <w:rsid w:val="700B7272"/>
    <w:rsid w:val="706F6DA0"/>
    <w:rsid w:val="70700864"/>
    <w:rsid w:val="70843454"/>
    <w:rsid w:val="70A85E90"/>
    <w:rsid w:val="70A85E94"/>
    <w:rsid w:val="70B7164D"/>
    <w:rsid w:val="70C742BE"/>
    <w:rsid w:val="711219FD"/>
    <w:rsid w:val="714D2D21"/>
    <w:rsid w:val="71A1737F"/>
    <w:rsid w:val="71B66530"/>
    <w:rsid w:val="71C41966"/>
    <w:rsid w:val="72187833"/>
    <w:rsid w:val="72381C4E"/>
    <w:rsid w:val="724741CE"/>
    <w:rsid w:val="725F1FDA"/>
    <w:rsid w:val="72640B40"/>
    <w:rsid w:val="73642DBE"/>
    <w:rsid w:val="736E2D53"/>
    <w:rsid w:val="739F7382"/>
    <w:rsid w:val="73DD0872"/>
    <w:rsid w:val="73F63EA0"/>
    <w:rsid w:val="74631ADD"/>
    <w:rsid w:val="75301F0F"/>
    <w:rsid w:val="753721F5"/>
    <w:rsid w:val="753F24CB"/>
    <w:rsid w:val="75AB3796"/>
    <w:rsid w:val="76352480"/>
    <w:rsid w:val="768D1C8A"/>
    <w:rsid w:val="76CE15DC"/>
    <w:rsid w:val="76D540FE"/>
    <w:rsid w:val="76EA792D"/>
    <w:rsid w:val="77654D72"/>
    <w:rsid w:val="776B0E40"/>
    <w:rsid w:val="7790555D"/>
    <w:rsid w:val="77DC2080"/>
    <w:rsid w:val="77DF0FD0"/>
    <w:rsid w:val="77F36D24"/>
    <w:rsid w:val="77F62134"/>
    <w:rsid w:val="77FB5B50"/>
    <w:rsid w:val="78404DB1"/>
    <w:rsid w:val="78795F4D"/>
    <w:rsid w:val="788A3B88"/>
    <w:rsid w:val="78D344E5"/>
    <w:rsid w:val="78FD47E2"/>
    <w:rsid w:val="79721632"/>
    <w:rsid w:val="79945405"/>
    <w:rsid w:val="79EC5F31"/>
    <w:rsid w:val="7A13577F"/>
    <w:rsid w:val="7A173CC1"/>
    <w:rsid w:val="7A1E081D"/>
    <w:rsid w:val="7A254501"/>
    <w:rsid w:val="7A3A2FEB"/>
    <w:rsid w:val="7AC57DCC"/>
    <w:rsid w:val="7B7A512C"/>
    <w:rsid w:val="7B7A7D37"/>
    <w:rsid w:val="7BD00B78"/>
    <w:rsid w:val="7BE26018"/>
    <w:rsid w:val="7BE36429"/>
    <w:rsid w:val="7BF31700"/>
    <w:rsid w:val="7C041576"/>
    <w:rsid w:val="7C1F778C"/>
    <w:rsid w:val="7C31139B"/>
    <w:rsid w:val="7C75312C"/>
    <w:rsid w:val="7C840A45"/>
    <w:rsid w:val="7CEB6D63"/>
    <w:rsid w:val="7CEE3E06"/>
    <w:rsid w:val="7CF05DBE"/>
    <w:rsid w:val="7D110C40"/>
    <w:rsid w:val="7D243B4D"/>
    <w:rsid w:val="7D451682"/>
    <w:rsid w:val="7D454800"/>
    <w:rsid w:val="7D6A1959"/>
    <w:rsid w:val="7D7A00E7"/>
    <w:rsid w:val="7D9444E8"/>
    <w:rsid w:val="7DA131B6"/>
    <w:rsid w:val="7DAC570C"/>
    <w:rsid w:val="7DBB4D38"/>
    <w:rsid w:val="7DBD2D8B"/>
    <w:rsid w:val="7E187199"/>
    <w:rsid w:val="7E352F5D"/>
    <w:rsid w:val="7E3A0EC8"/>
    <w:rsid w:val="7E594898"/>
    <w:rsid w:val="7E881F16"/>
    <w:rsid w:val="7F3043FF"/>
    <w:rsid w:val="7F5D5134"/>
    <w:rsid w:val="7F76323B"/>
    <w:rsid w:val="7F795625"/>
    <w:rsid w:val="7FAB19E8"/>
    <w:rsid w:val="F9FF56A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qFormat/>
    <w:uiPriority w:val="0"/>
    <w:pPr>
      <w:jc w:val="left"/>
      <w:outlineLvl w:val="0"/>
    </w:pPr>
    <w:rPr>
      <w:rFonts w:hint="eastAsia" w:ascii="宋体" w:hAnsi="宋体"/>
      <w:b/>
      <w:bCs/>
      <w:kern w:val="44"/>
      <w:sz w:val="48"/>
      <w:szCs w:val="48"/>
    </w:rPr>
  </w:style>
  <w:style w:type="paragraph" w:styleId="6">
    <w:name w:val="heading 2"/>
    <w:basedOn w:val="1"/>
    <w:next w:val="1"/>
    <w:qFormat/>
    <w:uiPriority w:val="0"/>
    <w:pPr>
      <w:keepNext/>
      <w:tabs>
        <w:tab w:val="left" w:pos="3600"/>
      </w:tabs>
      <w:adjustRightInd w:val="0"/>
      <w:snapToGrid w:val="0"/>
      <w:spacing w:line="500" w:lineRule="exact"/>
      <w:jc w:val="left"/>
      <w:outlineLvl w:val="1"/>
    </w:pPr>
    <w:rPr>
      <w:b/>
      <w:sz w:val="24"/>
    </w:rPr>
  </w:style>
  <w:style w:type="paragraph" w:styleId="7">
    <w:name w:val="heading 3"/>
    <w:basedOn w:val="1"/>
    <w:next w:val="1"/>
    <w:link w:val="59"/>
    <w:unhideWhenUsed/>
    <w:qFormat/>
    <w:uiPriority w:val="0"/>
    <w:pPr>
      <w:keepNext/>
      <w:keepLines/>
      <w:spacing w:before="260" w:after="260" w:line="416" w:lineRule="auto"/>
      <w:outlineLvl w:val="2"/>
    </w:pPr>
    <w:rPr>
      <w:b/>
      <w:bCs/>
      <w:sz w:val="32"/>
      <w:szCs w:val="32"/>
    </w:rPr>
  </w:style>
  <w:style w:type="paragraph" w:styleId="8">
    <w:name w:val="heading 4"/>
    <w:basedOn w:val="1"/>
    <w:next w:val="1"/>
    <w:link w:val="60"/>
    <w:qFormat/>
    <w:uiPriority w:val="0"/>
    <w:pPr>
      <w:tabs>
        <w:tab w:val="left" w:pos="2160"/>
      </w:tabs>
      <w:adjustRightInd w:val="0"/>
      <w:snapToGrid w:val="0"/>
      <w:spacing w:line="360" w:lineRule="auto"/>
      <w:ind w:left="2160" w:hanging="420"/>
      <w:outlineLvl w:val="3"/>
    </w:pPr>
    <w:rPr>
      <w:bCs/>
      <w:snapToGrid w:val="0"/>
      <w:sz w:val="28"/>
      <w:szCs w:val="28"/>
    </w:rPr>
  </w:style>
  <w:style w:type="paragraph" w:styleId="9">
    <w:name w:val="heading 5"/>
    <w:next w:val="10"/>
    <w:link w:val="61"/>
    <w:qFormat/>
    <w:uiPriority w:val="0"/>
    <w:pPr>
      <w:widowControl w:val="0"/>
      <w:tabs>
        <w:tab w:val="left" w:pos="360"/>
      </w:tabs>
      <w:adjustRightInd w:val="0"/>
      <w:snapToGrid w:val="0"/>
      <w:spacing w:before="156" w:beforeLines="50" w:line="360" w:lineRule="auto"/>
      <w:outlineLvl w:val="4"/>
    </w:pPr>
    <w:rPr>
      <w:rFonts w:ascii="Times New Roman" w:hAnsi="Times New Roman" w:eastAsia="宋体" w:cs="Times New Roman"/>
      <w:bCs/>
      <w:snapToGrid w:val="0"/>
      <w:sz w:val="26"/>
      <w:szCs w:val="26"/>
      <w:lang w:val="en-US" w:eastAsia="zh-CN" w:bidi="ar-SA"/>
    </w:rPr>
  </w:style>
  <w:style w:type="paragraph" w:styleId="11">
    <w:name w:val="heading 6"/>
    <w:next w:val="10"/>
    <w:link w:val="62"/>
    <w:qFormat/>
    <w:uiPriority w:val="0"/>
    <w:pPr>
      <w:tabs>
        <w:tab w:val="left" w:pos="360"/>
      </w:tabs>
      <w:adjustRightInd w:val="0"/>
      <w:snapToGrid w:val="0"/>
      <w:spacing w:line="360" w:lineRule="auto"/>
      <w:outlineLvl w:val="5"/>
    </w:pPr>
    <w:rPr>
      <w:rFonts w:ascii="Times New Roman" w:hAnsi="Times New Roman" w:eastAsia="宋体" w:cs="Times New Roman"/>
      <w:bCs/>
      <w:snapToGrid w:val="0"/>
      <w:sz w:val="26"/>
      <w:szCs w:val="26"/>
      <w:lang w:val="en-US" w:eastAsia="zh-CN" w:bidi="ar-SA"/>
    </w:rPr>
  </w:style>
  <w:style w:type="paragraph" w:styleId="12">
    <w:name w:val="heading 7"/>
    <w:next w:val="1"/>
    <w:link w:val="63"/>
    <w:qFormat/>
    <w:uiPriority w:val="0"/>
    <w:pPr>
      <w:widowControl w:val="0"/>
      <w:numPr>
        <w:ilvl w:val="6"/>
        <w:numId w:val="1"/>
      </w:numPr>
      <w:spacing w:line="480" w:lineRule="auto"/>
      <w:outlineLvl w:val="6"/>
    </w:pPr>
    <w:rPr>
      <w:rFonts w:ascii="Times New Roman" w:hAnsi="Times New Roman" w:eastAsia="宋体" w:cs="Times New Roman"/>
      <w:snapToGrid w:val="0"/>
      <w:kern w:val="24"/>
      <w:sz w:val="24"/>
      <w:lang w:val="en-US" w:eastAsia="zh-CN" w:bidi="ar-SA"/>
    </w:rPr>
  </w:style>
  <w:style w:type="paragraph" w:styleId="13">
    <w:name w:val="heading 8"/>
    <w:next w:val="1"/>
    <w:link w:val="64"/>
    <w:qFormat/>
    <w:uiPriority w:val="0"/>
    <w:pPr>
      <w:widowControl w:val="0"/>
      <w:numPr>
        <w:ilvl w:val="7"/>
        <w:numId w:val="1"/>
      </w:numPr>
      <w:spacing w:line="480" w:lineRule="auto"/>
      <w:outlineLvl w:val="7"/>
    </w:pPr>
    <w:rPr>
      <w:rFonts w:ascii="Times New Roman" w:hAnsi="Times New Roman" w:eastAsia="宋体" w:cs="Times New Roman"/>
      <w:snapToGrid w:val="0"/>
      <w:kern w:val="24"/>
      <w:sz w:val="24"/>
      <w:lang w:val="en-US" w:eastAsia="zh-CN" w:bidi="ar-SA"/>
    </w:rPr>
  </w:style>
  <w:style w:type="paragraph" w:styleId="14">
    <w:name w:val="heading 9"/>
    <w:next w:val="1"/>
    <w:link w:val="65"/>
    <w:qFormat/>
    <w:uiPriority w:val="0"/>
    <w:pPr>
      <w:widowControl w:val="0"/>
      <w:numPr>
        <w:ilvl w:val="8"/>
        <w:numId w:val="1"/>
      </w:numPr>
      <w:spacing w:line="480" w:lineRule="auto"/>
      <w:outlineLvl w:val="8"/>
    </w:pPr>
    <w:rPr>
      <w:rFonts w:ascii="Times New Roman" w:hAnsi="Times New Roman" w:eastAsia="宋体" w:cs="Times New Roman"/>
      <w:snapToGrid w:val="0"/>
      <w:kern w:val="24"/>
      <w:sz w:val="24"/>
      <w:lang w:val="en-US" w:eastAsia="zh-CN" w:bidi="ar-SA"/>
    </w:rPr>
  </w:style>
  <w:style w:type="character" w:default="1" w:styleId="41">
    <w:name w:val="Default Paragraph Font"/>
    <w:semiHidden/>
    <w:unhideWhenUsed/>
    <w:qFormat/>
    <w:uiPriority w:val="1"/>
  </w:style>
  <w:style w:type="table" w:default="1" w:styleId="39">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3"/>
    <w:qFormat/>
    <w:uiPriority w:val="0"/>
    <w:pPr>
      <w:spacing w:line="440" w:lineRule="exact"/>
      <w:textAlignment w:val="center"/>
    </w:pPr>
    <w:rPr>
      <w:rFonts w:eastAsia="华文中宋"/>
      <w:sz w:val="28"/>
    </w:rPr>
  </w:style>
  <w:style w:type="paragraph" w:customStyle="1" w:styleId="3">
    <w:name w:val="Normal (Web)1"/>
    <w:basedOn w:val="1"/>
    <w:next w:val="4"/>
    <w:qFormat/>
    <w:uiPriority w:val="0"/>
    <w:pPr>
      <w:widowControl/>
      <w:jc w:val="left"/>
    </w:pPr>
    <w:rPr>
      <w:rFonts w:ascii="宋体"/>
      <w:kern w:val="0"/>
      <w:sz w:val="24"/>
      <w:szCs w:val="21"/>
    </w:rPr>
  </w:style>
  <w:style w:type="paragraph" w:customStyle="1" w:styleId="4">
    <w:name w:val="Date1"/>
    <w:basedOn w:val="1"/>
    <w:next w:val="1"/>
    <w:qFormat/>
    <w:uiPriority w:val="0"/>
    <w:pPr>
      <w:ind w:left="2500" w:leftChars="2500"/>
    </w:pPr>
  </w:style>
  <w:style w:type="paragraph" w:styleId="10">
    <w:name w:val="Body Text First Indent"/>
    <w:basedOn w:val="1"/>
    <w:next w:val="1"/>
    <w:qFormat/>
    <w:uiPriority w:val="0"/>
    <w:pPr>
      <w:spacing w:after="120"/>
      <w:ind w:firstLine="420" w:firstLineChars="100"/>
    </w:pPr>
  </w:style>
  <w:style w:type="paragraph" w:styleId="15">
    <w:name w:val="Normal Indent"/>
    <w:basedOn w:val="1"/>
    <w:next w:val="1"/>
    <w:link w:val="116"/>
    <w:qFormat/>
    <w:uiPriority w:val="0"/>
    <w:pPr>
      <w:ind w:firstLine="420"/>
    </w:pPr>
    <w:rPr>
      <w:szCs w:val="20"/>
    </w:rPr>
  </w:style>
  <w:style w:type="paragraph" w:styleId="16">
    <w:name w:val="caption"/>
    <w:basedOn w:val="1"/>
    <w:next w:val="1"/>
    <w:link w:val="66"/>
    <w:unhideWhenUsed/>
    <w:qFormat/>
    <w:uiPriority w:val="0"/>
    <w:pPr>
      <w:jc w:val="center"/>
    </w:pPr>
    <w:rPr>
      <w:rFonts w:ascii="Arial" w:hAnsi="Arial"/>
      <w:b/>
      <w:kern w:val="0"/>
      <w:szCs w:val="20"/>
    </w:rPr>
  </w:style>
  <w:style w:type="paragraph" w:styleId="17">
    <w:name w:val="annotation text"/>
    <w:basedOn w:val="1"/>
    <w:link w:val="137"/>
    <w:qFormat/>
    <w:uiPriority w:val="0"/>
    <w:pPr>
      <w:jc w:val="left"/>
    </w:pPr>
  </w:style>
  <w:style w:type="paragraph" w:styleId="18">
    <w:name w:val="Body Text 3"/>
    <w:basedOn w:val="1"/>
    <w:link w:val="132"/>
    <w:qFormat/>
    <w:uiPriority w:val="0"/>
    <w:pPr>
      <w:spacing w:line="600" w:lineRule="exact"/>
      <w:jc w:val="left"/>
    </w:pPr>
    <w:rPr>
      <w:b/>
      <w:bCs/>
      <w:sz w:val="28"/>
      <w:szCs w:val="20"/>
    </w:rPr>
  </w:style>
  <w:style w:type="paragraph" w:styleId="19">
    <w:name w:val="Body Text Indent"/>
    <w:basedOn w:val="1"/>
    <w:next w:val="20"/>
    <w:qFormat/>
    <w:uiPriority w:val="0"/>
    <w:pPr>
      <w:spacing w:after="120"/>
      <w:ind w:left="420" w:leftChars="200"/>
    </w:pPr>
  </w:style>
  <w:style w:type="paragraph" w:styleId="20">
    <w:name w:val="header"/>
    <w:basedOn w:val="1"/>
    <w:next w:val="21"/>
    <w:link w:val="185"/>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customStyle="1" w:styleId="21">
    <w:name w:val="样式5"/>
    <w:basedOn w:val="1"/>
    <w:qFormat/>
    <w:uiPriority w:val="0"/>
    <w:pPr>
      <w:spacing w:before="0" w:after="0" w:line="380" w:lineRule="exact"/>
      <w:ind w:firstLine="566" w:firstLineChars="202"/>
    </w:pPr>
    <w:rPr>
      <w:rFonts w:eastAsia="华文行楷"/>
    </w:rPr>
  </w:style>
  <w:style w:type="paragraph" w:styleId="22">
    <w:name w:val="Block Text"/>
    <w:basedOn w:val="1"/>
    <w:qFormat/>
    <w:uiPriority w:val="0"/>
    <w:pPr>
      <w:adjustRightInd w:val="0"/>
      <w:snapToGrid w:val="0"/>
      <w:spacing w:line="490" w:lineRule="atLeast"/>
      <w:ind w:left="10" w:leftChars="5" w:right="-449" w:rightChars="-214" w:firstLine="560" w:firstLineChars="200"/>
    </w:pPr>
    <w:rPr>
      <w:color w:val="000000"/>
      <w:sz w:val="28"/>
    </w:rPr>
  </w:style>
  <w:style w:type="paragraph" w:styleId="23">
    <w:name w:val="toc 3"/>
    <w:basedOn w:val="1"/>
    <w:next w:val="1"/>
    <w:qFormat/>
    <w:uiPriority w:val="39"/>
    <w:pPr>
      <w:ind w:left="840" w:leftChars="400"/>
    </w:pPr>
  </w:style>
  <w:style w:type="paragraph" w:styleId="24">
    <w:name w:val="Plain Text"/>
    <w:basedOn w:val="1"/>
    <w:link w:val="67"/>
    <w:qFormat/>
    <w:uiPriority w:val="99"/>
    <w:rPr>
      <w:rFonts w:ascii="宋体" w:hAnsi="Courier New" w:cs="Courier New"/>
      <w:szCs w:val="21"/>
    </w:rPr>
  </w:style>
  <w:style w:type="paragraph" w:styleId="25">
    <w:name w:val="Date"/>
    <w:basedOn w:val="1"/>
    <w:next w:val="1"/>
    <w:link w:val="141"/>
    <w:qFormat/>
    <w:uiPriority w:val="0"/>
    <w:rPr>
      <w:kern w:val="28"/>
      <w:sz w:val="28"/>
      <w:szCs w:val="20"/>
    </w:rPr>
  </w:style>
  <w:style w:type="paragraph" w:styleId="26">
    <w:name w:val="Body Text Indent 2"/>
    <w:basedOn w:val="1"/>
    <w:next w:val="1"/>
    <w:link w:val="142"/>
    <w:qFormat/>
    <w:uiPriority w:val="0"/>
    <w:pPr>
      <w:spacing w:line="460" w:lineRule="exact"/>
      <w:ind w:firstLine="561"/>
    </w:pPr>
    <w:rPr>
      <w:rFonts w:ascii="宋体"/>
      <w:sz w:val="28"/>
    </w:rPr>
  </w:style>
  <w:style w:type="paragraph" w:styleId="27">
    <w:name w:val="Balloon Text"/>
    <w:basedOn w:val="1"/>
    <w:link w:val="140"/>
    <w:qFormat/>
    <w:uiPriority w:val="0"/>
    <w:rPr>
      <w:sz w:val="18"/>
      <w:szCs w:val="18"/>
    </w:rPr>
  </w:style>
  <w:style w:type="paragraph" w:styleId="28">
    <w:name w:val="footer"/>
    <w:basedOn w:val="1"/>
    <w:link w:val="68"/>
    <w:qFormat/>
    <w:uiPriority w:val="99"/>
    <w:pPr>
      <w:tabs>
        <w:tab w:val="center" w:pos="4153"/>
        <w:tab w:val="right" w:pos="8306"/>
      </w:tabs>
      <w:snapToGrid w:val="0"/>
      <w:jc w:val="left"/>
    </w:pPr>
    <w:rPr>
      <w:kern w:val="0"/>
      <w:sz w:val="18"/>
      <w:szCs w:val="20"/>
    </w:rPr>
  </w:style>
  <w:style w:type="paragraph" w:styleId="29">
    <w:name w:val="toc 1"/>
    <w:basedOn w:val="1"/>
    <w:next w:val="1"/>
    <w:qFormat/>
    <w:uiPriority w:val="39"/>
  </w:style>
  <w:style w:type="paragraph" w:styleId="30">
    <w:name w:val="Subtitle"/>
    <w:basedOn w:val="1"/>
    <w:next w:val="1"/>
    <w:link w:val="165"/>
    <w:qFormat/>
    <w:uiPriority w:val="0"/>
    <w:pPr>
      <w:spacing w:line="360" w:lineRule="auto"/>
      <w:jc w:val="center"/>
    </w:pPr>
    <w:rPr>
      <w:rFonts w:eastAsia="黑体"/>
      <w:b/>
      <w:bCs/>
      <w:kern w:val="28"/>
      <w:sz w:val="24"/>
      <w:szCs w:val="32"/>
    </w:rPr>
  </w:style>
  <w:style w:type="paragraph" w:styleId="31">
    <w:name w:val="List"/>
    <w:basedOn w:val="1"/>
    <w:qFormat/>
    <w:uiPriority w:val="0"/>
    <w:pPr>
      <w:jc w:val="center"/>
    </w:pPr>
    <w:rPr>
      <w:kern w:val="0"/>
      <w:szCs w:val="20"/>
    </w:rPr>
  </w:style>
  <w:style w:type="paragraph" w:styleId="32">
    <w:name w:val="Body Text Indent 3"/>
    <w:basedOn w:val="1"/>
    <w:qFormat/>
    <w:uiPriority w:val="0"/>
    <w:pPr>
      <w:ind w:firstLine="560" w:firstLineChars="200"/>
      <w:jc w:val="left"/>
    </w:pPr>
    <w:rPr>
      <w:rFonts w:ascii="宋体"/>
      <w:sz w:val="28"/>
    </w:rPr>
  </w:style>
  <w:style w:type="paragraph" w:styleId="33">
    <w:name w:val="toc 2"/>
    <w:basedOn w:val="1"/>
    <w:next w:val="1"/>
    <w:qFormat/>
    <w:uiPriority w:val="39"/>
    <w:pPr>
      <w:spacing w:line="360" w:lineRule="auto"/>
      <w:ind w:firstLine="200" w:firstLineChars="200"/>
    </w:pPr>
    <w:rPr>
      <w:iCs/>
      <w:szCs w:val="20"/>
    </w:rPr>
  </w:style>
  <w:style w:type="paragraph" w:styleId="34">
    <w:name w:val="Message Header"/>
    <w:basedOn w:val="1"/>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sz w:val="24"/>
    </w:rPr>
  </w:style>
  <w:style w:type="paragraph" w:styleId="35">
    <w:name w:val="Normal (Web)"/>
    <w:basedOn w:val="1"/>
    <w:link w:val="176"/>
    <w:qFormat/>
    <w:uiPriority w:val="0"/>
    <w:pPr>
      <w:widowControl/>
      <w:spacing w:before="100" w:beforeAutospacing="1" w:after="100" w:afterAutospacing="1"/>
      <w:jc w:val="left"/>
    </w:pPr>
    <w:rPr>
      <w:rFonts w:ascii="宋体" w:hAnsi="宋体"/>
      <w:kern w:val="0"/>
      <w:sz w:val="24"/>
      <w:szCs w:val="20"/>
    </w:rPr>
  </w:style>
  <w:style w:type="paragraph" w:styleId="36">
    <w:name w:val="Title"/>
    <w:basedOn w:val="1"/>
    <w:next w:val="1"/>
    <w:qFormat/>
    <w:uiPriority w:val="0"/>
    <w:pPr>
      <w:spacing w:before="240" w:after="60"/>
      <w:jc w:val="center"/>
      <w:outlineLvl w:val="0"/>
    </w:pPr>
    <w:rPr>
      <w:rFonts w:ascii="等线 Light" w:hAnsi="等线 Light"/>
      <w:b/>
      <w:bCs/>
      <w:sz w:val="32"/>
      <w:szCs w:val="32"/>
    </w:rPr>
  </w:style>
  <w:style w:type="paragraph" w:styleId="37">
    <w:name w:val="annotation subject"/>
    <w:basedOn w:val="17"/>
    <w:next w:val="17"/>
    <w:link w:val="138"/>
    <w:qFormat/>
    <w:uiPriority w:val="0"/>
    <w:rPr>
      <w:b/>
      <w:bCs/>
      <w:sz w:val="32"/>
    </w:rPr>
  </w:style>
  <w:style w:type="paragraph" w:styleId="38">
    <w:name w:val="Body Text First Indent 2"/>
    <w:basedOn w:val="19"/>
    <w:qFormat/>
    <w:uiPriority w:val="0"/>
    <w:pPr>
      <w:ind w:firstLine="420" w:firstLineChars="200"/>
    </w:pPr>
  </w:style>
  <w:style w:type="table" w:styleId="40">
    <w:name w:val="Table Grid"/>
    <w:basedOn w:val="3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2">
    <w:name w:val="page number"/>
    <w:basedOn w:val="41"/>
    <w:qFormat/>
    <w:uiPriority w:val="0"/>
  </w:style>
  <w:style w:type="character" w:styleId="43">
    <w:name w:val="FollowedHyperlink"/>
    <w:basedOn w:val="41"/>
    <w:qFormat/>
    <w:uiPriority w:val="0"/>
    <w:rPr>
      <w:color w:val="000000"/>
      <w:u w:val="none"/>
    </w:rPr>
  </w:style>
  <w:style w:type="character" w:styleId="44">
    <w:name w:val="Emphasis"/>
    <w:basedOn w:val="41"/>
    <w:qFormat/>
    <w:uiPriority w:val="0"/>
  </w:style>
  <w:style w:type="character" w:styleId="45">
    <w:name w:val="Hyperlink"/>
    <w:basedOn w:val="41"/>
    <w:qFormat/>
    <w:uiPriority w:val="99"/>
    <w:rPr>
      <w:color w:val="000000"/>
      <w:u w:val="none"/>
    </w:rPr>
  </w:style>
  <w:style w:type="character" w:styleId="46">
    <w:name w:val="annotation reference"/>
    <w:qFormat/>
    <w:uiPriority w:val="0"/>
    <w:rPr>
      <w:sz w:val="21"/>
      <w:szCs w:val="21"/>
    </w:rPr>
  </w:style>
  <w:style w:type="paragraph" w:customStyle="1" w:styleId="47">
    <w:name w:val="Default"/>
    <w:basedOn w:val="48"/>
    <w:next w:val="1"/>
    <w:link w:val="69"/>
    <w:qFormat/>
    <w:uiPriority w:val="0"/>
    <w:pPr>
      <w:widowControl w:val="0"/>
      <w:autoSpaceDE w:val="0"/>
      <w:autoSpaceDN w:val="0"/>
    </w:pPr>
    <w:rPr>
      <w:rFonts w:hAnsi="Calibri" w:cs="宋体"/>
      <w:color w:val="000000"/>
      <w:szCs w:val="24"/>
    </w:rPr>
  </w:style>
  <w:style w:type="paragraph" w:customStyle="1" w:styleId="48">
    <w:name w:val="纯文本1"/>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49">
    <w:name w:val="表格标题"/>
    <w:basedOn w:val="50"/>
    <w:next w:val="1"/>
    <w:link w:val="51"/>
    <w:qFormat/>
    <w:uiPriority w:val="0"/>
    <w:pPr>
      <w:tabs>
        <w:tab w:val="left" w:pos="1800"/>
      </w:tabs>
      <w:overflowPunct w:val="0"/>
      <w:autoSpaceDE w:val="0"/>
      <w:autoSpaceDN w:val="0"/>
      <w:ind w:firstLine="0"/>
      <w:jc w:val="center"/>
    </w:pPr>
    <w:rPr>
      <w:b/>
      <w:kern w:val="20"/>
    </w:rPr>
  </w:style>
  <w:style w:type="paragraph" w:customStyle="1" w:styleId="50">
    <w:name w:val="报告书正文"/>
    <w:basedOn w:val="1"/>
    <w:qFormat/>
    <w:uiPriority w:val="0"/>
    <w:pPr>
      <w:adjustRightInd w:val="0"/>
      <w:snapToGrid w:val="0"/>
      <w:spacing w:line="360" w:lineRule="auto"/>
      <w:ind w:firstLine="425"/>
      <w:textAlignment w:val="baseline"/>
    </w:pPr>
    <w:rPr>
      <w:rFonts w:ascii="Arial" w:hAnsi="Arial"/>
      <w:sz w:val="24"/>
    </w:rPr>
  </w:style>
  <w:style w:type="character" w:customStyle="1" w:styleId="51">
    <w:name w:val="表格标题 Char"/>
    <w:link w:val="49"/>
    <w:qFormat/>
    <w:locked/>
    <w:uiPriority w:val="0"/>
    <w:rPr>
      <w:b/>
      <w:kern w:val="20"/>
      <w:sz w:val="21"/>
      <w:szCs w:val="24"/>
    </w:rPr>
  </w:style>
  <w:style w:type="paragraph" w:customStyle="1" w:styleId="52">
    <w:name w:val="表格内容"/>
    <w:basedOn w:val="53"/>
    <w:link w:val="170"/>
    <w:qFormat/>
    <w:uiPriority w:val="0"/>
    <w:pPr>
      <w:overflowPunct w:val="0"/>
      <w:adjustRightInd w:val="0"/>
      <w:snapToGrid w:val="0"/>
      <w:textAlignment w:val="baseline"/>
    </w:pPr>
    <w:rPr>
      <w:rFonts w:ascii="Calibri" w:hAnsi="Calibri"/>
      <w:kern w:val="0"/>
      <w:sz w:val="20"/>
      <w:szCs w:val="20"/>
    </w:rPr>
  </w:style>
  <w:style w:type="paragraph" w:customStyle="1" w:styleId="53">
    <w:name w:val="封皮-证书编号"/>
    <w:basedOn w:val="1"/>
    <w:qFormat/>
    <w:uiPriority w:val="0"/>
    <w:pPr>
      <w:jc w:val="center"/>
    </w:pPr>
    <w:rPr>
      <w:rFonts w:eastAsia="黑体"/>
      <w:sz w:val="28"/>
    </w:rPr>
  </w:style>
  <w:style w:type="paragraph" w:customStyle="1" w:styleId="54">
    <w:name w:val="首行缩进表格正文"/>
    <w:basedOn w:val="1"/>
    <w:qFormat/>
    <w:uiPriority w:val="0"/>
    <w:pPr>
      <w:spacing w:line="360" w:lineRule="auto"/>
      <w:ind w:firstLine="720" w:firstLineChars="200"/>
      <w:jc w:val="left"/>
    </w:pPr>
  </w:style>
  <w:style w:type="paragraph" w:customStyle="1" w:styleId="55">
    <w:name w:val="样式 正文首行缩进 + 首行缩进:  2 字符1"/>
    <w:basedOn w:val="1"/>
    <w:next w:val="29"/>
    <w:qFormat/>
    <w:uiPriority w:val="0"/>
    <w:pPr>
      <w:spacing w:line="360" w:lineRule="auto"/>
      <w:ind w:firstLine="480" w:firstLineChars="200"/>
    </w:pPr>
    <w:rPr>
      <w:sz w:val="24"/>
      <w:szCs w:val="20"/>
    </w:rPr>
  </w:style>
  <w:style w:type="paragraph" w:customStyle="1" w:styleId="56">
    <w:name w:val="xl27"/>
    <w:basedOn w:val="1"/>
    <w:qFormat/>
    <w:uiPriority w:val="0"/>
    <w:pPr>
      <w:widowControl/>
      <w:pBdr>
        <w:bottom w:val="single" w:color="auto" w:sz="4" w:space="0"/>
        <w:right w:val="single" w:color="auto" w:sz="4" w:space="0"/>
      </w:pBdr>
      <w:spacing w:before="100" w:beforeAutospacing="1" w:after="100" w:afterAutospacing="1"/>
      <w:jc w:val="center"/>
    </w:pPr>
    <w:rPr>
      <w:kern w:val="0"/>
      <w:szCs w:val="20"/>
    </w:rPr>
  </w:style>
  <w:style w:type="paragraph" w:customStyle="1" w:styleId="57">
    <w:name w:val="！报告表正文"/>
    <w:basedOn w:val="58"/>
    <w:link w:val="95"/>
    <w:qFormat/>
    <w:uiPriority w:val="0"/>
  </w:style>
  <w:style w:type="paragraph" w:customStyle="1" w:styleId="58">
    <w:name w:val="【正文】"/>
    <w:basedOn w:val="1"/>
    <w:link w:val="71"/>
    <w:qFormat/>
    <w:uiPriority w:val="0"/>
    <w:pPr>
      <w:spacing w:line="500" w:lineRule="exact"/>
      <w:ind w:firstLine="200" w:firstLineChars="200"/>
    </w:pPr>
    <w:rPr>
      <w:kern w:val="0"/>
      <w:sz w:val="24"/>
      <w:szCs w:val="20"/>
    </w:rPr>
  </w:style>
  <w:style w:type="character" w:customStyle="1" w:styleId="59">
    <w:name w:val="标题 3 字符"/>
    <w:basedOn w:val="41"/>
    <w:link w:val="7"/>
    <w:qFormat/>
    <w:uiPriority w:val="9"/>
    <w:rPr>
      <w:b/>
      <w:bCs/>
      <w:sz w:val="32"/>
      <w:szCs w:val="32"/>
    </w:rPr>
  </w:style>
  <w:style w:type="character" w:customStyle="1" w:styleId="60">
    <w:name w:val="标题 4 字符"/>
    <w:basedOn w:val="41"/>
    <w:link w:val="8"/>
    <w:qFormat/>
    <w:uiPriority w:val="0"/>
    <w:rPr>
      <w:bCs/>
      <w:snapToGrid w:val="0"/>
      <w:sz w:val="28"/>
      <w:szCs w:val="28"/>
    </w:rPr>
  </w:style>
  <w:style w:type="character" w:customStyle="1" w:styleId="61">
    <w:name w:val="标题 5 字符"/>
    <w:basedOn w:val="41"/>
    <w:link w:val="9"/>
    <w:qFormat/>
    <w:uiPriority w:val="0"/>
    <w:rPr>
      <w:bCs/>
      <w:snapToGrid w:val="0"/>
      <w:sz w:val="26"/>
      <w:szCs w:val="26"/>
    </w:rPr>
  </w:style>
  <w:style w:type="character" w:customStyle="1" w:styleId="62">
    <w:name w:val="标题 6 字符"/>
    <w:basedOn w:val="41"/>
    <w:link w:val="11"/>
    <w:qFormat/>
    <w:uiPriority w:val="0"/>
    <w:rPr>
      <w:bCs/>
      <w:snapToGrid w:val="0"/>
      <w:sz w:val="26"/>
      <w:szCs w:val="26"/>
    </w:rPr>
  </w:style>
  <w:style w:type="character" w:customStyle="1" w:styleId="63">
    <w:name w:val="标题 7 字符"/>
    <w:basedOn w:val="41"/>
    <w:link w:val="12"/>
    <w:qFormat/>
    <w:uiPriority w:val="0"/>
    <w:rPr>
      <w:snapToGrid w:val="0"/>
      <w:kern w:val="24"/>
      <w:sz w:val="24"/>
    </w:rPr>
  </w:style>
  <w:style w:type="character" w:customStyle="1" w:styleId="64">
    <w:name w:val="标题 8 字符"/>
    <w:basedOn w:val="41"/>
    <w:link w:val="13"/>
    <w:qFormat/>
    <w:uiPriority w:val="0"/>
    <w:rPr>
      <w:snapToGrid w:val="0"/>
      <w:kern w:val="24"/>
      <w:sz w:val="24"/>
    </w:rPr>
  </w:style>
  <w:style w:type="character" w:customStyle="1" w:styleId="65">
    <w:name w:val="标题 9 字符"/>
    <w:basedOn w:val="41"/>
    <w:link w:val="14"/>
    <w:qFormat/>
    <w:uiPriority w:val="0"/>
    <w:rPr>
      <w:snapToGrid w:val="0"/>
      <w:kern w:val="24"/>
      <w:sz w:val="24"/>
    </w:rPr>
  </w:style>
  <w:style w:type="character" w:customStyle="1" w:styleId="66">
    <w:name w:val="题注 字符"/>
    <w:link w:val="16"/>
    <w:qFormat/>
    <w:uiPriority w:val="0"/>
    <w:rPr>
      <w:rFonts w:ascii="Arial" w:hAnsi="Arial"/>
      <w:b/>
      <w:sz w:val="21"/>
    </w:rPr>
  </w:style>
  <w:style w:type="character" w:customStyle="1" w:styleId="67">
    <w:name w:val="纯文本 字符"/>
    <w:link w:val="24"/>
    <w:qFormat/>
    <w:locked/>
    <w:uiPriority w:val="99"/>
    <w:rPr>
      <w:rFonts w:ascii="宋体" w:hAnsi="Courier New" w:cs="Courier New"/>
      <w:kern w:val="2"/>
      <w:sz w:val="21"/>
      <w:szCs w:val="21"/>
    </w:rPr>
  </w:style>
  <w:style w:type="character" w:customStyle="1" w:styleId="68">
    <w:name w:val="页脚 字符"/>
    <w:link w:val="28"/>
    <w:qFormat/>
    <w:uiPriority w:val="99"/>
    <w:rPr>
      <w:sz w:val="18"/>
    </w:rPr>
  </w:style>
  <w:style w:type="character" w:customStyle="1" w:styleId="69">
    <w:name w:val="Default Char"/>
    <w:link w:val="47"/>
    <w:qFormat/>
    <w:uiPriority w:val="0"/>
    <w:rPr>
      <w:rFonts w:ascii="宋体" w:hAnsi="Calibri" w:cs="宋体"/>
      <w:color w:val="000000"/>
      <w:sz w:val="24"/>
      <w:szCs w:val="24"/>
    </w:rPr>
  </w:style>
  <w:style w:type="paragraph" w:customStyle="1" w:styleId="70">
    <w:name w:val="表格"/>
    <w:basedOn w:val="1"/>
    <w:next w:val="1"/>
    <w:link w:val="177"/>
    <w:qFormat/>
    <w:uiPriority w:val="0"/>
    <w:pPr>
      <w:adjustRightInd w:val="0"/>
      <w:snapToGrid w:val="0"/>
      <w:spacing w:beforeLines="10" w:afterLines="10" w:line="259" w:lineRule="auto"/>
      <w:jc w:val="center"/>
    </w:pPr>
    <w:rPr>
      <w:rFonts w:ascii="宋体"/>
      <w:kern w:val="0"/>
      <w:szCs w:val="20"/>
    </w:rPr>
  </w:style>
  <w:style w:type="character" w:customStyle="1" w:styleId="71">
    <w:name w:val="【正文】 Char"/>
    <w:link w:val="58"/>
    <w:qFormat/>
    <w:uiPriority w:val="0"/>
    <w:rPr>
      <w:kern w:val="0"/>
      <w:sz w:val="24"/>
      <w:szCs w:val="20"/>
    </w:rPr>
  </w:style>
  <w:style w:type="paragraph" w:customStyle="1" w:styleId="72">
    <w:name w:val="_Style 4"/>
    <w:basedOn w:val="1"/>
    <w:qFormat/>
    <w:uiPriority w:val="0"/>
    <w:pPr>
      <w:snapToGrid w:val="0"/>
      <w:spacing w:line="360" w:lineRule="auto"/>
      <w:ind w:firstLine="529" w:firstLineChars="200"/>
    </w:pPr>
  </w:style>
  <w:style w:type="paragraph" w:customStyle="1" w:styleId="73">
    <w:name w:val="【表中文字】"/>
    <w:basedOn w:val="74"/>
    <w:link w:val="75"/>
    <w:qFormat/>
    <w:uiPriority w:val="0"/>
    <w:rPr>
      <w:szCs w:val="20"/>
    </w:rPr>
  </w:style>
  <w:style w:type="paragraph" w:customStyle="1" w:styleId="74">
    <w:name w:val=".表1-1-1内容"/>
    <w:basedOn w:val="1"/>
    <w:qFormat/>
    <w:uiPriority w:val="0"/>
    <w:pPr>
      <w:spacing w:line="300" w:lineRule="exact"/>
      <w:jc w:val="center"/>
    </w:pPr>
    <w:rPr>
      <w:kern w:val="0"/>
      <w:szCs w:val="21"/>
    </w:rPr>
  </w:style>
  <w:style w:type="character" w:customStyle="1" w:styleId="75">
    <w:name w:val="【表中文字】 Char Char"/>
    <w:link w:val="73"/>
    <w:qFormat/>
    <w:uiPriority w:val="0"/>
    <w:rPr>
      <w:sz w:val="21"/>
    </w:rPr>
  </w:style>
  <w:style w:type="paragraph" w:customStyle="1" w:styleId="76">
    <w:name w:val="表格文字"/>
    <w:basedOn w:val="77"/>
    <w:link w:val="79"/>
    <w:qFormat/>
    <w:uiPriority w:val="0"/>
    <w:pPr>
      <w:widowControl/>
    </w:pPr>
    <w:rPr>
      <w:rFonts w:ascii="宋体" w:hAnsi="宋体" w:cs="宋体"/>
      <w:color w:val="000000"/>
      <w:szCs w:val="21"/>
    </w:rPr>
  </w:style>
  <w:style w:type="paragraph" w:customStyle="1" w:styleId="77">
    <w:name w:val="表头"/>
    <w:basedOn w:val="31"/>
    <w:next w:val="78"/>
    <w:qFormat/>
    <w:uiPriority w:val="0"/>
    <w:pPr>
      <w:adjustRightInd w:val="0"/>
      <w:snapToGrid w:val="0"/>
      <w:spacing w:line="360" w:lineRule="auto"/>
    </w:pPr>
    <w:rPr>
      <w:rFonts w:eastAsia="黑体"/>
      <w:sz w:val="24"/>
      <w:szCs w:val="22"/>
    </w:rPr>
  </w:style>
  <w:style w:type="paragraph" w:customStyle="1" w:styleId="78">
    <w:name w:val="表1"/>
    <w:next w:val="1"/>
    <w:qFormat/>
    <w:uiPriority w:val="0"/>
    <w:pPr>
      <w:adjustRightInd w:val="0"/>
      <w:snapToGrid w:val="0"/>
      <w:jc w:val="center"/>
    </w:pPr>
    <w:rPr>
      <w:rFonts w:ascii="宋体" w:hAnsi="Times New Roman" w:eastAsia="宋体" w:cs="Times New Roman"/>
      <w:sz w:val="21"/>
      <w:lang w:val="en-US" w:eastAsia="zh-CN" w:bidi="ar-SA"/>
    </w:rPr>
  </w:style>
  <w:style w:type="character" w:customStyle="1" w:styleId="79">
    <w:name w:val="表格文字 Char Char"/>
    <w:link w:val="76"/>
    <w:qFormat/>
    <w:uiPriority w:val="0"/>
    <w:rPr>
      <w:rFonts w:ascii="宋体" w:hAnsi="宋体" w:eastAsia="黑体" w:cs="宋体"/>
      <w:color w:val="000000"/>
      <w:sz w:val="24"/>
      <w:szCs w:val="21"/>
    </w:rPr>
  </w:style>
  <w:style w:type="paragraph" w:customStyle="1" w:styleId="80">
    <w:name w:val="正文 New New"/>
    <w:qFormat/>
    <w:uiPriority w:val="0"/>
    <w:pPr>
      <w:widowControl w:val="0"/>
      <w:jc w:val="both"/>
    </w:pPr>
    <w:rPr>
      <w:rFonts w:ascii="Calibri" w:hAnsi="Calibri" w:eastAsia="宋体" w:cs="Times New Roman"/>
      <w:kern w:val="2"/>
      <w:sz w:val="21"/>
      <w:szCs w:val="24"/>
      <w:lang w:val="en-US" w:eastAsia="zh-CN" w:bidi="ar-SA"/>
    </w:rPr>
  </w:style>
  <w:style w:type="paragraph" w:customStyle="1" w:styleId="81">
    <w:name w:val="【表头】"/>
    <w:basedOn w:val="82"/>
    <w:next w:val="1"/>
    <w:link w:val="83"/>
    <w:qFormat/>
    <w:uiPriority w:val="0"/>
    <w:pPr>
      <w:spacing w:line="460" w:lineRule="exact"/>
      <w:jc w:val="center"/>
    </w:pPr>
    <w:rPr>
      <w:b/>
      <w:sz w:val="24"/>
    </w:rPr>
  </w:style>
  <w:style w:type="paragraph" w:customStyle="1" w:styleId="82">
    <w:name w:val="0"/>
    <w:basedOn w:val="1"/>
    <w:qFormat/>
    <w:uiPriority w:val="99"/>
    <w:pPr>
      <w:widowControl/>
      <w:snapToGrid w:val="0"/>
      <w:jc w:val="left"/>
    </w:pPr>
    <w:rPr>
      <w:rFonts w:ascii="宋体"/>
      <w:kern w:val="0"/>
      <w:sz w:val="20"/>
      <w:szCs w:val="20"/>
    </w:rPr>
  </w:style>
  <w:style w:type="character" w:customStyle="1" w:styleId="83">
    <w:name w:val="【表头】 Char Char"/>
    <w:link w:val="81"/>
    <w:qFormat/>
    <w:uiPriority w:val="0"/>
    <w:rPr>
      <w:b/>
      <w:sz w:val="24"/>
    </w:rPr>
  </w:style>
  <w:style w:type="paragraph" w:customStyle="1" w:styleId="84">
    <w:name w:val="内容"/>
    <w:basedOn w:val="1"/>
    <w:qFormat/>
    <w:uiPriority w:val="0"/>
    <w:pPr>
      <w:spacing w:beforeLines="50" w:afterLines="50"/>
      <w:ind w:firstLine="200" w:firstLineChars="200"/>
    </w:pPr>
    <w:rPr>
      <w:color w:val="000000"/>
      <w:sz w:val="24"/>
    </w:rPr>
  </w:style>
  <w:style w:type="paragraph" w:customStyle="1" w:styleId="85">
    <w:name w:val="正文00"/>
    <w:basedOn w:val="1"/>
    <w:next w:val="1"/>
    <w:qFormat/>
    <w:uiPriority w:val="0"/>
    <w:pPr>
      <w:spacing w:line="360" w:lineRule="auto"/>
      <w:ind w:firstLine="480" w:firstLineChars="200"/>
    </w:pPr>
    <w:rPr>
      <w:sz w:val="24"/>
    </w:rPr>
  </w:style>
  <w:style w:type="paragraph" w:customStyle="1" w:styleId="86">
    <w:name w:val="表中文字"/>
    <w:basedOn w:val="1"/>
    <w:qFormat/>
    <w:uiPriority w:val="0"/>
    <w:pPr>
      <w:adjustRightInd w:val="0"/>
      <w:snapToGrid w:val="0"/>
      <w:jc w:val="center"/>
    </w:pPr>
    <w:rPr>
      <w:szCs w:val="22"/>
    </w:rPr>
  </w:style>
  <w:style w:type="paragraph" w:customStyle="1" w:styleId="87">
    <w:name w:val="表文"/>
    <w:basedOn w:val="1"/>
    <w:qFormat/>
    <w:uiPriority w:val="0"/>
    <w:pPr>
      <w:tabs>
        <w:tab w:val="left" w:pos="1021"/>
      </w:tabs>
      <w:spacing w:line="360" w:lineRule="auto"/>
      <w:jc w:val="center"/>
    </w:pPr>
    <w:rPr>
      <w:kern w:val="0"/>
      <w:position w:val="-24"/>
      <w:szCs w:val="21"/>
    </w:rPr>
  </w:style>
  <w:style w:type="character" w:customStyle="1" w:styleId="88">
    <w:name w:val="apple-converted-space"/>
    <w:basedOn w:val="41"/>
    <w:qFormat/>
    <w:uiPriority w:val="0"/>
  </w:style>
  <w:style w:type="paragraph" w:customStyle="1" w:styleId="89">
    <w:name w:val="Char Char Char Char Char Char Char Char Char Char Char Char Char Char Char Char Char Char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90">
    <w:name w:val="p0"/>
    <w:basedOn w:val="1"/>
    <w:qFormat/>
    <w:uiPriority w:val="0"/>
    <w:pPr>
      <w:widowControl/>
    </w:pPr>
    <w:rPr>
      <w:szCs w:val="21"/>
    </w:rPr>
  </w:style>
  <w:style w:type="paragraph" w:customStyle="1" w:styleId="91">
    <w:name w:val="样式 黑体 居中 行距: 1.5 倍行距"/>
    <w:basedOn w:val="1"/>
    <w:qFormat/>
    <w:uiPriority w:val="0"/>
    <w:pPr>
      <w:spacing w:line="360" w:lineRule="auto"/>
      <w:jc w:val="center"/>
    </w:pPr>
    <w:rPr>
      <w:rFonts w:ascii="黑体" w:hAnsi="黑体" w:eastAsia="黑体" w:cs="宋体"/>
    </w:rPr>
  </w:style>
  <w:style w:type="paragraph" w:customStyle="1" w:styleId="92">
    <w:name w:val="样式 (西文) Times New Roman 五号 居中"/>
    <w:basedOn w:val="1"/>
    <w:qFormat/>
    <w:uiPriority w:val="0"/>
    <w:pPr>
      <w:jc w:val="center"/>
    </w:pPr>
    <w:rPr>
      <w:rFonts w:cs="宋体"/>
    </w:rPr>
  </w:style>
  <w:style w:type="paragraph" w:customStyle="1" w:styleId="93">
    <w:name w:val="报告表正文"/>
    <w:basedOn w:val="1"/>
    <w:qFormat/>
    <w:uiPriority w:val="0"/>
    <w:pPr>
      <w:spacing w:line="360" w:lineRule="auto"/>
      <w:ind w:firstLine="420" w:firstLineChars="200"/>
    </w:pPr>
    <w:rPr>
      <w:sz w:val="24"/>
      <w:szCs w:val="22"/>
      <w:lang w:val="zh-CN"/>
    </w:rPr>
  </w:style>
  <w:style w:type="paragraph" w:customStyle="1" w:styleId="94">
    <w:name w:val="表格内容居中"/>
    <w:qFormat/>
    <w:uiPriority w:val="0"/>
    <w:pPr>
      <w:adjustRightInd w:val="0"/>
      <w:snapToGrid w:val="0"/>
      <w:jc w:val="center"/>
    </w:pPr>
    <w:rPr>
      <w:rFonts w:ascii="Times New Roman" w:hAnsi="Times New Roman" w:eastAsia="宋体" w:cs="Times New Roman"/>
      <w:sz w:val="21"/>
      <w:szCs w:val="21"/>
      <w:lang w:val="en-US" w:eastAsia="zh-CN" w:bidi="ar-SA"/>
    </w:rPr>
  </w:style>
  <w:style w:type="character" w:customStyle="1" w:styleId="95">
    <w:name w:val="！报告表正文 Char1"/>
    <w:link w:val="57"/>
    <w:qFormat/>
    <w:uiPriority w:val="0"/>
    <w:rPr>
      <w:sz w:val="24"/>
    </w:rPr>
  </w:style>
  <w:style w:type="paragraph" w:customStyle="1" w:styleId="96">
    <w:name w:val="！表格标题"/>
    <w:basedOn w:val="57"/>
    <w:link w:val="97"/>
    <w:qFormat/>
    <w:uiPriority w:val="0"/>
    <w:pPr>
      <w:spacing w:before="50" w:beforeLines="50"/>
      <w:ind w:firstLine="0" w:firstLineChars="0"/>
      <w:jc w:val="center"/>
    </w:pPr>
    <w:rPr>
      <w:sz w:val="21"/>
    </w:rPr>
  </w:style>
  <w:style w:type="character" w:customStyle="1" w:styleId="97">
    <w:name w:val="！表格标题 Char"/>
    <w:link w:val="96"/>
    <w:qFormat/>
    <w:uiPriority w:val="0"/>
    <w:rPr>
      <w:sz w:val="21"/>
    </w:rPr>
  </w:style>
  <w:style w:type="character" w:customStyle="1" w:styleId="98">
    <w:name w:val="font21"/>
    <w:basedOn w:val="41"/>
    <w:qFormat/>
    <w:uiPriority w:val="0"/>
    <w:rPr>
      <w:rFonts w:hint="eastAsia" w:ascii="宋体" w:hAnsi="宋体" w:eastAsia="宋体"/>
      <w:color w:val="000000"/>
      <w:sz w:val="22"/>
      <w:szCs w:val="22"/>
      <w:u w:val="none"/>
    </w:rPr>
  </w:style>
  <w:style w:type="character" w:customStyle="1" w:styleId="99">
    <w:name w:val="font41"/>
    <w:basedOn w:val="41"/>
    <w:qFormat/>
    <w:uiPriority w:val="0"/>
    <w:rPr>
      <w:rFonts w:hint="default" w:ascii="Times New Roman" w:hAnsi="Times New Roman" w:cs="Times New Roman"/>
      <w:color w:val="000000"/>
      <w:sz w:val="21"/>
      <w:szCs w:val="21"/>
      <w:u w:val="none"/>
    </w:rPr>
  </w:style>
  <w:style w:type="character" w:customStyle="1" w:styleId="100">
    <w:name w:val="font11"/>
    <w:basedOn w:val="41"/>
    <w:qFormat/>
    <w:uiPriority w:val="0"/>
    <w:rPr>
      <w:rFonts w:hint="eastAsia" w:ascii="宋体" w:hAnsi="宋体" w:eastAsia="宋体"/>
      <w:color w:val="000000"/>
      <w:sz w:val="21"/>
      <w:szCs w:val="21"/>
      <w:u w:val="none"/>
    </w:rPr>
  </w:style>
  <w:style w:type="character" w:customStyle="1" w:styleId="101">
    <w:name w:val="font31"/>
    <w:basedOn w:val="41"/>
    <w:qFormat/>
    <w:uiPriority w:val="0"/>
    <w:rPr>
      <w:rFonts w:hint="eastAsia" w:ascii="宋体" w:hAnsi="宋体" w:eastAsia="宋体" w:cs="宋体"/>
      <w:color w:val="000000"/>
      <w:sz w:val="21"/>
      <w:szCs w:val="21"/>
      <w:u w:val="none"/>
    </w:rPr>
  </w:style>
  <w:style w:type="character" w:customStyle="1" w:styleId="102">
    <w:name w:val="font01"/>
    <w:basedOn w:val="41"/>
    <w:qFormat/>
    <w:uiPriority w:val="0"/>
    <w:rPr>
      <w:rFonts w:hint="default" w:ascii="Times New Roman" w:hAnsi="Times New Roman" w:cs="Times New Roman"/>
      <w:color w:val="000000"/>
      <w:sz w:val="21"/>
      <w:szCs w:val="21"/>
      <w:u w:val="none"/>
    </w:rPr>
  </w:style>
  <w:style w:type="paragraph" w:customStyle="1" w:styleId="103">
    <w:name w:val="正文格式"/>
    <w:basedOn w:val="1"/>
    <w:next w:val="1"/>
    <w:qFormat/>
    <w:uiPriority w:val="0"/>
    <w:pPr>
      <w:spacing w:line="360" w:lineRule="auto"/>
      <w:ind w:firstLine="544"/>
    </w:pPr>
    <w:rPr>
      <w:szCs w:val="20"/>
    </w:rPr>
  </w:style>
  <w:style w:type="paragraph" w:customStyle="1" w:styleId="104">
    <w:name w:val="表格题目"/>
    <w:basedOn w:val="1"/>
    <w:qFormat/>
    <w:uiPriority w:val="0"/>
    <w:pPr>
      <w:spacing w:line="240" w:lineRule="atLeast"/>
      <w:jc w:val="center"/>
    </w:pPr>
    <w:rPr>
      <w:rFonts w:ascii="黑体" w:hAnsi="宋体" w:eastAsia="黑体"/>
      <w:sz w:val="24"/>
    </w:rPr>
  </w:style>
  <w:style w:type="paragraph" w:customStyle="1" w:styleId="105">
    <w:name w:val="缩进2"/>
    <w:basedOn w:val="1"/>
    <w:qFormat/>
    <w:uiPriority w:val="0"/>
    <w:pPr>
      <w:ind w:firstLine="200" w:firstLineChars="200"/>
    </w:pPr>
    <w:rPr>
      <w:rFonts w:ascii="宋体" w:hAnsi="宋体"/>
    </w:rPr>
  </w:style>
  <w:style w:type="character" w:customStyle="1" w:styleId="106">
    <w:name w:val="cur1"/>
    <w:basedOn w:val="41"/>
    <w:qFormat/>
    <w:uiPriority w:val="0"/>
    <w:rPr>
      <w:color w:val="FFFFFF"/>
      <w:shd w:val="clear" w:color="auto" w:fill="2F6B98"/>
    </w:rPr>
  </w:style>
  <w:style w:type="character" w:customStyle="1" w:styleId="107">
    <w:name w:val="lable"/>
    <w:basedOn w:val="41"/>
    <w:qFormat/>
    <w:uiPriority w:val="0"/>
    <w:rPr>
      <w:sz w:val="24"/>
      <w:szCs w:val="24"/>
    </w:rPr>
  </w:style>
  <w:style w:type="character" w:customStyle="1" w:styleId="108">
    <w:name w:val="lishishuju"/>
    <w:basedOn w:val="41"/>
    <w:qFormat/>
    <w:uiPriority w:val="0"/>
    <w:rPr>
      <w:b/>
      <w:bCs/>
      <w:color w:val="000052"/>
      <w:sz w:val="24"/>
      <w:szCs w:val="24"/>
      <w:bdr w:val="single" w:color="E3E3E3" w:sz="6" w:space="0"/>
    </w:rPr>
  </w:style>
  <w:style w:type="character" w:customStyle="1" w:styleId="109">
    <w:name w:val="radio-btn"/>
    <w:basedOn w:val="41"/>
    <w:qFormat/>
    <w:uiPriority w:val="0"/>
    <w:rPr>
      <w:sz w:val="21"/>
      <w:szCs w:val="21"/>
    </w:rPr>
  </w:style>
  <w:style w:type="character" w:customStyle="1" w:styleId="110">
    <w:name w:val="radio-btn1"/>
    <w:basedOn w:val="41"/>
    <w:qFormat/>
    <w:uiPriority w:val="0"/>
    <w:rPr>
      <w:sz w:val="24"/>
      <w:szCs w:val="24"/>
    </w:rPr>
  </w:style>
  <w:style w:type="character" w:customStyle="1" w:styleId="111">
    <w:name w:val="radio-btn2"/>
    <w:basedOn w:val="41"/>
    <w:qFormat/>
    <w:uiPriority w:val="0"/>
    <w:rPr>
      <w:sz w:val="24"/>
      <w:szCs w:val="24"/>
    </w:rPr>
  </w:style>
  <w:style w:type="character" w:customStyle="1" w:styleId="112">
    <w:name w:val="znspantitle"/>
    <w:basedOn w:val="41"/>
    <w:qFormat/>
    <w:uiPriority w:val="0"/>
    <w:rPr>
      <w:b/>
      <w:bCs/>
      <w:color w:val="333333"/>
    </w:rPr>
  </w:style>
  <w:style w:type="paragraph" w:customStyle="1" w:styleId="113">
    <w:name w:val="环评表中文字"/>
    <w:basedOn w:val="1"/>
    <w:qFormat/>
    <w:uiPriority w:val="0"/>
    <w:pPr>
      <w:jc w:val="center"/>
    </w:pPr>
  </w:style>
  <w:style w:type="paragraph" w:customStyle="1" w:styleId="114">
    <w:name w:val="2表中文字"/>
    <w:qFormat/>
    <w:uiPriority w:val="0"/>
    <w:pPr>
      <w:jc w:val="center"/>
    </w:pPr>
    <w:rPr>
      <w:rFonts w:ascii="Calibri" w:hAnsi="Calibri" w:eastAsia="宋体" w:cs="Times New Roman"/>
      <w:szCs w:val="21"/>
      <w:lang w:val="en-US" w:eastAsia="zh-CN" w:bidi="ar-SA"/>
    </w:rPr>
  </w:style>
  <w:style w:type="paragraph" w:customStyle="1" w:styleId="115">
    <w:name w:val="!报告表表格"/>
    <w:next w:val="1"/>
    <w:qFormat/>
    <w:uiPriority w:val="0"/>
    <w:pPr>
      <w:jc w:val="center"/>
    </w:pPr>
    <w:rPr>
      <w:rFonts w:ascii="Times New Roman" w:hAnsi="Times New Roman" w:eastAsia="宋体" w:cs="Times New Roman"/>
      <w:sz w:val="21"/>
      <w:lang w:val="en-US" w:eastAsia="zh-CN" w:bidi="ar-SA"/>
    </w:rPr>
  </w:style>
  <w:style w:type="character" w:customStyle="1" w:styleId="116">
    <w:name w:val="正文缩进 字符"/>
    <w:link w:val="15"/>
    <w:qFormat/>
    <w:uiPriority w:val="0"/>
    <w:rPr>
      <w:kern w:val="2"/>
      <w:sz w:val="21"/>
    </w:rPr>
  </w:style>
  <w:style w:type="paragraph" w:customStyle="1" w:styleId="117">
    <w:name w:val="图文框"/>
    <w:basedOn w:val="1"/>
    <w:qFormat/>
    <w:uiPriority w:val="0"/>
    <w:pPr>
      <w:jc w:val="center"/>
    </w:pPr>
    <w:rPr>
      <w:rFonts w:eastAsia="仿宋_GB2312"/>
      <w:sz w:val="24"/>
      <w:szCs w:val="20"/>
    </w:rPr>
  </w:style>
  <w:style w:type="paragraph" w:customStyle="1" w:styleId="118">
    <w:name w:val="单元格"/>
    <w:basedOn w:val="1"/>
    <w:qFormat/>
    <w:uiPriority w:val="0"/>
    <w:pPr>
      <w:jc w:val="center"/>
    </w:pPr>
    <w:rPr>
      <w:rFonts w:ascii="楷体_GB2312" w:eastAsia="楷体_GB2312"/>
      <w:szCs w:val="20"/>
    </w:rPr>
  </w:style>
  <w:style w:type="paragraph" w:customStyle="1" w:styleId="119">
    <w:name w:val="正文 表格  居中"/>
    <w:basedOn w:val="1"/>
    <w:next w:val="1"/>
    <w:qFormat/>
    <w:uiPriority w:val="0"/>
    <w:pPr>
      <w:jc w:val="center"/>
    </w:pPr>
  </w:style>
  <w:style w:type="character" w:customStyle="1" w:styleId="120">
    <w:name w:val="unnamed11"/>
    <w:qFormat/>
    <w:uiPriority w:val="0"/>
    <w:rPr>
      <w:rFonts w:hint="default" w:ascii="Arial" w:hAnsi="Arial" w:cs="Arial"/>
      <w:color w:val="0000CC"/>
      <w:sz w:val="18"/>
      <w:szCs w:val="18"/>
      <w:u w:val="none"/>
    </w:rPr>
  </w:style>
  <w:style w:type="character" w:customStyle="1" w:styleId="121">
    <w:name w:val="yxMark"/>
    <w:qFormat/>
    <w:uiPriority w:val="0"/>
    <w:rPr>
      <w:rFonts w:ascii="Courier New" w:hAnsi="Courier New"/>
      <w:b/>
      <w:vanish/>
      <w:color w:val="800000"/>
      <w:vertAlign w:val="subscript"/>
    </w:rPr>
  </w:style>
  <w:style w:type="character" w:customStyle="1" w:styleId="122">
    <w:name w:val="yxInternal"/>
    <w:qFormat/>
    <w:uiPriority w:val="0"/>
    <w:rPr>
      <w:rFonts w:ascii="Courier New" w:hAnsi="Courier New"/>
      <w:b/>
      <w:color w:val="FF0000"/>
    </w:rPr>
  </w:style>
  <w:style w:type="character" w:customStyle="1" w:styleId="123">
    <w:name w:val="15"/>
    <w:qFormat/>
    <w:uiPriority w:val="0"/>
    <w:rPr>
      <w:rFonts w:hint="default" w:ascii="Times New Roman" w:hAnsi="Times New Roman" w:cs="Times New Roman"/>
      <w:color w:val="333333"/>
      <w:sz w:val="18"/>
      <w:szCs w:val="18"/>
    </w:rPr>
  </w:style>
  <w:style w:type="character" w:customStyle="1" w:styleId="124">
    <w:name w:val="标题1"/>
    <w:basedOn w:val="41"/>
    <w:qFormat/>
    <w:uiPriority w:val="0"/>
  </w:style>
  <w:style w:type="character" w:customStyle="1" w:styleId="125">
    <w:name w:val="段落 Char Char"/>
    <w:link w:val="126"/>
    <w:qFormat/>
    <w:uiPriority w:val="0"/>
    <w:rPr>
      <w:kern w:val="2"/>
      <w:sz w:val="24"/>
    </w:rPr>
  </w:style>
  <w:style w:type="paragraph" w:customStyle="1" w:styleId="126">
    <w:name w:val="段落"/>
    <w:basedOn w:val="1"/>
    <w:link w:val="125"/>
    <w:qFormat/>
    <w:uiPriority w:val="0"/>
    <w:pPr>
      <w:tabs>
        <w:tab w:val="left" w:pos="1021"/>
      </w:tabs>
      <w:spacing w:line="300" w:lineRule="auto"/>
      <w:ind w:firstLine="480" w:firstLineChars="200"/>
    </w:pPr>
    <w:rPr>
      <w:sz w:val="24"/>
      <w:szCs w:val="20"/>
    </w:rPr>
  </w:style>
  <w:style w:type="character" w:customStyle="1" w:styleId="127">
    <w:name w:val="albumcount"/>
    <w:basedOn w:val="41"/>
    <w:qFormat/>
    <w:uiPriority w:val="0"/>
  </w:style>
  <w:style w:type="character" w:customStyle="1" w:styleId="128">
    <w:name w:val="正文1 Char Char"/>
    <w:link w:val="129"/>
    <w:qFormat/>
    <w:uiPriority w:val="0"/>
    <w:rPr>
      <w:rFonts w:ascii="仿宋_GB2312" w:eastAsia="仿宋_GB2312"/>
      <w:kern w:val="2"/>
      <w:sz w:val="21"/>
      <w:szCs w:val="21"/>
    </w:rPr>
  </w:style>
  <w:style w:type="paragraph" w:customStyle="1" w:styleId="129">
    <w:name w:val="正文1"/>
    <w:basedOn w:val="1"/>
    <w:link w:val="128"/>
    <w:qFormat/>
    <w:uiPriority w:val="0"/>
    <w:pPr>
      <w:widowControl/>
      <w:jc w:val="left"/>
    </w:pPr>
    <w:rPr>
      <w:rFonts w:ascii="仿宋_GB2312" w:eastAsia="仿宋_GB2312"/>
      <w:szCs w:val="21"/>
    </w:rPr>
  </w:style>
  <w:style w:type="character" w:customStyle="1" w:styleId="130">
    <w:name w:val="表格五号字 Char Char"/>
    <w:link w:val="131"/>
    <w:qFormat/>
    <w:uiPriority w:val="0"/>
    <w:rPr>
      <w:rFonts w:eastAsia="仿宋_GB2312"/>
      <w:kern w:val="2"/>
      <w:sz w:val="21"/>
      <w:szCs w:val="24"/>
    </w:rPr>
  </w:style>
  <w:style w:type="paragraph" w:customStyle="1" w:styleId="131">
    <w:name w:val="表格五号字"/>
    <w:basedOn w:val="1"/>
    <w:link w:val="130"/>
    <w:qFormat/>
    <w:uiPriority w:val="0"/>
    <w:pPr>
      <w:adjustRightInd w:val="0"/>
      <w:snapToGrid w:val="0"/>
      <w:jc w:val="center"/>
    </w:pPr>
    <w:rPr>
      <w:rFonts w:eastAsia="仿宋_GB2312"/>
    </w:rPr>
  </w:style>
  <w:style w:type="character" w:customStyle="1" w:styleId="132">
    <w:name w:val="正文文本 3 字符"/>
    <w:basedOn w:val="41"/>
    <w:link w:val="18"/>
    <w:qFormat/>
    <w:uiPriority w:val="0"/>
    <w:rPr>
      <w:b/>
      <w:bCs/>
      <w:kern w:val="2"/>
      <w:sz w:val="28"/>
    </w:rPr>
  </w:style>
  <w:style w:type="paragraph" w:customStyle="1" w:styleId="133">
    <w:name w:val="_Style 110"/>
    <w:basedOn w:val="1"/>
    <w:next w:val="1"/>
    <w:link w:val="134"/>
    <w:qFormat/>
    <w:uiPriority w:val="0"/>
    <w:pPr>
      <w:ind w:left="420" w:leftChars="200"/>
    </w:pPr>
    <w:rPr>
      <w:kern w:val="24"/>
      <w:sz w:val="28"/>
      <w:szCs w:val="20"/>
    </w:rPr>
  </w:style>
  <w:style w:type="character" w:customStyle="1" w:styleId="134">
    <w:name w:val="正文首行缩进 Char"/>
    <w:link w:val="133"/>
    <w:qFormat/>
    <w:uiPriority w:val="0"/>
    <w:rPr>
      <w:kern w:val="24"/>
      <w:sz w:val="28"/>
    </w:rPr>
  </w:style>
  <w:style w:type="paragraph" w:customStyle="1" w:styleId="135">
    <w:name w:val="默认段落字体 Para Char Char Char Char"/>
    <w:basedOn w:val="1"/>
    <w:qFormat/>
    <w:uiPriority w:val="0"/>
    <w:pPr>
      <w:spacing w:line="360" w:lineRule="auto"/>
      <w:ind w:firstLine="200" w:firstLineChars="200"/>
    </w:pPr>
    <w:rPr>
      <w:rFonts w:ascii="宋体" w:hAnsi="宋体" w:cs="宋体"/>
      <w:sz w:val="24"/>
    </w:rPr>
  </w:style>
  <w:style w:type="paragraph" w:customStyle="1" w:styleId="136">
    <w:name w:val="表头LB"/>
    <w:basedOn w:val="1"/>
    <w:qFormat/>
    <w:uiPriority w:val="0"/>
    <w:pPr>
      <w:spacing w:line="360" w:lineRule="auto"/>
      <w:jc w:val="center"/>
    </w:pPr>
    <w:rPr>
      <w:rFonts w:ascii="宋体" w:hAnsi="宋体"/>
      <w:b/>
      <w:sz w:val="24"/>
      <w:szCs w:val="20"/>
    </w:rPr>
  </w:style>
  <w:style w:type="character" w:customStyle="1" w:styleId="137">
    <w:name w:val="批注文字 字符"/>
    <w:basedOn w:val="41"/>
    <w:link w:val="17"/>
    <w:qFormat/>
    <w:uiPriority w:val="0"/>
    <w:rPr>
      <w:kern w:val="2"/>
      <w:sz w:val="21"/>
      <w:szCs w:val="24"/>
    </w:rPr>
  </w:style>
  <w:style w:type="character" w:customStyle="1" w:styleId="138">
    <w:name w:val="批注主题 字符"/>
    <w:basedOn w:val="137"/>
    <w:link w:val="37"/>
    <w:qFormat/>
    <w:uiPriority w:val="0"/>
    <w:rPr>
      <w:b/>
      <w:bCs/>
      <w:kern w:val="2"/>
      <w:sz w:val="32"/>
      <w:szCs w:val="24"/>
    </w:rPr>
  </w:style>
  <w:style w:type="paragraph" w:customStyle="1" w:styleId="139">
    <w:name w:val="3 Char Char Char Char"/>
    <w:basedOn w:val="1"/>
    <w:next w:val="6"/>
    <w:qFormat/>
    <w:uiPriority w:val="0"/>
    <w:rPr>
      <w:rFonts w:eastAsia="黑体"/>
      <w:sz w:val="24"/>
    </w:rPr>
  </w:style>
  <w:style w:type="character" w:customStyle="1" w:styleId="140">
    <w:name w:val="批注框文本 字符"/>
    <w:basedOn w:val="41"/>
    <w:link w:val="27"/>
    <w:qFormat/>
    <w:uiPriority w:val="0"/>
    <w:rPr>
      <w:kern w:val="2"/>
      <w:sz w:val="18"/>
      <w:szCs w:val="18"/>
    </w:rPr>
  </w:style>
  <w:style w:type="character" w:customStyle="1" w:styleId="141">
    <w:name w:val="日期 字符"/>
    <w:basedOn w:val="41"/>
    <w:link w:val="25"/>
    <w:qFormat/>
    <w:uiPriority w:val="0"/>
    <w:rPr>
      <w:kern w:val="28"/>
      <w:sz w:val="28"/>
    </w:rPr>
  </w:style>
  <w:style w:type="character" w:customStyle="1" w:styleId="142">
    <w:name w:val="正文文本缩进 2 字符"/>
    <w:basedOn w:val="41"/>
    <w:link w:val="26"/>
    <w:qFormat/>
    <w:uiPriority w:val="0"/>
    <w:rPr>
      <w:rFonts w:ascii="宋体"/>
      <w:kern w:val="2"/>
      <w:sz w:val="28"/>
      <w:szCs w:val="24"/>
    </w:rPr>
  </w:style>
  <w:style w:type="paragraph" w:customStyle="1" w:styleId="143">
    <w:name w:val="Char1 Char Char Char"/>
    <w:basedOn w:val="1"/>
    <w:qFormat/>
    <w:uiPriority w:val="0"/>
  </w:style>
  <w:style w:type="paragraph" w:styleId="144">
    <w:name w:val="No Spacing"/>
    <w:qFormat/>
    <w:uiPriority w:val="0"/>
    <w:pPr>
      <w:widowControl w:val="0"/>
      <w:spacing w:line="360" w:lineRule="auto"/>
      <w:ind w:firstLine="200" w:firstLineChars="200"/>
      <w:jc w:val="both"/>
    </w:pPr>
    <w:rPr>
      <w:rFonts w:ascii="Times New Roman" w:hAnsi="Times New Roman" w:eastAsia="宋体" w:cs="Times New Roman"/>
      <w:kern w:val="2"/>
      <w:sz w:val="24"/>
      <w:lang w:val="en-US" w:eastAsia="zh-CN" w:bidi="ar-SA"/>
    </w:rPr>
  </w:style>
  <w:style w:type="paragraph" w:customStyle="1" w:styleId="145">
    <w:name w:val="album-div"/>
    <w:basedOn w:val="1"/>
    <w:qFormat/>
    <w:uiPriority w:val="0"/>
    <w:pPr>
      <w:widowControl/>
      <w:spacing w:before="100" w:beforeAutospacing="1" w:after="100" w:afterAutospacing="1"/>
      <w:jc w:val="left"/>
    </w:pPr>
    <w:rPr>
      <w:rFonts w:ascii="宋体" w:hAnsi="宋体" w:cs="宋体"/>
      <w:kern w:val="0"/>
      <w:sz w:val="24"/>
    </w:rPr>
  </w:style>
  <w:style w:type="paragraph" w:customStyle="1" w:styleId="146">
    <w:name w:val="1"/>
    <w:basedOn w:val="1"/>
    <w:next w:val="2"/>
    <w:qFormat/>
    <w:uiPriority w:val="0"/>
    <w:rPr>
      <w:rFonts w:ascii="Wingdings" w:hAnsi="Wingdings"/>
      <w:b/>
      <w:bCs/>
      <w:sz w:val="44"/>
    </w:rPr>
  </w:style>
  <w:style w:type="paragraph" w:customStyle="1" w:styleId="147">
    <w:name w:val="报告书表头"/>
    <w:qFormat/>
    <w:uiPriority w:val="0"/>
    <w:pPr>
      <w:widowControl w:val="0"/>
      <w:adjustRightInd w:val="0"/>
      <w:snapToGrid w:val="0"/>
      <w:jc w:val="center"/>
    </w:pPr>
    <w:rPr>
      <w:rFonts w:ascii="Times New Roman" w:hAnsi="Times New Roman" w:eastAsia="宋体" w:cs="Arial"/>
      <w:b/>
      <w:bCs/>
      <w:snapToGrid w:val="0"/>
      <w:sz w:val="21"/>
      <w:szCs w:val="21"/>
      <w:lang w:val="en-US" w:eastAsia="zh-CN" w:bidi="ar-SA"/>
    </w:rPr>
  </w:style>
  <w:style w:type="paragraph" w:customStyle="1" w:styleId="148">
    <w:name w:val="表文字"/>
    <w:basedOn w:val="1"/>
    <w:qFormat/>
    <w:uiPriority w:val="0"/>
    <w:pPr>
      <w:overflowPunct w:val="0"/>
      <w:autoSpaceDE w:val="0"/>
      <w:autoSpaceDN w:val="0"/>
      <w:adjustRightInd w:val="0"/>
      <w:spacing w:line="240" w:lineRule="atLeast"/>
      <w:textAlignment w:val="baseline"/>
    </w:pPr>
    <w:rPr>
      <w:kern w:val="0"/>
      <w:sz w:val="24"/>
      <w:szCs w:val="20"/>
    </w:rPr>
  </w:style>
  <w:style w:type="paragraph" w:customStyle="1" w:styleId="149">
    <w:name w:val="_Style 30"/>
    <w:basedOn w:val="1"/>
    <w:qFormat/>
    <w:uiPriority w:val="0"/>
    <w:rPr>
      <w:szCs w:val="20"/>
    </w:rPr>
  </w:style>
  <w:style w:type="paragraph" w:customStyle="1" w:styleId="150">
    <w:name w:val="Char Char Char Char Char Char Char Char Char Char Char Char Char Char Char Char Char Char Char Char Char Char Char Char Char Char Char Char Char Char Char Char Char Char Char Char Char Char Char Char Char Char Char Char Char Char"/>
    <w:basedOn w:val="1"/>
    <w:next w:val="1"/>
    <w:qFormat/>
    <w:uiPriority w:val="0"/>
    <w:pPr>
      <w:pBdr>
        <w:right w:val="single" w:color="auto" w:sz="12" w:space="4"/>
      </w:pBdr>
      <w:spacing w:line="360" w:lineRule="auto"/>
      <w:ind w:firstLine="200" w:firstLineChars="200"/>
    </w:pPr>
    <w:rPr>
      <w:rFonts w:ascii="宋体" w:hAnsi="宋体" w:cs="宋体"/>
      <w:sz w:val="28"/>
    </w:rPr>
  </w:style>
  <w:style w:type="paragraph" w:customStyle="1" w:styleId="151">
    <w:name w:val="Char"/>
    <w:basedOn w:val="1"/>
    <w:qFormat/>
    <w:uiPriority w:val="99"/>
    <w:pPr>
      <w:spacing w:line="360" w:lineRule="auto"/>
      <w:ind w:firstLine="200" w:firstLineChars="200"/>
    </w:pPr>
    <w:rPr>
      <w:rFonts w:ascii="宋体" w:hAnsi="宋体" w:cs="宋体"/>
      <w:sz w:val="24"/>
    </w:rPr>
  </w:style>
  <w:style w:type="paragraph" w:customStyle="1" w:styleId="152">
    <w:name w:val="报告书表内，5号，左"/>
    <w:basedOn w:val="1"/>
    <w:qFormat/>
    <w:uiPriority w:val="0"/>
    <w:pPr>
      <w:widowControl/>
      <w:adjustRightInd w:val="0"/>
      <w:snapToGrid w:val="0"/>
      <w:spacing w:before="120"/>
      <w:ind w:left="-43"/>
      <w:jc w:val="center"/>
    </w:pPr>
    <w:rPr>
      <w:snapToGrid w:val="0"/>
      <w:kern w:val="13"/>
      <w:szCs w:val="21"/>
    </w:rPr>
  </w:style>
  <w:style w:type="paragraph" w:customStyle="1" w:styleId="153">
    <w:name w:val="报告书表名"/>
    <w:qFormat/>
    <w:uiPriority w:val="0"/>
    <w:pPr>
      <w:adjustRightInd w:val="0"/>
      <w:snapToGrid w:val="0"/>
      <w:spacing w:after="156" w:afterLines="50"/>
      <w:jc w:val="center"/>
    </w:pPr>
    <w:rPr>
      <w:rFonts w:ascii="Times New Roman" w:hAnsi="Times New Roman" w:eastAsia="宋体" w:cs="宋体"/>
      <w:b/>
      <w:bCs/>
      <w:snapToGrid w:val="0"/>
      <w:sz w:val="21"/>
      <w:szCs w:val="21"/>
      <w:lang w:val="en-US" w:eastAsia="zh-CN" w:bidi="ar-SA"/>
    </w:rPr>
  </w:style>
  <w:style w:type="paragraph" w:customStyle="1" w:styleId="154">
    <w:name w:val="xl31"/>
    <w:basedOn w:val="1"/>
    <w:qFormat/>
    <w:uiPriority w:val="0"/>
    <w:pPr>
      <w:widowControl/>
      <w:spacing w:before="100" w:beforeAutospacing="1" w:after="100" w:afterAutospacing="1"/>
      <w:jc w:val="center"/>
    </w:pPr>
    <w:rPr>
      <w:kern w:val="0"/>
      <w:sz w:val="24"/>
    </w:rPr>
  </w:style>
  <w:style w:type="paragraph" w:customStyle="1" w:styleId="155">
    <w:name w:val="列表1"/>
    <w:basedOn w:val="1"/>
    <w:next w:val="31"/>
    <w:qFormat/>
    <w:uiPriority w:val="0"/>
    <w:pPr>
      <w:spacing w:before="60" w:line="240" w:lineRule="exact"/>
      <w:jc w:val="center"/>
    </w:pPr>
    <w:rPr>
      <w:sz w:val="24"/>
      <w:szCs w:val="20"/>
    </w:rPr>
  </w:style>
  <w:style w:type="character" w:customStyle="1" w:styleId="156">
    <w:name w:val="【正文】 Char Char"/>
    <w:qFormat/>
    <w:uiPriority w:val="0"/>
    <w:rPr>
      <w:kern w:val="2"/>
      <w:sz w:val="24"/>
      <w:lang w:val="zh-CN" w:eastAsia="zh-CN"/>
    </w:rPr>
  </w:style>
  <w:style w:type="character" w:customStyle="1" w:styleId="157">
    <w:name w:val="font101"/>
    <w:qFormat/>
    <w:uiPriority w:val="0"/>
    <w:rPr>
      <w:rFonts w:hint="eastAsia" w:ascii="宋体" w:hAnsi="宋体" w:eastAsia="宋体"/>
      <w:color w:val="000000"/>
      <w:sz w:val="22"/>
      <w:szCs w:val="22"/>
      <w:u w:val="none"/>
    </w:rPr>
  </w:style>
  <w:style w:type="character" w:customStyle="1" w:styleId="158">
    <w:name w:val="font71"/>
    <w:qFormat/>
    <w:uiPriority w:val="0"/>
    <w:rPr>
      <w:rFonts w:hint="default" w:ascii="Times New Roman" w:hAnsi="Times New Roman" w:cs="Times New Roman"/>
      <w:b/>
      <w:bCs/>
      <w:color w:val="000000"/>
      <w:sz w:val="22"/>
      <w:szCs w:val="22"/>
      <w:u w:val="none"/>
    </w:rPr>
  </w:style>
  <w:style w:type="character" w:customStyle="1" w:styleId="159">
    <w:name w:val="font81"/>
    <w:qFormat/>
    <w:uiPriority w:val="0"/>
    <w:rPr>
      <w:rFonts w:hint="eastAsia" w:ascii="宋体" w:hAnsi="宋体" w:eastAsia="宋体"/>
      <w:b/>
      <w:bCs/>
      <w:color w:val="000000"/>
      <w:sz w:val="18"/>
      <w:szCs w:val="18"/>
      <w:u w:val="none"/>
    </w:rPr>
  </w:style>
  <w:style w:type="character" w:customStyle="1" w:styleId="160">
    <w:name w:val="font91"/>
    <w:qFormat/>
    <w:uiPriority w:val="0"/>
    <w:rPr>
      <w:rFonts w:hint="default" w:ascii="Times New Roman" w:hAnsi="Times New Roman" w:cs="Times New Roman"/>
      <w:b/>
      <w:bCs/>
      <w:color w:val="000000"/>
      <w:sz w:val="18"/>
      <w:szCs w:val="18"/>
      <w:u w:val="none"/>
      <w:vertAlign w:val="superscript"/>
    </w:rPr>
  </w:style>
  <w:style w:type="character" w:customStyle="1" w:styleId="161">
    <w:name w:val="font61"/>
    <w:qFormat/>
    <w:uiPriority w:val="0"/>
    <w:rPr>
      <w:rFonts w:hint="eastAsia" w:ascii="宋体" w:hAnsi="宋体" w:eastAsia="宋体"/>
      <w:b/>
      <w:bCs/>
      <w:color w:val="000000"/>
      <w:sz w:val="18"/>
      <w:szCs w:val="18"/>
      <w:u w:val="none"/>
    </w:rPr>
  </w:style>
  <w:style w:type="character" w:customStyle="1" w:styleId="162">
    <w:name w:val="font111"/>
    <w:qFormat/>
    <w:uiPriority w:val="0"/>
    <w:rPr>
      <w:rFonts w:hint="default" w:ascii="Times New Roman" w:hAnsi="Times New Roman" w:cs="Times New Roman"/>
      <w:b/>
      <w:bCs/>
      <w:color w:val="000000"/>
      <w:sz w:val="18"/>
      <w:szCs w:val="18"/>
      <w:u w:val="none"/>
      <w:vertAlign w:val="superscript"/>
    </w:rPr>
  </w:style>
  <w:style w:type="character" w:customStyle="1" w:styleId="163">
    <w:name w:val="16"/>
    <w:qFormat/>
    <w:uiPriority w:val="0"/>
    <w:rPr>
      <w:rFonts w:hint="eastAsia" w:ascii="宋体" w:hAnsi="宋体" w:eastAsia="宋体"/>
      <w:color w:val="000000"/>
      <w:sz w:val="16"/>
      <w:szCs w:val="16"/>
    </w:rPr>
  </w:style>
  <w:style w:type="paragraph" w:customStyle="1" w:styleId="164">
    <w:name w:val="无间隔1"/>
    <w:qFormat/>
    <w:uiPriority w:val="0"/>
    <w:pPr>
      <w:widowControl w:val="0"/>
      <w:jc w:val="both"/>
    </w:pPr>
    <w:rPr>
      <w:rFonts w:ascii="Times New Roman" w:hAnsi="Times New Roman" w:eastAsia="宋体" w:cs="Times New Roman"/>
      <w:kern w:val="2"/>
      <w:sz w:val="21"/>
      <w:szCs w:val="22"/>
      <w:lang w:val="en-US" w:eastAsia="zh-CN" w:bidi="ar-SA"/>
    </w:rPr>
  </w:style>
  <w:style w:type="character" w:customStyle="1" w:styleId="165">
    <w:name w:val="副标题 字符1"/>
    <w:link w:val="30"/>
    <w:qFormat/>
    <w:uiPriority w:val="0"/>
    <w:rPr>
      <w:rFonts w:eastAsia="黑体"/>
      <w:b/>
      <w:bCs/>
      <w:kern w:val="28"/>
      <w:sz w:val="24"/>
      <w:szCs w:val="32"/>
    </w:rPr>
  </w:style>
  <w:style w:type="character" w:customStyle="1" w:styleId="166">
    <w:name w:val="副标题 字符"/>
    <w:basedOn w:val="41"/>
    <w:qFormat/>
    <w:uiPriority w:val="0"/>
    <w:rPr>
      <w:rFonts w:asciiTheme="minorHAnsi" w:hAnsiTheme="minorHAnsi" w:eastAsiaTheme="minorEastAsia" w:cstheme="minorBidi"/>
      <w:b/>
      <w:bCs/>
      <w:kern w:val="28"/>
      <w:sz w:val="32"/>
      <w:szCs w:val="32"/>
    </w:rPr>
  </w:style>
  <w:style w:type="character" w:customStyle="1" w:styleId="167">
    <w:name w:val="副标题 Char1"/>
    <w:qFormat/>
    <w:uiPriority w:val="0"/>
    <w:rPr>
      <w:rFonts w:ascii="Calibri Light" w:hAnsi="Calibri Light" w:cs="Times New Roman"/>
      <w:b/>
      <w:bCs/>
      <w:kern w:val="28"/>
      <w:sz w:val="32"/>
      <w:szCs w:val="32"/>
    </w:rPr>
  </w:style>
  <w:style w:type="paragraph" w:customStyle="1" w:styleId="168">
    <w:name w:val="报告书表格"/>
    <w:basedOn w:val="1"/>
    <w:qFormat/>
    <w:uiPriority w:val="0"/>
    <w:pPr>
      <w:adjustRightInd w:val="0"/>
      <w:spacing w:before="60" w:after="60" w:line="240" w:lineRule="atLeast"/>
      <w:jc w:val="center"/>
      <w:textAlignment w:val="baseline"/>
    </w:pPr>
    <w:rPr>
      <w:kern w:val="0"/>
      <w:szCs w:val="20"/>
    </w:rPr>
  </w:style>
  <w:style w:type="paragraph" w:customStyle="1" w:styleId="169">
    <w:name w:val="图号 表号"/>
    <w:basedOn w:val="2"/>
    <w:qFormat/>
    <w:uiPriority w:val="0"/>
    <w:pPr>
      <w:widowControl/>
      <w:spacing w:line="360" w:lineRule="auto"/>
      <w:jc w:val="center"/>
      <w:textAlignment w:val="auto"/>
    </w:pPr>
    <w:rPr>
      <w:rFonts w:eastAsia="黑体"/>
      <w:b/>
      <w:kern w:val="0"/>
      <w:sz w:val="24"/>
      <w:szCs w:val="22"/>
    </w:rPr>
  </w:style>
  <w:style w:type="character" w:customStyle="1" w:styleId="170">
    <w:name w:val="表格内容 Char Char"/>
    <w:link w:val="52"/>
    <w:qFormat/>
    <w:uiPriority w:val="0"/>
    <w:rPr>
      <w:rFonts w:ascii="Calibri" w:hAnsi="Calibri"/>
    </w:rPr>
  </w:style>
  <w:style w:type="paragraph" w:customStyle="1" w:styleId="171">
    <w:name w:val="Table Paragraph"/>
    <w:basedOn w:val="1"/>
    <w:qFormat/>
    <w:uiPriority w:val="1"/>
    <w:pPr>
      <w:jc w:val="left"/>
    </w:pPr>
    <w:rPr>
      <w:rFonts w:ascii="Calibri" w:hAnsi="Calibri"/>
      <w:kern w:val="0"/>
      <w:sz w:val="22"/>
      <w:szCs w:val="22"/>
      <w:lang w:eastAsia="en-US"/>
    </w:rPr>
  </w:style>
  <w:style w:type="character" w:customStyle="1" w:styleId="172">
    <w:name w:val="fontstyle01"/>
    <w:qFormat/>
    <w:uiPriority w:val="0"/>
    <w:rPr>
      <w:rFonts w:hint="eastAsia" w:ascii="宋体" w:hAnsi="宋体" w:eastAsia="宋体"/>
      <w:color w:val="000000"/>
      <w:sz w:val="24"/>
      <w:szCs w:val="24"/>
    </w:rPr>
  </w:style>
  <w:style w:type="character" w:customStyle="1" w:styleId="173">
    <w:name w:val="fontstyle21"/>
    <w:qFormat/>
    <w:uiPriority w:val="0"/>
    <w:rPr>
      <w:rFonts w:hint="default" w:ascii="Times New Roman" w:hAnsi="Times New Roman" w:cs="Times New Roman"/>
      <w:color w:val="000000"/>
      <w:sz w:val="24"/>
      <w:szCs w:val="24"/>
    </w:rPr>
  </w:style>
  <w:style w:type="character" w:customStyle="1" w:styleId="174">
    <w:name w:val="图注 Char"/>
    <w:link w:val="175"/>
    <w:qFormat/>
    <w:uiPriority w:val="0"/>
    <w:rPr>
      <w:rFonts w:eastAsia="黑体"/>
      <w:sz w:val="24"/>
    </w:rPr>
  </w:style>
  <w:style w:type="paragraph" w:customStyle="1" w:styleId="175">
    <w:name w:val="图注"/>
    <w:basedOn w:val="1"/>
    <w:link w:val="174"/>
    <w:qFormat/>
    <w:uiPriority w:val="0"/>
    <w:pPr>
      <w:spacing w:line="360" w:lineRule="auto"/>
      <w:ind w:firstLine="640" w:firstLineChars="200"/>
      <w:jc w:val="center"/>
    </w:pPr>
    <w:rPr>
      <w:rFonts w:eastAsia="黑体"/>
      <w:kern w:val="0"/>
      <w:sz w:val="24"/>
      <w:szCs w:val="20"/>
    </w:rPr>
  </w:style>
  <w:style w:type="character" w:customStyle="1" w:styleId="176">
    <w:name w:val="普通(网站) 字符"/>
    <w:link w:val="35"/>
    <w:qFormat/>
    <w:locked/>
    <w:uiPriority w:val="0"/>
    <w:rPr>
      <w:rFonts w:ascii="宋体" w:hAnsi="宋体"/>
      <w:sz w:val="24"/>
    </w:rPr>
  </w:style>
  <w:style w:type="character" w:customStyle="1" w:styleId="177">
    <w:name w:val="表格 Char"/>
    <w:link w:val="70"/>
    <w:qFormat/>
    <w:locked/>
    <w:uiPriority w:val="0"/>
    <w:rPr>
      <w:rFonts w:ascii="宋体"/>
      <w:sz w:val="21"/>
    </w:rPr>
  </w:style>
  <w:style w:type="paragraph" w:customStyle="1" w:styleId="178">
    <w:name w:val="TOC 标题1"/>
    <w:basedOn w:val="5"/>
    <w:next w:val="1"/>
    <w:unhideWhenUsed/>
    <w:qFormat/>
    <w:uiPriority w:val="39"/>
    <w:pPr>
      <w:keepNext/>
      <w:keepLines/>
      <w:widowControl/>
      <w:spacing w:before="240" w:line="259" w:lineRule="auto"/>
      <w:outlineLvl w:val="9"/>
    </w:pPr>
    <w:rPr>
      <w:rFonts w:hint="default" w:asciiTheme="majorHAnsi" w:hAnsiTheme="majorHAnsi" w:eastAsiaTheme="majorEastAsia" w:cstheme="majorBidi"/>
      <w:b w:val="0"/>
      <w:bCs w:val="0"/>
      <w:color w:val="2E75B6" w:themeColor="accent1" w:themeShade="BF"/>
      <w:kern w:val="0"/>
      <w:sz w:val="32"/>
      <w:szCs w:val="32"/>
    </w:rPr>
  </w:style>
  <w:style w:type="paragraph" w:customStyle="1" w:styleId="179">
    <w:name w:val="_Style 165"/>
    <w:basedOn w:val="1"/>
    <w:next w:val="1"/>
    <w:qFormat/>
    <w:uiPriority w:val="39"/>
    <w:pPr>
      <w:ind w:left="840" w:leftChars="400"/>
    </w:pPr>
  </w:style>
  <w:style w:type="character" w:customStyle="1" w:styleId="180">
    <w:name w:val="a正文 Char"/>
    <w:link w:val="181"/>
    <w:qFormat/>
    <w:uiPriority w:val="0"/>
    <w:rPr>
      <w:sz w:val="24"/>
    </w:rPr>
  </w:style>
  <w:style w:type="paragraph" w:customStyle="1" w:styleId="181">
    <w:name w:val="a正文"/>
    <w:basedOn w:val="103"/>
    <w:link w:val="180"/>
    <w:qFormat/>
    <w:uiPriority w:val="0"/>
    <w:pPr>
      <w:spacing w:line="520" w:lineRule="exact"/>
      <w:ind w:firstLine="200"/>
    </w:pPr>
    <w:rPr>
      <w:sz w:val="24"/>
    </w:rPr>
  </w:style>
  <w:style w:type="paragraph" w:customStyle="1" w:styleId="182">
    <w:name w:val="【表中的文字】"/>
    <w:basedOn w:val="36"/>
    <w:qFormat/>
    <w:uiPriority w:val="0"/>
    <w:pPr>
      <w:spacing w:before="0" w:after="0"/>
      <w:outlineLvl w:val="9"/>
    </w:pPr>
    <w:rPr>
      <w:rFonts w:ascii="Times New Roman" w:hAnsi="Times New Roman"/>
      <w:b w:val="0"/>
      <w:sz w:val="21"/>
      <w:szCs w:val="21"/>
    </w:rPr>
  </w:style>
  <w:style w:type="paragraph" w:customStyle="1" w:styleId="183">
    <w:name w:val="表头12"/>
    <w:basedOn w:val="1"/>
    <w:qFormat/>
    <w:uiPriority w:val="0"/>
    <w:pPr>
      <w:keepNext/>
      <w:spacing w:line="500" w:lineRule="exact"/>
      <w:jc w:val="center"/>
    </w:pPr>
    <w:rPr>
      <w:rFonts w:eastAsia="黑体"/>
    </w:rPr>
  </w:style>
  <w:style w:type="paragraph" w:customStyle="1" w:styleId="184">
    <w:name w:val="11111"/>
    <w:basedOn w:val="1"/>
    <w:next w:val="1"/>
    <w:qFormat/>
    <w:uiPriority w:val="0"/>
    <w:pPr>
      <w:spacing w:line="360" w:lineRule="auto"/>
      <w:ind w:firstLine="200" w:firstLineChars="200"/>
    </w:pPr>
    <w:rPr>
      <w:rFonts w:hAnsi="宋体" w:cs="宋体"/>
    </w:rPr>
  </w:style>
  <w:style w:type="character" w:customStyle="1" w:styleId="185">
    <w:name w:val="页眉 字符"/>
    <w:basedOn w:val="41"/>
    <w:link w:val="20"/>
    <w:qFormat/>
    <w:uiPriority w:val="0"/>
  </w:style>
  <w:style w:type="paragraph" w:customStyle="1" w:styleId="186">
    <w:name w:val="正文2"/>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paragraph" w:customStyle="1" w:styleId="187">
    <w:name w:val="图头00"/>
    <w:basedOn w:val="1"/>
    <w:qFormat/>
    <w:uiPriority w:val="0"/>
    <w:pPr>
      <w:adjustRightInd w:val="0"/>
      <w:spacing w:line="360" w:lineRule="auto"/>
      <w:jc w:val="center"/>
      <w:textAlignment w:val="baseline"/>
    </w:pPr>
    <w:rPr>
      <w:rFonts w:ascii="宋体" w:eastAsia="黑体"/>
      <w:kern w:val="0"/>
      <w:sz w:val="24"/>
      <w:szCs w:val="20"/>
    </w:rPr>
  </w:style>
  <w:style w:type="paragraph" w:customStyle="1" w:styleId="188">
    <w:name w:val="正文（首行缩进两字） Char"/>
    <w:basedOn w:val="1"/>
    <w:qFormat/>
    <w:uiPriority w:val="0"/>
    <w:pPr>
      <w:widowControl/>
      <w:spacing w:line="360" w:lineRule="auto"/>
      <w:ind w:firstLine="420"/>
    </w:pPr>
    <w:rPr>
      <w:kern w:val="0"/>
      <w:sz w:val="24"/>
      <w:szCs w:val="20"/>
    </w:rPr>
  </w:style>
  <w:style w:type="paragraph" w:customStyle="1" w:styleId="189">
    <w:name w:val="内容列表"/>
    <w:basedOn w:val="1"/>
    <w:qFormat/>
    <w:uiPriority w:val="0"/>
    <w:pPr>
      <w:spacing w:line="480" w:lineRule="exact"/>
      <w:ind w:firstLine="560" w:firstLineChars="200"/>
    </w:pPr>
    <w:rPr>
      <w:rFonts w:ascii="仿宋_GB2312" w:eastAsia="仿宋_GB2312"/>
      <w:bCs/>
      <w:sz w:val="28"/>
      <w:szCs w:val="28"/>
    </w:rPr>
  </w:style>
  <w:style w:type="paragraph" w:customStyle="1" w:styleId="190">
    <w:name w:val="样式"/>
    <w:basedOn w:val="1"/>
    <w:next w:val="32"/>
    <w:qFormat/>
    <w:uiPriority w:val="0"/>
    <w:pPr>
      <w:tabs>
        <w:tab w:val="left" w:pos="6720"/>
      </w:tabs>
      <w:spacing w:line="360" w:lineRule="auto"/>
      <w:ind w:firstLine="480" w:firstLineChars="200"/>
    </w:pPr>
    <w:rPr>
      <w:rFonts w:ascii="楷体_GB2312" w:eastAsia="楷体_GB2312"/>
      <w:kern w:val="0"/>
      <w:sz w:val="24"/>
      <w:szCs w:val="20"/>
    </w:rPr>
  </w:style>
  <w:style w:type="paragraph" w:customStyle="1" w:styleId="191">
    <w:name w:val="填表样式"/>
    <w:basedOn w:val="1"/>
    <w:unhideWhenUsed/>
    <w:qFormat/>
    <w:uiPriority w:val="0"/>
    <w:pPr>
      <w:adjustRightInd w:val="0"/>
      <w:snapToGrid w:val="0"/>
      <w:spacing w:line="360" w:lineRule="auto"/>
      <w:ind w:firstLine="720" w:firstLineChars="200"/>
    </w:pPr>
  </w:style>
  <w:style w:type="character" w:customStyle="1" w:styleId="192">
    <w:name w:val="【正文】 Char1"/>
    <w:qFormat/>
    <w:locked/>
    <w:uiPriority w:val="0"/>
    <w:rPr>
      <w:rFonts w:hint="eastAsia" w:ascii="宋体" w:hAnsi="宋体" w:eastAsia="宋体"/>
      <w:snapToGrid/>
      <w:sz w:val="24"/>
    </w:rPr>
  </w:style>
  <w:style w:type="character" w:customStyle="1" w:styleId="193">
    <w:name w:val="NormalCharacter"/>
    <w:qFormat/>
    <w:uiPriority w:val="0"/>
    <w:rPr>
      <w:rFonts w:ascii="宋体"/>
      <w:sz w:val="24"/>
      <w:lang w:val="en-US" w:eastAsia="zh-CN" w:bidi="ar-SA"/>
    </w:rPr>
  </w:style>
  <w:style w:type="paragraph" w:customStyle="1" w:styleId="194">
    <w:name w:val="表中文字（工大）"/>
    <w:basedOn w:val="1"/>
    <w:qFormat/>
    <w:uiPriority w:val="0"/>
    <w:pPr>
      <w:spacing w:line="400" w:lineRule="exact"/>
      <w:jc w:val="center"/>
    </w:pPr>
    <w:rPr>
      <w:szCs w:val="20"/>
    </w:rPr>
  </w:style>
  <w:style w:type="paragraph" w:customStyle="1" w:styleId="195">
    <w:name w:val="正文_6"/>
    <w:qFormat/>
    <w:uiPriority w:val="0"/>
    <w:pPr>
      <w:widowControl w:val="0"/>
      <w:jc w:val="both"/>
    </w:pPr>
    <w:rPr>
      <w:rFonts w:ascii="Calibri" w:hAnsi="Calibri" w:eastAsia="宋体" w:cs="Times New Roman"/>
      <w:kern w:val="2"/>
      <w:sz w:val="21"/>
      <w:lang w:val="en-US" w:eastAsia="zh-CN" w:bidi="ar-SA"/>
    </w:rPr>
  </w:style>
  <w:style w:type="paragraph" w:customStyle="1" w:styleId="196">
    <w:name w:val="正文缩进1"/>
    <w:basedOn w:val="1"/>
    <w:qFormat/>
    <w:uiPriority w:val="0"/>
    <w:pPr>
      <w:ind w:firstLine="420"/>
    </w:pPr>
    <w:rPr>
      <w:sz w:val="28"/>
    </w:rPr>
  </w:style>
  <w:style w:type="paragraph" w:customStyle="1" w:styleId="197">
    <w:name w:val="C首行缩进正文"/>
    <w:basedOn w:val="58"/>
    <w:qFormat/>
    <w:uiPriority w:val="0"/>
    <w:pPr>
      <w:spacing w:line="360" w:lineRule="auto"/>
    </w:pPr>
    <w:rPr>
      <w:rFonts w:cs="宋体"/>
      <w:color w:val="000000"/>
      <w:sz w:val="21"/>
    </w:rPr>
  </w:style>
  <w:style w:type="paragraph" w:customStyle="1" w:styleId="198">
    <w:name w:val="正文4"/>
    <w:basedOn w:val="1"/>
    <w:qFormat/>
    <w:uiPriority w:val="0"/>
    <w:pPr>
      <w:adjustRightInd w:val="0"/>
      <w:spacing w:line="288" w:lineRule="atLeast"/>
      <w:ind w:firstLine="480"/>
      <w:jc w:val="left"/>
      <w:textAlignment w:val="baseline"/>
    </w:pPr>
    <w:rPr>
      <w:rFonts w:eastAsia="仿宋_GB2312"/>
      <w:kern w:val="0"/>
      <w:sz w:val="28"/>
    </w:rPr>
  </w:style>
  <w:style w:type="paragraph" w:customStyle="1" w:styleId="199">
    <w:name w:val="②JM表格小标题 仿宋"/>
    <w:basedOn w:val="200"/>
    <w:next w:val="201"/>
    <w:qFormat/>
    <w:uiPriority w:val="0"/>
    <w:rPr>
      <w:rFonts w:eastAsia="仿宋"/>
      <w:b/>
    </w:rPr>
  </w:style>
  <w:style w:type="paragraph" w:customStyle="1" w:styleId="200">
    <w:name w:val="①JM表格 居中"/>
    <w:basedOn w:val="1"/>
    <w:next w:val="1"/>
    <w:qFormat/>
    <w:uiPriority w:val="0"/>
    <w:pPr>
      <w:jc w:val="center"/>
    </w:pPr>
  </w:style>
  <w:style w:type="paragraph" w:customStyle="1" w:styleId="201">
    <w:name w:val="②JM正文"/>
    <w:basedOn w:val="202"/>
    <w:qFormat/>
    <w:uiPriority w:val="0"/>
    <w:pPr>
      <w:ind w:firstLine="720" w:firstLineChars="200"/>
    </w:pPr>
  </w:style>
  <w:style w:type="paragraph" w:customStyle="1" w:styleId="202">
    <w:name w:val="②JM正文 顶格"/>
    <w:basedOn w:val="200"/>
    <w:next w:val="201"/>
    <w:qFormat/>
    <w:uiPriority w:val="0"/>
    <w:pPr>
      <w:jc w:val="left"/>
    </w:pPr>
  </w:style>
  <w:style w:type="paragraph" w:customStyle="1" w:styleId="203">
    <w:name w:val="②JM表格 居中 仿宋"/>
    <w:basedOn w:val="199"/>
    <w:next w:val="201"/>
    <w:qFormat/>
    <w:uiPriority w:val="0"/>
    <w:rPr>
      <w:b w:val="0"/>
    </w:rPr>
  </w:style>
  <w:style w:type="paragraph" w:customStyle="1" w:styleId="204">
    <w:name w:val="表格里"/>
    <w:basedOn w:val="129"/>
    <w:next w:val="129"/>
    <w:qFormat/>
    <w:uiPriority w:val="0"/>
    <w:pPr>
      <w:jc w:val="center"/>
    </w:pPr>
    <w:rPr>
      <w:rFonts w:ascii="Times New Roman"/>
      <w:snapToGrid w:val="0"/>
    </w:rPr>
  </w:style>
  <w:style w:type="paragraph" w:customStyle="1" w:styleId="205">
    <w:name w:val="正文(首行缩进)"/>
    <w:basedOn w:val="1"/>
    <w:qFormat/>
    <w:uiPriority w:val="0"/>
    <w:pPr>
      <w:spacing w:line="360" w:lineRule="auto"/>
      <w:ind w:firstLine="540" w:firstLineChars="225"/>
    </w:pPr>
    <w:rPr>
      <w:snapToGrid w:val="0"/>
      <w:color w:val="000000"/>
      <w:kern w:val="0"/>
      <w:sz w:val="24"/>
    </w:rPr>
  </w:style>
  <w:style w:type="paragraph" w:styleId="206">
    <w:name w:val="List Paragraph"/>
    <w:basedOn w:val="1"/>
    <w:qFormat/>
    <w:uiPriority w:val="1"/>
    <w:pPr>
      <w:spacing w:before="105"/>
      <w:ind w:left="538" w:hanging="421"/>
    </w:pPr>
    <w:rPr>
      <w:rFonts w:ascii="仿宋" w:hAnsi="仿宋" w:eastAsia="仿宋" w:cs="仿宋"/>
      <w:lang w:val="zh-CN" w:bidi="zh-CN"/>
    </w:rPr>
  </w:style>
  <w:style w:type="paragraph" w:customStyle="1" w:styleId="207">
    <w:name w:val="首行缩进正文"/>
    <w:basedOn w:val="58"/>
    <w:qFormat/>
    <w:uiPriority w:val="0"/>
    <w:rPr>
      <w:sz w:val="21"/>
    </w:rPr>
  </w:style>
  <w:style w:type="paragraph" w:customStyle="1" w:styleId="208">
    <w:name w:val="表格正文"/>
    <w:basedOn w:val="1"/>
    <w:qFormat/>
    <w:uiPriority w:val="0"/>
    <w:pPr>
      <w:spacing w:line="320" w:lineRule="exact"/>
      <w:jc w:val="center"/>
    </w:pPr>
    <w:rPr>
      <w:rFonts w:cs="宋体"/>
    </w:rPr>
  </w:style>
  <w:style w:type="paragraph" w:customStyle="1" w:styleId="209">
    <w:name w:val="正文首行缩进2个字 Char"/>
    <w:basedOn w:val="1"/>
    <w:qFormat/>
    <w:uiPriority w:val="0"/>
    <w:pPr>
      <w:ind w:firstLine="480" w:firstLineChars="200"/>
    </w:pPr>
    <w:rPr>
      <w:rFonts w:eastAsia="楷体"/>
      <w:sz w:val="24"/>
      <w:szCs w:val="24"/>
    </w:rPr>
  </w:style>
  <w:style w:type="paragraph" w:customStyle="1" w:styleId="210">
    <w:name w:val="验收正文"/>
    <w:basedOn w:val="1"/>
    <w:qFormat/>
    <w:uiPriority w:val="0"/>
    <w:pPr>
      <w:spacing w:line="360" w:lineRule="auto"/>
      <w:ind w:firstLine="1040" w:firstLineChars="200"/>
    </w:pPr>
    <w:rPr>
      <w:rFonts w:ascii="Times New Roman" w:hAnsi="Times New Roman"/>
      <w:kern w:val="3"/>
      <w:sz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88.jpeg"/><Relationship Id="rId98" Type="http://schemas.openxmlformats.org/officeDocument/2006/relationships/image" Target="media/image87.png"/><Relationship Id="rId97" Type="http://schemas.openxmlformats.org/officeDocument/2006/relationships/image" Target="media/image86.png"/><Relationship Id="rId96" Type="http://schemas.openxmlformats.org/officeDocument/2006/relationships/image" Target="media/image85.png"/><Relationship Id="rId95" Type="http://schemas.openxmlformats.org/officeDocument/2006/relationships/image" Target="media/image84.jpeg"/><Relationship Id="rId94" Type="http://schemas.openxmlformats.org/officeDocument/2006/relationships/image" Target="media/image83.jpeg"/><Relationship Id="rId93" Type="http://schemas.openxmlformats.org/officeDocument/2006/relationships/image" Target="media/image82.jpeg"/><Relationship Id="rId92" Type="http://schemas.openxmlformats.org/officeDocument/2006/relationships/image" Target="media/image81.jpeg"/><Relationship Id="rId91" Type="http://schemas.openxmlformats.org/officeDocument/2006/relationships/image" Target="media/image80.jpeg"/><Relationship Id="rId90" Type="http://schemas.openxmlformats.org/officeDocument/2006/relationships/image" Target="media/image79.jpeg"/><Relationship Id="rId9" Type="http://schemas.openxmlformats.org/officeDocument/2006/relationships/theme" Target="theme/theme1.xml"/><Relationship Id="rId89" Type="http://schemas.openxmlformats.org/officeDocument/2006/relationships/image" Target="media/image78.jpeg"/><Relationship Id="rId88" Type="http://schemas.openxmlformats.org/officeDocument/2006/relationships/image" Target="media/image77.jpeg"/><Relationship Id="rId87" Type="http://schemas.openxmlformats.org/officeDocument/2006/relationships/image" Target="media/image76.jpeg"/><Relationship Id="rId86" Type="http://schemas.openxmlformats.org/officeDocument/2006/relationships/image" Target="media/image75.jpeg"/><Relationship Id="rId85" Type="http://schemas.openxmlformats.org/officeDocument/2006/relationships/image" Target="media/image74.jpeg"/><Relationship Id="rId84" Type="http://schemas.openxmlformats.org/officeDocument/2006/relationships/image" Target="media/image73.jpeg"/><Relationship Id="rId83" Type="http://schemas.openxmlformats.org/officeDocument/2006/relationships/image" Target="media/image72.jpeg"/><Relationship Id="rId82" Type="http://schemas.openxmlformats.org/officeDocument/2006/relationships/image" Target="media/image71.jpeg"/><Relationship Id="rId81" Type="http://schemas.openxmlformats.org/officeDocument/2006/relationships/image" Target="media/image70.jpeg"/><Relationship Id="rId80" Type="http://schemas.openxmlformats.org/officeDocument/2006/relationships/image" Target="media/image69.jpeg"/><Relationship Id="rId8" Type="http://schemas.openxmlformats.org/officeDocument/2006/relationships/footer" Target="footer6.xml"/><Relationship Id="rId79" Type="http://schemas.openxmlformats.org/officeDocument/2006/relationships/image" Target="media/image68.jpeg"/><Relationship Id="rId78" Type="http://schemas.openxmlformats.org/officeDocument/2006/relationships/image" Target="media/image67.jpeg"/><Relationship Id="rId77" Type="http://schemas.openxmlformats.org/officeDocument/2006/relationships/image" Target="media/image66.jpeg"/><Relationship Id="rId76" Type="http://schemas.openxmlformats.org/officeDocument/2006/relationships/image" Target="media/image65.jpeg"/><Relationship Id="rId75" Type="http://schemas.openxmlformats.org/officeDocument/2006/relationships/image" Target="media/image64.jpeg"/><Relationship Id="rId74" Type="http://schemas.openxmlformats.org/officeDocument/2006/relationships/image" Target="media/image63.jpeg"/><Relationship Id="rId73" Type="http://schemas.openxmlformats.org/officeDocument/2006/relationships/image" Target="media/image62.jpeg"/><Relationship Id="rId72" Type="http://schemas.openxmlformats.org/officeDocument/2006/relationships/image" Target="media/image61.jpeg"/><Relationship Id="rId71" Type="http://schemas.openxmlformats.org/officeDocument/2006/relationships/image" Target="media/image60.jpeg"/><Relationship Id="rId70" Type="http://schemas.openxmlformats.org/officeDocument/2006/relationships/image" Target="media/image59.jpeg"/><Relationship Id="rId7" Type="http://schemas.openxmlformats.org/officeDocument/2006/relationships/footer" Target="footer5.xml"/><Relationship Id="rId69" Type="http://schemas.openxmlformats.org/officeDocument/2006/relationships/image" Target="media/image58.jpeg"/><Relationship Id="rId68" Type="http://schemas.openxmlformats.org/officeDocument/2006/relationships/image" Target="media/image57.jpeg"/><Relationship Id="rId67" Type="http://schemas.openxmlformats.org/officeDocument/2006/relationships/image" Target="media/image56.jpeg"/><Relationship Id="rId66" Type="http://schemas.openxmlformats.org/officeDocument/2006/relationships/image" Target="media/image55.jpeg"/><Relationship Id="rId65" Type="http://schemas.openxmlformats.org/officeDocument/2006/relationships/image" Target="media/image54.jpeg"/><Relationship Id="rId64" Type="http://schemas.openxmlformats.org/officeDocument/2006/relationships/image" Target="media/image53.jpeg"/><Relationship Id="rId63" Type="http://schemas.openxmlformats.org/officeDocument/2006/relationships/image" Target="media/image52.jpeg"/><Relationship Id="rId62" Type="http://schemas.openxmlformats.org/officeDocument/2006/relationships/image" Target="media/image51.jpeg"/><Relationship Id="rId61" Type="http://schemas.openxmlformats.org/officeDocument/2006/relationships/image" Target="media/image50.jpeg"/><Relationship Id="rId60" Type="http://schemas.openxmlformats.org/officeDocument/2006/relationships/image" Target="media/image49.jpeg"/><Relationship Id="rId6" Type="http://schemas.openxmlformats.org/officeDocument/2006/relationships/footer" Target="footer4.xml"/><Relationship Id="rId59" Type="http://schemas.openxmlformats.org/officeDocument/2006/relationships/image" Target="media/image48.jpeg"/><Relationship Id="rId58" Type="http://schemas.openxmlformats.org/officeDocument/2006/relationships/image" Target="media/image47.jpeg"/><Relationship Id="rId57" Type="http://schemas.openxmlformats.org/officeDocument/2006/relationships/image" Target="media/image46.png"/><Relationship Id="rId56" Type="http://schemas.openxmlformats.org/officeDocument/2006/relationships/image" Target="media/image45.jpeg"/><Relationship Id="rId55" Type="http://schemas.openxmlformats.org/officeDocument/2006/relationships/image" Target="media/image44.jpeg"/><Relationship Id="rId54" Type="http://schemas.openxmlformats.org/officeDocument/2006/relationships/image" Target="media/image43.jpeg"/><Relationship Id="rId53" Type="http://schemas.openxmlformats.org/officeDocument/2006/relationships/image" Target="media/image42.png"/><Relationship Id="rId52" Type="http://schemas.openxmlformats.org/officeDocument/2006/relationships/image" Target="media/image41.jpeg"/><Relationship Id="rId51" Type="http://schemas.openxmlformats.org/officeDocument/2006/relationships/image" Target="media/image40.jpeg"/><Relationship Id="rId50" Type="http://schemas.openxmlformats.org/officeDocument/2006/relationships/image" Target="media/image39.jpeg"/><Relationship Id="rId5" Type="http://schemas.openxmlformats.org/officeDocument/2006/relationships/footer" Target="footer3.xml"/><Relationship Id="rId49" Type="http://schemas.openxmlformats.org/officeDocument/2006/relationships/image" Target="media/image38.jpe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footer" Target="footer2.xml"/><Relationship Id="rId39" Type="http://schemas.openxmlformats.org/officeDocument/2006/relationships/image" Target="media/image28.jpe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wmf"/><Relationship Id="rId34" Type="http://schemas.openxmlformats.org/officeDocument/2006/relationships/image" Target="media/image23.wmf"/><Relationship Id="rId33" Type="http://schemas.openxmlformats.org/officeDocument/2006/relationships/image" Target="media/image22.wmf"/><Relationship Id="rId32" Type="http://schemas.openxmlformats.org/officeDocument/2006/relationships/oleObject" Target="embeddings/oleObject2.bin"/><Relationship Id="rId31" Type="http://schemas.openxmlformats.org/officeDocument/2006/relationships/image" Target="media/image21.wmf"/><Relationship Id="rId30" Type="http://schemas.openxmlformats.org/officeDocument/2006/relationships/image" Target="media/image20.wmf"/><Relationship Id="rId3" Type="http://schemas.openxmlformats.org/officeDocument/2006/relationships/footer" Target="footer1.xml"/><Relationship Id="rId29" Type="http://schemas.openxmlformats.org/officeDocument/2006/relationships/oleObject" Target="embeddings/oleObject1.bin"/><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wmf"/><Relationship Id="rId21" Type="http://schemas.openxmlformats.org/officeDocument/2006/relationships/image" Target="media/image12.wmf"/><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7" Type="http://schemas.openxmlformats.org/officeDocument/2006/relationships/fontTable" Target="fontTable.xml"/><Relationship Id="rId116" Type="http://schemas.openxmlformats.org/officeDocument/2006/relationships/customXml" Target="../customXml/item2.xml"/><Relationship Id="rId115" Type="http://schemas.openxmlformats.org/officeDocument/2006/relationships/numbering" Target="numbering.xml"/><Relationship Id="rId114" Type="http://schemas.openxmlformats.org/officeDocument/2006/relationships/customXml" Target="../customXml/item1.xml"/><Relationship Id="rId113" Type="http://schemas.openxmlformats.org/officeDocument/2006/relationships/oleObject" Target="embeddings/oleObject4.bin"/><Relationship Id="rId112" Type="http://schemas.openxmlformats.org/officeDocument/2006/relationships/image" Target="media/image100.wmf"/><Relationship Id="rId111" Type="http://schemas.openxmlformats.org/officeDocument/2006/relationships/oleObject" Target="embeddings/oleObject3.bin"/><Relationship Id="rId110" Type="http://schemas.openxmlformats.org/officeDocument/2006/relationships/image" Target="media/image99.png"/><Relationship Id="rId11" Type="http://schemas.openxmlformats.org/officeDocument/2006/relationships/image" Target="media/image2.png"/><Relationship Id="rId109" Type="http://schemas.openxmlformats.org/officeDocument/2006/relationships/image" Target="media/image98.jpeg"/><Relationship Id="rId108" Type="http://schemas.openxmlformats.org/officeDocument/2006/relationships/image" Target="media/image97.jpeg"/><Relationship Id="rId107" Type="http://schemas.openxmlformats.org/officeDocument/2006/relationships/image" Target="media/image96.jpeg"/><Relationship Id="rId106" Type="http://schemas.openxmlformats.org/officeDocument/2006/relationships/image" Target="media/image95.jpeg"/><Relationship Id="rId105" Type="http://schemas.openxmlformats.org/officeDocument/2006/relationships/image" Target="media/image94.jpeg"/><Relationship Id="rId104" Type="http://schemas.openxmlformats.org/officeDocument/2006/relationships/image" Target="media/image93.jpeg"/><Relationship Id="rId103" Type="http://schemas.openxmlformats.org/officeDocument/2006/relationships/image" Target="media/image92.jpeg"/><Relationship Id="rId102" Type="http://schemas.openxmlformats.org/officeDocument/2006/relationships/image" Target="media/image91.jpeg"/><Relationship Id="rId101" Type="http://schemas.openxmlformats.org/officeDocument/2006/relationships/image" Target="media/image90.jpeg"/><Relationship Id="rId100" Type="http://schemas.openxmlformats.org/officeDocument/2006/relationships/image" Target="media/image89.jpe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StyleName="APA" SelectedStyle="\APASixthEditionOfficeOnline.xsl"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90409D2-726E-4DE0-B742-CF7F6733C431}">
  <ds:schemaRefs/>
</ds:datastoreItem>
</file>

<file path=docProps/app.xml><?xml version="1.0" encoding="utf-8"?>
<Properties xmlns="http://schemas.openxmlformats.org/officeDocument/2006/extended-properties" xmlns:vt="http://schemas.openxmlformats.org/officeDocument/2006/docPropsVTypes">
  <Template>Normal</Template>
  <Pages>127</Pages>
  <Words>129</Words>
  <Characters>133</Characters>
  <Lines>325</Lines>
  <Paragraphs>91</Paragraphs>
  <TotalTime>11</TotalTime>
  <ScaleCrop>false</ScaleCrop>
  <LinksUpToDate>false</LinksUpToDate>
  <CharactersWithSpaces>165</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2021-03-10T08:40:00Z</dcterms:created>
  <dc:creator>嘤萦影映</dc:creator>
  <cp:lastModifiedBy>橘子</cp:lastModifiedBy>
  <cp:lastPrinted>2022-10-28T07:54:00Z</cp:lastPrinted>
  <dcterms:modified xsi:type="dcterms:W3CDTF">2025-12-22T06:56:13Z</dcterms:modified>
  <cp:revision>15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37C3091C0CBB45ADB455333243444A10_13</vt:lpwstr>
  </property>
  <property fmtid="{D5CDD505-2E9C-101B-9397-08002B2CF9AE}" pid="4" name="KSOTemplateDocerSaveRecord">
    <vt:lpwstr>eyJoZGlkIjoiOWMxYWY3NDlhNWQwMjI5ZjliNjQzMjQ1YjI3Y2EwNDgiLCJ1c2VySWQiOiIyNjE3NTc3MjMifQ==</vt:lpwstr>
  </property>
</Properties>
</file>